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style1.xml" ContentType="application/vnd.ms-office.chartstyle+xml"/>
  <Override PartName="/word/charts/colors1.xml" ContentType="application/vnd.ms-office.chartcolorstyle+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sdt>
      <w:sdtPr>
        <w:rPr>
          <w:rFonts w:eastAsia="Times New Roman" w:cs="Times New Roman"/>
          <w:caps/>
          <w:szCs w:val="32"/>
          <w:lang w:bidi="en-US"/>
        </w:rPr>
        <w:id w:val="30091833"/>
        <w:lock w:val="contentLocked"/>
        <w:placeholder>
          <w:docPart w:val="06D062634E4B459E899F5F9D355A8535"/>
        </w:placeholder>
        <w:group/>
      </w:sdtPr>
      <w:sdtEndPr/>
      <w:sdtContent>
        <w:p w14:paraId="0DFCC39C" w14:textId="77777777" w:rsidR="00B555D8" w:rsidRPr="00B555D8" w:rsidRDefault="00B555D8" w:rsidP="00B555D8">
          <w:pPr>
            <w:spacing w:line="240" w:lineRule="auto"/>
            <w:jc w:val="center"/>
            <w:rPr>
              <w:rFonts w:eastAsia="Times New Roman" w:cs="Times New Roman"/>
              <w:caps/>
              <w:szCs w:val="32"/>
              <w:lang w:bidi="en-US"/>
            </w:rPr>
          </w:pPr>
          <w:r w:rsidRPr="00B555D8">
            <w:rPr>
              <w:rFonts w:eastAsia="Times New Roman" w:cs="Times New Roman"/>
              <w:caps/>
              <w:szCs w:val="32"/>
              <w:lang w:bidi="en-US"/>
            </w:rPr>
            <w:t>University of Oklahoma</w:t>
          </w:r>
        </w:p>
        <w:p w14:paraId="34E8F3C4" w14:textId="77777777" w:rsidR="00B555D8" w:rsidRPr="00B555D8" w:rsidRDefault="00B555D8" w:rsidP="00B555D8">
          <w:pPr>
            <w:spacing w:line="240" w:lineRule="auto"/>
            <w:jc w:val="center"/>
            <w:rPr>
              <w:rFonts w:eastAsia="Times New Roman" w:cs="Times New Roman"/>
              <w:caps/>
              <w:szCs w:val="32"/>
              <w:lang w:bidi="en-US"/>
            </w:rPr>
          </w:pPr>
        </w:p>
        <w:p w14:paraId="67DC739A" w14:textId="77777777" w:rsidR="00B555D8" w:rsidRPr="00B555D8" w:rsidRDefault="00B555D8" w:rsidP="00B555D8">
          <w:pPr>
            <w:spacing w:line="240" w:lineRule="auto"/>
            <w:jc w:val="center"/>
            <w:rPr>
              <w:rFonts w:eastAsia="Times New Roman" w:cs="Times New Roman"/>
              <w:caps/>
              <w:szCs w:val="32"/>
              <w:lang w:bidi="en-US"/>
            </w:rPr>
          </w:pPr>
          <w:r w:rsidRPr="00B555D8">
            <w:rPr>
              <w:rFonts w:eastAsia="Times New Roman" w:cs="Times New Roman"/>
              <w:caps/>
              <w:szCs w:val="32"/>
              <w:lang w:bidi="en-US"/>
            </w:rPr>
            <w:t>Graduate College</w:t>
          </w:r>
        </w:p>
      </w:sdtContent>
    </w:sdt>
    <w:p w14:paraId="0F4BCD24" w14:textId="77777777" w:rsidR="00B555D8" w:rsidRPr="00B555D8" w:rsidRDefault="00B555D8" w:rsidP="00B555D8">
      <w:pPr>
        <w:spacing w:line="240" w:lineRule="auto"/>
        <w:jc w:val="center"/>
        <w:rPr>
          <w:rFonts w:eastAsia="Times New Roman" w:cs="Times New Roman"/>
          <w:caps/>
          <w:szCs w:val="32"/>
          <w:lang w:bidi="en-US"/>
        </w:rPr>
      </w:pPr>
    </w:p>
    <w:p w14:paraId="6A098AA9" w14:textId="77777777" w:rsidR="00B555D8" w:rsidRPr="00B555D8" w:rsidRDefault="00B555D8" w:rsidP="00B555D8">
      <w:pPr>
        <w:spacing w:line="240" w:lineRule="auto"/>
        <w:jc w:val="center"/>
        <w:rPr>
          <w:rFonts w:eastAsia="Times New Roman" w:cs="Times New Roman"/>
          <w:caps/>
          <w:szCs w:val="32"/>
          <w:lang w:bidi="en-US"/>
        </w:rPr>
      </w:pPr>
    </w:p>
    <w:p w14:paraId="0B195229" w14:textId="77777777" w:rsidR="00B555D8" w:rsidRPr="00B555D8" w:rsidRDefault="00B555D8" w:rsidP="00B555D8">
      <w:pPr>
        <w:spacing w:line="240" w:lineRule="auto"/>
        <w:jc w:val="center"/>
        <w:rPr>
          <w:rFonts w:eastAsia="Times New Roman" w:cs="Times New Roman"/>
          <w:caps/>
          <w:szCs w:val="32"/>
          <w:lang w:bidi="en-US"/>
        </w:rPr>
      </w:pPr>
    </w:p>
    <w:p w14:paraId="65719D6C" w14:textId="77777777" w:rsidR="00B555D8" w:rsidRPr="00B555D8" w:rsidRDefault="00B555D8" w:rsidP="00B555D8">
      <w:pPr>
        <w:spacing w:line="240" w:lineRule="auto"/>
        <w:jc w:val="center"/>
        <w:rPr>
          <w:rFonts w:eastAsia="Times New Roman" w:cs="Times New Roman"/>
          <w:caps/>
          <w:szCs w:val="32"/>
          <w:lang w:bidi="en-US"/>
        </w:rPr>
      </w:pPr>
    </w:p>
    <w:p w14:paraId="52B130B8" w14:textId="77777777" w:rsidR="00B555D8" w:rsidRPr="00B555D8" w:rsidRDefault="00B555D8" w:rsidP="00B555D8">
      <w:pPr>
        <w:spacing w:line="240" w:lineRule="auto"/>
        <w:jc w:val="center"/>
        <w:rPr>
          <w:rFonts w:eastAsia="Times New Roman" w:cs="Times New Roman"/>
          <w:caps/>
          <w:szCs w:val="32"/>
          <w:lang w:bidi="en-US"/>
        </w:rPr>
      </w:pPr>
    </w:p>
    <w:p w14:paraId="72A6DFAD" w14:textId="77777777" w:rsidR="00B555D8" w:rsidRPr="00B555D8" w:rsidRDefault="00B555D8" w:rsidP="00B555D8">
      <w:pPr>
        <w:spacing w:line="240" w:lineRule="auto"/>
        <w:jc w:val="center"/>
        <w:rPr>
          <w:rFonts w:eastAsia="Times New Roman" w:cs="Times New Roman"/>
          <w:caps/>
          <w:szCs w:val="32"/>
          <w:lang w:bidi="en-US"/>
        </w:rPr>
      </w:pPr>
    </w:p>
    <w:p w14:paraId="06DFF214" w14:textId="77777777" w:rsidR="00B555D8" w:rsidRPr="00B555D8" w:rsidRDefault="00B555D8" w:rsidP="00B555D8">
      <w:pPr>
        <w:spacing w:line="240" w:lineRule="auto"/>
        <w:jc w:val="center"/>
        <w:rPr>
          <w:rFonts w:eastAsia="Times New Roman" w:cs="Times New Roman"/>
          <w:caps/>
          <w:szCs w:val="32"/>
          <w:lang w:bidi="en-US"/>
        </w:rPr>
      </w:pPr>
    </w:p>
    <w:sdt>
      <w:sdtPr>
        <w:rPr>
          <w:rFonts w:eastAsia="Times New Roman" w:cs="Times New Roman"/>
          <w:caps/>
          <w:szCs w:val="32"/>
          <w:lang w:bidi="en-US"/>
        </w:rPr>
        <w:alias w:val="Click to enter thesis title"/>
        <w:tag w:val="Click to enter thesis title"/>
        <w:id w:val="30091832"/>
        <w:placeholder>
          <w:docPart w:val="06D062634E4B459E899F5F9D355A8535"/>
        </w:placeholder>
      </w:sdtPr>
      <w:sdtEndPr/>
      <w:sdtContent>
        <w:p w14:paraId="5856910D" w14:textId="01C17C15" w:rsidR="00B555D8" w:rsidRPr="00B555D8" w:rsidRDefault="009D7562" w:rsidP="00B555D8">
          <w:pPr>
            <w:jc w:val="center"/>
            <w:rPr>
              <w:rFonts w:eastAsia="Times New Roman" w:cs="Times New Roman"/>
              <w:caps/>
              <w:szCs w:val="32"/>
              <w:lang w:bidi="en-US"/>
            </w:rPr>
          </w:pPr>
          <w:r w:rsidRPr="009D7562">
            <w:rPr>
              <w:rFonts w:eastAsia="Times New Roman" w:cs="Times New Roman"/>
              <w:caps/>
              <w:szCs w:val="32"/>
              <w:lang w:bidi="en-US"/>
            </w:rPr>
            <w:t>MOISTURE-INDUCED DAMAGE CHARACTERIZATION OF ASPHALT MIXES: A CHEMICAL, THERMODYNAMIC AND MECHANISTIC APPROACH</w:t>
          </w:r>
        </w:p>
      </w:sdtContent>
    </w:sdt>
    <w:p w14:paraId="0C078AE0" w14:textId="77777777" w:rsidR="00B555D8" w:rsidRPr="00B555D8" w:rsidRDefault="00B555D8" w:rsidP="00B555D8">
      <w:pPr>
        <w:spacing w:line="240" w:lineRule="auto"/>
        <w:jc w:val="center"/>
        <w:rPr>
          <w:rFonts w:eastAsia="Times New Roman" w:cs="Times New Roman"/>
          <w:caps/>
          <w:szCs w:val="32"/>
          <w:lang w:bidi="en-US"/>
        </w:rPr>
      </w:pPr>
    </w:p>
    <w:p w14:paraId="18675D1D" w14:textId="77777777" w:rsidR="00B555D8" w:rsidRPr="00B555D8" w:rsidRDefault="00B555D8" w:rsidP="00B555D8">
      <w:pPr>
        <w:spacing w:line="240" w:lineRule="auto"/>
        <w:jc w:val="center"/>
        <w:rPr>
          <w:rFonts w:eastAsia="Times New Roman" w:cs="Times New Roman"/>
          <w:caps/>
          <w:szCs w:val="32"/>
          <w:lang w:bidi="en-US"/>
        </w:rPr>
      </w:pPr>
    </w:p>
    <w:p w14:paraId="506BDBAE" w14:textId="77777777" w:rsidR="00B555D8" w:rsidRPr="00B555D8" w:rsidRDefault="00B555D8" w:rsidP="00B555D8">
      <w:pPr>
        <w:spacing w:line="240" w:lineRule="auto"/>
        <w:jc w:val="center"/>
        <w:rPr>
          <w:rFonts w:eastAsia="Times New Roman" w:cs="Times New Roman"/>
          <w:caps/>
          <w:szCs w:val="32"/>
          <w:lang w:bidi="en-US"/>
        </w:rPr>
      </w:pPr>
    </w:p>
    <w:p w14:paraId="54D77A40" w14:textId="77777777" w:rsidR="00B555D8" w:rsidRPr="00B555D8" w:rsidRDefault="00B555D8" w:rsidP="00B555D8">
      <w:pPr>
        <w:spacing w:line="240" w:lineRule="auto"/>
        <w:jc w:val="center"/>
        <w:rPr>
          <w:rFonts w:eastAsia="Times New Roman" w:cs="Times New Roman"/>
          <w:caps/>
          <w:szCs w:val="32"/>
          <w:lang w:bidi="en-US"/>
        </w:rPr>
      </w:pPr>
    </w:p>
    <w:p w14:paraId="6979D37F" w14:textId="77777777" w:rsidR="00B555D8" w:rsidRPr="00B555D8" w:rsidRDefault="00B555D8" w:rsidP="00B555D8">
      <w:pPr>
        <w:spacing w:line="240" w:lineRule="auto"/>
        <w:jc w:val="center"/>
        <w:rPr>
          <w:rFonts w:eastAsia="Times New Roman" w:cs="Times New Roman"/>
          <w:caps/>
          <w:szCs w:val="32"/>
          <w:lang w:bidi="en-US"/>
        </w:rPr>
      </w:pPr>
    </w:p>
    <w:p w14:paraId="01B39EB6" w14:textId="77777777" w:rsidR="00B555D8" w:rsidRPr="00B555D8" w:rsidRDefault="00B555D8" w:rsidP="00B555D8">
      <w:pPr>
        <w:spacing w:line="240" w:lineRule="auto"/>
        <w:jc w:val="center"/>
        <w:rPr>
          <w:rFonts w:eastAsia="Times New Roman" w:cs="Times New Roman"/>
          <w:caps/>
          <w:szCs w:val="32"/>
          <w:lang w:bidi="en-US"/>
        </w:rPr>
      </w:pPr>
    </w:p>
    <w:p w14:paraId="62DC4AFC" w14:textId="7270E06C" w:rsidR="00B555D8" w:rsidRPr="00B555D8" w:rsidRDefault="00B555D8" w:rsidP="00B555D8">
      <w:pPr>
        <w:spacing w:line="240" w:lineRule="auto"/>
        <w:jc w:val="center"/>
        <w:rPr>
          <w:rFonts w:eastAsia="Times New Roman" w:cs="Times New Roman"/>
          <w:caps/>
          <w:szCs w:val="32"/>
          <w:lang w:bidi="en-US"/>
        </w:rPr>
      </w:pPr>
      <w:r w:rsidRPr="00B555D8">
        <w:rPr>
          <w:rFonts w:eastAsia="Times New Roman" w:cs="Times New Roman"/>
          <w:caps/>
          <w:szCs w:val="32"/>
          <w:lang w:bidi="en-US"/>
        </w:rPr>
        <w:t xml:space="preserve">A </w:t>
      </w:r>
      <w:r w:rsidR="006F094D">
        <w:rPr>
          <w:rFonts w:eastAsia="Times New Roman" w:cs="Times New Roman"/>
          <w:caps/>
          <w:szCs w:val="32"/>
          <w:lang w:bidi="en-US"/>
        </w:rPr>
        <w:t>DiSSERTATION</w:t>
      </w:r>
    </w:p>
    <w:p w14:paraId="38359F75" w14:textId="77777777" w:rsidR="00B555D8" w:rsidRPr="00B555D8" w:rsidRDefault="00B555D8" w:rsidP="00B555D8">
      <w:pPr>
        <w:spacing w:line="240" w:lineRule="auto"/>
        <w:jc w:val="center"/>
        <w:rPr>
          <w:rFonts w:eastAsia="Times New Roman" w:cs="Times New Roman"/>
          <w:caps/>
          <w:szCs w:val="32"/>
          <w:lang w:bidi="en-US"/>
        </w:rPr>
      </w:pPr>
    </w:p>
    <w:p w14:paraId="7C332A49" w14:textId="77777777" w:rsidR="00B555D8" w:rsidRPr="00B555D8" w:rsidRDefault="00B555D8" w:rsidP="00B555D8">
      <w:pPr>
        <w:spacing w:line="240" w:lineRule="auto"/>
        <w:jc w:val="center"/>
        <w:rPr>
          <w:rFonts w:eastAsia="Times New Roman" w:cs="Times New Roman"/>
          <w:caps/>
          <w:szCs w:val="32"/>
          <w:lang w:bidi="en-US"/>
        </w:rPr>
      </w:pPr>
      <w:r w:rsidRPr="00B555D8">
        <w:rPr>
          <w:rFonts w:eastAsia="Times New Roman" w:cs="Times New Roman"/>
          <w:caps/>
          <w:szCs w:val="32"/>
          <w:lang w:bidi="en-US"/>
        </w:rPr>
        <w:t>submitted to the Graduate Faculty</w:t>
      </w:r>
    </w:p>
    <w:p w14:paraId="51EA2A1B" w14:textId="77777777" w:rsidR="00B555D8" w:rsidRPr="00B555D8" w:rsidRDefault="00B555D8" w:rsidP="00B555D8">
      <w:pPr>
        <w:spacing w:line="240" w:lineRule="auto"/>
        <w:jc w:val="center"/>
        <w:rPr>
          <w:rFonts w:eastAsia="Times New Roman" w:cs="Times New Roman"/>
          <w:szCs w:val="32"/>
          <w:lang w:bidi="en-US"/>
        </w:rPr>
      </w:pPr>
    </w:p>
    <w:p w14:paraId="1F5E23C1" w14:textId="77777777" w:rsidR="00B555D8" w:rsidRPr="00B555D8" w:rsidRDefault="00B555D8" w:rsidP="00B555D8">
      <w:pPr>
        <w:spacing w:line="240" w:lineRule="auto"/>
        <w:jc w:val="center"/>
        <w:rPr>
          <w:rFonts w:eastAsia="Times New Roman" w:cs="Times New Roman"/>
          <w:szCs w:val="32"/>
          <w:lang w:bidi="en-US"/>
        </w:rPr>
      </w:pPr>
      <w:r w:rsidRPr="00B555D8">
        <w:rPr>
          <w:rFonts w:eastAsia="Times New Roman" w:cs="Times New Roman"/>
          <w:szCs w:val="32"/>
          <w:lang w:bidi="en-US"/>
        </w:rPr>
        <w:t>in partial fulfillment of the requirements for the</w:t>
      </w:r>
    </w:p>
    <w:p w14:paraId="798E63B3" w14:textId="77777777" w:rsidR="00B555D8" w:rsidRPr="00B555D8" w:rsidRDefault="00B555D8" w:rsidP="00B555D8">
      <w:pPr>
        <w:spacing w:line="240" w:lineRule="auto"/>
        <w:jc w:val="center"/>
        <w:rPr>
          <w:rFonts w:eastAsia="Times New Roman" w:cs="Times New Roman"/>
          <w:szCs w:val="32"/>
          <w:lang w:bidi="en-US"/>
        </w:rPr>
      </w:pPr>
    </w:p>
    <w:p w14:paraId="6693B9E5" w14:textId="72927080" w:rsidR="00B555D8" w:rsidRPr="00B555D8" w:rsidRDefault="00B555D8" w:rsidP="00B555D8">
      <w:pPr>
        <w:spacing w:line="240" w:lineRule="auto"/>
        <w:jc w:val="center"/>
        <w:rPr>
          <w:rFonts w:eastAsia="Times New Roman" w:cs="Times New Roman"/>
          <w:szCs w:val="32"/>
          <w:lang w:bidi="en-US"/>
        </w:rPr>
      </w:pPr>
      <w:r w:rsidRPr="00B555D8">
        <w:rPr>
          <w:rFonts w:eastAsia="Times New Roman" w:cs="Times New Roman"/>
          <w:szCs w:val="32"/>
          <w:lang w:bidi="en-US"/>
        </w:rPr>
        <w:t>Degree of</w:t>
      </w:r>
    </w:p>
    <w:p w14:paraId="4C4F675F" w14:textId="77777777" w:rsidR="00B555D8" w:rsidRPr="00B555D8" w:rsidRDefault="00B555D8" w:rsidP="00B555D8">
      <w:pPr>
        <w:spacing w:line="240" w:lineRule="auto"/>
        <w:jc w:val="center"/>
        <w:rPr>
          <w:rFonts w:eastAsia="Times New Roman" w:cs="Times New Roman"/>
          <w:szCs w:val="32"/>
          <w:lang w:bidi="en-US"/>
        </w:rPr>
      </w:pPr>
    </w:p>
    <w:p w14:paraId="1D3D97E8" w14:textId="4D0670D5" w:rsidR="00B555D8" w:rsidRPr="00B555D8" w:rsidRDefault="006744D7" w:rsidP="00B555D8">
      <w:pPr>
        <w:jc w:val="center"/>
        <w:rPr>
          <w:rFonts w:eastAsia="Times New Roman" w:cs="Times New Roman"/>
          <w:caps/>
          <w:szCs w:val="32"/>
          <w:lang w:bidi="en-US"/>
        </w:rPr>
      </w:pPr>
      <w:r>
        <w:rPr>
          <w:rFonts w:eastAsia="Times New Roman" w:cs="Times New Roman"/>
          <w:caps/>
          <w:szCs w:val="32"/>
          <w:lang w:bidi="en-US"/>
        </w:rPr>
        <w:t>Doctor of philosophy</w:t>
      </w:r>
    </w:p>
    <w:p w14:paraId="5EF96470" w14:textId="77777777" w:rsidR="00B555D8" w:rsidRPr="00B555D8" w:rsidRDefault="00B555D8" w:rsidP="00B555D8">
      <w:pPr>
        <w:spacing w:line="240" w:lineRule="auto"/>
        <w:jc w:val="center"/>
        <w:rPr>
          <w:rFonts w:eastAsia="Times New Roman" w:cs="Times New Roman"/>
          <w:szCs w:val="32"/>
          <w:lang w:bidi="en-US"/>
        </w:rPr>
      </w:pPr>
    </w:p>
    <w:p w14:paraId="208F0FA1" w14:textId="77777777" w:rsidR="00B555D8" w:rsidRPr="00B555D8" w:rsidRDefault="00B555D8" w:rsidP="00B555D8">
      <w:pPr>
        <w:spacing w:line="240" w:lineRule="auto"/>
        <w:jc w:val="center"/>
        <w:rPr>
          <w:rFonts w:eastAsia="Times New Roman" w:cs="Times New Roman"/>
          <w:szCs w:val="32"/>
          <w:lang w:bidi="en-US"/>
        </w:rPr>
      </w:pPr>
    </w:p>
    <w:p w14:paraId="2B575F64" w14:textId="77777777" w:rsidR="00B555D8" w:rsidRPr="00B555D8" w:rsidRDefault="00B555D8" w:rsidP="00B555D8">
      <w:pPr>
        <w:spacing w:line="240" w:lineRule="auto"/>
        <w:jc w:val="center"/>
        <w:rPr>
          <w:rFonts w:eastAsia="Times New Roman" w:cs="Times New Roman"/>
          <w:szCs w:val="32"/>
          <w:lang w:bidi="en-US"/>
        </w:rPr>
      </w:pPr>
    </w:p>
    <w:p w14:paraId="51F3593E" w14:textId="77777777" w:rsidR="00B555D8" w:rsidRPr="00B555D8" w:rsidRDefault="00B555D8" w:rsidP="00B555D8">
      <w:pPr>
        <w:spacing w:line="240" w:lineRule="auto"/>
        <w:jc w:val="center"/>
        <w:rPr>
          <w:rFonts w:eastAsia="Times New Roman" w:cs="Times New Roman"/>
          <w:szCs w:val="32"/>
          <w:lang w:bidi="en-US"/>
        </w:rPr>
      </w:pPr>
    </w:p>
    <w:p w14:paraId="7FB37829" w14:textId="77777777" w:rsidR="00B555D8" w:rsidRPr="00B555D8" w:rsidRDefault="00B555D8" w:rsidP="00B555D8">
      <w:pPr>
        <w:spacing w:line="240" w:lineRule="auto"/>
        <w:jc w:val="center"/>
        <w:rPr>
          <w:rFonts w:eastAsia="Times New Roman" w:cs="Times New Roman"/>
          <w:szCs w:val="32"/>
          <w:lang w:bidi="en-US"/>
        </w:rPr>
      </w:pPr>
    </w:p>
    <w:p w14:paraId="2315B887" w14:textId="77777777" w:rsidR="00B555D8" w:rsidRPr="00B555D8" w:rsidRDefault="00B555D8" w:rsidP="00B555D8">
      <w:pPr>
        <w:spacing w:line="240" w:lineRule="auto"/>
        <w:jc w:val="center"/>
        <w:rPr>
          <w:rFonts w:eastAsia="Times New Roman" w:cs="Times New Roman"/>
          <w:szCs w:val="32"/>
          <w:lang w:bidi="en-US"/>
        </w:rPr>
      </w:pPr>
    </w:p>
    <w:p w14:paraId="1354E1CC" w14:textId="77777777" w:rsidR="00B555D8" w:rsidRPr="00B555D8" w:rsidRDefault="00B555D8" w:rsidP="00B555D8">
      <w:pPr>
        <w:spacing w:line="240" w:lineRule="auto"/>
        <w:jc w:val="center"/>
        <w:rPr>
          <w:rFonts w:eastAsia="Times New Roman" w:cs="Times New Roman"/>
          <w:szCs w:val="32"/>
          <w:lang w:bidi="en-US"/>
        </w:rPr>
      </w:pPr>
    </w:p>
    <w:p w14:paraId="3A66FEEA" w14:textId="77777777" w:rsidR="00B555D8" w:rsidRPr="00B555D8" w:rsidRDefault="00B555D8" w:rsidP="00B555D8">
      <w:pPr>
        <w:spacing w:line="240" w:lineRule="auto"/>
        <w:jc w:val="center"/>
        <w:rPr>
          <w:rFonts w:eastAsia="Times New Roman" w:cs="Times New Roman"/>
          <w:szCs w:val="32"/>
          <w:lang w:bidi="en-US"/>
        </w:rPr>
      </w:pPr>
    </w:p>
    <w:p w14:paraId="1C4E2C81" w14:textId="77777777" w:rsidR="00B555D8" w:rsidRPr="00B555D8" w:rsidRDefault="00B555D8" w:rsidP="00B555D8">
      <w:pPr>
        <w:spacing w:line="240" w:lineRule="auto"/>
        <w:jc w:val="center"/>
        <w:rPr>
          <w:rFonts w:eastAsia="Times New Roman" w:cs="Times New Roman"/>
          <w:szCs w:val="32"/>
          <w:lang w:bidi="en-US"/>
        </w:rPr>
      </w:pPr>
    </w:p>
    <w:p w14:paraId="7E0E0E00" w14:textId="77777777" w:rsidR="00B555D8" w:rsidRPr="00B555D8" w:rsidRDefault="00B555D8" w:rsidP="00B555D8">
      <w:pPr>
        <w:spacing w:line="240" w:lineRule="auto"/>
        <w:jc w:val="center"/>
        <w:rPr>
          <w:rFonts w:eastAsia="Times New Roman" w:cs="Times New Roman"/>
          <w:szCs w:val="32"/>
          <w:lang w:bidi="en-US"/>
        </w:rPr>
      </w:pPr>
      <w:r w:rsidRPr="00B555D8">
        <w:rPr>
          <w:rFonts w:eastAsia="Times New Roman" w:cs="Times New Roman"/>
          <w:szCs w:val="32"/>
          <w:lang w:bidi="en-US"/>
        </w:rPr>
        <w:t>By</w:t>
      </w:r>
    </w:p>
    <w:p w14:paraId="7C3C1E97" w14:textId="77777777" w:rsidR="00B555D8" w:rsidRPr="00B555D8" w:rsidRDefault="00B555D8" w:rsidP="00B555D8">
      <w:pPr>
        <w:spacing w:line="240" w:lineRule="auto"/>
        <w:jc w:val="center"/>
        <w:rPr>
          <w:rFonts w:eastAsia="Times New Roman" w:cs="Times New Roman"/>
          <w:szCs w:val="32"/>
          <w:lang w:bidi="en-US"/>
        </w:rPr>
      </w:pPr>
    </w:p>
    <w:sdt>
      <w:sdtPr>
        <w:rPr>
          <w:rFonts w:eastAsia="Times New Roman" w:cs="Times New Roman"/>
          <w:caps/>
          <w:szCs w:val="32"/>
          <w:lang w:bidi="en-US"/>
        </w:rPr>
        <w:alias w:val="Click to enter your name (must match University records)"/>
        <w:tag w:val="Click to enter your name (must match University records)"/>
        <w:id w:val="24310776"/>
        <w:placeholder>
          <w:docPart w:val="67C2CDA0F1F44005BF5D48950086E8B8"/>
        </w:placeholder>
      </w:sdtPr>
      <w:sdtEndPr/>
      <w:sdtContent>
        <w:p w14:paraId="296E8C28" w14:textId="77777777" w:rsidR="00B555D8" w:rsidRPr="00B555D8" w:rsidRDefault="00B555D8" w:rsidP="00B555D8">
          <w:pPr>
            <w:spacing w:line="240" w:lineRule="auto"/>
            <w:jc w:val="center"/>
            <w:rPr>
              <w:rFonts w:eastAsia="Times New Roman" w:cs="Times New Roman"/>
              <w:caps/>
              <w:szCs w:val="32"/>
              <w:lang w:bidi="en-US"/>
            </w:rPr>
          </w:pPr>
          <w:r w:rsidRPr="00B555D8">
            <w:rPr>
              <w:rFonts w:eastAsia="Times New Roman" w:cs="Times New Roman"/>
              <w:caps/>
              <w:szCs w:val="32"/>
              <w:lang w:bidi="en-US"/>
            </w:rPr>
            <w:t>Syed Ashik ali</w:t>
          </w:r>
        </w:p>
      </w:sdtContent>
    </w:sdt>
    <w:sdt>
      <w:sdtPr>
        <w:rPr>
          <w:rFonts w:eastAsia="Times New Roman" w:cs="Times New Roman"/>
          <w:szCs w:val="32"/>
          <w:lang w:bidi="en-US"/>
        </w:rPr>
        <w:id w:val="30091838"/>
        <w:lock w:val="contentLocked"/>
        <w:placeholder>
          <w:docPart w:val="06D062634E4B459E899F5F9D355A8535"/>
        </w:placeholder>
        <w:group/>
      </w:sdtPr>
      <w:sdtEndPr/>
      <w:sdtContent>
        <w:p w14:paraId="11039368" w14:textId="77777777" w:rsidR="00B555D8" w:rsidRPr="00B555D8" w:rsidRDefault="00B555D8" w:rsidP="00B555D8">
          <w:pPr>
            <w:spacing w:line="240" w:lineRule="auto"/>
            <w:jc w:val="center"/>
            <w:rPr>
              <w:rFonts w:eastAsia="Times New Roman" w:cs="Times New Roman"/>
              <w:szCs w:val="32"/>
              <w:lang w:bidi="en-US"/>
            </w:rPr>
          </w:pPr>
          <w:r w:rsidRPr="00B555D8">
            <w:rPr>
              <w:rFonts w:eastAsia="Times New Roman" w:cs="Times New Roman"/>
              <w:szCs w:val="32"/>
              <w:lang w:bidi="en-US"/>
            </w:rPr>
            <w:t xml:space="preserve"> Norman, Oklahoma</w:t>
          </w:r>
        </w:p>
      </w:sdtContent>
    </w:sdt>
    <w:sdt>
      <w:sdtPr>
        <w:rPr>
          <w:rFonts w:eastAsia="Times New Roman" w:cs="Times New Roman"/>
          <w:szCs w:val="32"/>
          <w:lang w:bidi="en-US"/>
        </w:rPr>
        <w:alias w:val="Click to enter the year you are depositing the thesis"/>
        <w:tag w:val="Click to enter the year you are depositing the thesis"/>
        <w:id w:val="30091842"/>
        <w:placeholder>
          <w:docPart w:val="06D062634E4B459E899F5F9D355A8535"/>
        </w:placeholder>
      </w:sdtPr>
      <w:sdtEndPr/>
      <w:sdtContent>
        <w:p w14:paraId="513AAB16" w14:textId="15982401" w:rsidR="00B555D8" w:rsidRPr="00B555D8" w:rsidRDefault="00B555D8" w:rsidP="00B555D8">
          <w:pPr>
            <w:spacing w:line="240" w:lineRule="auto"/>
            <w:jc w:val="center"/>
            <w:rPr>
              <w:rFonts w:eastAsia="Times New Roman" w:cs="Times New Roman"/>
              <w:szCs w:val="32"/>
              <w:lang w:bidi="en-US"/>
            </w:rPr>
          </w:pPr>
          <w:r w:rsidRPr="00B555D8">
            <w:rPr>
              <w:rFonts w:eastAsia="Times New Roman" w:cs="Times New Roman"/>
              <w:szCs w:val="32"/>
              <w:lang w:bidi="en-US"/>
            </w:rPr>
            <w:t>20</w:t>
          </w:r>
          <w:r w:rsidR="00FC52B3">
            <w:rPr>
              <w:rFonts w:eastAsia="Times New Roman" w:cs="Times New Roman"/>
              <w:szCs w:val="32"/>
              <w:lang w:bidi="en-US"/>
            </w:rPr>
            <w:t>21</w:t>
          </w:r>
        </w:p>
      </w:sdtContent>
    </w:sdt>
    <w:p w14:paraId="52C24E92" w14:textId="77777777" w:rsidR="00B555D8" w:rsidRPr="00B555D8" w:rsidRDefault="00B555D8" w:rsidP="00B555D8">
      <w:pPr>
        <w:spacing w:line="240" w:lineRule="auto"/>
        <w:jc w:val="center"/>
        <w:rPr>
          <w:rFonts w:eastAsia="Times New Roman" w:cs="Times New Roman"/>
          <w:szCs w:val="32"/>
          <w:lang w:bidi="en-US"/>
        </w:rPr>
      </w:pPr>
      <w:r w:rsidRPr="00B555D8">
        <w:rPr>
          <w:rFonts w:eastAsia="Times New Roman" w:cs="Times New Roman"/>
          <w:szCs w:val="32"/>
          <w:lang w:bidi="en-US"/>
        </w:rPr>
        <w:br w:type="page"/>
      </w:r>
    </w:p>
    <w:p w14:paraId="034D203E" w14:textId="77777777" w:rsidR="00B555D8" w:rsidRPr="00B555D8" w:rsidRDefault="00B555D8" w:rsidP="00B555D8">
      <w:pPr>
        <w:spacing w:line="240" w:lineRule="auto"/>
        <w:jc w:val="center"/>
        <w:rPr>
          <w:rFonts w:eastAsia="Times New Roman" w:cs="Times New Roman"/>
          <w:szCs w:val="32"/>
          <w:lang w:bidi="en-US"/>
        </w:rPr>
      </w:pPr>
    </w:p>
    <w:p w14:paraId="40DA9EE6" w14:textId="77777777" w:rsidR="00B555D8" w:rsidRPr="00B555D8" w:rsidRDefault="00B555D8" w:rsidP="00B555D8">
      <w:pPr>
        <w:spacing w:line="240" w:lineRule="auto"/>
        <w:jc w:val="center"/>
        <w:rPr>
          <w:rFonts w:eastAsia="Times New Roman" w:cs="Times New Roman"/>
          <w:szCs w:val="32"/>
          <w:lang w:bidi="en-US"/>
        </w:rPr>
      </w:pPr>
    </w:p>
    <w:p w14:paraId="1E0EB620" w14:textId="77777777" w:rsidR="00B555D8" w:rsidRPr="00B555D8" w:rsidRDefault="00B555D8" w:rsidP="00B555D8">
      <w:pPr>
        <w:spacing w:line="240" w:lineRule="auto"/>
        <w:jc w:val="center"/>
        <w:rPr>
          <w:rFonts w:eastAsia="Times New Roman" w:cs="Times New Roman"/>
          <w:szCs w:val="32"/>
          <w:lang w:bidi="en-US"/>
        </w:rPr>
      </w:pPr>
    </w:p>
    <w:p w14:paraId="356DA891" w14:textId="77777777" w:rsidR="00B555D8" w:rsidRPr="00B555D8" w:rsidRDefault="00B555D8" w:rsidP="00B555D8">
      <w:pPr>
        <w:spacing w:line="240" w:lineRule="auto"/>
        <w:jc w:val="center"/>
        <w:rPr>
          <w:rFonts w:eastAsia="Times New Roman" w:cs="Times New Roman"/>
          <w:szCs w:val="32"/>
          <w:lang w:bidi="en-US"/>
        </w:rPr>
      </w:pPr>
    </w:p>
    <w:p w14:paraId="4AE88C54" w14:textId="77777777" w:rsidR="00B555D8" w:rsidRPr="00B555D8" w:rsidRDefault="00B555D8" w:rsidP="00B555D8">
      <w:pPr>
        <w:spacing w:line="240" w:lineRule="auto"/>
        <w:jc w:val="center"/>
        <w:rPr>
          <w:rFonts w:eastAsia="Times New Roman" w:cs="Times New Roman"/>
          <w:szCs w:val="32"/>
          <w:lang w:bidi="en-US"/>
        </w:rPr>
      </w:pPr>
    </w:p>
    <w:sdt>
      <w:sdtPr>
        <w:rPr>
          <w:rFonts w:eastAsia="Times New Roman" w:cs="Times New Roman"/>
          <w:caps/>
          <w:szCs w:val="32"/>
          <w:lang w:bidi="en-US"/>
        </w:rPr>
        <w:alias w:val="Click to enter thesis title"/>
        <w:tag w:val="Click to enter thesis title"/>
        <w:id w:val="30091843"/>
        <w:placeholder>
          <w:docPart w:val="06D062634E4B459E899F5F9D355A8535"/>
        </w:placeholder>
      </w:sdtPr>
      <w:sdtEndPr/>
      <w:sdtContent>
        <w:sdt>
          <w:sdtPr>
            <w:rPr>
              <w:rFonts w:eastAsia="Times New Roman" w:cs="Times New Roman"/>
              <w:caps/>
              <w:szCs w:val="32"/>
              <w:lang w:bidi="en-US"/>
            </w:rPr>
            <w:alias w:val="Click to enter thesis title"/>
            <w:tag w:val="Click to enter thesis title"/>
            <w:id w:val="1446809477"/>
            <w:placeholder>
              <w:docPart w:val="F563C7CED1F0426D87BDE6F1DD9E0C72"/>
            </w:placeholder>
          </w:sdtPr>
          <w:sdtEndPr/>
          <w:sdtContent>
            <w:p w14:paraId="31178C22" w14:textId="407110BD" w:rsidR="00B555D8" w:rsidRPr="00B555D8" w:rsidRDefault="00FC52B3" w:rsidP="005B09F3">
              <w:pPr>
                <w:spacing w:line="240" w:lineRule="auto"/>
                <w:jc w:val="center"/>
                <w:rPr>
                  <w:rFonts w:eastAsia="Times New Roman" w:cs="Times New Roman"/>
                  <w:caps/>
                  <w:szCs w:val="32"/>
                  <w:lang w:bidi="en-US"/>
                </w:rPr>
              </w:pPr>
              <w:r w:rsidRPr="009D7562">
                <w:rPr>
                  <w:rFonts w:eastAsia="Times New Roman" w:cs="Times New Roman"/>
                  <w:caps/>
                  <w:szCs w:val="32"/>
                  <w:lang w:bidi="en-US"/>
                </w:rPr>
                <w:t>MOISTURE-INDUCED DAMAGE CHARACTERIZATION OF ASPHALT MIXES:</w:t>
              </w:r>
              <w:r>
                <w:rPr>
                  <w:rFonts w:eastAsia="Times New Roman" w:cs="Times New Roman"/>
                  <w:caps/>
                  <w:szCs w:val="32"/>
                  <w:lang w:bidi="en-US"/>
                </w:rPr>
                <w:t xml:space="preserve"> </w:t>
              </w:r>
              <w:r w:rsidRPr="009D7562">
                <w:rPr>
                  <w:rFonts w:eastAsia="Times New Roman" w:cs="Times New Roman"/>
                  <w:caps/>
                  <w:szCs w:val="32"/>
                  <w:lang w:bidi="en-US"/>
                </w:rPr>
                <w:t>A CHEMICAL, THERMODYNAMIC AND MECHANISTIC APPROACH</w:t>
              </w:r>
            </w:p>
          </w:sdtContent>
        </w:sdt>
      </w:sdtContent>
    </w:sdt>
    <w:p w14:paraId="6F67BE61" w14:textId="77777777" w:rsidR="00B555D8" w:rsidRPr="00B555D8" w:rsidRDefault="00B555D8" w:rsidP="00B555D8">
      <w:pPr>
        <w:spacing w:line="240" w:lineRule="auto"/>
        <w:jc w:val="center"/>
        <w:rPr>
          <w:rFonts w:eastAsia="Times New Roman" w:cs="Times New Roman"/>
          <w:caps/>
          <w:szCs w:val="32"/>
          <w:lang w:bidi="en-US"/>
        </w:rPr>
      </w:pPr>
    </w:p>
    <w:p w14:paraId="79FF7AC2" w14:textId="3421FF1F" w:rsidR="00B555D8" w:rsidRPr="00B555D8" w:rsidRDefault="00B555D8" w:rsidP="00B555D8">
      <w:pPr>
        <w:spacing w:line="240" w:lineRule="auto"/>
        <w:jc w:val="center"/>
        <w:rPr>
          <w:rFonts w:eastAsia="Times New Roman" w:cs="Times New Roman"/>
          <w:caps/>
          <w:szCs w:val="32"/>
          <w:lang w:bidi="en-US"/>
        </w:rPr>
      </w:pPr>
      <w:r w:rsidRPr="00B555D8">
        <w:rPr>
          <w:rFonts w:eastAsia="Times New Roman" w:cs="Times New Roman"/>
          <w:caps/>
          <w:szCs w:val="32"/>
          <w:lang w:bidi="en-US"/>
        </w:rPr>
        <w:t xml:space="preserve">A </w:t>
      </w:r>
      <w:r w:rsidR="00E754E3">
        <w:rPr>
          <w:rFonts w:eastAsia="Times New Roman" w:cs="Times New Roman"/>
          <w:caps/>
          <w:szCs w:val="32"/>
          <w:lang w:bidi="en-US"/>
        </w:rPr>
        <w:t>Dissertation</w:t>
      </w:r>
      <w:r w:rsidRPr="00B555D8">
        <w:rPr>
          <w:rFonts w:eastAsia="Times New Roman" w:cs="Times New Roman"/>
          <w:caps/>
          <w:szCs w:val="32"/>
          <w:lang w:bidi="en-US"/>
        </w:rPr>
        <w:t xml:space="preserve"> approved for the</w:t>
      </w:r>
    </w:p>
    <w:sdt>
      <w:sdtPr>
        <w:rPr>
          <w:rFonts w:eastAsia="Times New Roman" w:cs="Times New Roman"/>
          <w:caps/>
          <w:szCs w:val="32"/>
          <w:lang w:bidi="en-US"/>
        </w:rPr>
        <w:alias w:val="Select the exact name of your academic unit"/>
        <w:tag w:val="Exact name of your academic unit in ALL CAPS"/>
        <w:id w:val="8173889"/>
        <w:placeholder>
          <w:docPart w:val="C750CA38E21B4A9CB97126C95DF0DB18"/>
        </w:placeholder>
        <w:dropDownList>
          <w:listItem w:value="[EXACT NAME OF YOUR ACADEMIC UNIT IN ALL CAPS]"/>
          <w:listItem w:displayText="School of Aerospace and Mechanical Engineering" w:value="School of Aerospace and Mechanical Engineering"/>
          <w:listItem w:displayText="Department of Anthropology" w:value="Department of Anthropology"/>
          <w:listItem w:displayText="College of Architecture" w:value="College of Architecture"/>
          <w:listItem w:displayText="School of Art and Art History" w:value="School of Art and Art History"/>
          <w:listItem w:displayText="Stephenson School of Biomedical Engineering" w:value="Stephenson School of Biomedical Engineering"/>
          <w:listItem w:displayText="Department of Biology" w:value="Department of Biology"/>
          <w:listItem w:displayText="Department of Chemistry and Biochemistry" w:value="Department of Chemistry and Biochemistry"/>
          <w:listItem w:displayText="School of Chemical, Biological and Materials Engineering" w:value="School of Chemical, Biological and Materials Engineering"/>
          <w:listItem w:displayText="School of Civil Engineering and Environmental Science" w:value="School of Civil Engineering and Environmental Science"/>
          <w:listItem w:displayText="Department of Communication" w:value="Department of Communication"/>
          <w:listItem w:displayText="School of Computer Science" w:value="School of Computer Science"/>
          <w:listItem w:displayText="School of Dance" w:value="School of Dance"/>
          <w:listItem w:displayText="Peggy Dow Helmerich School of Drama" w:value="Peggy Dow Helmerich School of Drama"/>
          <w:listItem w:displayText="Department of Educational Leadership and Policy Studies" w:value="Department of Educational Leadership and Policy Studies"/>
          <w:listItem w:displayText="Department of Educational Psychology" w:value="Department of Educational Psychology"/>
          <w:listItem w:displayText="School of Electrical and Computer Engineering" w:value="School of Electrical and Computer Engineering"/>
          <w:listItem w:displayText="Gallogly College of Engineering" w:value="Gallogly College of Engineering"/>
          <w:listItem w:displayText="Department of Engineering Physics" w:value="Department of Engineering Physics"/>
          <w:listItem w:displayText="Department of English" w:value="Department of English"/>
          <w:listItem w:displayText="Department of Geography and Environmental Sustainability" w:value="Department of Geography and Environmental Sustainability"/>
          <w:listItem w:displayText="ConocoPhillips School of Geology and Geophysics" w:value="ConocoPhillips School of Geology and Geophysics"/>
          <w:listItem w:displayText="Graduate College" w:value="Graduate College"/>
          <w:listItem w:displayText="Department of Health and Exercise Science" w:value="Department of Health and Exercise Science"/>
          <w:listItem w:displayText="Department of History" w:value="Department of History"/>
          <w:listItem w:displayText="Department of History of Science" w:value="Department of History of Science"/>
          <w:listItem w:displayText="Department of Human Relations" w:value="Department of Human Relations"/>
          <w:listItem w:displayText="School of Industrial and Systems Engineering" w:value="School of Industrial and Systems Engineering"/>
          <w:listItem w:displayText="Department of Instructional Leadership and Academic Curriculum" w:value="Department of Instructional Leadership and Academic Curriculum"/>
          <w:listItem w:displayText="College of International Studies" w:value="College of International Studies"/>
          <w:listItem w:displayText="Gaylord College of Journalism and Mass Communication" w:value="Gaylord College of Journalism and Mass Communication"/>
          <w:listItem w:displayText="College of Liberal Studies" w:value="College of Liberal Studies"/>
          <w:listItem w:displayText="School of Library and Information Studies" w:value="School of Library and Information Studies"/>
          <w:listItem w:displayText="Department of Mathematics" w:value="Department of Mathematics"/>
          <w:listItem w:displayText="School of Meteorology" w:value="School of Meteorology"/>
          <w:listItem w:displayText="Department of Microbiology and Plant Biology" w:value="Department of Microbiology and Plant Biology"/>
          <w:listItem w:displayText="Department of Modern Languages, Literatures, and Linguistics" w:value="Department of Modern Languages, Literatures, and Linguistics"/>
          <w:listItem w:displayText="School of Music" w:value="School of Music"/>
          <w:listItem w:displayText="Mewbourne School of Petroleum and Geological Engineering" w:value="Mewbourne School of Petroleum and Geological Engineering"/>
          <w:listItem w:displayText="Department of Native American Studies" w:value="Department of Native American Studies"/>
          <w:listItem w:displayText="Department of Philosophy" w:value="Department of Philosophy"/>
          <w:listItem w:displayText="Homer L. Dodge Department of Physics and Astronomy" w:value="Homer L. Dodge Department of Physics and Astronomy"/>
          <w:listItem w:displayText="Department of Political Science" w:value="Department of Political Science"/>
          <w:listItem w:displayText="Department of Psychology" w:value="Department of Psychology"/>
          <w:listItem w:displayText="Anne and Henry Zarrow School of Social Work" w:value="Anne and Henry Zarrow School of Social Work"/>
          <w:listItem w:displayText="Department of Sociology" w:value="Department of Sociology"/>
        </w:dropDownList>
      </w:sdtPr>
      <w:sdtEndPr/>
      <w:sdtContent>
        <w:p w14:paraId="5915577E" w14:textId="77777777" w:rsidR="00B555D8" w:rsidRPr="00B555D8" w:rsidRDefault="00F43ABC" w:rsidP="00B555D8">
          <w:pPr>
            <w:spacing w:line="240" w:lineRule="auto"/>
            <w:jc w:val="center"/>
            <w:rPr>
              <w:rFonts w:eastAsia="Times New Roman" w:cs="Times New Roman"/>
              <w:caps/>
              <w:szCs w:val="32"/>
              <w:lang w:bidi="en-US"/>
            </w:rPr>
          </w:pPr>
          <w:r>
            <w:rPr>
              <w:rFonts w:eastAsia="Times New Roman" w:cs="Times New Roman"/>
              <w:caps/>
              <w:szCs w:val="32"/>
              <w:lang w:bidi="en-US"/>
            </w:rPr>
            <w:t>School of Civil Engineering and Environmental Science</w:t>
          </w:r>
        </w:p>
      </w:sdtContent>
    </w:sdt>
    <w:p w14:paraId="22CA4FB9" w14:textId="77777777" w:rsidR="00B555D8" w:rsidRPr="00B555D8" w:rsidRDefault="00B555D8" w:rsidP="00B555D8">
      <w:pPr>
        <w:spacing w:line="240" w:lineRule="auto"/>
        <w:jc w:val="center"/>
        <w:rPr>
          <w:rFonts w:eastAsia="Times New Roman" w:cs="Times New Roman"/>
          <w:caps/>
          <w:szCs w:val="32"/>
          <w:lang w:bidi="en-US"/>
        </w:rPr>
      </w:pPr>
    </w:p>
    <w:p w14:paraId="4661229B" w14:textId="77777777" w:rsidR="00B555D8" w:rsidRPr="00B555D8" w:rsidRDefault="00B555D8" w:rsidP="00B555D8">
      <w:pPr>
        <w:spacing w:line="240" w:lineRule="auto"/>
        <w:jc w:val="center"/>
        <w:rPr>
          <w:rFonts w:eastAsia="Times New Roman" w:cs="Times New Roman"/>
          <w:caps/>
          <w:szCs w:val="32"/>
          <w:lang w:bidi="en-US"/>
        </w:rPr>
      </w:pPr>
    </w:p>
    <w:p w14:paraId="17796935" w14:textId="77777777" w:rsidR="00B555D8" w:rsidRPr="00B555D8" w:rsidRDefault="00B555D8" w:rsidP="00B555D8">
      <w:pPr>
        <w:spacing w:line="240" w:lineRule="auto"/>
        <w:jc w:val="center"/>
        <w:rPr>
          <w:rFonts w:eastAsia="Times New Roman" w:cs="Times New Roman"/>
          <w:caps/>
          <w:szCs w:val="32"/>
          <w:lang w:bidi="en-US"/>
        </w:rPr>
      </w:pPr>
    </w:p>
    <w:p w14:paraId="27C5C204" w14:textId="77777777" w:rsidR="00B555D8" w:rsidRPr="00B555D8" w:rsidRDefault="00B555D8" w:rsidP="00B555D8">
      <w:pPr>
        <w:spacing w:line="240" w:lineRule="auto"/>
        <w:jc w:val="center"/>
        <w:rPr>
          <w:rFonts w:eastAsia="Times New Roman" w:cs="Times New Roman"/>
          <w:caps/>
          <w:szCs w:val="32"/>
          <w:lang w:bidi="en-US"/>
        </w:rPr>
      </w:pPr>
    </w:p>
    <w:p w14:paraId="68B0C9ED" w14:textId="77777777" w:rsidR="00B555D8" w:rsidRPr="00B555D8" w:rsidRDefault="00B555D8" w:rsidP="00B555D8">
      <w:pPr>
        <w:spacing w:line="240" w:lineRule="auto"/>
        <w:jc w:val="center"/>
        <w:rPr>
          <w:rFonts w:eastAsia="Times New Roman" w:cs="Times New Roman"/>
          <w:caps/>
          <w:szCs w:val="32"/>
          <w:lang w:bidi="en-US"/>
        </w:rPr>
      </w:pPr>
    </w:p>
    <w:p w14:paraId="613F64F5" w14:textId="77777777" w:rsidR="00B555D8" w:rsidRPr="00B555D8" w:rsidRDefault="00B555D8" w:rsidP="00B555D8">
      <w:pPr>
        <w:spacing w:line="240" w:lineRule="auto"/>
        <w:jc w:val="center"/>
        <w:rPr>
          <w:rFonts w:eastAsia="Times New Roman" w:cs="Times New Roman"/>
          <w:caps/>
          <w:szCs w:val="32"/>
          <w:lang w:bidi="en-US"/>
        </w:rPr>
      </w:pPr>
    </w:p>
    <w:p w14:paraId="5810FF5E" w14:textId="77777777" w:rsidR="00B555D8" w:rsidRPr="00B555D8" w:rsidRDefault="00B555D8" w:rsidP="00B555D8">
      <w:pPr>
        <w:spacing w:line="240" w:lineRule="auto"/>
        <w:jc w:val="center"/>
        <w:rPr>
          <w:rFonts w:eastAsia="Times New Roman" w:cs="Times New Roman"/>
          <w:caps/>
          <w:szCs w:val="32"/>
          <w:lang w:bidi="en-US"/>
        </w:rPr>
      </w:pPr>
    </w:p>
    <w:p w14:paraId="1F21965D" w14:textId="77777777" w:rsidR="00B555D8" w:rsidRPr="00B555D8" w:rsidRDefault="00B555D8" w:rsidP="00B555D8">
      <w:pPr>
        <w:spacing w:line="240" w:lineRule="auto"/>
        <w:jc w:val="center"/>
        <w:rPr>
          <w:rFonts w:eastAsia="Times New Roman" w:cs="Times New Roman"/>
          <w:caps/>
          <w:szCs w:val="32"/>
          <w:lang w:bidi="en-US"/>
        </w:rPr>
      </w:pPr>
    </w:p>
    <w:p w14:paraId="66921FC3" w14:textId="4B47E1DA" w:rsidR="00B555D8" w:rsidRPr="00B555D8" w:rsidRDefault="00B555D8" w:rsidP="00B555D8">
      <w:pPr>
        <w:spacing w:line="240" w:lineRule="auto"/>
        <w:jc w:val="center"/>
        <w:rPr>
          <w:rFonts w:eastAsia="Times New Roman" w:cs="Times New Roman"/>
          <w:caps/>
          <w:szCs w:val="32"/>
          <w:lang w:bidi="en-US"/>
        </w:rPr>
      </w:pPr>
      <w:r w:rsidRPr="00B555D8">
        <w:rPr>
          <w:rFonts w:eastAsia="Times New Roman" w:cs="Times New Roman"/>
          <w:caps/>
          <w:szCs w:val="32"/>
          <w:lang w:bidi="en-US"/>
        </w:rPr>
        <w:t>By</w:t>
      </w:r>
      <w:r w:rsidR="005B09F3">
        <w:rPr>
          <w:rFonts w:eastAsia="Times New Roman" w:cs="Times New Roman"/>
          <w:caps/>
          <w:szCs w:val="32"/>
          <w:lang w:bidi="en-US"/>
        </w:rPr>
        <w:t xml:space="preserve"> </w:t>
      </w:r>
      <w:r w:rsidR="005B09F3" w:rsidRPr="005B09F3">
        <w:rPr>
          <w:rFonts w:eastAsia="Times New Roman" w:cs="Times New Roman"/>
          <w:caps/>
          <w:szCs w:val="32"/>
          <w:lang w:bidi="en-US"/>
        </w:rPr>
        <w:t>THE COMMITTEE CONSISTING OF</w:t>
      </w:r>
    </w:p>
    <w:p w14:paraId="0ED95B9A" w14:textId="77777777" w:rsidR="00B555D8" w:rsidRPr="00B555D8" w:rsidRDefault="00B555D8" w:rsidP="00B555D8">
      <w:pPr>
        <w:spacing w:line="240" w:lineRule="auto"/>
        <w:jc w:val="center"/>
        <w:rPr>
          <w:rFonts w:eastAsia="Times New Roman" w:cs="Times New Roman"/>
          <w:szCs w:val="32"/>
          <w:lang w:bidi="en-US"/>
        </w:rPr>
      </w:pPr>
    </w:p>
    <w:p w14:paraId="439BDBAB" w14:textId="77777777" w:rsidR="00B555D8" w:rsidRPr="00B555D8" w:rsidRDefault="00B555D8" w:rsidP="00B555D8">
      <w:pPr>
        <w:spacing w:line="240" w:lineRule="auto"/>
        <w:jc w:val="center"/>
        <w:rPr>
          <w:rFonts w:eastAsia="Times New Roman" w:cs="Times New Roman"/>
          <w:szCs w:val="32"/>
          <w:lang w:bidi="en-US"/>
        </w:rPr>
      </w:pPr>
    </w:p>
    <w:p w14:paraId="4D46F5DA" w14:textId="77777777" w:rsidR="00B555D8" w:rsidRPr="00B555D8" w:rsidRDefault="00B555D8" w:rsidP="00B555D8">
      <w:pPr>
        <w:spacing w:line="240" w:lineRule="auto"/>
        <w:jc w:val="center"/>
        <w:rPr>
          <w:rFonts w:eastAsia="Times New Roman" w:cs="Times New Roman"/>
          <w:szCs w:val="32"/>
          <w:lang w:bidi="en-US"/>
        </w:rPr>
      </w:pPr>
    </w:p>
    <w:p w14:paraId="199EB9E8" w14:textId="77777777" w:rsidR="00B555D8" w:rsidRPr="00B555D8" w:rsidRDefault="007F7885" w:rsidP="00B555D8">
      <w:pPr>
        <w:spacing w:line="240" w:lineRule="auto"/>
        <w:jc w:val="right"/>
        <w:rPr>
          <w:rFonts w:eastAsia="Times New Roman" w:cs="Times New Roman"/>
          <w:szCs w:val="32"/>
          <w:lang w:bidi="en-US"/>
        </w:rPr>
      </w:pPr>
      <w:sdt>
        <w:sdtPr>
          <w:rPr>
            <w:rFonts w:eastAsia="Times New Roman" w:cs="Times New Roman"/>
            <w:szCs w:val="32"/>
            <w:lang w:bidi="en-US"/>
          </w:rPr>
          <w:alias w:val="Select the appropriate prefix"/>
          <w:tag w:val="Prefix"/>
          <w:id w:val="3768269"/>
          <w:placeholder>
            <w:docPart w:val="15641AF9238146DEA170A862163F2A3B"/>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F43ABC">
            <w:rPr>
              <w:rFonts w:eastAsia="Times New Roman" w:cs="Times New Roman"/>
              <w:szCs w:val="32"/>
              <w:lang w:bidi="en-US"/>
            </w:rPr>
            <w:t>Dr.</w:t>
          </w:r>
        </w:sdtContent>
      </w:sdt>
      <w:r w:rsidR="00B555D8" w:rsidRPr="00B555D8">
        <w:rPr>
          <w:rFonts w:eastAsia="Times New Roman" w:cs="Times New Roman"/>
          <w:szCs w:val="32"/>
          <w:lang w:bidi="en-US"/>
        </w:rPr>
        <w:t xml:space="preserve"> </w:t>
      </w:r>
      <w:sdt>
        <w:sdtPr>
          <w:rPr>
            <w:rFonts w:eastAsia="Times New Roman" w:cs="Times New Roman"/>
            <w:szCs w:val="32"/>
            <w:lang w:bidi="en-US"/>
          </w:rPr>
          <w:alias w:val="Click to enter committee chair name"/>
          <w:tag w:val="committee chair"/>
          <w:id w:val="30091849"/>
          <w:placeholder>
            <w:docPart w:val="06D062634E4B459E899F5F9D355A8535"/>
          </w:placeholder>
        </w:sdtPr>
        <w:sdtEndPr/>
        <w:sdtContent>
          <w:r w:rsidR="00B555D8" w:rsidRPr="00B555D8">
            <w:rPr>
              <w:rFonts w:eastAsia="Times New Roman" w:cs="Times New Roman"/>
              <w:szCs w:val="32"/>
              <w:lang w:bidi="en-US"/>
            </w:rPr>
            <w:t>Musharraf Zaman</w:t>
          </w:r>
        </w:sdtContent>
      </w:sdt>
      <w:r w:rsidR="00B555D8" w:rsidRPr="00B555D8">
        <w:rPr>
          <w:rFonts w:eastAsia="Times New Roman" w:cs="Times New Roman"/>
          <w:szCs w:val="32"/>
          <w:lang w:bidi="en-US"/>
        </w:rPr>
        <w:t>, Chair</w:t>
      </w:r>
    </w:p>
    <w:p w14:paraId="794EB4B2" w14:textId="77777777" w:rsidR="00B555D8" w:rsidRPr="00B555D8" w:rsidRDefault="00B555D8" w:rsidP="00B555D8">
      <w:pPr>
        <w:spacing w:line="240" w:lineRule="auto"/>
        <w:jc w:val="right"/>
        <w:rPr>
          <w:rFonts w:eastAsia="Times New Roman" w:cs="Times New Roman"/>
          <w:szCs w:val="32"/>
          <w:lang w:bidi="en-US"/>
        </w:rPr>
      </w:pPr>
    </w:p>
    <w:p w14:paraId="1744B9DF" w14:textId="77777777" w:rsidR="0057004B" w:rsidRDefault="0057004B" w:rsidP="00CD3539">
      <w:pPr>
        <w:spacing w:line="240" w:lineRule="auto"/>
        <w:jc w:val="right"/>
        <w:rPr>
          <w:rFonts w:eastAsia="Times New Roman" w:cs="Times New Roman"/>
          <w:szCs w:val="32"/>
          <w:lang w:bidi="en-US"/>
        </w:rPr>
      </w:pPr>
    </w:p>
    <w:p w14:paraId="6D69F0E1" w14:textId="53BFAF74" w:rsidR="00CD3539" w:rsidRPr="00B555D8" w:rsidRDefault="007F7885" w:rsidP="00CD3539">
      <w:pPr>
        <w:spacing w:line="240" w:lineRule="auto"/>
        <w:jc w:val="right"/>
        <w:rPr>
          <w:rFonts w:eastAsia="Times New Roman" w:cs="Times New Roman"/>
          <w:szCs w:val="32"/>
          <w:lang w:bidi="en-US"/>
        </w:rPr>
      </w:pPr>
      <w:sdt>
        <w:sdtPr>
          <w:rPr>
            <w:rFonts w:eastAsia="Times New Roman" w:cs="Times New Roman"/>
            <w:szCs w:val="32"/>
            <w:lang w:bidi="en-US"/>
          </w:rPr>
          <w:alias w:val="Select the appropriate prefix"/>
          <w:tag w:val="Prefix"/>
          <w:id w:val="666214524"/>
          <w:placeholder>
            <w:docPart w:val="DD0D9174B749463B82934E188C98A8BC"/>
          </w:placeholder>
          <w:dropDownList>
            <w:listItem w:displayText="[Prefix]" w:value="[Prefix]"/>
            <w:listItem w:displayText="Dr." w:value="Dr."/>
            <w:listItem w:displayText="Mr." w:value="Mr."/>
            <w:listItem w:displayText="Mrs." w:value="Mrs."/>
            <w:listItem w:displayText="Ms." w:value="Ms."/>
          </w:dropDownList>
        </w:sdtPr>
        <w:sdtEndPr/>
        <w:sdtContent>
          <w:r w:rsidR="00CD3539">
            <w:rPr>
              <w:rFonts w:eastAsia="Times New Roman" w:cs="Times New Roman"/>
              <w:szCs w:val="32"/>
              <w:lang w:bidi="en-US"/>
            </w:rPr>
            <w:t>Dr.</w:t>
          </w:r>
        </w:sdtContent>
      </w:sdt>
      <w:r w:rsidR="00CD3539" w:rsidRPr="00B555D8">
        <w:rPr>
          <w:rFonts w:eastAsia="Times New Roman" w:cs="Times New Roman"/>
          <w:szCs w:val="32"/>
          <w:lang w:bidi="en-US"/>
        </w:rPr>
        <w:t xml:space="preserve"> </w:t>
      </w:r>
      <w:sdt>
        <w:sdtPr>
          <w:rPr>
            <w:rFonts w:eastAsia="Times New Roman" w:cs="Times New Roman"/>
            <w:szCs w:val="32"/>
            <w:lang w:bidi="en-US"/>
          </w:rPr>
          <w:alias w:val="Click to enter 2nd member name"/>
          <w:tag w:val="2nd member"/>
          <w:id w:val="361175357"/>
          <w:placeholder>
            <w:docPart w:val="EA8BC1C71DD74AAA9502A0F67FF7CF74"/>
          </w:placeholder>
        </w:sdtPr>
        <w:sdtEndPr/>
        <w:sdtContent>
          <w:r w:rsidR="008F1FD0" w:rsidRPr="008F1FD0">
            <w:rPr>
              <w:rFonts w:eastAsia="Times New Roman" w:cs="Times New Roman"/>
              <w:szCs w:val="32"/>
              <w:lang w:bidi="en-US"/>
            </w:rPr>
            <w:t>Edgar A. O’Rear III</w:t>
          </w:r>
        </w:sdtContent>
      </w:sdt>
    </w:p>
    <w:p w14:paraId="279F8FB9" w14:textId="77777777" w:rsidR="0057004B" w:rsidRDefault="0057004B" w:rsidP="00CD3539">
      <w:pPr>
        <w:spacing w:line="240" w:lineRule="auto"/>
        <w:jc w:val="right"/>
        <w:rPr>
          <w:rFonts w:eastAsia="Times New Roman" w:cs="Times New Roman"/>
          <w:szCs w:val="32"/>
          <w:lang w:bidi="en-US"/>
        </w:rPr>
      </w:pPr>
    </w:p>
    <w:p w14:paraId="5EA4B423" w14:textId="77777777" w:rsidR="0057004B" w:rsidRDefault="0057004B" w:rsidP="00CD3539">
      <w:pPr>
        <w:spacing w:line="240" w:lineRule="auto"/>
        <w:jc w:val="right"/>
        <w:rPr>
          <w:rFonts w:eastAsia="Times New Roman" w:cs="Times New Roman"/>
          <w:szCs w:val="32"/>
          <w:lang w:bidi="en-US"/>
        </w:rPr>
      </w:pPr>
    </w:p>
    <w:p w14:paraId="038736B4" w14:textId="77777777" w:rsidR="00CD3539" w:rsidRPr="00B555D8" w:rsidRDefault="007F7885" w:rsidP="00CD3539">
      <w:pPr>
        <w:spacing w:line="240" w:lineRule="auto"/>
        <w:jc w:val="right"/>
        <w:rPr>
          <w:rFonts w:eastAsia="Times New Roman" w:cs="Times New Roman"/>
          <w:szCs w:val="32"/>
          <w:lang w:bidi="en-US"/>
        </w:rPr>
      </w:pPr>
      <w:sdt>
        <w:sdtPr>
          <w:rPr>
            <w:rFonts w:eastAsia="Times New Roman" w:cs="Times New Roman"/>
            <w:szCs w:val="32"/>
            <w:lang w:bidi="en-US"/>
          </w:rPr>
          <w:alias w:val="Select the appropriate prefix"/>
          <w:tag w:val="Prefix"/>
          <w:id w:val="1341501510"/>
          <w:placeholder>
            <w:docPart w:val="C6216786C34240D6AF4394DB88792AD6"/>
          </w:placeholder>
          <w:dropDownList>
            <w:listItem w:displayText="[Prefix]" w:value="[Prefix]"/>
            <w:listItem w:displayText="Dr." w:value="Dr."/>
            <w:listItem w:displayText="Mr." w:value="Mr."/>
            <w:listItem w:displayText="Mrs." w:value="Mrs."/>
            <w:listItem w:displayText="Ms." w:value="Ms."/>
          </w:dropDownList>
        </w:sdtPr>
        <w:sdtEndPr/>
        <w:sdtContent>
          <w:r w:rsidR="00CD3539">
            <w:rPr>
              <w:rFonts w:eastAsia="Times New Roman" w:cs="Times New Roman"/>
              <w:szCs w:val="32"/>
              <w:lang w:bidi="en-US"/>
            </w:rPr>
            <w:t>Dr.</w:t>
          </w:r>
        </w:sdtContent>
      </w:sdt>
      <w:r w:rsidR="00CD3539" w:rsidRPr="00B555D8">
        <w:rPr>
          <w:rFonts w:eastAsia="Times New Roman" w:cs="Times New Roman"/>
          <w:szCs w:val="32"/>
          <w:lang w:bidi="en-US"/>
        </w:rPr>
        <w:t xml:space="preserve"> </w:t>
      </w:r>
      <w:sdt>
        <w:sdtPr>
          <w:rPr>
            <w:rFonts w:eastAsia="Times New Roman" w:cs="Times New Roman"/>
            <w:szCs w:val="32"/>
            <w:lang w:bidi="en-US"/>
          </w:rPr>
          <w:alias w:val="Click to enter 2nd member name"/>
          <w:tag w:val="2nd member"/>
          <w:id w:val="-604118904"/>
          <w:placeholder>
            <w:docPart w:val="42538ABC50324DC2A04988EAEEBE651B"/>
          </w:placeholder>
        </w:sdtPr>
        <w:sdtEndPr/>
        <w:sdtContent>
          <w:r w:rsidR="00CD3539" w:rsidRPr="00B555D8">
            <w:rPr>
              <w:rFonts w:eastAsia="Times New Roman" w:cs="Times New Roman"/>
              <w:szCs w:val="32"/>
              <w:lang w:bidi="en-US"/>
            </w:rPr>
            <w:t>Gerald A. Miller</w:t>
          </w:r>
        </w:sdtContent>
      </w:sdt>
    </w:p>
    <w:p w14:paraId="5B771270" w14:textId="77777777" w:rsidR="00B555D8" w:rsidRPr="00B555D8" w:rsidRDefault="00B555D8" w:rsidP="00B555D8">
      <w:pPr>
        <w:spacing w:line="240" w:lineRule="auto"/>
        <w:jc w:val="right"/>
        <w:rPr>
          <w:rFonts w:eastAsia="Times New Roman" w:cs="Times New Roman"/>
          <w:szCs w:val="32"/>
          <w:lang w:bidi="en-US"/>
        </w:rPr>
      </w:pPr>
    </w:p>
    <w:p w14:paraId="5717E720" w14:textId="77777777" w:rsidR="0057004B" w:rsidRDefault="0057004B" w:rsidP="00B555D8">
      <w:pPr>
        <w:spacing w:line="240" w:lineRule="auto"/>
        <w:jc w:val="right"/>
        <w:rPr>
          <w:rFonts w:eastAsia="Times New Roman" w:cs="Times New Roman"/>
          <w:szCs w:val="32"/>
          <w:lang w:bidi="en-US"/>
        </w:rPr>
      </w:pPr>
    </w:p>
    <w:p w14:paraId="052D60E3" w14:textId="0BDCE30E" w:rsidR="00B555D8" w:rsidRPr="00B555D8" w:rsidRDefault="007F7885" w:rsidP="00B555D8">
      <w:pPr>
        <w:spacing w:line="240" w:lineRule="auto"/>
        <w:jc w:val="right"/>
        <w:rPr>
          <w:rFonts w:eastAsia="Times New Roman" w:cs="Times New Roman"/>
          <w:szCs w:val="32"/>
          <w:lang w:bidi="en-US"/>
        </w:rPr>
      </w:pPr>
      <w:sdt>
        <w:sdtPr>
          <w:rPr>
            <w:rFonts w:eastAsia="Times New Roman" w:cs="Times New Roman"/>
            <w:szCs w:val="32"/>
            <w:lang w:bidi="en-US"/>
          </w:rPr>
          <w:alias w:val="Select the appropriate prefix"/>
          <w:tag w:val="Prefix"/>
          <w:id w:val="8173872"/>
          <w:placeholder>
            <w:docPart w:val="D1F72921D4EC4CC9806C58A1CC2D1579"/>
          </w:placeholder>
          <w:dropDownList>
            <w:listItem w:displayText="[Prefix]" w:value="[Prefix]"/>
            <w:listItem w:displayText="Dr." w:value="Dr."/>
            <w:listItem w:displayText="Mr." w:value="Mr."/>
            <w:listItem w:displayText="Mrs." w:value="Mrs."/>
            <w:listItem w:displayText="Ms." w:value="Ms."/>
          </w:dropDownList>
        </w:sdtPr>
        <w:sdtEndPr/>
        <w:sdtContent>
          <w:r w:rsidR="00F43ABC">
            <w:rPr>
              <w:rFonts w:eastAsia="Times New Roman" w:cs="Times New Roman"/>
              <w:szCs w:val="32"/>
              <w:lang w:bidi="en-US"/>
            </w:rPr>
            <w:t>Dr.</w:t>
          </w:r>
        </w:sdtContent>
      </w:sdt>
      <w:r w:rsidR="00B555D8" w:rsidRPr="00B555D8">
        <w:rPr>
          <w:rFonts w:eastAsia="Times New Roman" w:cs="Times New Roman"/>
          <w:szCs w:val="32"/>
          <w:lang w:bidi="en-US"/>
        </w:rPr>
        <w:t xml:space="preserve"> </w:t>
      </w:r>
      <w:sdt>
        <w:sdtPr>
          <w:rPr>
            <w:rFonts w:eastAsia="Times New Roman" w:cs="Times New Roman"/>
            <w:szCs w:val="32"/>
            <w:lang w:bidi="en-US"/>
          </w:rPr>
          <w:alias w:val="Click to enter 2nd member name"/>
          <w:tag w:val="2nd member"/>
          <w:id w:val="30091850"/>
          <w:placeholder>
            <w:docPart w:val="D59F0D597BC54D09ABBBA8125D7FEB6B"/>
          </w:placeholder>
        </w:sdtPr>
        <w:sdtEndPr/>
        <w:sdtContent>
          <w:r w:rsidR="001B5401" w:rsidRPr="001B5401">
            <w:rPr>
              <w:rFonts w:eastAsia="Times New Roman" w:cs="Times New Roman"/>
              <w:szCs w:val="32"/>
              <w:lang w:bidi="en-US"/>
            </w:rPr>
            <w:t>Kianoosh Hatami</w:t>
          </w:r>
        </w:sdtContent>
      </w:sdt>
    </w:p>
    <w:p w14:paraId="38EA9433" w14:textId="77777777" w:rsidR="00B555D8" w:rsidRPr="00B555D8" w:rsidRDefault="00B555D8" w:rsidP="00B555D8">
      <w:pPr>
        <w:spacing w:line="240" w:lineRule="auto"/>
        <w:jc w:val="right"/>
        <w:rPr>
          <w:rFonts w:eastAsia="Times New Roman" w:cs="Times New Roman"/>
          <w:szCs w:val="32"/>
          <w:lang w:bidi="en-US"/>
        </w:rPr>
      </w:pPr>
    </w:p>
    <w:p w14:paraId="1A4427AF" w14:textId="77777777" w:rsidR="00B555D8" w:rsidRPr="00B555D8" w:rsidRDefault="00B555D8" w:rsidP="00B555D8">
      <w:pPr>
        <w:spacing w:line="240" w:lineRule="auto"/>
        <w:jc w:val="right"/>
        <w:rPr>
          <w:rFonts w:eastAsia="Times New Roman" w:cs="Times New Roman"/>
          <w:szCs w:val="32"/>
          <w:lang w:bidi="en-US"/>
        </w:rPr>
      </w:pPr>
    </w:p>
    <w:p w14:paraId="4CD8EC6A" w14:textId="77777777" w:rsidR="00B555D8" w:rsidRPr="00B555D8" w:rsidRDefault="007F7885" w:rsidP="00B555D8">
      <w:pPr>
        <w:spacing w:line="240" w:lineRule="auto"/>
        <w:jc w:val="right"/>
        <w:rPr>
          <w:rFonts w:eastAsia="Times New Roman" w:cs="Times New Roman"/>
          <w:szCs w:val="32"/>
          <w:lang w:bidi="en-US"/>
        </w:rPr>
      </w:pPr>
      <w:sdt>
        <w:sdtPr>
          <w:rPr>
            <w:rFonts w:eastAsia="Times New Roman" w:cs="Times New Roman"/>
            <w:szCs w:val="32"/>
            <w:lang w:bidi="en-US"/>
          </w:rPr>
          <w:alias w:val="Select the appropriate prefix"/>
          <w:tag w:val="Prefix"/>
          <w:id w:val="30091851"/>
          <w:placeholder>
            <w:docPart w:val="DDDEE10FA8AB412A983C72DBEE9372C7"/>
          </w:placeholder>
          <w:dropDownList>
            <w:listItem w:displayText="[Prefix]" w:value="[Prefix]"/>
            <w:listItem w:displayText="Dr." w:value="Dr."/>
            <w:listItem w:displayText="Mr." w:value="Mr."/>
            <w:listItem w:displayText="Mrs." w:value="Mrs."/>
            <w:listItem w:displayText="Ms." w:value="Ms."/>
          </w:dropDownList>
        </w:sdtPr>
        <w:sdtEndPr/>
        <w:sdtContent>
          <w:r w:rsidR="00F43ABC">
            <w:rPr>
              <w:rFonts w:eastAsia="Times New Roman" w:cs="Times New Roman"/>
              <w:szCs w:val="32"/>
              <w:lang w:bidi="en-US"/>
            </w:rPr>
            <w:t>Dr.</w:t>
          </w:r>
        </w:sdtContent>
      </w:sdt>
      <w:r w:rsidR="00B555D8" w:rsidRPr="00B555D8">
        <w:rPr>
          <w:rFonts w:eastAsia="Times New Roman" w:cs="Times New Roman"/>
          <w:szCs w:val="32"/>
          <w:lang w:bidi="en-US"/>
        </w:rPr>
        <w:t xml:space="preserve"> </w:t>
      </w:r>
      <w:sdt>
        <w:sdtPr>
          <w:rPr>
            <w:rFonts w:eastAsia="Times New Roman" w:cs="Times New Roman"/>
            <w:szCs w:val="32"/>
            <w:lang w:bidi="en-US"/>
          </w:rPr>
          <w:alias w:val="Click to enter 3rd member name"/>
          <w:tag w:val="3rd member"/>
          <w:id w:val="30091852"/>
          <w:placeholder>
            <w:docPart w:val="8C6F187047C247E59B5D3EDDEE5E81E1"/>
          </w:placeholder>
        </w:sdtPr>
        <w:sdtEndPr/>
        <w:sdtContent>
          <w:r w:rsidR="00B555D8" w:rsidRPr="00B555D8">
            <w:rPr>
              <w:rFonts w:eastAsia="Times New Roman" w:cs="Times New Roman"/>
              <w:szCs w:val="32"/>
              <w:lang w:bidi="en-US"/>
            </w:rPr>
            <w:t>Rouzbeh Ghabchi</w:t>
          </w:r>
        </w:sdtContent>
      </w:sdt>
    </w:p>
    <w:p w14:paraId="38F27D85" w14:textId="77777777" w:rsidR="00B555D8" w:rsidRPr="00B555D8" w:rsidRDefault="00B555D8" w:rsidP="00B555D8">
      <w:pPr>
        <w:spacing w:line="240" w:lineRule="auto"/>
        <w:jc w:val="right"/>
        <w:rPr>
          <w:rFonts w:eastAsia="Times New Roman" w:cs="Times New Roman"/>
          <w:szCs w:val="32"/>
          <w:lang w:bidi="en-US"/>
        </w:rPr>
      </w:pPr>
    </w:p>
    <w:p w14:paraId="49C61715" w14:textId="77777777" w:rsidR="00B555D8" w:rsidRPr="00B555D8" w:rsidRDefault="00B555D8" w:rsidP="00B555D8">
      <w:pPr>
        <w:spacing w:line="240" w:lineRule="auto"/>
        <w:jc w:val="center"/>
        <w:rPr>
          <w:rFonts w:eastAsia="Times New Roman" w:cs="Times New Roman"/>
          <w:szCs w:val="32"/>
          <w:lang w:bidi="en-US"/>
        </w:rPr>
      </w:pPr>
      <w:r w:rsidRPr="00B555D8">
        <w:rPr>
          <w:rFonts w:eastAsia="Times New Roman" w:cs="Times New Roman"/>
          <w:szCs w:val="32"/>
          <w:lang w:bidi="en-US"/>
        </w:rPr>
        <w:br w:type="page"/>
      </w:r>
    </w:p>
    <w:p w14:paraId="4F704A35" w14:textId="77777777" w:rsidR="00B555D8" w:rsidRPr="00B555D8" w:rsidRDefault="00B555D8" w:rsidP="00B555D8">
      <w:pPr>
        <w:spacing w:line="240" w:lineRule="auto"/>
        <w:jc w:val="center"/>
        <w:rPr>
          <w:rFonts w:eastAsia="Times New Roman" w:cs="Times New Roman"/>
          <w:szCs w:val="32"/>
          <w:lang w:bidi="en-US"/>
        </w:rPr>
      </w:pPr>
    </w:p>
    <w:p w14:paraId="21DBBB55" w14:textId="77777777" w:rsidR="00B555D8" w:rsidRPr="00B555D8" w:rsidRDefault="00B555D8" w:rsidP="00B555D8">
      <w:pPr>
        <w:spacing w:line="240" w:lineRule="auto"/>
        <w:jc w:val="center"/>
        <w:rPr>
          <w:rFonts w:eastAsia="Times New Roman" w:cs="Times New Roman"/>
          <w:szCs w:val="32"/>
          <w:lang w:bidi="en-US"/>
        </w:rPr>
      </w:pPr>
    </w:p>
    <w:p w14:paraId="05AE6AD3" w14:textId="77777777" w:rsidR="00B555D8" w:rsidRPr="00B555D8" w:rsidRDefault="00B555D8" w:rsidP="00B555D8">
      <w:pPr>
        <w:spacing w:line="240" w:lineRule="auto"/>
        <w:jc w:val="center"/>
        <w:rPr>
          <w:rFonts w:eastAsia="Times New Roman" w:cs="Times New Roman"/>
          <w:szCs w:val="32"/>
          <w:lang w:bidi="en-US"/>
        </w:rPr>
      </w:pPr>
    </w:p>
    <w:p w14:paraId="0F44C3F2" w14:textId="77777777" w:rsidR="00B555D8" w:rsidRPr="00B555D8" w:rsidRDefault="00B555D8" w:rsidP="00B555D8">
      <w:pPr>
        <w:spacing w:line="240" w:lineRule="auto"/>
        <w:jc w:val="center"/>
        <w:rPr>
          <w:rFonts w:eastAsia="Times New Roman" w:cs="Times New Roman"/>
          <w:szCs w:val="32"/>
          <w:lang w:bidi="en-US"/>
        </w:rPr>
      </w:pPr>
    </w:p>
    <w:p w14:paraId="5C1DE398" w14:textId="77777777" w:rsidR="00B555D8" w:rsidRPr="00B555D8" w:rsidRDefault="00B555D8" w:rsidP="00B555D8">
      <w:pPr>
        <w:spacing w:line="240" w:lineRule="auto"/>
        <w:jc w:val="center"/>
        <w:rPr>
          <w:rFonts w:eastAsia="Times New Roman" w:cs="Times New Roman"/>
          <w:szCs w:val="32"/>
          <w:lang w:bidi="en-US"/>
        </w:rPr>
      </w:pPr>
    </w:p>
    <w:p w14:paraId="01B11F68" w14:textId="77777777" w:rsidR="00B555D8" w:rsidRPr="00B555D8" w:rsidRDefault="00B555D8" w:rsidP="00B555D8">
      <w:pPr>
        <w:spacing w:line="240" w:lineRule="auto"/>
        <w:jc w:val="center"/>
        <w:rPr>
          <w:rFonts w:eastAsia="Times New Roman" w:cs="Times New Roman"/>
          <w:szCs w:val="32"/>
          <w:lang w:bidi="en-US"/>
        </w:rPr>
      </w:pPr>
    </w:p>
    <w:p w14:paraId="030E7C73" w14:textId="77777777" w:rsidR="00B555D8" w:rsidRPr="00B555D8" w:rsidRDefault="00B555D8" w:rsidP="00B555D8">
      <w:pPr>
        <w:spacing w:line="240" w:lineRule="auto"/>
        <w:jc w:val="center"/>
        <w:rPr>
          <w:rFonts w:eastAsia="Times New Roman" w:cs="Times New Roman"/>
          <w:szCs w:val="32"/>
          <w:lang w:bidi="en-US"/>
        </w:rPr>
      </w:pPr>
    </w:p>
    <w:p w14:paraId="5DC90CF0" w14:textId="77777777" w:rsidR="00B555D8" w:rsidRPr="00B555D8" w:rsidRDefault="00B555D8" w:rsidP="00B555D8">
      <w:pPr>
        <w:spacing w:line="240" w:lineRule="auto"/>
        <w:jc w:val="center"/>
        <w:rPr>
          <w:rFonts w:eastAsia="Times New Roman" w:cs="Times New Roman"/>
          <w:szCs w:val="32"/>
          <w:lang w:bidi="en-US"/>
        </w:rPr>
      </w:pPr>
    </w:p>
    <w:p w14:paraId="050236C4" w14:textId="77777777" w:rsidR="00B555D8" w:rsidRPr="00B555D8" w:rsidRDefault="00B555D8" w:rsidP="00B555D8">
      <w:pPr>
        <w:spacing w:line="240" w:lineRule="auto"/>
        <w:jc w:val="center"/>
        <w:rPr>
          <w:rFonts w:eastAsia="Times New Roman" w:cs="Times New Roman"/>
          <w:szCs w:val="32"/>
          <w:lang w:bidi="en-US"/>
        </w:rPr>
      </w:pPr>
    </w:p>
    <w:p w14:paraId="40FBB866" w14:textId="77777777" w:rsidR="00B555D8" w:rsidRPr="00B555D8" w:rsidRDefault="00B555D8" w:rsidP="00B555D8">
      <w:pPr>
        <w:spacing w:line="240" w:lineRule="auto"/>
        <w:jc w:val="center"/>
        <w:rPr>
          <w:rFonts w:eastAsia="Times New Roman" w:cs="Times New Roman"/>
          <w:szCs w:val="32"/>
          <w:lang w:bidi="en-US"/>
        </w:rPr>
      </w:pPr>
    </w:p>
    <w:p w14:paraId="13DDE791" w14:textId="77777777" w:rsidR="00B555D8" w:rsidRPr="00B555D8" w:rsidRDefault="00B555D8" w:rsidP="00B555D8">
      <w:pPr>
        <w:spacing w:line="240" w:lineRule="auto"/>
        <w:jc w:val="center"/>
        <w:rPr>
          <w:rFonts w:eastAsia="Times New Roman" w:cs="Times New Roman"/>
          <w:szCs w:val="32"/>
          <w:lang w:bidi="en-US"/>
        </w:rPr>
      </w:pPr>
    </w:p>
    <w:p w14:paraId="4309563B" w14:textId="77777777" w:rsidR="00B555D8" w:rsidRPr="00B555D8" w:rsidRDefault="00B555D8" w:rsidP="00B555D8">
      <w:pPr>
        <w:spacing w:line="240" w:lineRule="auto"/>
        <w:jc w:val="center"/>
        <w:rPr>
          <w:rFonts w:eastAsia="Times New Roman" w:cs="Times New Roman"/>
          <w:szCs w:val="32"/>
          <w:lang w:bidi="en-US"/>
        </w:rPr>
      </w:pPr>
    </w:p>
    <w:p w14:paraId="583DE3E2" w14:textId="77777777" w:rsidR="00B555D8" w:rsidRPr="00B555D8" w:rsidRDefault="00B555D8" w:rsidP="00B555D8">
      <w:pPr>
        <w:spacing w:line="240" w:lineRule="auto"/>
        <w:jc w:val="center"/>
        <w:rPr>
          <w:rFonts w:eastAsia="Times New Roman" w:cs="Times New Roman"/>
          <w:szCs w:val="32"/>
          <w:lang w:bidi="en-US"/>
        </w:rPr>
      </w:pPr>
    </w:p>
    <w:p w14:paraId="595C35C2" w14:textId="77777777" w:rsidR="00B555D8" w:rsidRPr="00B555D8" w:rsidRDefault="00B555D8" w:rsidP="00B555D8">
      <w:pPr>
        <w:spacing w:line="240" w:lineRule="auto"/>
        <w:jc w:val="center"/>
        <w:rPr>
          <w:rFonts w:eastAsia="Times New Roman" w:cs="Times New Roman"/>
          <w:szCs w:val="32"/>
          <w:lang w:bidi="en-US"/>
        </w:rPr>
      </w:pPr>
    </w:p>
    <w:p w14:paraId="41873974" w14:textId="77777777" w:rsidR="00B555D8" w:rsidRPr="00B555D8" w:rsidRDefault="00B555D8" w:rsidP="00B555D8">
      <w:pPr>
        <w:spacing w:line="240" w:lineRule="auto"/>
        <w:jc w:val="center"/>
        <w:rPr>
          <w:rFonts w:eastAsia="Times New Roman" w:cs="Times New Roman"/>
          <w:szCs w:val="32"/>
          <w:lang w:bidi="en-US"/>
        </w:rPr>
      </w:pPr>
    </w:p>
    <w:p w14:paraId="7BB3F925" w14:textId="77777777" w:rsidR="00B555D8" w:rsidRPr="00B555D8" w:rsidRDefault="00B555D8" w:rsidP="00B555D8">
      <w:pPr>
        <w:spacing w:line="240" w:lineRule="auto"/>
        <w:jc w:val="center"/>
        <w:rPr>
          <w:rFonts w:eastAsia="Times New Roman" w:cs="Times New Roman"/>
          <w:szCs w:val="32"/>
          <w:lang w:bidi="en-US"/>
        </w:rPr>
      </w:pPr>
    </w:p>
    <w:p w14:paraId="4269F0C2" w14:textId="77777777" w:rsidR="00B555D8" w:rsidRPr="00B555D8" w:rsidRDefault="00B555D8" w:rsidP="00B555D8">
      <w:pPr>
        <w:spacing w:line="240" w:lineRule="auto"/>
        <w:jc w:val="center"/>
        <w:rPr>
          <w:rFonts w:eastAsia="Times New Roman" w:cs="Times New Roman"/>
          <w:szCs w:val="32"/>
          <w:lang w:bidi="en-US"/>
        </w:rPr>
      </w:pPr>
    </w:p>
    <w:p w14:paraId="7546271A" w14:textId="77777777" w:rsidR="00B555D8" w:rsidRPr="00B555D8" w:rsidRDefault="00B555D8" w:rsidP="00B555D8">
      <w:pPr>
        <w:spacing w:line="240" w:lineRule="auto"/>
        <w:jc w:val="center"/>
        <w:rPr>
          <w:rFonts w:eastAsia="Times New Roman" w:cs="Times New Roman"/>
          <w:szCs w:val="32"/>
          <w:lang w:bidi="en-US"/>
        </w:rPr>
      </w:pPr>
    </w:p>
    <w:p w14:paraId="1F570E7A" w14:textId="77777777" w:rsidR="00B555D8" w:rsidRPr="00B555D8" w:rsidRDefault="00B555D8" w:rsidP="00B555D8">
      <w:pPr>
        <w:spacing w:line="240" w:lineRule="auto"/>
        <w:jc w:val="center"/>
        <w:rPr>
          <w:rFonts w:eastAsia="Times New Roman" w:cs="Times New Roman"/>
          <w:szCs w:val="32"/>
          <w:lang w:bidi="en-US"/>
        </w:rPr>
      </w:pPr>
    </w:p>
    <w:p w14:paraId="69D325E0" w14:textId="77777777" w:rsidR="00B555D8" w:rsidRPr="00B555D8" w:rsidRDefault="00B555D8" w:rsidP="00B555D8">
      <w:pPr>
        <w:spacing w:line="240" w:lineRule="auto"/>
        <w:jc w:val="center"/>
        <w:rPr>
          <w:rFonts w:eastAsia="Times New Roman" w:cs="Times New Roman"/>
          <w:szCs w:val="32"/>
          <w:lang w:bidi="en-US"/>
        </w:rPr>
      </w:pPr>
    </w:p>
    <w:p w14:paraId="6460EE1F" w14:textId="77777777" w:rsidR="00B555D8" w:rsidRPr="00B555D8" w:rsidRDefault="00B555D8" w:rsidP="00B555D8">
      <w:pPr>
        <w:spacing w:line="240" w:lineRule="auto"/>
        <w:jc w:val="center"/>
        <w:rPr>
          <w:rFonts w:eastAsia="Times New Roman" w:cs="Times New Roman"/>
          <w:szCs w:val="32"/>
          <w:lang w:bidi="en-US"/>
        </w:rPr>
      </w:pPr>
    </w:p>
    <w:p w14:paraId="759BFCBE" w14:textId="77777777" w:rsidR="00B555D8" w:rsidRPr="00B555D8" w:rsidRDefault="00B555D8" w:rsidP="00B555D8">
      <w:pPr>
        <w:spacing w:line="240" w:lineRule="auto"/>
        <w:jc w:val="center"/>
        <w:rPr>
          <w:rFonts w:eastAsia="Times New Roman" w:cs="Times New Roman"/>
          <w:szCs w:val="32"/>
          <w:lang w:bidi="en-US"/>
        </w:rPr>
      </w:pPr>
    </w:p>
    <w:p w14:paraId="7C3BEAEC" w14:textId="77777777" w:rsidR="00B555D8" w:rsidRPr="00B555D8" w:rsidRDefault="00B555D8" w:rsidP="00B555D8">
      <w:pPr>
        <w:spacing w:line="240" w:lineRule="auto"/>
        <w:jc w:val="center"/>
        <w:rPr>
          <w:rFonts w:eastAsia="Times New Roman" w:cs="Times New Roman"/>
          <w:szCs w:val="32"/>
          <w:lang w:bidi="en-US"/>
        </w:rPr>
      </w:pPr>
    </w:p>
    <w:p w14:paraId="21B06123" w14:textId="77777777" w:rsidR="00B555D8" w:rsidRPr="00B555D8" w:rsidRDefault="00B555D8" w:rsidP="00B555D8">
      <w:pPr>
        <w:spacing w:line="240" w:lineRule="auto"/>
        <w:jc w:val="center"/>
        <w:rPr>
          <w:rFonts w:eastAsia="Times New Roman" w:cs="Times New Roman"/>
          <w:szCs w:val="32"/>
          <w:lang w:bidi="en-US"/>
        </w:rPr>
      </w:pPr>
    </w:p>
    <w:p w14:paraId="068B49DE" w14:textId="77777777" w:rsidR="00B555D8" w:rsidRPr="00B555D8" w:rsidRDefault="00B555D8" w:rsidP="00B555D8">
      <w:pPr>
        <w:spacing w:line="240" w:lineRule="auto"/>
        <w:jc w:val="center"/>
        <w:rPr>
          <w:rFonts w:eastAsia="Times New Roman" w:cs="Times New Roman"/>
          <w:szCs w:val="32"/>
          <w:lang w:bidi="en-US"/>
        </w:rPr>
      </w:pPr>
    </w:p>
    <w:p w14:paraId="289D8E6F" w14:textId="77777777" w:rsidR="00B555D8" w:rsidRPr="00B555D8" w:rsidRDefault="00B555D8" w:rsidP="00B555D8">
      <w:pPr>
        <w:spacing w:line="240" w:lineRule="auto"/>
        <w:jc w:val="center"/>
        <w:rPr>
          <w:rFonts w:eastAsia="Times New Roman" w:cs="Times New Roman"/>
          <w:szCs w:val="32"/>
          <w:lang w:bidi="en-US"/>
        </w:rPr>
      </w:pPr>
    </w:p>
    <w:p w14:paraId="3F6E086C" w14:textId="77777777" w:rsidR="00B555D8" w:rsidRPr="00B555D8" w:rsidRDefault="00B555D8" w:rsidP="00B555D8">
      <w:pPr>
        <w:spacing w:line="240" w:lineRule="auto"/>
        <w:jc w:val="center"/>
        <w:rPr>
          <w:rFonts w:eastAsia="Times New Roman" w:cs="Times New Roman"/>
          <w:szCs w:val="32"/>
          <w:lang w:bidi="en-US"/>
        </w:rPr>
      </w:pPr>
    </w:p>
    <w:p w14:paraId="7B45F7BD" w14:textId="77777777" w:rsidR="00B555D8" w:rsidRPr="00B555D8" w:rsidRDefault="00B555D8" w:rsidP="00B555D8">
      <w:pPr>
        <w:spacing w:line="240" w:lineRule="auto"/>
        <w:jc w:val="center"/>
        <w:rPr>
          <w:rFonts w:eastAsia="Times New Roman" w:cs="Times New Roman"/>
          <w:szCs w:val="32"/>
          <w:lang w:bidi="en-US"/>
        </w:rPr>
      </w:pPr>
    </w:p>
    <w:p w14:paraId="463E0C10" w14:textId="77777777" w:rsidR="00B555D8" w:rsidRPr="00B555D8" w:rsidRDefault="00B555D8" w:rsidP="00B555D8">
      <w:pPr>
        <w:spacing w:line="240" w:lineRule="auto"/>
        <w:jc w:val="center"/>
        <w:rPr>
          <w:rFonts w:eastAsia="Times New Roman" w:cs="Times New Roman"/>
          <w:szCs w:val="32"/>
          <w:lang w:bidi="en-US"/>
        </w:rPr>
      </w:pPr>
    </w:p>
    <w:p w14:paraId="5561AC22" w14:textId="77777777" w:rsidR="00B555D8" w:rsidRPr="00B555D8" w:rsidRDefault="00B555D8" w:rsidP="00B555D8">
      <w:pPr>
        <w:spacing w:line="240" w:lineRule="auto"/>
        <w:jc w:val="center"/>
        <w:rPr>
          <w:rFonts w:eastAsia="Times New Roman" w:cs="Times New Roman"/>
          <w:szCs w:val="32"/>
          <w:lang w:bidi="en-US"/>
        </w:rPr>
      </w:pPr>
    </w:p>
    <w:p w14:paraId="1F158AE4" w14:textId="77777777" w:rsidR="00B555D8" w:rsidRPr="00B555D8" w:rsidRDefault="00B555D8" w:rsidP="00B555D8">
      <w:pPr>
        <w:spacing w:line="240" w:lineRule="auto"/>
        <w:jc w:val="center"/>
        <w:rPr>
          <w:rFonts w:eastAsia="Times New Roman" w:cs="Times New Roman"/>
          <w:szCs w:val="32"/>
          <w:lang w:bidi="en-US"/>
        </w:rPr>
      </w:pPr>
    </w:p>
    <w:p w14:paraId="187E0DF2" w14:textId="77777777" w:rsidR="00B555D8" w:rsidRPr="00B555D8" w:rsidRDefault="00B555D8" w:rsidP="00B555D8">
      <w:pPr>
        <w:spacing w:line="240" w:lineRule="auto"/>
        <w:jc w:val="center"/>
        <w:rPr>
          <w:rFonts w:eastAsia="Times New Roman" w:cs="Times New Roman"/>
          <w:szCs w:val="32"/>
          <w:lang w:bidi="en-US"/>
        </w:rPr>
      </w:pPr>
    </w:p>
    <w:p w14:paraId="36E9AA79" w14:textId="77777777" w:rsidR="00B555D8" w:rsidRPr="00B555D8" w:rsidRDefault="00B555D8" w:rsidP="00B555D8">
      <w:pPr>
        <w:spacing w:line="240" w:lineRule="auto"/>
        <w:jc w:val="center"/>
        <w:rPr>
          <w:rFonts w:eastAsia="Times New Roman" w:cs="Times New Roman"/>
          <w:szCs w:val="32"/>
          <w:lang w:bidi="en-US"/>
        </w:rPr>
      </w:pPr>
    </w:p>
    <w:p w14:paraId="3D3DA838" w14:textId="77777777" w:rsidR="00B555D8" w:rsidRPr="00B555D8" w:rsidRDefault="00B555D8" w:rsidP="00B555D8">
      <w:pPr>
        <w:spacing w:line="240" w:lineRule="auto"/>
        <w:jc w:val="center"/>
        <w:rPr>
          <w:rFonts w:eastAsia="Times New Roman" w:cs="Times New Roman"/>
          <w:szCs w:val="32"/>
          <w:lang w:bidi="en-US"/>
        </w:rPr>
      </w:pPr>
    </w:p>
    <w:p w14:paraId="016B3208" w14:textId="77777777" w:rsidR="00B555D8" w:rsidRPr="00B555D8" w:rsidRDefault="00B555D8" w:rsidP="00B555D8">
      <w:pPr>
        <w:spacing w:line="240" w:lineRule="auto"/>
        <w:jc w:val="center"/>
        <w:rPr>
          <w:rFonts w:eastAsia="Times New Roman" w:cs="Times New Roman"/>
          <w:szCs w:val="32"/>
          <w:lang w:bidi="en-US"/>
        </w:rPr>
      </w:pPr>
    </w:p>
    <w:p w14:paraId="086B0D8A" w14:textId="77777777" w:rsidR="00B555D8" w:rsidRPr="00B555D8" w:rsidRDefault="00B555D8" w:rsidP="00B555D8">
      <w:pPr>
        <w:spacing w:line="240" w:lineRule="auto"/>
        <w:jc w:val="center"/>
        <w:rPr>
          <w:rFonts w:eastAsia="Times New Roman" w:cs="Times New Roman"/>
          <w:szCs w:val="32"/>
          <w:lang w:bidi="en-US"/>
        </w:rPr>
      </w:pPr>
    </w:p>
    <w:p w14:paraId="0DF31631" w14:textId="77777777" w:rsidR="00B555D8" w:rsidRPr="00B555D8" w:rsidRDefault="00B555D8" w:rsidP="00B555D8">
      <w:pPr>
        <w:spacing w:line="240" w:lineRule="auto"/>
        <w:jc w:val="center"/>
        <w:rPr>
          <w:rFonts w:eastAsia="Times New Roman" w:cs="Times New Roman"/>
          <w:szCs w:val="32"/>
          <w:lang w:bidi="en-US"/>
        </w:rPr>
      </w:pPr>
    </w:p>
    <w:p w14:paraId="41A7177A" w14:textId="77777777" w:rsidR="00B555D8" w:rsidRPr="00B555D8" w:rsidRDefault="00B555D8" w:rsidP="00B555D8">
      <w:pPr>
        <w:spacing w:line="240" w:lineRule="auto"/>
        <w:jc w:val="center"/>
        <w:rPr>
          <w:rFonts w:eastAsia="Times New Roman" w:cs="Times New Roman"/>
          <w:szCs w:val="32"/>
          <w:lang w:bidi="en-US"/>
        </w:rPr>
      </w:pPr>
    </w:p>
    <w:p w14:paraId="423C71F5" w14:textId="77777777" w:rsidR="00B555D8" w:rsidRPr="00B555D8" w:rsidRDefault="00B555D8" w:rsidP="00B555D8">
      <w:pPr>
        <w:spacing w:line="240" w:lineRule="auto"/>
        <w:jc w:val="center"/>
        <w:rPr>
          <w:rFonts w:eastAsia="Times New Roman" w:cs="Times New Roman"/>
          <w:szCs w:val="32"/>
          <w:lang w:bidi="en-US"/>
        </w:rPr>
      </w:pPr>
    </w:p>
    <w:p w14:paraId="23ECA2DD" w14:textId="77777777" w:rsidR="00B555D8" w:rsidRPr="00B555D8" w:rsidRDefault="00B555D8" w:rsidP="00B555D8">
      <w:pPr>
        <w:spacing w:line="240" w:lineRule="auto"/>
        <w:jc w:val="center"/>
        <w:rPr>
          <w:rFonts w:eastAsia="Times New Roman" w:cs="Times New Roman"/>
          <w:szCs w:val="32"/>
          <w:lang w:bidi="en-US"/>
        </w:rPr>
      </w:pPr>
    </w:p>
    <w:p w14:paraId="4830D07A" w14:textId="77777777" w:rsidR="00B555D8" w:rsidRPr="00B555D8" w:rsidRDefault="00B555D8" w:rsidP="00B555D8">
      <w:pPr>
        <w:spacing w:line="240" w:lineRule="auto"/>
        <w:jc w:val="center"/>
        <w:rPr>
          <w:rFonts w:eastAsia="Times New Roman" w:cs="Times New Roman"/>
          <w:szCs w:val="32"/>
          <w:lang w:bidi="en-US"/>
        </w:rPr>
      </w:pPr>
    </w:p>
    <w:p w14:paraId="13BAAA25" w14:textId="77777777" w:rsidR="00B555D8" w:rsidRPr="00B555D8" w:rsidRDefault="00B555D8" w:rsidP="00B555D8">
      <w:pPr>
        <w:spacing w:line="240" w:lineRule="auto"/>
        <w:jc w:val="center"/>
        <w:rPr>
          <w:rFonts w:eastAsia="Times New Roman" w:cs="Times New Roman"/>
          <w:szCs w:val="32"/>
          <w:lang w:bidi="en-US"/>
        </w:rPr>
      </w:pPr>
    </w:p>
    <w:p w14:paraId="7B1E0E67" w14:textId="5634551F" w:rsidR="00B555D8" w:rsidRPr="00B555D8" w:rsidRDefault="007F7885" w:rsidP="00B555D8">
      <w:pPr>
        <w:spacing w:line="240" w:lineRule="auto"/>
        <w:jc w:val="center"/>
        <w:rPr>
          <w:rFonts w:eastAsia="Times New Roman" w:cs="Times New Roman"/>
          <w:szCs w:val="32"/>
          <w:lang w:bidi="en-US"/>
        </w:rPr>
      </w:pPr>
      <w:sdt>
        <w:sdtPr>
          <w:rPr>
            <w:rFonts w:eastAsia="Times New Roman" w:cs="Times New Roman"/>
            <w:szCs w:val="32"/>
            <w:lang w:bidi="en-US"/>
          </w:rPr>
          <w:id w:val="30091877"/>
          <w:lock w:val="contentLocked"/>
          <w:placeholder>
            <w:docPart w:val="06D062634E4B459E899F5F9D355A8535"/>
          </w:placeholder>
          <w:group/>
        </w:sdtPr>
        <w:sdtEndPr/>
        <w:sdtContent>
          <w:r w:rsidR="00B555D8" w:rsidRPr="00B555D8">
            <w:rPr>
              <w:rFonts w:eastAsia="Times New Roman" w:cs="Times New Roman"/>
              <w:szCs w:val="32"/>
              <w:lang w:bidi="en-US"/>
            </w:rPr>
            <w:t>© Copyright by</w:t>
          </w:r>
        </w:sdtContent>
      </w:sdt>
      <w:r w:rsidR="00B555D8" w:rsidRPr="00B555D8">
        <w:rPr>
          <w:rFonts w:eastAsia="Times New Roman" w:cs="Times New Roman"/>
          <w:szCs w:val="32"/>
          <w:lang w:bidi="en-US"/>
        </w:rPr>
        <w:t xml:space="preserve"> </w:t>
      </w:r>
      <w:sdt>
        <w:sdtPr>
          <w:rPr>
            <w:rFonts w:eastAsia="Times New Roman" w:cs="Times New Roman"/>
            <w:caps/>
            <w:szCs w:val="32"/>
            <w:lang w:bidi="en-US"/>
          </w:rPr>
          <w:alias w:val="Click here to enter your name (must match University records)"/>
          <w:tag w:val="Click here to enter your name (must match University records)"/>
          <w:id w:val="2590303"/>
          <w:placeholder>
            <w:docPart w:val="06D062634E4B459E899F5F9D355A8535"/>
          </w:placeholder>
        </w:sdtPr>
        <w:sdtEndPr/>
        <w:sdtContent>
          <w:r w:rsidR="00B555D8" w:rsidRPr="00B555D8">
            <w:rPr>
              <w:rFonts w:eastAsia="Times New Roman" w:cs="Times New Roman"/>
              <w:caps/>
              <w:szCs w:val="32"/>
              <w:lang w:bidi="en-US"/>
            </w:rPr>
            <w:t>Syed Ashik Ali</w:t>
          </w:r>
        </w:sdtContent>
      </w:sdt>
      <w:r w:rsidR="00B555D8" w:rsidRPr="00B555D8">
        <w:rPr>
          <w:rFonts w:eastAsia="Times New Roman" w:cs="Times New Roman"/>
          <w:szCs w:val="32"/>
          <w:lang w:bidi="en-US"/>
        </w:rPr>
        <w:t xml:space="preserve"> </w:t>
      </w:r>
      <w:sdt>
        <w:sdtPr>
          <w:rPr>
            <w:rFonts w:eastAsia="Times New Roman" w:cs="Times New Roman"/>
            <w:szCs w:val="32"/>
            <w:lang w:bidi="en-US"/>
          </w:rPr>
          <w:alias w:val="Click to enter the year you are depositing thesis"/>
          <w:tag w:val="Click to enter the year you are depositing thesis"/>
          <w:id w:val="2590304"/>
          <w:placeholder>
            <w:docPart w:val="06D062634E4B459E899F5F9D355A8535"/>
          </w:placeholder>
        </w:sdtPr>
        <w:sdtEndPr/>
        <w:sdtContent>
          <w:r w:rsidR="00B25F88">
            <w:rPr>
              <w:rFonts w:eastAsia="Times New Roman" w:cs="Times New Roman"/>
              <w:szCs w:val="32"/>
              <w:lang w:bidi="en-US"/>
            </w:rPr>
            <w:t>20</w:t>
          </w:r>
          <w:r w:rsidR="00A605D6">
            <w:rPr>
              <w:rFonts w:eastAsia="Times New Roman" w:cs="Times New Roman"/>
              <w:szCs w:val="32"/>
              <w:lang w:bidi="en-US"/>
            </w:rPr>
            <w:t>21</w:t>
          </w:r>
        </w:sdtContent>
      </w:sdt>
    </w:p>
    <w:p w14:paraId="5E28D96D" w14:textId="77777777" w:rsidR="00953352" w:rsidRDefault="00B555D8" w:rsidP="00B555D8">
      <w:pPr>
        <w:spacing w:line="240" w:lineRule="auto"/>
        <w:jc w:val="center"/>
        <w:rPr>
          <w:rFonts w:eastAsia="Times New Roman" w:cs="Times New Roman"/>
          <w:szCs w:val="32"/>
          <w:lang w:bidi="en-US"/>
        </w:rPr>
        <w:sectPr w:rsidR="00953352" w:rsidSect="00231599">
          <w:footerReference w:type="default" r:id="rId8"/>
          <w:pgSz w:w="12240" w:h="15840"/>
          <w:pgMar w:top="1440" w:right="1440" w:bottom="1440" w:left="2304" w:header="720" w:footer="720" w:gutter="0"/>
          <w:pgNumType w:fmt="lowerRoman" w:start="4"/>
          <w:cols w:space="720"/>
        </w:sectPr>
      </w:pPr>
      <w:r w:rsidRPr="00B555D8">
        <w:rPr>
          <w:rFonts w:eastAsia="Times New Roman" w:cs="Times New Roman"/>
          <w:szCs w:val="32"/>
          <w:lang w:bidi="en-US"/>
        </w:rPr>
        <w:t>All Rights Reserved.</w:t>
      </w:r>
    </w:p>
    <w:p w14:paraId="305CD453" w14:textId="2231B9EE" w:rsidR="00D64894" w:rsidRDefault="00D64894" w:rsidP="00B555D8">
      <w:pPr>
        <w:spacing w:line="240" w:lineRule="auto"/>
        <w:jc w:val="center"/>
        <w:rPr>
          <w:rFonts w:eastAsia="Times New Roman" w:cs="Times New Roman"/>
          <w:szCs w:val="24"/>
          <w:lang w:bidi="en-US"/>
        </w:rPr>
      </w:pPr>
    </w:p>
    <w:p w14:paraId="60430A98" w14:textId="77777777" w:rsidR="00D64894" w:rsidRDefault="00D64894" w:rsidP="00B555D8">
      <w:pPr>
        <w:spacing w:line="240" w:lineRule="auto"/>
        <w:jc w:val="center"/>
        <w:rPr>
          <w:rFonts w:eastAsia="Times New Roman" w:cs="Times New Roman"/>
          <w:szCs w:val="24"/>
          <w:lang w:bidi="en-US"/>
        </w:rPr>
      </w:pPr>
    </w:p>
    <w:p w14:paraId="49DA28E6" w14:textId="77777777" w:rsidR="00D64894" w:rsidRDefault="00D64894" w:rsidP="00B555D8">
      <w:pPr>
        <w:spacing w:line="240" w:lineRule="auto"/>
        <w:jc w:val="center"/>
        <w:rPr>
          <w:rFonts w:eastAsia="Times New Roman" w:cs="Times New Roman"/>
          <w:szCs w:val="24"/>
          <w:lang w:bidi="en-US"/>
        </w:rPr>
      </w:pPr>
    </w:p>
    <w:p w14:paraId="630761AD" w14:textId="77777777" w:rsidR="00D64894" w:rsidRDefault="00D64894" w:rsidP="00B555D8">
      <w:pPr>
        <w:spacing w:line="240" w:lineRule="auto"/>
        <w:jc w:val="center"/>
        <w:rPr>
          <w:rFonts w:eastAsia="Times New Roman" w:cs="Times New Roman"/>
          <w:szCs w:val="24"/>
          <w:lang w:bidi="en-US"/>
        </w:rPr>
      </w:pPr>
    </w:p>
    <w:p w14:paraId="4D177C74" w14:textId="77777777" w:rsidR="00D64894" w:rsidRDefault="00D64894" w:rsidP="00B555D8">
      <w:pPr>
        <w:spacing w:line="240" w:lineRule="auto"/>
        <w:jc w:val="center"/>
        <w:rPr>
          <w:rFonts w:eastAsia="Times New Roman" w:cs="Times New Roman"/>
          <w:szCs w:val="24"/>
          <w:lang w:bidi="en-US"/>
        </w:rPr>
      </w:pPr>
    </w:p>
    <w:p w14:paraId="534B4119" w14:textId="77777777" w:rsidR="00D64894" w:rsidRDefault="00D64894" w:rsidP="00B555D8">
      <w:pPr>
        <w:spacing w:line="240" w:lineRule="auto"/>
        <w:jc w:val="center"/>
        <w:rPr>
          <w:rFonts w:eastAsia="Times New Roman" w:cs="Times New Roman"/>
          <w:szCs w:val="24"/>
          <w:lang w:bidi="en-US"/>
        </w:rPr>
      </w:pPr>
    </w:p>
    <w:p w14:paraId="5AE03025" w14:textId="77777777" w:rsidR="00D64894" w:rsidRDefault="00D64894" w:rsidP="00B555D8">
      <w:pPr>
        <w:spacing w:line="240" w:lineRule="auto"/>
        <w:jc w:val="center"/>
        <w:rPr>
          <w:rFonts w:eastAsia="Times New Roman" w:cs="Times New Roman"/>
          <w:szCs w:val="24"/>
          <w:lang w:bidi="en-US"/>
        </w:rPr>
      </w:pPr>
    </w:p>
    <w:p w14:paraId="5DAC499D" w14:textId="77777777" w:rsidR="00D64894" w:rsidRDefault="00D64894" w:rsidP="00B555D8">
      <w:pPr>
        <w:spacing w:line="240" w:lineRule="auto"/>
        <w:jc w:val="center"/>
        <w:rPr>
          <w:rFonts w:eastAsia="Times New Roman" w:cs="Times New Roman"/>
          <w:szCs w:val="24"/>
          <w:lang w:bidi="en-US"/>
        </w:rPr>
      </w:pPr>
    </w:p>
    <w:p w14:paraId="1564B64E" w14:textId="77777777" w:rsidR="00D64894" w:rsidRDefault="00D64894" w:rsidP="00B555D8">
      <w:pPr>
        <w:spacing w:line="240" w:lineRule="auto"/>
        <w:jc w:val="center"/>
        <w:rPr>
          <w:rFonts w:eastAsia="Times New Roman" w:cs="Times New Roman"/>
          <w:szCs w:val="24"/>
          <w:lang w:bidi="en-US"/>
        </w:rPr>
      </w:pPr>
    </w:p>
    <w:p w14:paraId="03C8C79E" w14:textId="77777777" w:rsidR="00D64894" w:rsidRDefault="00D64894" w:rsidP="00B555D8">
      <w:pPr>
        <w:spacing w:line="240" w:lineRule="auto"/>
        <w:jc w:val="center"/>
        <w:rPr>
          <w:rFonts w:eastAsia="Times New Roman" w:cs="Times New Roman"/>
          <w:szCs w:val="24"/>
          <w:lang w:bidi="en-US"/>
        </w:rPr>
      </w:pPr>
    </w:p>
    <w:p w14:paraId="077161DD" w14:textId="77777777" w:rsidR="00D64894" w:rsidRDefault="00D64894" w:rsidP="00B555D8">
      <w:pPr>
        <w:spacing w:line="240" w:lineRule="auto"/>
        <w:jc w:val="center"/>
        <w:rPr>
          <w:rFonts w:eastAsia="Times New Roman" w:cs="Times New Roman"/>
          <w:szCs w:val="24"/>
          <w:lang w:bidi="en-US"/>
        </w:rPr>
      </w:pPr>
    </w:p>
    <w:p w14:paraId="35D88518" w14:textId="77777777" w:rsidR="00D64894" w:rsidRDefault="00D64894" w:rsidP="00B555D8">
      <w:pPr>
        <w:spacing w:line="240" w:lineRule="auto"/>
        <w:jc w:val="center"/>
        <w:rPr>
          <w:rFonts w:eastAsia="Times New Roman" w:cs="Times New Roman"/>
          <w:szCs w:val="24"/>
          <w:lang w:bidi="en-US"/>
        </w:rPr>
      </w:pPr>
    </w:p>
    <w:p w14:paraId="3E930B3A" w14:textId="77777777" w:rsidR="00D64894" w:rsidRDefault="00D64894" w:rsidP="00B555D8">
      <w:pPr>
        <w:spacing w:line="240" w:lineRule="auto"/>
        <w:jc w:val="center"/>
        <w:rPr>
          <w:rFonts w:eastAsia="Times New Roman" w:cs="Times New Roman"/>
          <w:szCs w:val="24"/>
          <w:lang w:bidi="en-US"/>
        </w:rPr>
      </w:pPr>
    </w:p>
    <w:p w14:paraId="2DD17C6F" w14:textId="77777777" w:rsidR="00D64894" w:rsidRDefault="00D64894" w:rsidP="00B555D8">
      <w:pPr>
        <w:spacing w:line="240" w:lineRule="auto"/>
        <w:jc w:val="center"/>
        <w:rPr>
          <w:rFonts w:eastAsia="Times New Roman" w:cs="Times New Roman"/>
          <w:szCs w:val="24"/>
          <w:lang w:bidi="en-US"/>
        </w:rPr>
      </w:pPr>
    </w:p>
    <w:p w14:paraId="78CD80BB" w14:textId="77777777" w:rsidR="00D64894" w:rsidRDefault="00D64894" w:rsidP="00B555D8">
      <w:pPr>
        <w:spacing w:line="240" w:lineRule="auto"/>
        <w:jc w:val="center"/>
        <w:rPr>
          <w:rFonts w:eastAsia="Times New Roman" w:cs="Times New Roman"/>
          <w:szCs w:val="24"/>
          <w:lang w:bidi="en-US"/>
        </w:rPr>
      </w:pPr>
    </w:p>
    <w:p w14:paraId="213258FA" w14:textId="77777777" w:rsidR="00D64894" w:rsidRDefault="00D64894" w:rsidP="00B555D8">
      <w:pPr>
        <w:spacing w:line="240" w:lineRule="auto"/>
        <w:jc w:val="center"/>
        <w:rPr>
          <w:rFonts w:eastAsia="Times New Roman" w:cs="Times New Roman"/>
          <w:szCs w:val="24"/>
          <w:lang w:bidi="en-US"/>
        </w:rPr>
      </w:pPr>
    </w:p>
    <w:p w14:paraId="458F4992" w14:textId="77777777" w:rsidR="00D64894" w:rsidRDefault="00D64894" w:rsidP="00B555D8">
      <w:pPr>
        <w:spacing w:line="240" w:lineRule="auto"/>
        <w:jc w:val="center"/>
        <w:rPr>
          <w:rFonts w:eastAsia="Times New Roman" w:cs="Times New Roman"/>
          <w:szCs w:val="24"/>
          <w:lang w:bidi="en-US"/>
        </w:rPr>
      </w:pPr>
    </w:p>
    <w:p w14:paraId="621AA4ED" w14:textId="77777777" w:rsidR="00D64894" w:rsidRDefault="00D64894" w:rsidP="00B555D8">
      <w:pPr>
        <w:spacing w:line="240" w:lineRule="auto"/>
        <w:jc w:val="center"/>
        <w:rPr>
          <w:rFonts w:eastAsia="Times New Roman" w:cs="Times New Roman"/>
          <w:szCs w:val="24"/>
          <w:lang w:bidi="en-US"/>
        </w:rPr>
      </w:pPr>
    </w:p>
    <w:p w14:paraId="76E838DA" w14:textId="6721E7D3" w:rsidR="00B555D8" w:rsidRPr="00B555D8" w:rsidRDefault="00B555D8" w:rsidP="00B555D8">
      <w:pPr>
        <w:spacing w:line="240" w:lineRule="auto"/>
        <w:jc w:val="center"/>
        <w:rPr>
          <w:rFonts w:eastAsia="Times New Roman" w:cs="Times New Roman"/>
          <w:sz w:val="28"/>
          <w:szCs w:val="28"/>
          <w:lang w:bidi="en-US"/>
        </w:rPr>
      </w:pPr>
      <w:r w:rsidRPr="00B555D8">
        <w:rPr>
          <w:rFonts w:eastAsia="Times New Roman" w:cs="Times New Roman"/>
          <w:sz w:val="28"/>
          <w:szCs w:val="28"/>
          <w:lang w:bidi="en-US"/>
        </w:rPr>
        <w:t>Dedicated</w:t>
      </w:r>
    </w:p>
    <w:p w14:paraId="45D9FC6E" w14:textId="77777777" w:rsidR="00B555D8" w:rsidRPr="00B555D8" w:rsidRDefault="00B555D8" w:rsidP="00B555D8">
      <w:pPr>
        <w:spacing w:line="240" w:lineRule="auto"/>
        <w:jc w:val="center"/>
        <w:rPr>
          <w:rFonts w:eastAsia="Times New Roman" w:cs="Times New Roman"/>
          <w:sz w:val="28"/>
          <w:szCs w:val="28"/>
          <w:lang w:bidi="en-US"/>
        </w:rPr>
      </w:pPr>
    </w:p>
    <w:p w14:paraId="56B5DDE7" w14:textId="77777777" w:rsidR="00B555D8" w:rsidRPr="00B555D8" w:rsidRDefault="00B555D8" w:rsidP="00B555D8">
      <w:pPr>
        <w:spacing w:line="240" w:lineRule="auto"/>
        <w:jc w:val="center"/>
        <w:rPr>
          <w:rFonts w:eastAsia="Times New Roman" w:cs="Times New Roman"/>
          <w:sz w:val="28"/>
          <w:szCs w:val="28"/>
          <w:lang w:bidi="en-US"/>
        </w:rPr>
      </w:pPr>
      <w:r w:rsidRPr="00B555D8">
        <w:rPr>
          <w:rFonts w:eastAsia="Times New Roman" w:cs="Times New Roman"/>
          <w:sz w:val="28"/>
          <w:szCs w:val="28"/>
          <w:lang w:bidi="en-US"/>
        </w:rPr>
        <w:t>to</w:t>
      </w:r>
    </w:p>
    <w:p w14:paraId="1A0ECDDF" w14:textId="77777777" w:rsidR="00B555D8" w:rsidRPr="00B555D8" w:rsidRDefault="00B555D8" w:rsidP="00B555D8">
      <w:pPr>
        <w:spacing w:line="240" w:lineRule="auto"/>
        <w:jc w:val="center"/>
        <w:rPr>
          <w:rFonts w:eastAsia="Times New Roman" w:cs="Times New Roman"/>
          <w:sz w:val="28"/>
          <w:szCs w:val="28"/>
          <w:lang w:bidi="en-US"/>
        </w:rPr>
      </w:pPr>
    </w:p>
    <w:p w14:paraId="44FCAD84" w14:textId="45B0AE38" w:rsidR="00B555D8" w:rsidRPr="00B555D8" w:rsidRDefault="00B555D8" w:rsidP="00B555D8">
      <w:pPr>
        <w:spacing w:line="240" w:lineRule="auto"/>
        <w:jc w:val="center"/>
        <w:rPr>
          <w:rFonts w:eastAsia="Times New Roman" w:cs="Times New Roman"/>
          <w:sz w:val="28"/>
          <w:szCs w:val="28"/>
          <w:lang w:bidi="en-US"/>
        </w:rPr>
      </w:pPr>
      <w:r w:rsidRPr="00B555D8">
        <w:rPr>
          <w:rFonts w:eastAsia="Times New Roman" w:cs="Times New Roman"/>
          <w:sz w:val="28"/>
          <w:szCs w:val="28"/>
          <w:lang w:bidi="en-US"/>
        </w:rPr>
        <w:t xml:space="preserve">My </w:t>
      </w:r>
      <w:r w:rsidR="00452120">
        <w:rPr>
          <w:rFonts w:eastAsia="Times New Roman" w:cs="Times New Roman"/>
          <w:sz w:val="28"/>
          <w:szCs w:val="28"/>
          <w:lang w:bidi="en-US"/>
        </w:rPr>
        <w:t>Mother, W</w:t>
      </w:r>
      <w:r w:rsidR="00893373">
        <w:rPr>
          <w:rFonts w:eastAsia="Times New Roman" w:cs="Times New Roman"/>
          <w:sz w:val="28"/>
          <w:szCs w:val="28"/>
          <w:lang w:bidi="en-US"/>
        </w:rPr>
        <w:t>ife and Daughter</w:t>
      </w:r>
    </w:p>
    <w:p w14:paraId="2C998210" w14:textId="77777777" w:rsidR="00B555D8" w:rsidRPr="00B555D8" w:rsidRDefault="00B555D8" w:rsidP="00B555D8">
      <w:pPr>
        <w:spacing w:line="240" w:lineRule="auto"/>
        <w:rPr>
          <w:rFonts w:eastAsia="Times New Roman" w:cs="Times New Roman"/>
          <w:sz w:val="28"/>
          <w:szCs w:val="28"/>
          <w:lang w:bidi="en-US"/>
        </w:rPr>
        <w:sectPr w:rsidR="00B555D8" w:rsidRPr="00B555D8" w:rsidSect="00231599">
          <w:footerReference w:type="default" r:id="rId9"/>
          <w:pgSz w:w="12240" w:h="15840"/>
          <w:pgMar w:top="1440" w:right="1440" w:bottom="1440" w:left="2304" w:header="720" w:footer="720" w:gutter="0"/>
          <w:pgNumType w:fmt="lowerRoman" w:start="4"/>
          <w:cols w:space="720"/>
        </w:sectPr>
      </w:pPr>
    </w:p>
    <w:p w14:paraId="5C763762" w14:textId="5082ACA8" w:rsidR="00B555D8" w:rsidRDefault="00B555D8" w:rsidP="005670AB">
      <w:pPr>
        <w:pStyle w:val="Chapter"/>
      </w:pPr>
      <w:bookmarkStart w:id="0" w:name="_Toc310579464"/>
      <w:bookmarkStart w:id="1" w:name="_Toc469234898"/>
      <w:bookmarkStart w:id="2" w:name="_Toc71728397"/>
      <w:r w:rsidRPr="00B555D8">
        <w:lastRenderedPageBreak/>
        <w:t>Acknowledgements</w:t>
      </w:r>
      <w:bookmarkEnd w:id="0"/>
      <w:bookmarkEnd w:id="1"/>
      <w:bookmarkEnd w:id="2"/>
    </w:p>
    <w:p w14:paraId="220424D7" w14:textId="2842A6D8" w:rsidR="00291C12" w:rsidRPr="00B555D8" w:rsidRDefault="00291C12" w:rsidP="00291C12">
      <w:pPr>
        <w:ind w:firstLine="720"/>
        <w:rPr>
          <w:rFonts w:eastAsia="Times New Roman" w:cs="Times New Roman"/>
          <w:szCs w:val="24"/>
          <w:lang w:bidi="en-US"/>
        </w:rPr>
      </w:pPr>
      <w:r>
        <w:rPr>
          <w:rFonts w:eastAsia="Times New Roman" w:cs="Times New Roman"/>
          <w:szCs w:val="24"/>
          <w:lang w:bidi="en-US"/>
        </w:rPr>
        <w:t xml:space="preserve">At the beginning, </w:t>
      </w:r>
      <w:r w:rsidRPr="00B555D8">
        <w:rPr>
          <w:rFonts w:eastAsia="Times New Roman" w:cs="Times New Roman"/>
          <w:szCs w:val="24"/>
          <w:lang w:bidi="en-US"/>
        </w:rPr>
        <w:t xml:space="preserve">I would like to </w:t>
      </w:r>
      <w:r>
        <w:rPr>
          <w:rFonts w:eastAsia="Times New Roman" w:cs="Times New Roman"/>
          <w:szCs w:val="24"/>
          <w:lang w:bidi="en-US"/>
        </w:rPr>
        <w:t>express my gratitude to</w:t>
      </w:r>
      <w:r w:rsidRPr="00B555D8">
        <w:rPr>
          <w:rFonts w:eastAsia="Times New Roman" w:cs="Times New Roman"/>
          <w:szCs w:val="24"/>
          <w:lang w:bidi="en-US"/>
        </w:rPr>
        <w:t xml:space="preserve"> The Almighty</w:t>
      </w:r>
      <w:r>
        <w:rPr>
          <w:rFonts w:eastAsia="Times New Roman" w:cs="Times New Roman"/>
          <w:szCs w:val="24"/>
          <w:lang w:bidi="en-US"/>
        </w:rPr>
        <w:t xml:space="preserve"> God</w:t>
      </w:r>
      <w:r w:rsidRPr="00B555D8">
        <w:rPr>
          <w:rFonts w:eastAsia="Times New Roman" w:cs="Times New Roman"/>
          <w:szCs w:val="24"/>
          <w:lang w:bidi="en-US"/>
        </w:rPr>
        <w:t xml:space="preserve"> for His blessings in every step of my </w:t>
      </w:r>
      <w:r>
        <w:rPr>
          <w:rFonts w:eastAsia="Times New Roman" w:cs="Times New Roman"/>
          <w:szCs w:val="24"/>
          <w:lang w:bidi="en-US"/>
        </w:rPr>
        <w:t>life. Then, I want to thank</w:t>
      </w:r>
      <w:r w:rsidRPr="00B555D8">
        <w:rPr>
          <w:rFonts w:eastAsia="Times New Roman" w:cs="Times New Roman"/>
          <w:szCs w:val="24"/>
          <w:lang w:bidi="en-US"/>
        </w:rPr>
        <w:t xml:space="preserve"> my parents, who have sacrificed </w:t>
      </w:r>
      <w:r>
        <w:rPr>
          <w:rFonts w:eastAsia="Times New Roman" w:cs="Times New Roman"/>
          <w:szCs w:val="24"/>
          <w:lang w:bidi="en-US"/>
        </w:rPr>
        <w:t>their lives</w:t>
      </w:r>
      <w:r w:rsidRPr="00B555D8">
        <w:rPr>
          <w:rFonts w:eastAsia="Times New Roman" w:cs="Times New Roman"/>
          <w:szCs w:val="24"/>
          <w:lang w:bidi="en-US"/>
        </w:rPr>
        <w:t xml:space="preserve"> to fulfil my dream</w:t>
      </w:r>
      <w:r>
        <w:rPr>
          <w:rFonts w:eastAsia="Times New Roman" w:cs="Times New Roman"/>
          <w:szCs w:val="24"/>
          <w:lang w:bidi="en-US"/>
        </w:rPr>
        <w:t>s</w:t>
      </w:r>
      <w:r w:rsidRPr="00B555D8">
        <w:rPr>
          <w:rFonts w:eastAsia="Times New Roman" w:cs="Times New Roman"/>
          <w:szCs w:val="24"/>
          <w:lang w:bidi="en-US"/>
        </w:rPr>
        <w:t>.</w:t>
      </w:r>
      <w:r>
        <w:rPr>
          <w:rFonts w:eastAsia="Times New Roman" w:cs="Times New Roman"/>
          <w:szCs w:val="24"/>
          <w:lang w:bidi="en-US"/>
        </w:rPr>
        <w:t xml:space="preserve"> </w:t>
      </w:r>
      <w:r w:rsidRPr="00B555D8">
        <w:rPr>
          <w:rFonts w:eastAsia="Times New Roman" w:cs="Times New Roman"/>
          <w:color w:val="000000"/>
          <w:szCs w:val="24"/>
          <w:lang w:bidi="en-US"/>
        </w:rPr>
        <w:t xml:space="preserve">I </w:t>
      </w:r>
      <w:r>
        <w:rPr>
          <w:rFonts w:eastAsia="Times New Roman" w:cs="Times New Roman"/>
          <w:color w:val="000000"/>
          <w:szCs w:val="24"/>
          <w:lang w:bidi="en-US"/>
        </w:rPr>
        <w:t>am grateful to</w:t>
      </w:r>
      <w:r w:rsidRPr="00B555D8">
        <w:rPr>
          <w:rFonts w:eastAsia="Times New Roman" w:cs="Times New Roman"/>
          <w:color w:val="000000"/>
          <w:szCs w:val="24"/>
          <w:lang w:bidi="en-US"/>
        </w:rPr>
        <w:t xml:space="preserve"> my wife, Syeda Abida Sultana, who was always beside me with her love, encouragement, support and prayers.</w:t>
      </w:r>
      <w:r>
        <w:rPr>
          <w:rFonts w:eastAsia="Times New Roman" w:cs="Times New Roman"/>
          <w:color w:val="000000"/>
          <w:szCs w:val="24"/>
          <w:lang w:bidi="en-US"/>
        </w:rPr>
        <w:t xml:space="preserve"> Also, special thanks to my siblings for their significant support throughout my life.</w:t>
      </w:r>
    </w:p>
    <w:p w14:paraId="140605E1" w14:textId="77777777" w:rsidR="00291C12" w:rsidRPr="00B555D8" w:rsidRDefault="00291C12" w:rsidP="00291C12">
      <w:pPr>
        <w:ind w:firstLine="720"/>
        <w:rPr>
          <w:rFonts w:eastAsia="Times New Roman" w:cs="Times New Roman"/>
          <w:szCs w:val="24"/>
          <w:lang w:bidi="en-US"/>
        </w:rPr>
      </w:pPr>
      <w:r w:rsidRPr="00B555D8">
        <w:rPr>
          <w:rFonts w:eastAsia="Times New Roman" w:cs="Times New Roman"/>
          <w:color w:val="000000"/>
          <w:szCs w:val="24"/>
          <w:lang w:bidi="en-US"/>
        </w:rPr>
        <w:t xml:space="preserve">I would like to express my </w:t>
      </w:r>
      <w:r w:rsidRPr="00B555D8">
        <w:rPr>
          <w:rFonts w:eastAsia="Times New Roman" w:cs="Times New Roman"/>
          <w:szCs w:val="24"/>
          <w:lang w:bidi="en-US"/>
        </w:rPr>
        <w:t>deepest appreciation, sincere gratitude, and heartiest thanks</w:t>
      </w:r>
      <w:r w:rsidRPr="00B555D8">
        <w:rPr>
          <w:rFonts w:eastAsia="Times New Roman" w:cs="Times New Roman"/>
          <w:color w:val="000000"/>
          <w:szCs w:val="24"/>
          <w:lang w:bidi="en-US"/>
        </w:rPr>
        <w:t xml:space="preserve"> to my advisor and </w:t>
      </w:r>
      <w:r w:rsidRPr="00B555D8">
        <w:rPr>
          <w:rFonts w:eastAsia="Times New Roman" w:cs="Times New Roman"/>
          <w:szCs w:val="24"/>
          <w:lang w:bidi="en-US"/>
        </w:rPr>
        <w:t xml:space="preserve">chair of my </w:t>
      </w:r>
      <w:r>
        <w:rPr>
          <w:rFonts w:eastAsia="Times New Roman" w:cs="Times New Roman"/>
          <w:szCs w:val="24"/>
          <w:lang w:bidi="en-US"/>
        </w:rPr>
        <w:t>dissertation</w:t>
      </w:r>
      <w:r w:rsidRPr="00B555D8">
        <w:rPr>
          <w:rFonts w:eastAsia="Times New Roman" w:cs="Times New Roman"/>
          <w:szCs w:val="24"/>
          <w:lang w:bidi="en-US"/>
        </w:rPr>
        <w:t xml:space="preserve"> committee</w:t>
      </w:r>
      <w:r w:rsidRPr="00B555D8">
        <w:rPr>
          <w:rFonts w:eastAsia="Times New Roman" w:cs="Times New Roman"/>
          <w:color w:val="000000"/>
          <w:szCs w:val="24"/>
          <w:lang w:bidi="en-US"/>
        </w:rPr>
        <w:t>, Dr. Musharraf Zaman</w:t>
      </w:r>
      <w:r>
        <w:rPr>
          <w:rFonts w:eastAsia="Times New Roman" w:cs="Times New Roman"/>
          <w:color w:val="000000"/>
          <w:szCs w:val="24"/>
          <w:lang w:bidi="en-US"/>
        </w:rPr>
        <w:t xml:space="preserve">, </w:t>
      </w:r>
      <w:r w:rsidRPr="006C35BE">
        <w:rPr>
          <w:rFonts w:eastAsia="Times New Roman" w:cs="Times New Roman"/>
          <w:color w:val="000000"/>
          <w:szCs w:val="24"/>
          <w:lang w:bidi="en-US"/>
        </w:rPr>
        <w:t>for his continued help, valuable guidance, constructive</w:t>
      </w:r>
      <w:r>
        <w:rPr>
          <w:rFonts w:eastAsia="Times New Roman" w:cs="Times New Roman"/>
          <w:color w:val="000000"/>
          <w:szCs w:val="24"/>
          <w:lang w:bidi="en-US"/>
        </w:rPr>
        <w:t xml:space="preserve"> </w:t>
      </w:r>
      <w:r w:rsidRPr="006C35BE">
        <w:rPr>
          <w:rFonts w:eastAsia="Times New Roman" w:cs="Times New Roman"/>
          <w:color w:val="000000"/>
          <w:szCs w:val="24"/>
          <w:lang w:bidi="en-US"/>
        </w:rPr>
        <w:t xml:space="preserve">criticism, and active interest </w:t>
      </w:r>
      <w:r>
        <w:rPr>
          <w:rFonts w:eastAsia="Times New Roman" w:cs="Times New Roman"/>
          <w:color w:val="000000"/>
          <w:szCs w:val="24"/>
          <w:lang w:bidi="en-US"/>
        </w:rPr>
        <w:t>in</w:t>
      </w:r>
      <w:r w:rsidRPr="006C35BE">
        <w:rPr>
          <w:rFonts w:eastAsia="Times New Roman" w:cs="Times New Roman"/>
          <w:color w:val="000000"/>
          <w:szCs w:val="24"/>
          <w:lang w:bidi="en-US"/>
        </w:rPr>
        <w:t xml:space="preserve"> </w:t>
      </w:r>
      <w:r>
        <w:rPr>
          <w:rFonts w:eastAsia="Times New Roman" w:cs="Times New Roman"/>
          <w:color w:val="000000"/>
          <w:szCs w:val="24"/>
          <w:lang w:bidi="en-US"/>
        </w:rPr>
        <w:t>my</w:t>
      </w:r>
      <w:r w:rsidRPr="006C35BE">
        <w:rPr>
          <w:rFonts w:eastAsia="Times New Roman" w:cs="Times New Roman"/>
          <w:color w:val="000000"/>
          <w:szCs w:val="24"/>
          <w:lang w:bidi="en-US"/>
        </w:rPr>
        <w:t xml:space="preserve"> research work.</w:t>
      </w:r>
      <w:r>
        <w:rPr>
          <w:rFonts w:eastAsia="Times New Roman" w:cs="Times New Roman"/>
          <w:color w:val="000000"/>
          <w:szCs w:val="24"/>
          <w:lang w:bidi="en-US"/>
        </w:rPr>
        <w:t xml:space="preserve"> </w:t>
      </w:r>
      <w:r w:rsidRPr="006C35BE">
        <w:rPr>
          <w:rFonts w:eastAsia="Times New Roman" w:cs="Times New Roman"/>
          <w:color w:val="000000"/>
          <w:szCs w:val="24"/>
          <w:lang w:bidi="en-US"/>
        </w:rPr>
        <w:t>His</w:t>
      </w:r>
      <w:r>
        <w:rPr>
          <w:rFonts w:eastAsia="Times New Roman" w:cs="Times New Roman"/>
          <w:color w:val="000000"/>
          <w:szCs w:val="24"/>
          <w:lang w:bidi="en-US"/>
        </w:rPr>
        <w:t xml:space="preserve"> </w:t>
      </w:r>
      <w:r w:rsidRPr="006C35BE">
        <w:rPr>
          <w:rFonts w:eastAsia="Times New Roman" w:cs="Times New Roman"/>
          <w:color w:val="000000"/>
          <w:szCs w:val="24"/>
          <w:lang w:bidi="en-US"/>
        </w:rPr>
        <w:t xml:space="preserve">boundless energy, wide knowledge and effective mentorship </w:t>
      </w:r>
      <w:r>
        <w:rPr>
          <w:rFonts w:eastAsia="Times New Roman" w:cs="Times New Roman"/>
          <w:szCs w:val="24"/>
          <w:lang w:bidi="en-US"/>
        </w:rPr>
        <w:t xml:space="preserve">shaped </w:t>
      </w:r>
      <w:r w:rsidRPr="00B555D8">
        <w:rPr>
          <w:rFonts w:eastAsia="Times New Roman" w:cs="Times New Roman"/>
          <w:color w:val="000000"/>
          <w:szCs w:val="24"/>
          <w:lang w:bidi="en-US"/>
        </w:rPr>
        <w:t>me into a researcher</w:t>
      </w:r>
      <w:r>
        <w:rPr>
          <w:rFonts w:eastAsia="Times New Roman" w:cs="Times New Roman"/>
          <w:color w:val="000000"/>
          <w:szCs w:val="24"/>
          <w:lang w:bidi="en-US"/>
        </w:rPr>
        <w:t xml:space="preserve">. Also, his </w:t>
      </w:r>
      <w:r w:rsidRPr="00B555D8">
        <w:rPr>
          <w:rFonts w:eastAsia="Times New Roman" w:cs="Times New Roman"/>
          <w:color w:val="000000"/>
          <w:szCs w:val="24"/>
          <w:lang w:bidi="en-US"/>
        </w:rPr>
        <w:t xml:space="preserve">direction and encouragement have been truly inspiring in my social, academic and professional </w:t>
      </w:r>
      <w:r>
        <w:rPr>
          <w:rFonts w:eastAsia="Times New Roman" w:cs="Times New Roman"/>
          <w:color w:val="000000"/>
          <w:szCs w:val="24"/>
          <w:lang w:bidi="en-US"/>
        </w:rPr>
        <w:t>endeavor</w:t>
      </w:r>
      <w:r w:rsidRPr="00B555D8">
        <w:rPr>
          <w:rFonts w:eastAsia="Times New Roman" w:cs="Times New Roman"/>
          <w:color w:val="000000"/>
          <w:szCs w:val="24"/>
          <w:lang w:bidi="en-US"/>
        </w:rPr>
        <w:t xml:space="preserve">. </w:t>
      </w:r>
    </w:p>
    <w:p w14:paraId="461C3DF0" w14:textId="44E0A2FC" w:rsidR="00291C12" w:rsidRPr="00B555D8" w:rsidRDefault="00291C12" w:rsidP="00291C12">
      <w:pPr>
        <w:ind w:firstLine="720"/>
        <w:rPr>
          <w:rFonts w:eastAsia="Times New Roman" w:cs="Times New Roman"/>
          <w:szCs w:val="24"/>
          <w:lang w:bidi="en-US"/>
        </w:rPr>
      </w:pPr>
      <w:r w:rsidRPr="00B555D8">
        <w:rPr>
          <w:rFonts w:eastAsia="Times New Roman" w:cs="Times New Roman"/>
          <w:szCs w:val="24"/>
          <w:lang w:bidi="en-US"/>
        </w:rPr>
        <w:t xml:space="preserve">I would like to acknowledge and thank Dr. Rouzbeh Ghabchi for his help </w:t>
      </w:r>
      <w:r>
        <w:rPr>
          <w:rFonts w:eastAsia="Times New Roman" w:cs="Times New Roman"/>
          <w:szCs w:val="24"/>
          <w:lang w:bidi="en-US"/>
        </w:rPr>
        <w:t>in</w:t>
      </w:r>
      <w:r w:rsidRPr="00B555D8">
        <w:rPr>
          <w:rFonts w:eastAsia="Times New Roman" w:cs="Times New Roman"/>
          <w:szCs w:val="24"/>
          <w:lang w:bidi="en-US"/>
        </w:rPr>
        <w:t xml:space="preserve"> my research works in every way possible. Dr. Ghabchi was always there to help me in developing </w:t>
      </w:r>
      <w:r>
        <w:rPr>
          <w:rFonts w:eastAsia="Times New Roman" w:cs="Times New Roman"/>
          <w:szCs w:val="24"/>
          <w:lang w:bidi="en-US"/>
        </w:rPr>
        <w:t xml:space="preserve">new </w:t>
      </w:r>
      <w:r w:rsidRPr="00B555D8">
        <w:rPr>
          <w:rFonts w:eastAsia="Times New Roman" w:cs="Times New Roman"/>
          <w:szCs w:val="24"/>
          <w:lang w:bidi="en-US"/>
        </w:rPr>
        <w:t>ideas and t</w:t>
      </w:r>
      <w:r>
        <w:rPr>
          <w:rFonts w:eastAsia="Times New Roman" w:cs="Times New Roman"/>
          <w:szCs w:val="24"/>
          <w:lang w:bidi="en-US"/>
        </w:rPr>
        <w:t>o</w:t>
      </w:r>
      <w:r w:rsidRPr="00B555D8">
        <w:rPr>
          <w:rFonts w:eastAsia="Times New Roman" w:cs="Times New Roman"/>
          <w:szCs w:val="24"/>
          <w:lang w:bidi="en-US"/>
        </w:rPr>
        <w:t xml:space="preserve"> encourage me throughout my study. His valuable suggestions and comments help</w:t>
      </w:r>
      <w:r>
        <w:rPr>
          <w:rFonts w:eastAsia="Times New Roman" w:cs="Times New Roman"/>
          <w:szCs w:val="24"/>
          <w:lang w:bidi="en-US"/>
        </w:rPr>
        <w:t>ed</w:t>
      </w:r>
      <w:r w:rsidRPr="00B555D8">
        <w:rPr>
          <w:rFonts w:eastAsia="Times New Roman" w:cs="Times New Roman"/>
          <w:szCs w:val="24"/>
          <w:lang w:bidi="en-US"/>
        </w:rPr>
        <w:t xml:space="preserve"> improve my research work. </w:t>
      </w:r>
      <w:r>
        <w:rPr>
          <w:rFonts w:eastAsia="Times New Roman" w:cs="Times New Roman"/>
          <w:szCs w:val="24"/>
          <w:lang w:bidi="en-US"/>
        </w:rPr>
        <w:t>Special thanks to Dr. Edg</w:t>
      </w:r>
      <w:r w:rsidR="00214696">
        <w:rPr>
          <w:rFonts w:eastAsia="Times New Roman" w:cs="Times New Roman"/>
          <w:szCs w:val="24"/>
          <w:lang w:bidi="en-US"/>
        </w:rPr>
        <w:t>a</w:t>
      </w:r>
      <w:r>
        <w:rPr>
          <w:rFonts w:eastAsia="Times New Roman" w:cs="Times New Roman"/>
          <w:szCs w:val="24"/>
          <w:lang w:bidi="en-US"/>
        </w:rPr>
        <w:t xml:space="preserve">r O’Rear for serving in my committee and providing access to laboratory facilities </w:t>
      </w:r>
      <w:r w:rsidR="001A626E">
        <w:rPr>
          <w:rFonts w:eastAsia="Times New Roman" w:cs="Times New Roman"/>
          <w:szCs w:val="24"/>
          <w:lang w:bidi="en-US"/>
        </w:rPr>
        <w:t>that</w:t>
      </w:r>
      <w:r>
        <w:rPr>
          <w:rFonts w:eastAsia="Times New Roman" w:cs="Times New Roman"/>
          <w:szCs w:val="24"/>
          <w:lang w:bidi="en-US"/>
        </w:rPr>
        <w:t xml:space="preserve"> were crucial for the successful completion of this research work. </w:t>
      </w:r>
      <w:r>
        <w:rPr>
          <w:rFonts w:eastAsia="Times New Roman" w:cs="Times New Roman"/>
          <w:color w:val="000000"/>
          <w:szCs w:val="24"/>
          <w:lang w:bidi="en-US"/>
        </w:rPr>
        <w:t xml:space="preserve">I also want to express my </w:t>
      </w:r>
      <w:r w:rsidRPr="00B555D8">
        <w:rPr>
          <w:rFonts w:eastAsia="Times New Roman" w:cs="Times New Roman"/>
          <w:color w:val="000000"/>
          <w:szCs w:val="24"/>
          <w:lang w:bidi="en-US"/>
        </w:rPr>
        <w:t>sincere thanks to my other committee member</w:t>
      </w:r>
      <w:r>
        <w:rPr>
          <w:rFonts w:eastAsia="Times New Roman" w:cs="Times New Roman"/>
          <w:color w:val="000000"/>
          <w:szCs w:val="24"/>
          <w:lang w:bidi="en-US"/>
        </w:rPr>
        <w:t>s</w:t>
      </w:r>
      <w:r w:rsidRPr="00B555D8">
        <w:rPr>
          <w:rFonts w:eastAsia="Times New Roman" w:cs="Times New Roman"/>
          <w:color w:val="000000"/>
          <w:szCs w:val="24"/>
          <w:lang w:bidi="en-US"/>
        </w:rPr>
        <w:t xml:space="preserve">, Dr. </w:t>
      </w:r>
      <w:r w:rsidRPr="00B555D8">
        <w:rPr>
          <w:rFonts w:eastAsia="Times New Roman" w:cs="Times New Roman"/>
          <w:szCs w:val="24"/>
          <w:lang w:bidi="en-US"/>
        </w:rPr>
        <w:t>Gerald A. Miller</w:t>
      </w:r>
      <w:r w:rsidRPr="00B555D8">
        <w:rPr>
          <w:rFonts w:eastAsia="Times New Roman" w:cs="Times New Roman"/>
          <w:color w:val="000000"/>
          <w:szCs w:val="24"/>
          <w:lang w:bidi="en-US"/>
        </w:rPr>
        <w:t xml:space="preserve"> </w:t>
      </w:r>
      <w:r>
        <w:rPr>
          <w:rFonts w:eastAsia="Times New Roman" w:cs="Times New Roman"/>
          <w:color w:val="000000"/>
          <w:szCs w:val="24"/>
          <w:lang w:bidi="en-US"/>
        </w:rPr>
        <w:t xml:space="preserve">and </w:t>
      </w:r>
      <w:r w:rsidRPr="00B555D8">
        <w:rPr>
          <w:rFonts w:eastAsia="Times New Roman" w:cs="Times New Roman"/>
          <w:szCs w:val="24"/>
          <w:lang w:bidi="en-US"/>
        </w:rPr>
        <w:t xml:space="preserve">Dr. Kianoosh Hatami </w:t>
      </w:r>
      <w:r w:rsidRPr="00B555D8">
        <w:rPr>
          <w:rFonts w:eastAsia="Times New Roman" w:cs="Times New Roman"/>
          <w:color w:val="000000"/>
          <w:szCs w:val="24"/>
          <w:lang w:bidi="en-US"/>
        </w:rPr>
        <w:t xml:space="preserve">for offering </w:t>
      </w:r>
      <w:r>
        <w:rPr>
          <w:rFonts w:eastAsia="Times New Roman" w:cs="Times New Roman"/>
          <w:color w:val="000000"/>
          <w:szCs w:val="24"/>
          <w:lang w:bidi="en-US"/>
        </w:rPr>
        <w:t>their</w:t>
      </w:r>
      <w:r w:rsidRPr="00B555D8">
        <w:rPr>
          <w:rFonts w:eastAsia="Times New Roman" w:cs="Times New Roman"/>
          <w:color w:val="000000"/>
          <w:szCs w:val="24"/>
          <w:lang w:bidi="en-US"/>
        </w:rPr>
        <w:t xml:space="preserve"> time and valuable input in completing this </w:t>
      </w:r>
      <w:r>
        <w:rPr>
          <w:rFonts w:eastAsia="Times New Roman" w:cs="Times New Roman"/>
          <w:color w:val="000000"/>
          <w:szCs w:val="24"/>
          <w:lang w:bidi="en-US"/>
        </w:rPr>
        <w:t>work</w:t>
      </w:r>
      <w:r w:rsidRPr="00B555D8">
        <w:rPr>
          <w:rFonts w:eastAsia="Times New Roman" w:cs="Times New Roman"/>
          <w:color w:val="000000"/>
          <w:szCs w:val="24"/>
          <w:lang w:bidi="en-US"/>
        </w:rPr>
        <w:t>.</w:t>
      </w:r>
      <w:r w:rsidRPr="00B555D8">
        <w:rPr>
          <w:rFonts w:eastAsia="Times New Roman" w:cs="Times New Roman"/>
          <w:szCs w:val="24"/>
          <w:lang w:bidi="en-US"/>
        </w:rPr>
        <w:t xml:space="preserve"> </w:t>
      </w:r>
    </w:p>
    <w:p w14:paraId="4480F8AE" w14:textId="513EF85D" w:rsidR="00291C12" w:rsidRPr="00B555D8" w:rsidRDefault="00291C12" w:rsidP="00291C12">
      <w:pPr>
        <w:ind w:firstLine="720"/>
        <w:rPr>
          <w:rFonts w:eastAsia="Times New Roman" w:cs="Times New Roman"/>
          <w:color w:val="000000"/>
          <w:szCs w:val="24"/>
          <w:lang w:bidi="en-US"/>
        </w:rPr>
      </w:pPr>
      <w:r w:rsidRPr="00B555D8">
        <w:rPr>
          <w:rFonts w:eastAsia="Times New Roman" w:cs="Times New Roman"/>
          <w:szCs w:val="24"/>
          <w:lang w:bidi="en-US"/>
        </w:rPr>
        <w:t xml:space="preserve">I want to </w:t>
      </w:r>
      <w:r>
        <w:rPr>
          <w:rFonts w:eastAsia="Times New Roman" w:cs="Times New Roman"/>
          <w:szCs w:val="24"/>
          <w:lang w:bidi="en-US"/>
        </w:rPr>
        <w:t>offer</w:t>
      </w:r>
      <w:r w:rsidRPr="00B555D8">
        <w:rPr>
          <w:rFonts w:eastAsia="Times New Roman" w:cs="Times New Roman"/>
          <w:szCs w:val="24"/>
          <w:lang w:bidi="en-US"/>
        </w:rPr>
        <w:t xml:space="preserve"> special thanks to </w:t>
      </w:r>
      <w:r>
        <w:rPr>
          <w:rFonts w:eastAsia="Times New Roman" w:cs="Times New Roman"/>
          <w:szCs w:val="24"/>
          <w:lang w:bidi="en-US"/>
        </w:rPr>
        <w:t>Kenneth R. Hobson</w:t>
      </w:r>
      <w:r w:rsidRPr="00B555D8">
        <w:rPr>
          <w:rFonts w:eastAsia="Times New Roman" w:cs="Times New Roman"/>
          <w:szCs w:val="24"/>
          <w:lang w:bidi="en-US"/>
        </w:rPr>
        <w:t xml:space="preserve"> for his great help and cooperation throug</w:t>
      </w:r>
      <w:r>
        <w:rPr>
          <w:rFonts w:eastAsia="Times New Roman" w:cs="Times New Roman"/>
          <w:szCs w:val="24"/>
          <w:lang w:bidi="en-US"/>
        </w:rPr>
        <w:t>hout</w:t>
      </w:r>
      <w:r w:rsidRPr="00B555D8">
        <w:rPr>
          <w:rFonts w:eastAsia="Times New Roman" w:cs="Times New Roman"/>
          <w:szCs w:val="24"/>
          <w:lang w:bidi="en-US"/>
        </w:rPr>
        <w:t xml:space="preserve"> my </w:t>
      </w:r>
      <w:r>
        <w:rPr>
          <w:rFonts w:eastAsia="Times New Roman" w:cs="Times New Roman"/>
          <w:szCs w:val="24"/>
          <w:lang w:bidi="en-US"/>
        </w:rPr>
        <w:t>research work</w:t>
      </w:r>
      <w:r w:rsidRPr="00B555D8">
        <w:rPr>
          <w:rFonts w:eastAsia="Times New Roman" w:cs="Times New Roman"/>
          <w:szCs w:val="24"/>
          <w:lang w:bidi="en-US"/>
        </w:rPr>
        <w:t xml:space="preserve">. </w:t>
      </w:r>
      <w:r>
        <w:rPr>
          <w:rFonts w:eastAsia="Times New Roman" w:cs="Times New Roman"/>
          <w:szCs w:val="24"/>
          <w:lang w:bidi="en-US"/>
        </w:rPr>
        <w:t>His assistance came in various forms:</w:t>
      </w:r>
      <w:r w:rsidRPr="00B555D8">
        <w:rPr>
          <w:rFonts w:eastAsia="Times New Roman" w:cs="Times New Roman"/>
          <w:szCs w:val="24"/>
          <w:lang w:bidi="en-US"/>
        </w:rPr>
        <w:t xml:space="preserve"> laboratory </w:t>
      </w:r>
      <w:r>
        <w:rPr>
          <w:rFonts w:eastAsia="Times New Roman" w:cs="Times New Roman"/>
          <w:szCs w:val="24"/>
          <w:lang w:bidi="en-US"/>
        </w:rPr>
        <w:t>testing</w:t>
      </w:r>
      <w:r w:rsidR="001A626E">
        <w:rPr>
          <w:rFonts w:eastAsia="Times New Roman" w:cs="Times New Roman"/>
          <w:szCs w:val="24"/>
          <w:lang w:bidi="en-US"/>
        </w:rPr>
        <w:t>,</w:t>
      </w:r>
      <w:r>
        <w:rPr>
          <w:rFonts w:eastAsia="Times New Roman" w:cs="Times New Roman"/>
          <w:szCs w:val="24"/>
          <w:lang w:bidi="en-US"/>
        </w:rPr>
        <w:t xml:space="preserve"> </w:t>
      </w:r>
      <w:r w:rsidR="001A626E">
        <w:rPr>
          <w:rFonts w:eastAsia="Times New Roman" w:cs="Times New Roman"/>
          <w:szCs w:val="24"/>
          <w:lang w:bidi="en-US"/>
        </w:rPr>
        <w:t xml:space="preserve">interpreting results, </w:t>
      </w:r>
      <w:r>
        <w:rPr>
          <w:rFonts w:eastAsia="Times New Roman" w:cs="Times New Roman"/>
          <w:szCs w:val="24"/>
          <w:lang w:bidi="en-US"/>
        </w:rPr>
        <w:t xml:space="preserve">and educating </w:t>
      </w:r>
      <w:r w:rsidRPr="00B555D8">
        <w:rPr>
          <w:rFonts w:eastAsia="Times New Roman" w:cs="Times New Roman"/>
          <w:szCs w:val="24"/>
          <w:lang w:bidi="en-US"/>
        </w:rPr>
        <w:t xml:space="preserve">me </w:t>
      </w:r>
      <w:r>
        <w:rPr>
          <w:rFonts w:eastAsia="Times New Roman" w:cs="Times New Roman"/>
          <w:szCs w:val="24"/>
          <w:lang w:bidi="en-US"/>
        </w:rPr>
        <w:t xml:space="preserve">on </w:t>
      </w:r>
      <w:r w:rsidRPr="00B555D8">
        <w:rPr>
          <w:rFonts w:eastAsia="Times New Roman" w:cs="Times New Roman"/>
          <w:szCs w:val="24"/>
          <w:lang w:bidi="en-US"/>
        </w:rPr>
        <w:t>different aspects of asphalt</w:t>
      </w:r>
      <w:r>
        <w:rPr>
          <w:rFonts w:eastAsia="Times New Roman" w:cs="Times New Roman"/>
          <w:szCs w:val="24"/>
          <w:lang w:bidi="en-US"/>
        </w:rPr>
        <w:t xml:space="preserve"> </w:t>
      </w:r>
      <w:r>
        <w:rPr>
          <w:rFonts w:eastAsia="Times New Roman" w:cs="Times New Roman"/>
          <w:szCs w:val="24"/>
          <w:lang w:bidi="en-US"/>
        </w:rPr>
        <w:lastRenderedPageBreak/>
        <w:t>materials</w:t>
      </w:r>
      <w:r w:rsidRPr="00B555D8">
        <w:rPr>
          <w:rFonts w:eastAsia="Times New Roman" w:cs="Times New Roman"/>
          <w:szCs w:val="24"/>
          <w:lang w:bidi="en-US"/>
        </w:rPr>
        <w:t>.</w:t>
      </w:r>
      <w:r>
        <w:rPr>
          <w:rFonts w:eastAsia="Times New Roman" w:cs="Times New Roman"/>
          <w:szCs w:val="24"/>
          <w:lang w:bidi="en-US"/>
        </w:rPr>
        <w:t xml:space="preserve"> </w:t>
      </w:r>
      <w:r w:rsidR="001A626E">
        <w:rPr>
          <w:rFonts w:eastAsia="Times New Roman" w:cs="Times New Roman"/>
          <w:szCs w:val="24"/>
          <w:lang w:bidi="en-US"/>
        </w:rPr>
        <w:t xml:space="preserve">I deeply appreciate his invaluable commitment to our research program. </w:t>
      </w:r>
      <w:r>
        <w:rPr>
          <w:rFonts w:eastAsia="Times New Roman" w:cs="Times New Roman"/>
          <w:szCs w:val="24"/>
          <w:lang w:bidi="en-US"/>
        </w:rPr>
        <w:t>Also, I want to thank my friends and colleagues, Dr</w:t>
      </w:r>
      <w:r w:rsidRPr="00B555D8">
        <w:rPr>
          <w:rFonts w:eastAsia="Times New Roman" w:cs="Times New Roman"/>
          <w:szCs w:val="24"/>
          <w:lang w:bidi="en-US"/>
        </w:rPr>
        <w:t>. Shivani Rani</w:t>
      </w:r>
      <w:r>
        <w:rPr>
          <w:rFonts w:eastAsia="Times New Roman" w:cs="Times New Roman"/>
          <w:szCs w:val="24"/>
          <w:lang w:bidi="en-US"/>
        </w:rPr>
        <w:t>, Mohammed Ashiqur</w:t>
      </w:r>
      <w:r w:rsidRPr="00B555D8">
        <w:rPr>
          <w:rFonts w:eastAsia="Times New Roman" w:cs="Times New Roman"/>
          <w:szCs w:val="24"/>
          <w:lang w:bidi="en-US"/>
        </w:rPr>
        <w:t xml:space="preserve"> </w:t>
      </w:r>
      <w:r>
        <w:rPr>
          <w:rFonts w:eastAsia="Times New Roman" w:cs="Times New Roman"/>
          <w:szCs w:val="24"/>
          <w:lang w:bidi="en-US"/>
        </w:rPr>
        <w:t>Rahman, Sagar Ghos</w:t>
      </w:r>
      <w:r w:rsidR="001A626E">
        <w:rPr>
          <w:rFonts w:eastAsia="Times New Roman" w:cs="Times New Roman"/>
          <w:szCs w:val="24"/>
          <w:lang w:bidi="en-US"/>
        </w:rPr>
        <w:t>,</w:t>
      </w:r>
      <w:r>
        <w:rPr>
          <w:rFonts w:eastAsia="Times New Roman" w:cs="Times New Roman"/>
          <w:szCs w:val="24"/>
          <w:lang w:bidi="en-US"/>
        </w:rPr>
        <w:t xml:space="preserve"> Matias Mendez</w:t>
      </w:r>
      <w:r w:rsidR="001A626E">
        <w:rPr>
          <w:rFonts w:eastAsia="Times New Roman" w:cs="Times New Roman"/>
          <w:szCs w:val="24"/>
          <w:lang w:bidi="en-US"/>
        </w:rPr>
        <w:t>, and Chris Sumter</w:t>
      </w:r>
      <w:r>
        <w:rPr>
          <w:rFonts w:eastAsia="Times New Roman" w:cs="Times New Roman"/>
          <w:szCs w:val="24"/>
          <w:lang w:bidi="en-US"/>
        </w:rPr>
        <w:t xml:space="preserve"> </w:t>
      </w:r>
      <w:r w:rsidRPr="00B555D8">
        <w:rPr>
          <w:rFonts w:eastAsia="Times New Roman" w:cs="Times New Roman"/>
          <w:szCs w:val="24"/>
          <w:lang w:bidi="en-US"/>
        </w:rPr>
        <w:t xml:space="preserve">who helped me </w:t>
      </w:r>
      <w:r>
        <w:rPr>
          <w:rFonts w:eastAsia="Times New Roman" w:cs="Times New Roman"/>
          <w:szCs w:val="24"/>
          <w:lang w:bidi="en-US"/>
        </w:rPr>
        <w:t xml:space="preserve">unselfishly </w:t>
      </w:r>
      <w:r w:rsidRPr="00B555D8">
        <w:rPr>
          <w:rFonts w:eastAsia="Times New Roman" w:cs="Times New Roman"/>
          <w:szCs w:val="24"/>
          <w:lang w:bidi="en-US"/>
        </w:rPr>
        <w:t>throughout my research</w:t>
      </w:r>
      <w:r>
        <w:rPr>
          <w:rFonts w:eastAsia="Times New Roman" w:cs="Times New Roman"/>
          <w:szCs w:val="24"/>
          <w:lang w:bidi="en-US"/>
        </w:rPr>
        <w:t xml:space="preserve">. </w:t>
      </w:r>
      <w:r w:rsidRPr="00B555D8">
        <w:rPr>
          <w:rFonts w:eastAsia="Times New Roman" w:cs="Times New Roman"/>
          <w:szCs w:val="24"/>
          <w:lang w:bidi="en-US"/>
        </w:rPr>
        <w:t xml:space="preserve">I would like to express my sincere gratitude to all the staff of the School of Civil Engineering and Environmental Science and </w:t>
      </w:r>
      <w:r>
        <w:rPr>
          <w:rFonts w:eastAsia="Times New Roman" w:cs="Times New Roman"/>
          <w:szCs w:val="24"/>
          <w:lang w:bidi="en-US"/>
        </w:rPr>
        <w:t xml:space="preserve">the </w:t>
      </w:r>
      <w:r w:rsidRPr="00B555D8">
        <w:rPr>
          <w:rFonts w:eastAsia="Times New Roman" w:cs="Times New Roman"/>
          <w:szCs w:val="24"/>
          <w:lang w:bidi="en-US"/>
        </w:rPr>
        <w:t>Southern Plain</w:t>
      </w:r>
      <w:r>
        <w:rPr>
          <w:rFonts w:eastAsia="Times New Roman" w:cs="Times New Roman"/>
          <w:szCs w:val="24"/>
          <w:lang w:bidi="en-US"/>
        </w:rPr>
        <w:t>s</w:t>
      </w:r>
      <w:r w:rsidRPr="00B555D8">
        <w:rPr>
          <w:rFonts w:eastAsia="Times New Roman" w:cs="Times New Roman"/>
          <w:szCs w:val="24"/>
          <w:lang w:bidi="en-US"/>
        </w:rPr>
        <w:t xml:space="preserve"> Transportation Center (SPTC) for their help and support. </w:t>
      </w:r>
      <w:r>
        <w:rPr>
          <w:rFonts w:eastAsia="Times New Roman" w:cs="Times New Roman"/>
          <w:color w:val="000000"/>
          <w:szCs w:val="24"/>
          <w:lang w:bidi="en-US"/>
        </w:rPr>
        <w:t>I</w:t>
      </w:r>
      <w:r w:rsidRPr="00072081">
        <w:rPr>
          <w:rFonts w:eastAsia="Times New Roman" w:cs="Times New Roman"/>
          <w:color w:val="000000"/>
          <w:szCs w:val="24"/>
          <w:lang w:bidi="en-US"/>
        </w:rPr>
        <w:t xml:space="preserve"> acknowledge and thank Richard Steger and Ingevity for their continuous support and assistance </w:t>
      </w:r>
      <w:r>
        <w:rPr>
          <w:rFonts w:eastAsia="Times New Roman" w:cs="Times New Roman"/>
          <w:color w:val="000000"/>
          <w:szCs w:val="24"/>
          <w:lang w:bidi="en-US"/>
        </w:rPr>
        <w:t>with laboratory works</w:t>
      </w:r>
      <w:r w:rsidRPr="00072081">
        <w:rPr>
          <w:rFonts w:eastAsia="Times New Roman" w:cs="Times New Roman"/>
          <w:color w:val="000000"/>
          <w:szCs w:val="24"/>
          <w:lang w:bidi="en-US"/>
        </w:rPr>
        <w:t xml:space="preserve">. </w:t>
      </w:r>
      <w:r w:rsidRPr="00B555D8">
        <w:rPr>
          <w:rFonts w:eastAsia="Times New Roman" w:cs="Times New Roman"/>
          <w:szCs w:val="24"/>
          <w:lang w:bidi="en-US"/>
        </w:rPr>
        <w:t xml:space="preserve">Also, </w:t>
      </w:r>
      <w:r>
        <w:rPr>
          <w:rFonts w:eastAsia="Times New Roman" w:cs="Times New Roman"/>
          <w:szCs w:val="24"/>
          <w:lang w:bidi="en-US"/>
        </w:rPr>
        <w:t xml:space="preserve">I am grateful to </w:t>
      </w:r>
      <w:r w:rsidRPr="00B555D8">
        <w:rPr>
          <w:rFonts w:eastAsia="Times New Roman" w:cs="Times New Roman"/>
          <w:color w:val="000000"/>
          <w:szCs w:val="24"/>
          <w:lang w:bidi="en-US"/>
        </w:rPr>
        <w:t>Dr.</w:t>
      </w:r>
      <w:r>
        <w:rPr>
          <w:rFonts w:eastAsia="Times New Roman" w:cs="Times New Roman"/>
          <w:color w:val="000000"/>
          <w:szCs w:val="24"/>
          <w:lang w:bidi="en-US"/>
        </w:rPr>
        <w:t xml:space="preserve"> Keisha Walters</w:t>
      </w:r>
      <w:r w:rsidRPr="00B555D8">
        <w:rPr>
          <w:rFonts w:eastAsia="Times New Roman" w:cs="Times New Roman"/>
          <w:color w:val="000000"/>
          <w:szCs w:val="24"/>
          <w:lang w:bidi="en-US"/>
        </w:rPr>
        <w:t xml:space="preserve"> and h</w:t>
      </w:r>
      <w:r>
        <w:rPr>
          <w:rFonts w:eastAsia="Times New Roman" w:cs="Times New Roman"/>
          <w:color w:val="000000"/>
          <w:szCs w:val="24"/>
          <w:lang w:bidi="en-US"/>
        </w:rPr>
        <w:t>er</w:t>
      </w:r>
      <w:r w:rsidRPr="00B555D8">
        <w:rPr>
          <w:rFonts w:eastAsia="Times New Roman" w:cs="Times New Roman"/>
          <w:color w:val="000000"/>
          <w:szCs w:val="24"/>
          <w:lang w:bidi="en-US"/>
        </w:rPr>
        <w:t xml:space="preserve"> research </w:t>
      </w:r>
      <w:r>
        <w:rPr>
          <w:rFonts w:eastAsia="Times New Roman" w:cs="Times New Roman"/>
          <w:color w:val="000000"/>
          <w:szCs w:val="24"/>
          <w:lang w:bidi="en-US"/>
        </w:rPr>
        <w:t xml:space="preserve">group </w:t>
      </w:r>
      <w:r w:rsidRPr="00B555D8">
        <w:rPr>
          <w:rFonts w:eastAsia="Times New Roman" w:cs="Times New Roman"/>
          <w:color w:val="000000"/>
          <w:szCs w:val="24"/>
          <w:lang w:bidi="en-US"/>
        </w:rPr>
        <w:t xml:space="preserve">for their </w:t>
      </w:r>
      <w:r>
        <w:rPr>
          <w:rFonts w:eastAsia="Times New Roman" w:cs="Times New Roman"/>
          <w:color w:val="000000"/>
          <w:szCs w:val="24"/>
          <w:lang w:bidi="en-US"/>
        </w:rPr>
        <w:t>help</w:t>
      </w:r>
      <w:r w:rsidRPr="00B555D8">
        <w:rPr>
          <w:rFonts w:eastAsia="Times New Roman" w:cs="Times New Roman"/>
          <w:color w:val="000000"/>
          <w:szCs w:val="24"/>
          <w:lang w:bidi="en-US"/>
        </w:rPr>
        <w:t xml:space="preserve"> in conducting this research.</w:t>
      </w:r>
      <w:r>
        <w:rPr>
          <w:rFonts w:eastAsia="Times New Roman" w:cs="Times New Roman"/>
          <w:color w:val="000000"/>
          <w:szCs w:val="24"/>
          <w:lang w:bidi="en-US"/>
        </w:rPr>
        <w:t xml:space="preserve"> </w:t>
      </w:r>
      <w:r w:rsidRPr="00B555D8">
        <w:rPr>
          <w:rFonts w:eastAsia="Times New Roman" w:cs="Times New Roman"/>
          <w:color w:val="000000"/>
          <w:szCs w:val="24"/>
          <w:lang w:bidi="en-US"/>
        </w:rPr>
        <w:t>The financial support provided by the Oklahoma Department of Transportation (ODOT)</w:t>
      </w:r>
      <w:r w:rsidR="001A626E">
        <w:rPr>
          <w:rFonts w:eastAsia="Times New Roman" w:cs="Times New Roman"/>
          <w:color w:val="000000"/>
          <w:szCs w:val="24"/>
          <w:lang w:bidi="en-US"/>
        </w:rPr>
        <w:t>,</w:t>
      </w:r>
      <w:r w:rsidRPr="00B555D8">
        <w:rPr>
          <w:rFonts w:eastAsia="Times New Roman" w:cs="Times New Roman"/>
          <w:color w:val="000000"/>
          <w:szCs w:val="24"/>
          <w:lang w:bidi="en-US"/>
        </w:rPr>
        <w:t xml:space="preserve"> the </w:t>
      </w:r>
      <w:r w:rsidRPr="00B555D8">
        <w:rPr>
          <w:rFonts w:eastAsia="Times New Roman" w:cs="Times New Roman"/>
          <w:szCs w:val="24"/>
          <w:lang w:bidi="en-US"/>
        </w:rPr>
        <w:t>Southern Plain</w:t>
      </w:r>
      <w:r>
        <w:rPr>
          <w:rFonts w:eastAsia="Times New Roman" w:cs="Times New Roman"/>
          <w:szCs w:val="24"/>
          <w:lang w:bidi="en-US"/>
        </w:rPr>
        <w:t>s</w:t>
      </w:r>
      <w:r w:rsidRPr="00B555D8">
        <w:rPr>
          <w:rFonts w:eastAsia="Times New Roman" w:cs="Times New Roman"/>
          <w:szCs w:val="24"/>
          <w:lang w:bidi="en-US"/>
        </w:rPr>
        <w:t xml:space="preserve"> Transportation Center (SPTC)</w:t>
      </w:r>
      <w:r w:rsidR="001A626E">
        <w:rPr>
          <w:rFonts w:eastAsia="Times New Roman" w:cs="Times New Roman"/>
          <w:szCs w:val="24"/>
          <w:lang w:bidi="en-US"/>
        </w:rPr>
        <w:t>, and Accelerated Bridge Construction (ABC)-UTC at Florida International University</w:t>
      </w:r>
      <w:r w:rsidRPr="00B555D8">
        <w:rPr>
          <w:rFonts w:eastAsia="Times New Roman" w:cs="Times New Roman"/>
          <w:color w:val="000000"/>
          <w:szCs w:val="24"/>
          <w:lang w:bidi="en-US"/>
        </w:rPr>
        <w:t xml:space="preserve"> are gratefully acknowledged. Thanks </w:t>
      </w:r>
      <w:r>
        <w:rPr>
          <w:rFonts w:eastAsia="Times New Roman" w:cs="Times New Roman"/>
          <w:color w:val="000000"/>
          <w:szCs w:val="24"/>
          <w:lang w:bidi="en-US"/>
        </w:rPr>
        <w:t xml:space="preserve">and appreciations </w:t>
      </w:r>
      <w:r w:rsidRPr="00B555D8">
        <w:rPr>
          <w:rFonts w:eastAsia="Times New Roman" w:cs="Times New Roman"/>
          <w:color w:val="000000"/>
          <w:szCs w:val="24"/>
          <w:lang w:bidi="en-US"/>
        </w:rPr>
        <w:t xml:space="preserve">are </w:t>
      </w:r>
      <w:r>
        <w:rPr>
          <w:rFonts w:eastAsia="Times New Roman" w:cs="Times New Roman"/>
          <w:color w:val="000000"/>
          <w:szCs w:val="24"/>
          <w:lang w:bidi="en-US"/>
        </w:rPr>
        <w:t xml:space="preserve">also </w:t>
      </w:r>
      <w:r w:rsidRPr="00B555D8">
        <w:rPr>
          <w:rFonts w:eastAsia="Times New Roman" w:cs="Times New Roman"/>
          <w:color w:val="000000"/>
          <w:szCs w:val="24"/>
          <w:lang w:bidi="en-US"/>
        </w:rPr>
        <w:t xml:space="preserve">extended to all the material suppliers </w:t>
      </w:r>
      <w:r>
        <w:rPr>
          <w:rFonts w:eastAsia="Times New Roman" w:cs="Times New Roman"/>
          <w:color w:val="000000"/>
          <w:szCs w:val="24"/>
          <w:lang w:bidi="en-US"/>
        </w:rPr>
        <w:t>for their help throughout this</w:t>
      </w:r>
      <w:r w:rsidRPr="00B555D8">
        <w:rPr>
          <w:rFonts w:eastAsia="Times New Roman" w:cs="Times New Roman"/>
          <w:color w:val="000000"/>
          <w:szCs w:val="24"/>
          <w:lang w:bidi="en-US"/>
        </w:rPr>
        <w:t xml:space="preserve"> study.</w:t>
      </w:r>
    </w:p>
    <w:p w14:paraId="40268D36" w14:textId="2F798737" w:rsidR="00291C12" w:rsidRDefault="00291C12" w:rsidP="00291C12">
      <w:pPr>
        <w:rPr>
          <w:lang w:bidi="en-US"/>
        </w:rPr>
      </w:pPr>
    </w:p>
    <w:p w14:paraId="64452750" w14:textId="4C021C33" w:rsidR="00291C12" w:rsidRDefault="00291C12" w:rsidP="00291C12">
      <w:pPr>
        <w:rPr>
          <w:lang w:bidi="en-US"/>
        </w:rPr>
      </w:pPr>
    </w:p>
    <w:p w14:paraId="0800BF33" w14:textId="6BA317CE" w:rsidR="00291C12" w:rsidRDefault="00291C12" w:rsidP="00291C12">
      <w:pPr>
        <w:rPr>
          <w:lang w:bidi="en-US"/>
        </w:rPr>
      </w:pPr>
    </w:p>
    <w:p w14:paraId="6AD51805" w14:textId="64E03B80" w:rsidR="00291C12" w:rsidRDefault="00291C12" w:rsidP="00291C12">
      <w:pPr>
        <w:rPr>
          <w:lang w:bidi="en-US"/>
        </w:rPr>
      </w:pPr>
    </w:p>
    <w:p w14:paraId="09577F6F" w14:textId="2F055E46" w:rsidR="00291C12" w:rsidRDefault="00291C12" w:rsidP="00291C12">
      <w:pPr>
        <w:rPr>
          <w:lang w:bidi="en-US"/>
        </w:rPr>
      </w:pPr>
    </w:p>
    <w:p w14:paraId="7BFE7972" w14:textId="06EB69B5" w:rsidR="00291C12" w:rsidRDefault="00291C12" w:rsidP="00291C12">
      <w:pPr>
        <w:rPr>
          <w:lang w:bidi="en-US"/>
        </w:rPr>
      </w:pPr>
    </w:p>
    <w:p w14:paraId="1043051F" w14:textId="0D510FB5" w:rsidR="00291C12" w:rsidRDefault="00291C12" w:rsidP="00291C12">
      <w:pPr>
        <w:rPr>
          <w:lang w:bidi="en-US"/>
        </w:rPr>
      </w:pPr>
    </w:p>
    <w:p w14:paraId="79D44747" w14:textId="62FE1597" w:rsidR="00291C12" w:rsidRDefault="00291C12" w:rsidP="00291C12">
      <w:pPr>
        <w:rPr>
          <w:lang w:bidi="en-US"/>
        </w:rPr>
      </w:pPr>
    </w:p>
    <w:p w14:paraId="488F2908" w14:textId="05619A2C" w:rsidR="00291C12" w:rsidRDefault="00291C12" w:rsidP="00291C12">
      <w:pPr>
        <w:rPr>
          <w:lang w:bidi="en-US"/>
        </w:rPr>
      </w:pPr>
    </w:p>
    <w:p w14:paraId="0C6448B4" w14:textId="031F9D66" w:rsidR="00291C12" w:rsidRDefault="00291C12" w:rsidP="00291C12">
      <w:pPr>
        <w:rPr>
          <w:lang w:bidi="en-US"/>
        </w:rPr>
      </w:pPr>
    </w:p>
    <w:p w14:paraId="089CC518" w14:textId="000CEAD5" w:rsidR="0037686A" w:rsidRDefault="0037686A" w:rsidP="005670AB">
      <w:pPr>
        <w:pStyle w:val="Chapter"/>
      </w:pPr>
      <w:bookmarkStart w:id="3" w:name="_Toc71728398"/>
      <w:r>
        <w:lastRenderedPageBreak/>
        <w:t>Table of Content</w:t>
      </w:r>
      <w:r w:rsidR="000247E7">
        <w:t>s</w:t>
      </w:r>
      <w:bookmarkEnd w:id="3"/>
    </w:p>
    <w:p w14:paraId="5F529FB1" w14:textId="7DEE9076" w:rsidR="00707021" w:rsidRPr="00032003" w:rsidRDefault="006C5532" w:rsidP="00032003">
      <w:pPr>
        <w:pStyle w:val="TOC1"/>
        <w:rPr>
          <w:rFonts w:ascii="Times New Roman" w:eastAsiaTheme="minorEastAsia" w:hAnsi="Times New Roman" w:cs="Times New Roman"/>
          <w:noProof/>
          <w:sz w:val="22"/>
          <w:szCs w:val="22"/>
        </w:rPr>
      </w:pPr>
      <w:r w:rsidRPr="005E7D40">
        <w:rPr>
          <w:rFonts w:eastAsia="Times New Roman"/>
          <w:noProof/>
          <w:lang w:bidi="en-US"/>
        </w:rPr>
        <w:fldChar w:fldCharType="begin"/>
      </w:r>
      <w:r w:rsidRPr="005E7D40">
        <w:rPr>
          <w:rFonts w:eastAsia="Times New Roman"/>
          <w:noProof/>
          <w:lang w:bidi="en-US"/>
        </w:rPr>
        <w:instrText xml:space="preserve"> TOC \o "1-3" \h \z \u </w:instrText>
      </w:r>
      <w:r w:rsidRPr="005E7D40">
        <w:rPr>
          <w:rFonts w:eastAsia="Times New Roman"/>
          <w:noProof/>
          <w:lang w:bidi="en-US"/>
        </w:rPr>
        <w:fldChar w:fldCharType="separate"/>
      </w:r>
      <w:hyperlink w:anchor="_Toc71728397" w:history="1">
        <w:r w:rsidR="00707021" w:rsidRPr="00032003">
          <w:rPr>
            <w:rStyle w:val="Hyperlink"/>
            <w:rFonts w:cs="Times New Roman"/>
            <w:noProof/>
            <w:szCs w:val="22"/>
            <w:lang w:bidi="en-US"/>
          </w:rPr>
          <w:t>Acknowledgements</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_Toc71728397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v</w:t>
        </w:r>
        <w:r w:rsidR="00707021" w:rsidRPr="00032003">
          <w:rPr>
            <w:rFonts w:ascii="Times New Roman" w:hAnsi="Times New Roman" w:cs="Times New Roman"/>
            <w:noProof/>
            <w:webHidden/>
            <w:sz w:val="22"/>
            <w:szCs w:val="22"/>
          </w:rPr>
          <w:fldChar w:fldCharType="end"/>
        </w:r>
      </w:hyperlink>
    </w:p>
    <w:p w14:paraId="7FC52948" w14:textId="71DFBD87" w:rsidR="00707021" w:rsidRPr="00032003" w:rsidRDefault="007F7885" w:rsidP="00032003">
      <w:pPr>
        <w:pStyle w:val="TOC1"/>
        <w:rPr>
          <w:rFonts w:ascii="Times New Roman" w:eastAsiaTheme="minorEastAsia" w:hAnsi="Times New Roman" w:cs="Times New Roman"/>
          <w:noProof/>
          <w:sz w:val="22"/>
          <w:szCs w:val="22"/>
        </w:rPr>
      </w:pPr>
      <w:hyperlink w:anchor="_Toc71728398" w:history="1">
        <w:r w:rsidR="00707021" w:rsidRPr="00032003">
          <w:rPr>
            <w:rStyle w:val="Hyperlink"/>
            <w:rFonts w:cs="Times New Roman"/>
            <w:noProof/>
            <w:szCs w:val="22"/>
            <w:lang w:bidi="en-US"/>
          </w:rPr>
          <w:t>Table of Contents</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_Toc71728398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vii</w:t>
        </w:r>
        <w:r w:rsidR="00707021" w:rsidRPr="00032003">
          <w:rPr>
            <w:rFonts w:ascii="Times New Roman" w:hAnsi="Times New Roman" w:cs="Times New Roman"/>
            <w:noProof/>
            <w:webHidden/>
            <w:sz w:val="22"/>
            <w:szCs w:val="22"/>
          </w:rPr>
          <w:fldChar w:fldCharType="end"/>
        </w:r>
      </w:hyperlink>
    </w:p>
    <w:p w14:paraId="49CDA325" w14:textId="7D16CE1D" w:rsidR="00707021" w:rsidRPr="00032003" w:rsidRDefault="007F7885" w:rsidP="00032003">
      <w:pPr>
        <w:pStyle w:val="TOC1"/>
        <w:rPr>
          <w:rFonts w:ascii="Times New Roman" w:eastAsiaTheme="minorEastAsia" w:hAnsi="Times New Roman" w:cs="Times New Roman"/>
          <w:noProof/>
          <w:sz w:val="22"/>
          <w:szCs w:val="22"/>
        </w:rPr>
      </w:pPr>
      <w:hyperlink w:anchor="_Toc71728399" w:history="1">
        <w:r w:rsidR="00707021" w:rsidRPr="00032003">
          <w:rPr>
            <w:rStyle w:val="Hyperlink"/>
            <w:rFonts w:cs="Times New Roman"/>
            <w:noProof/>
            <w:szCs w:val="22"/>
            <w:lang w:bidi="en-US"/>
          </w:rPr>
          <w:t>List of Tables</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_Toc71728399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ix</w:t>
        </w:r>
        <w:r w:rsidR="00707021" w:rsidRPr="00032003">
          <w:rPr>
            <w:rFonts w:ascii="Times New Roman" w:hAnsi="Times New Roman" w:cs="Times New Roman"/>
            <w:noProof/>
            <w:webHidden/>
            <w:sz w:val="22"/>
            <w:szCs w:val="22"/>
          </w:rPr>
          <w:fldChar w:fldCharType="end"/>
        </w:r>
      </w:hyperlink>
    </w:p>
    <w:p w14:paraId="70F8A32C" w14:textId="41560810" w:rsidR="00707021" w:rsidRPr="00032003" w:rsidRDefault="007F7885" w:rsidP="00032003">
      <w:pPr>
        <w:pStyle w:val="TOC1"/>
        <w:rPr>
          <w:rFonts w:ascii="Times New Roman" w:eastAsiaTheme="minorEastAsia" w:hAnsi="Times New Roman" w:cs="Times New Roman"/>
          <w:noProof/>
          <w:sz w:val="22"/>
          <w:szCs w:val="22"/>
        </w:rPr>
      </w:pPr>
      <w:hyperlink w:anchor="_Toc71728400" w:history="1">
        <w:r w:rsidR="00707021" w:rsidRPr="00032003">
          <w:rPr>
            <w:rStyle w:val="Hyperlink"/>
            <w:rFonts w:cs="Times New Roman"/>
            <w:noProof/>
            <w:szCs w:val="22"/>
            <w:lang w:bidi="en-US"/>
          </w:rPr>
          <w:t>List of Figures</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_Toc71728400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xi</w:t>
        </w:r>
        <w:r w:rsidR="00707021" w:rsidRPr="00032003">
          <w:rPr>
            <w:rFonts w:ascii="Times New Roman" w:hAnsi="Times New Roman" w:cs="Times New Roman"/>
            <w:noProof/>
            <w:webHidden/>
            <w:sz w:val="22"/>
            <w:szCs w:val="22"/>
          </w:rPr>
          <w:fldChar w:fldCharType="end"/>
        </w:r>
      </w:hyperlink>
    </w:p>
    <w:p w14:paraId="0D98BBEF" w14:textId="79619BA6" w:rsidR="00707021" w:rsidRPr="00032003" w:rsidRDefault="007F7885" w:rsidP="00032003">
      <w:pPr>
        <w:pStyle w:val="TOC1"/>
        <w:rPr>
          <w:rFonts w:ascii="Times New Roman" w:eastAsiaTheme="minorEastAsia" w:hAnsi="Times New Roman" w:cs="Times New Roman"/>
          <w:noProof/>
          <w:sz w:val="22"/>
          <w:szCs w:val="22"/>
        </w:rPr>
      </w:pPr>
      <w:hyperlink w:anchor="_Toc71728401" w:history="1">
        <w:r w:rsidR="00707021" w:rsidRPr="00032003">
          <w:rPr>
            <w:rStyle w:val="Hyperlink"/>
            <w:rFonts w:cs="Times New Roman"/>
            <w:noProof/>
            <w:szCs w:val="22"/>
            <w:lang w:bidi="en-US"/>
          </w:rPr>
          <w:t>Abstract</w:t>
        </w:r>
        <w:r w:rsidR="00B8721B" w:rsidRPr="00032003">
          <w:rPr>
            <w:rStyle w:val="Hyperlink"/>
            <w:rFonts w:cs="Times New Roman"/>
            <w:noProof/>
            <w:szCs w:val="22"/>
            <w:lang w:bidi="en-US"/>
          </w:rPr>
          <w:t>…..</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_Toc71728401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xiii</w:t>
        </w:r>
        <w:r w:rsidR="00707021" w:rsidRPr="00032003">
          <w:rPr>
            <w:rFonts w:ascii="Times New Roman" w:hAnsi="Times New Roman" w:cs="Times New Roman"/>
            <w:noProof/>
            <w:webHidden/>
            <w:sz w:val="22"/>
            <w:szCs w:val="22"/>
          </w:rPr>
          <w:fldChar w:fldCharType="end"/>
        </w:r>
      </w:hyperlink>
    </w:p>
    <w:p w14:paraId="376E777F" w14:textId="1A4293D2" w:rsidR="00707021" w:rsidRPr="00032003" w:rsidRDefault="00B8721B" w:rsidP="00032003">
      <w:pPr>
        <w:pStyle w:val="TOC1"/>
        <w:rPr>
          <w:rFonts w:ascii="Times New Roman" w:eastAsiaTheme="minorEastAsia" w:hAnsi="Times New Roman" w:cs="Times New Roman"/>
          <w:noProof/>
          <w:sz w:val="22"/>
          <w:szCs w:val="22"/>
        </w:rPr>
      </w:pPr>
      <w:r w:rsidRPr="00032003">
        <w:rPr>
          <w:rStyle w:val="Hyperlink"/>
          <w:rFonts w:cs="Times New Roman"/>
          <w:noProof/>
          <w:szCs w:val="22"/>
        </w:rPr>
        <w:t xml:space="preserve">CHAPTER </w:t>
      </w:r>
      <w:hyperlink w:anchor="_Toc71728402" w:history="1">
        <w:r w:rsidR="00707021" w:rsidRPr="00032003">
          <w:rPr>
            <w:rStyle w:val="Hyperlink"/>
            <w:rFonts w:cs="Times New Roman"/>
            <w:noProof/>
            <w:szCs w:val="22"/>
            <w:lang w:bidi="en-US"/>
          </w:rPr>
          <w:t>1. INTRODUCTION</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_Toc71728402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1</w:t>
        </w:r>
        <w:r w:rsidR="00707021" w:rsidRPr="00032003">
          <w:rPr>
            <w:rFonts w:ascii="Times New Roman" w:hAnsi="Times New Roman" w:cs="Times New Roman"/>
            <w:noProof/>
            <w:webHidden/>
            <w:sz w:val="22"/>
            <w:szCs w:val="22"/>
          </w:rPr>
          <w:fldChar w:fldCharType="end"/>
        </w:r>
      </w:hyperlink>
    </w:p>
    <w:p w14:paraId="23EB1B67" w14:textId="7ACE9616" w:rsidR="00707021" w:rsidRPr="00032003" w:rsidRDefault="007F7885" w:rsidP="00032003">
      <w:pPr>
        <w:pStyle w:val="TOC2"/>
        <w:rPr>
          <w:rFonts w:ascii="Times New Roman" w:eastAsiaTheme="minorEastAsia" w:hAnsi="Times New Roman" w:cs="Times New Roman"/>
          <w:noProof/>
          <w:sz w:val="22"/>
          <w:szCs w:val="22"/>
        </w:rPr>
      </w:pPr>
      <w:hyperlink w:anchor="_Toc71728403" w:history="1">
        <w:r w:rsidR="00707021" w:rsidRPr="00032003">
          <w:rPr>
            <w:rStyle w:val="Hyperlink"/>
            <w:rFonts w:cs="Times New Roman"/>
            <w:noProof/>
            <w:szCs w:val="22"/>
            <w:lang w:bidi="en-US"/>
          </w:rPr>
          <w:t>1.1 BACKGROUND</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_Toc71728403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1</w:t>
        </w:r>
        <w:r w:rsidR="00707021" w:rsidRPr="00032003">
          <w:rPr>
            <w:rFonts w:ascii="Times New Roman" w:hAnsi="Times New Roman" w:cs="Times New Roman"/>
            <w:noProof/>
            <w:webHidden/>
            <w:sz w:val="22"/>
            <w:szCs w:val="22"/>
          </w:rPr>
          <w:fldChar w:fldCharType="end"/>
        </w:r>
      </w:hyperlink>
    </w:p>
    <w:p w14:paraId="0D871736" w14:textId="364DD115" w:rsidR="00707021" w:rsidRPr="00032003" w:rsidRDefault="007F7885" w:rsidP="00032003">
      <w:pPr>
        <w:pStyle w:val="TOC2"/>
        <w:rPr>
          <w:rFonts w:ascii="Times New Roman" w:eastAsiaTheme="minorEastAsia" w:hAnsi="Times New Roman" w:cs="Times New Roman"/>
          <w:noProof/>
          <w:sz w:val="22"/>
          <w:szCs w:val="22"/>
        </w:rPr>
      </w:pPr>
      <w:hyperlink w:anchor="_Toc71728404" w:history="1">
        <w:r w:rsidR="00707021" w:rsidRPr="00032003">
          <w:rPr>
            <w:rStyle w:val="Hyperlink"/>
            <w:rFonts w:cs="Times New Roman"/>
            <w:noProof/>
            <w:szCs w:val="22"/>
            <w:lang w:bidi="en-US"/>
          </w:rPr>
          <w:t>1.2 OBJECTIVES</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_Toc71728404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4</w:t>
        </w:r>
        <w:r w:rsidR="00707021" w:rsidRPr="00032003">
          <w:rPr>
            <w:rFonts w:ascii="Times New Roman" w:hAnsi="Times New Roman" w:cs="Times New Roman"/>
            <w:noProof/>
            <w:webHidden/>
            <w:sz w:val="22"/>
            <w:szCs w:val="22"/>
          </w:rPr>
          <w:fldChar w:fldCharType="end"/>
        </w:r>
      </w:hyperlink>
    </w:p>
    <w:p w14:paraId="12922F76" w14:textId="52E143C7" w:rsidR="00707021" w:rsidRPr="00032003" w:rsidRDefault="007F7885" w:rsidP="00032003">
      <w:pPr>
        <w:pStyle w:val="TOC2"/>
        <w:rPr>
          <w:rFonts w:ascii="Times New Roman" w:eastAsiaTheme="minorEastAsia" w:hAnsi="Times New Roman" w:cs="Times New Roman"/>
          <w:noProof/>
          <w:sz w:val="22"/>
          <w:szCs w:val="22"/>
        </w:rPr>
      </w:pPr>
      <w:hyperlink w:anchor="_Toc71728405" w:history="1">
        <w:r w:rsidR="00707021" w:rsidRPr="00032003">
          <w:rPr>
            <w:rStyle w:val="Hyperlink"/>
            <w:rFonts w:cs="Times New Roman"/>
            <w:noProof/>
            <w:szCs w:val="22"/>
            <w:lang w:bidi="en-US"/>
          </w:rPr>
          <w:t>1.3 OVERVIEW OF CURRENT LITERATURE</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_Toc71728405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6</w:t>
        </w:r>
        <w:r w:rsidR="00707021" w:rsidRPr="00032003">
          <w:rPr>
            <w:rFonts w:ascii="Times New Roman" w:hAnsi="Times New Roman" w:cs="Times New Roman"/>
            <w:noProof/>
            <w:webHidden/>
            <w:sz w:val="22"/>
            <w:szCs w:val="22"/>
          </w:rPr>
          <w:fldChar w:fldCharType="end"/>
        </w:r>
      </w:hyperlink>
    </w:p>
    <w:p w14:paraId="0D33883A" w14:textId="2D7D6061" w:rsidR="00707021" w:rsidRPr="00032003" w:rsidRDefault="007F7885" w:rsidP="00032003">
      <w:pPr>
        <w:pStyle w:val="TOC3"/>
        <w:rPr>
          <w:rFonts w:ascii="Times New Roman" w:eastAsiaTheme="minorEastAsia" w:hAnsi="Times New Roman" w:cs="Times New Roman"/>
          <w:i w:val="0"/>
          <w:iCs w:val="0"/>
          <w:noProof/>
          <w:sz w:val="22"/>
          <w:szCs w:val="22"/>
        </w:rPr>
      </w:pPr>
      <w:hyperlink w:anchor="_Toc71728406" w:history="1">
        <w:r w:rsidR="00707021" w:rsidRPr="00032003">
          <w:rPr>
            <w:rStyle w:val="Hyperlink"/>
            <w:rFonts w:cs="Times New Roman"/>
            <w:i w:val="0"/>
            <w:iCs w:val="0"/>
            <w:noProof/>
            <w:szCs w:val="22"/>
            <w:lang w:bidi="en-US"/>
          </w:rPr>
          <w:t>1.3.1 Theories Related to Moisture-induced Damage of Asphalt Pavements</w:t>
        </w:r>
        <w:r w:rsidR="00707021" w:rsidRPr="00032003">
          <w:rPr>
            <w:rFonts w:ascii="Times New Roman" w:hAnsi="Times New Roman" w:cs="Times New Roman"/>
            <w:i w:val="0"/>
            <w:iCs w:val="0"/>
            <w:noProof/>
            <w:webHidden/>
            <w:sz w:val="22"/>
            <w:szCs w:val="22"/>
          </w:rPr>
          <w:tab/>
        </w:r>
        <w:r w:rsidR="00707021" w:rsidRPr="00032003">
          <w:rPr>
            <w:rFonts w:ascii="Times New Roman" w:hAnsi="Times New Roman" w:cs="Times New Roman"/>
            <w:i w:val="0"/>
            <w:iCs w:val="0"/>
            <w:noProof/>
            <w:webHidden/>
            <w:sz w:val="22"/>
            <w:szCs w:val="22"/>
          </w:rPr>
          <w:fldChar w:fldCharType="begin"/>
        </w:r>
        <w:r w:rsidR="00707021" w:rsidRPr="00032003">
          <w:rPr>
            <w:rFonts w:ascii="Times New Roman" w:hAnsi="Times New Roman" w:cs="Times New Roman"/>
            <w:i w:val="0"/>
            <w:iCs w:val="0"/>
            <w:noProof/>
            <w:webHidden/>
            <w:sz w:val="22"/>
            <w:szCs w:val="22"/>
          </w:rPr>
          <w:instrText xml:space="preserve"> PAGEREF _Toc71728406 \h </w:instrText>
        </w:r>
        <w:r w:rsidR="00707021" w:rsidRPr="00032003">
          <w:rPr>
            <w:rFonts w:ascii="Times New Roman" w:hAnsi="Times New Roman" w:cs="Times New Roman"/>
            <w:i w:val="0"/>
            <w:iCs w:val="0"/>
            <w:noProof/>
            <w:webHidden/>
            <w:sz w:val="22"/>
            <w:szCs w:val="22"/>
          </w:rPr>
        </w:r>
        <w:r w:rsidR="00707021" w:rsidRPr="00032003">
          <w:rPr>
            <w:rFonts w:ascii="Times New Roman" w:hAnsi="Times New Roman" w:cs="Times New Roman"/>
            <w:i w:val="0"/>
            <w:iCs w:val="0"/>
            <w:noProof/>
            <w:webHidden/>
            <w:sz w:val="22"/>
            <w:szCs w:val="22"/>
          </w:rPr>
          <w:fldChar w:fldCharType="separate"/>
        </w:r>
        <w:r w:rsidR="005050F0">
          <w:rPr>
            <w:rFonts w:ascii="Times New Roman" w:hAnsi="Times New Roman" w:cs="Times New Roman"/>
            <w:i w:val="0"/>
            <w:iCs w:val="0"/>
            <w:noProof/>
            <w:webHidden/>
            <w:sz w:val="22"/>
            <w:szCs w:val="22"/>
          </w:rPr>
          <w:t>6</w:t>
        </w:r>
        <w:r w:rsidR="00707021" w:rsidRPr="00032003">
          <w:rPr>
            <w:rFonts w:ascii="Times New Roman" w:hAnsi="Times New Roman" w:cs="Times New Roman"/>
            <w:i w:val="0"/>
            <w:iCs w:val="0"/>
            <w:noProof/>
            <w:webHidden/>
            <w:sz w:val="22"/>
            <w:szCs w:val="22"/>
          </w:rPr>
          <w:fldChar w:fldCharType="end"/>
        </w:r>
      </w:hyperlink>
    </w:p>
    <w:p w14:paraId="0CFDE20E" w14:textId="68DD6C47" w:rsidR="00707021" w:rsidRPr="00032003" w:rsidRDefault="007F7885" w:rsidP="00032003">
      <w:pPr>
        <w:pStyle w:val="TOC3"/>
        <w:rPr>
          <w:rFonts w:ascii="Times New Roman" w:eastAsiaTheme="minorEastAsia" w:hAnsi="Times New Roman" w:cs="Times New Roman"/>
          <w:i w:val="0"/>
          <w:iCs w:val="0"/>
          <w:noProof/>
          <w:sz w:val="22"/>
          <w:szCs w:val="22"/>
        </w:rPr>
      </w:pPr>
      <w:hyperlink w:anchor="_Toc71728407" w:history="1">
        <w:r w:rsidR="00707021" w:rsidRPr="00032003">
          <w:rPr>
            <w:rStyle w:val="Hyperlink"/>
            <w:rFonts w:cs="Times New Roman"/>
            <w:i w:val="0"/>
            <w:iCs w:val="0"/>
            <w:noProof/>
            <w:szCs w:val="22"/>
            <w:lang w:bidi="en-US"/>
          </w:rPr>
          <w:t>1.3.2 Current Practices of Evaluating Moisture-induced Damage</w:t>
        </w:r>
        <w:r w:rsidR="00707021" w:rsidRPr="00032003">
          <w:rPr>
            <w:rFonts w:ascii="Times New Roman" w:hAnsi="Times New Roman" w:cs="Times New Roman"/>
            <w:i w:val="0"/>
            <w:iCs w:val="0"/>
            <w:noProof/>
            <w:webHidden/>
            <w:sz w:val="22"/>
            <w:szCs w:val="22"/>
          </w:rPr>
          <w:tab/>
        </w:r>
        <w:r w:rsidR="00707021" w:rsidRPr="00032003">
          <w:rPr>
            <w:rFonts w:ascii="Times New Roman" w:hAnsi="Times New Roman" w:cs="Times New Roman"/>
            <w:i w:val="0"/>
            <w:iCs w:val="0"/>
            <w:noProof/>
            <w:webHidden/>
            <w:sz w:val="22"/>
            <w:szCs w:val="22"/>
          </w:rPr>
          <w:fldChar w:fldCharType="begin"/>
        </w:r>
        <w:r w:rsidR="00707021" w:rsidRPr="00032003">
          <w:rPr>
            <w:rFonts w:ascii="Times New Roman" w:hAnsi="Times New Roman" w:cs="Times New Roman"/>
            <w:i w:val="0"/>
            <w:iCs w:val="0"/>
            <w:noProof/>
            <w:webHidden/>
            <w:sz w:val="22"/>
            <w:szCs w:val="22"/>
          </w:rPr>
          <w:instrText xml:space="preserve"> PAGEREF _Toc71728407 \h </w:instrText>
        </w:r>
        <w:r w:rsidR="00707021" w:rsidRPr="00032003">
          <w:rPr>
            <w:rFonts w:ascii="Times New Roman" w:hAnsi="Times New Roman" w:cs="Times New Roman"/>
            <w:i w:val="0"/>
            <w:iCs w:val="0"/>
            <w:noProof/>
            <w:webHidden/>
            <w:sz w:val="22"/>
            <w:szCs w:val="22"/>
          </w:rPr>
        </w:r>
        <w:r w:rsidR="00707021" w:rsidRPr="00032003">
          <w:rPr>
            <w:rFonts w:ascii="Times New Roman" w:hAnsi="Times New Roman" w:cs="Times New Roman"/>
            <w:i w:val="0"/>
            <w:iCs w:val="0"/>
            <w:noProof/>
            <w:webHidden/>
            <w:sz w:val="22"/>
            <w:szCs w:val="22"/>
          </w:rPr>
          <w:fldChar w:fldCharType="separate"/>
        </w:r>
        <w:r w:rsidR="005050F0">
          <w:rPr>
            <w:rFonts w:ascii="Times New Roman" w:hAnsi="Times New Roman" w:cs="Times New Roman"/>
            <w:i w:val="0"/>
            <w:iCs w:val="0"/>
            <w:noProof/>
            <w:webHidden/>
            <w:sz w:val="22"/>
            <w:szCs w:val="22"/>
          </w:rPr>
          <w:t>7</w:t>
        </w:r>
        <w:r w:rsidR="00707021" w:rsidRPr="00032003">
          <w:rPr>
            <w:rFonts w:ascii="Times New Roman" w:hAnsi="Times New Roman" w:cs="Times New Roman"/>
            <w:i w:val="0"/>
            <w:iCs w:val="0"/>
            <w:noProof/>
            <w:webHidden/>
            <w:sz w:val="22"/>
            <w:szCs w:val="22"/>
          </w:rPr>
          <w:fldChar w:fldCharType="end"/>
        </w:r>
      </w:hyperlink>
    </w:p>
    <w:p w14:paraId="02D5E36B" w14:textId="52D12203" w:rsidR="00707021" w:rsidRPr="00032003" w:rsidRDefault="007F7885" w:rsidP="00032003">
      <w:pPr>
        <w:pStyle w:val="TOC3"/>
        <w:rPr>
          <w:rFonts w:ascii="Times New Roman" w:eastAsiaTheme="minorEastAsia" w:hAnsi="Times New Roman" w:cs="Times New Roman"/>
          <w:i w:val="0"/>
          <w:iCs w:val="0"/>
          <w:noProof/>
          <w:sz w:val="22"/>
          <w:szCs w:val="22"/>
        </w:rPr>
      </w:pPr>
      <w:hyperlink w:anchor="_Toc71728408" w:history="1">
        <w:r w:rsidR="00707021" w:rsidRPr="00032003">
          <w:rPr>
            <w:rStyle w:val="Hyperlink"/>
            <w:rFonts w:cs="Times New Roman"/>
            <w:i w:val="0"/>
            <w:iCs w:val="0"/>
            <w:noProof/>
            <w:szCs w:val="22"/>
            <w:lang w:bidi="en-US"/>
          </w:rPr>
          <w:t>1.3.3 Studies Related to Thermodynamic Approach</w:t>
        </w:r>
        <w:r w:rsidR="00707021" w:rsidRPr="00032003">
          <w:rPr>
            <w:rFonts w:ascii="Times New Roman" w:hAnsi="Times New Roman" w:cs="Times New Roman"/>
            <w:i w:val="0"/>
            <w:iCs w:val="0"/>
            <w:noProof/>
            <w:webHidden/>
            <w:sz w:val="22"/>
            <w:szCs w:val="22"/>
          </w:rPr>
          <w:tab/>
        </w:r>
        <w:r w:rsidR="00707021" w:rsidRPr="00032003">
          <w:rPr>
            <w:rFonts w:ascii="Times New Roman" w:hAnsi="Times New Roman" w:cs="Times New Roman"/>
            <w:i w:val="0"/>
            <w:iCs w:val="0"/>
            <w:noProof/>
            <w:webHidden/>
            <w:sz w:val="22"/>
            <w:szCs w:val="22"/>
          </w:rPr>
          <w:fldChar w:fldCharType="begin"/>
        </w:r>
        <w:r w:rsidR="00707021" w:rsidRPr="00032003">
          <w:rPr>
            <w:rFonts w:ascii="Times New Roman" w:hAnsi="Times New Roman" w:cs="Times New Roman"/>
            <w:i w:val="0"/>
            <w:iCs w:val="0"/>
            <w:noProof/>
            <w:webHidden/>
            <w:sz w:val="22"/>
            <w:szCs w:val="22"/>
          </w:rPr>
          <w:instrText xml:space="preserve"> PAGEREF _Toc71728408 \h </w:instrText>
        </w:r>
        <w:r w:rsidR="00707021" w:rsidRPr="00032003">
          <w:rPr>
            <w:rFonts w:ascii="Times New Roman" w:hAnsi="Times New Roman" w:cs="Times New Roman"/>
            <w:i w:val="0"/>
            <w:iCs w:val="0"/>
            <w:noProof/>
            <w:webHidden/>
            <w:sz w:val="22"/>
            <w:szCs w:val="22"/>
          </w:rPr>
        </w:r>
        <w:r w:rsidR="00707021" w:rsidRPr="00032003">
          <w:rPr>
            <w:rFonts w:ascii="Times New Roman" w:hAnsi="Times New Roman" w:cs="Times New Roman"/>
            <w:i w:val="0"/>
            <w:iCs w:val="0"/>
            <w:noProof/>
            <w:webHidden/>
            <w:sz w:val="22"/>
            <w:szCs w:val="22"/>
          </w:rPr>
          <w:fldChar w:fldCharType="separate"/>
        </w:r>
        <w:r w:rsidR="005050F0">
          <w:rPr>
            <w:rFonts w:ascii="Times New Roman" w:hAnsi="Times New Roman" w:cs="Times New Roman"/>
            <w:i w:val="0"/>
            <w:iCs w:val="0"/>
            <w:noProof/>
            <w:webHidden/>
            <w:sz w:val="22"/>
            <w:szCs w:val="22"/>
          </w:rPr>
          <w:t>11</w:t>
        </w:r>
        <w:r w:rsidR="00707021" w:rsidRPr="00032003">
          <w:rPr>
            <w:rFonts w:ascii="Times New Roman" w:hAnsi="Times New Roman" w:cs="Times New Roman"/>
            <w:i w:val="0"/>
            <w:iCs w:val="0"/>
            <w:noProof/>
            <w:webHidden/>
            <w:sz w:val="22"/>
            <w:szCs w:val="22"/>
          </w:rPr>
          <w:fldChar w:fldCharType="end"/>
        </w:r>
      </w:hyperlink>
    </w:p>
    <w:p w14:paraId="6282396A" w14:textId="35104DD0" w:rsidR="00707021" w:rsidRPr="00032003" w:rsidRDefault="007F7885" w:rsidP="00032003">
      <w:pPr>
        <w:pStyle w:val="TOC3"/>
        <w:rPr>
          <w:rFonts w:ascii="Times New Roman" w:eastAsiaTheme="minorEastAsia" w:hAnsi="Times New Roman" w:cs="Times New Roman"/>
          <w:i w:val="0"/>
          <w:iCs w:val="0"/>
          <w:noProof/>
          <w:sz w:val="22"/>
          <w:szCs w:val="22"/>
        </w:rPr>
      </w:pPr>
      <w:hyperlink w:anchor="_Toc71728409" w:history="1">
        <w:r w:rsidR="00707021" w:rsidRPr="00032003">
          <w:rPr>
            <w:rStyle w:val="Hyperlink"/>
            <w:rFonts w:cs="Times New Roman"/>
            <w:i w:val="0"/>
            <w:iCs w:val="0"/>
            <w:noProof/>
            <w:szCs w:val="22"/>
            <w:lang w:bidi="en-US"/>
          </w:rPr>
          <w:t>1.3.4 Effect of Chemical Compositions of Asphalt Binder and Aggregate on Moisture-induced Damage</w:t>
        </w:r>
        <w:r w:rsidR="00707021" w:rsidRPr="00032003">
          <w:rPr>
            <w:rFonts w:ascii="Times New Roman" w:hAnsi="Times New Roman" w:cs="Times New Roman"/>
            <w:i w:val="0"/>
            <w:iCs w:val="0"/>
            <w:noProof/>
            <w:webHidden/>
            <w:sz w:val="22"/>
            <w:szCs w:val="22"/>
          </w:rPr>
          <w:tab/>
        </w:r>
        <w:r w:rsidR="00707021" w:rsidRPr="00032003">
          <w:rPr>
            <w:rFonts w:ascii="Times New Roman" w:hAnsi="Times New Roman" w:cs="Times New Roman"/>
            <w:i w:val="0"/>
            <w:iCs w:val="0"/>
            <w:noProof/>
            <w:webHidden/>
            <w:sz w:val="22"/>
            <w:szCs w:val="22"/>
          </w:rPr>
          <w:fldChar w:fldCharType="begin"/>
        </w:r>
        <w:r w:rsidR="00707021" w:rsidRPr="00032003">
          <w:rPr>
            <w:rFonts w:ascii="Times New Roman" w:hAnsi="Times New Roman" w:cs="Times New Roman"/>
            <w:i w:val="0"/>
            <w:iCs w:val="0"/>
            <w:noProof/>
            <w:webHidden/>
            <w:sz w:val="22"/>
            <w:szCs w:val="22"/>
          </w:rPr>
          <w:instrText xml:space="preserve"> PAGEREF _Toc71728409 \h </w:instrText>
        </w:r>
        <w:r w:rsidR="00707021" w:rsidRPr="00032003">
          <w:rPr>
            <w:rFonts w:ascii="Times New Roman" w:hAnsi="Times New Roman" w:cs="Times New Roman"/>
            <w:i w:val="0"/>
            <w:iCs w:val="0"/>
            <w:noProof/>
            <w:webHidden/>
            <w:sz w:val="22"/>
            <w:szCs w:val="22"/>
          </w:rPr>
        </w:r>
        <w:r w:rsidR="00707021" w:rsidRPr="00032003">
          <w:rPr>
            <w:rFonts w:ascii="Times New Roman" w:hAnsi="Times New Roman" w:cs="Times New Roman"/>
            <w:i w:val="0"/>
            <w:iCs w:val="0"/>
            <w:noProof/>
            <w:webHidden/>
            <w:sz w:val="22"/>
            <w:szCs w:val="22"/>
          </w:rPr>
          <w:fldChar w:fldCharType="separate"/>
        </w:r>
        <w:r w:rsidR="005050F0">
          <w:rPr>
            <w:rFonts w:ascii="Times New Roman" w:hAnsi="Times New Roman" w:cs="Times New Roman"/>
            <w:i w:val="0"/>
            <w:iCs w:val="0"/>
            <w:noProof/>
            <w:webHidden/>
            <w:sz w:val="22"/>
            <w:szCs w:val="22"/>
          </w:rPr>
          <w:t>14</w:t>
        </w:r>
        <w:r w:rsidR="00707021" w:rsidRPr="00032003">
          <w:rPr>
            <w:rFonts w:ascii="Times New Roman" w:hAnsi="Times New Roman" w:cs="Times New Roman"/>
            <w:i w:val="0"/>
            <w:iCs w:val="0"/>
            <w:noProof/>
            <w:webHidden/>
            <w:sz w:val="22"/>
            <w:szCs w:val="22"/>
          </w:rPr>
          <w:fldChar w:fldCharType="end"/>
        </w:r>
      </w:hyperlink>
    </w:p>
    <w:p w14:paraId="38E18488" w14:textId="25670AA8" w:rsidR="00707021" w:rsidRPr="00032003" w:rsidRDefault="007F7885" w:rsidP="00032003">
      <w:pPr>
        <w:pStyle w:val="TOC3"/>
        <w:rPr>
          <w:rFonts w:ascii="Times New Roman" w:eastAsiaTheme="minorEastAsia" w:hAnsi="Times New Roman" w:cs="Times New Roman"/>
          <w:i w:val="0"/>
          <w:iCs w:val="0"/>
          <w:noProof/>
          <w:sz w:val="22"/>
          <w:szCs w:val="22"/>
        </w:rPr>
      </w:pPr>
      <w:hyperlink w:anchor="_Toc71728410" w:history="1">
        <w:r w:rsidR="00707021" w:rsidRPr="00032003">
          <w:rPr>
            <w:rStyle w:val="Hyperlink"/>
            <w:rFonts w:cs="Times New Roman"/>
            <w:i w:val="0"/>
            <w:iCs w:val="0"/>
            <w:noProof/>
            <w:szCs w:val="22"/>
            <w:lang w:bidi="en-US"/>
          </w:rPr>
          <w:t>1.3.5 Effect of Different Additives on the Moisture-induced Damage</w:t>
        </w:r>
        <w:r w:rsidR="00707021" w:rsidRPr="00032003">
          <w:rPr>
            <w:rFonts w:ascii="Times New Roman" w:hAnsi="Times New Roman" w:cs="Times New Roman"/>
            <w:i w:val="0"/>
            <w:iCs w:val="0"/>
            <w:noProof/>
            <w:webHidden/>
            <w:sz w:val="22"/>
            <w:szCs w:val="22"/>
          </w:rPr>
          <w:tab/>
        </w:r>
        <w:r w:rsidR="00707021" w:rsidRPr="00032003">
          <w:rPr>
            <w:rFonts w:ascii="Times New Roman" w:hAnsi="Times New Roman" w:cs="Times New Roman"/>
            <w:i w:val="0"/>
            <w:iCs w:val="0"/>
            <w:noProof/>
            <w:webHidden/>
            <w:sz w:val="22"/>
            <w:szCs w:val="22"/>
          </w:rPr>
          <w:fldChar w:fldCharType="begin"/>
        </w:r>
        <w:r w:rsidR="00707021" w:rsidRPr="00032003">
          <w:rPr>
            <w:rFonts w:ascii="Times New Roman" w:hAnsi="Times New Roman" w:cs="Times New Roman"/>
            <w:i w:val="0"/>
            <w:iCs w:val="0"/>
            <w:noProof/>
            <w:webHidden/>
            <w:sz w:val="22"/>
            <w:szCs w:val="22"/>
          </w:rPr>
          <w:instrText xml:space="preserve"> PAGEREF _Toc71728410 \h </w:instrText>
        </w:r>
        <w:r w:rsidR="00707021" w:rsidRPr="00032003">
          <w:rPr>
            <w:rFonts w:ascii="Times New Roman" w:hAnsi="Times New Roman" w:cs="Times New Roman"/>
            <w:i w:val="0"/>
            <w:iCs w:val="0"/>
            <w:noProof/>
            <w:webHidden/>
            <w:sz w:val="22"/>
            <w:szCs w:val="22"/>
          </w:rPr>
        </w:r>
        <w:r w:rsidR="00707021" w:rsidRPr="00032003">
          <w:rPr>
            <w:rFonts w:ascii="Times New Roman" w:hAnsi="Times New Roman" w:cs="Times New Roman"/>
            <w:i w:val="0"/>
            <w:iCs w:val="0"/>
            <w:noProof/>
            <w:webHidden/>
            <w:sz w:val="22"/>
            <w:szCs w:val="22"/>
          </w:rPr>
          <w:fldChar w:fldCharType="separate"/>
        </w:r>
        <w:r w:rsidR="005050F0">
          <w:rPr>
            <w:rFonts w:ascii="Times New Roman" w:hAnsi="Times New Roman" w:cs="Times New Roman"/>
            <w:i w:val="0"/>
            <w:iCs w:val="0"/>
            <w:noProof/>
            <w:webHidden/>
            <w:sz w:val="22"/>
            <w:szCs w:val="22"/>
          </w:rPr>
          <w:t>17</w:t>
        </w:r>
        <w:r w:rsidR="00707021" w:rsidRPr="00032003">
          <w:rPr>
            <w:rFonts w:ascii="Times New Roman" w:hAnsi="Times New Roman" w:cs="Times New Roman"/>
            <w:i w:val="0"/>
            <w:iCs w:val="0"/>
            <w:noProof/>
            <w:webHidden/>
            <w:sz w:val="22"/>
            <w:szCs w:val="22"/>
          </w:rPr>
          <w:fldChar w:fldCharType="end"/>
        </w:r>
      </w:hyperlink>
    </w:p>
    <w:p w14:paraId="3EA62AE6" w14:textId="007683DB" w:rsidR="00707021" w:rsidRPr="00032003" w:rsidRDefault="007F7885" w:rsidP="00032003">
      <w:pPr>
        <w:pStyle w:val="TOC2"/>
        <w:rPr>
          <w:rFonts w:ascii="Times New Roman" w:eastAsiaTheme="minorEastAsia" w:hAnsi="Times New Roman" w:cs="Times New Roman"/>
          <w:noProof/>
          <w:sz w:val="22"/>
          <w:szCs w:val="22"/>
        </w:rPr>
      </w:pPr>
      <w:hyperlink w:anchor="_Toc71728411" w:history="1">
        <w:r w:rsidR="00707021" w:rsidRPr="00032003">
          <w:rPr>
            <w:rStyle w:val="Hyperlink"/>
            <w:rFonts w:cs="Times New Roman"/>
            <w:noProof/>
            <w:szCs w:val="22"/>
            <w:lang w:bidi="en-US"/>
          </w:rPr>
          <w:t>1.4 SCOPE, ASSUMPTIONS AND LIMITATIONS OF THE CURRENT STUDY</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_Toc71728411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20</w:t>
        </w:r>
        <w:r w:rsidR="00707021" w:rsidRPr="00032003">
          <w:rPr>
            <w:rFonts w:ascii="Times New Roman" w:hAnsi="Times New Roman" w:cs="Times New Roman"/>
            <w:noProof/>
            <w:webHidden/>
            <w:sz w:val="22"/>
            <w:szCs w:val="22"/>
          </w:rPr>
          <w:fldChar w:fldCharType="end"/>
        </w:r>
      </w:hyperlink>
    </w:p>
    <w:p w14:paraId="07C89D10" w14:textId="54671EF6" w:rsidR="00707021" w:rsidRPr="00032003" w:rsidRDefault="007F7885" w:rsidP="00032003">
      <w:pPr>
        <w:pStyle w:val="TOC2"/>
        <w:rPr>
          <w:rFonts w:ascii="Times New Roman" w:eastAsiaTheme="minorEastAsia" w:hAnsi="Times New Roman" w:cs="Times New Roman"/>
          <w:noProof/>
          <w:sz w:val="22"/>
          <w:szCs w:val="22"/>
        </w:rPr>
      </w:pPr>
      <w:hyperlink w:anchor="_Toc71728412" w:history="1">
        <w:r w:rsidR="00707021" w:rsidRPr="00032003">
          <w:rPr>
            <w:rStyle w:val="Hyperlink"/>
            <w:rFonts w:cs="Times New Roman"/>
            <w:noProof/>
            <w:szCs w:val="22"/>
            <w:lang w:bidi="en-US"/>
          </w:rPr>
          <w:t>1.5 DISSERTATION FORMAT AND CONTENT</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_Toc71728412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22</w:t>
        </w:r>
        <w:r w:rsidR="00707021" w:rsidRPr="00032003">
          <w:rPr>
            <w:rFonts w:ascii="Times New Roman" w:hAnsi="Times New Roman" w:cs="Times New Roman"/>
            <w:noProof/>
            <w:webHidden/>
            <w:sz w:val="22"/>
            <w:szCs w:val="22"/>
          </w:rPr>
          <w:fldChar w:fldCharType="end"/>
        </w:r>
      </w:hyperlink>
    </w:p>
    <w:p w14:paraId="363E2AAE" w14:textId="251D2F6B" w:rsidR="00707021" w:rsidRPr="00032003" w:rsidRDefault="00522E98" w:rsidP="00032003">
      <w:pPr>
        <w:pStyle w:val="TOC1"/>
        <w:rPr>
          <w:rFonts w:ascii="Times New Roman" w:eastAsiaTheme="minorEastAsia" w:hAnsi="Times New Roman" w:cs="Times New Roman"/>
          <w:noProof/>
          <w:sz w:val="22"/>
          <w:szCs w:val="22"/>
        </w:rPr>
      </w:pPr>
      <w:r w:rsidRPr="00032003">
        <w:rPr>
          <w:rStyle w:val="Hyperlink"/>
          <w:rFonts w:cs="Times New Roman"/>
          <w:noProof/>
          <w:szCs w:val="22"/>
        </w:rPr>
        <w:t xml:space="preserve">CHAPTER </w:t>
      </w:r>
      <w:hyperlink w:anchor="_Toc71728413" w:history="1">
        <w:r w:rsidR="00707021" w:rsidRPr="00032003">
          <w:rPr>
            <w:rStyle w:val="Hyperlink"/>
            <w:rFonts w:cs="Times New Roman"/>
            <w:noProof/>
            <w:szCs w:val="22"/>
            <w:lang w:bidi="en-US"/>
          </w:rPr>
          <w:t>2. EFFECTS OF SURFACE FREE ENERGY ESTIMATION METHODS AND PROBE LIQUIDS ON THE MOISTURE-INDUCED DAMAGE POTENTIAL OF ASPHALT MIXES</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_Toc71728413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24</w:t>
        </w:r>
        <w:r w:rsidR="00707021" w:rsidRPr="00032003">
          <w:rPr>
            <w:rFonts w:ascii="Times New Roman" w:hAnsi="Times New Roman" w:cs="Times New Roman"/>
            <w:noProof/>
            <w:webHidden/>
            <w:sz w:val="22"/>
            <w:szCs w:val="22"/>
          </w:rPr>
          <w:fldChar w:fldCharType="end"/>
        </w:r>
      </w:hyperlink>
    </w:p>
    <w:p w14:paraId="09F83413" w14:textId="7E2B4028" w:rsidR="00707021" w:rsidRPr="00032003" w:rsidRDefault="007F7885" w:rsidP="00032003">
      <w:pPr>
        <w:pStyle w:val="TOC2"/>
        <w:rPr>
          <w:rFonts w:ascii="Times New Roman" w:eastAsiaTheme="minorEastAsia" w:hAnsi="Times New Roman" w:cs="Times New Roman"/>
          <w:noProof/>
          <w:sz w:val="22"/>
          <w:szCs w:val="22"/>
        </w:rPr>
      </w:pPr>
      <w:hyperlink w:anchor="_Toc71728414" w:history="1">
        <w:r w:rsidR="00707021" w:rsidRPr="00032003">
          <w:rPr>
            <w:rStyle w:val="Hyperlink"/>
            <w:rFonts w:cs="Times New Roman"/>
            <w:noProof/>
            <w:szCs w:val="22"/>
            <w:lang w:bidi="en-US"/>
          </w:rPr>
          <w:t>2.1 INTRODUCTION</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_Toc71728414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25</w:t>
        </w:r>
        <w:r w:rsidR="00707021" w:rsidRPr="00032003">
          <w:rPr>
            <w:rFonts w:ascii="Times New Roman" w:hAnsi="Times New Roman" w:cs="Times New Roman"/>
            <w:noProof/>
            <w:webHidden/>
            <w:sz w:val="22"/>
            <w:szCs w:val="22"/>
          </w:rPr>
          <w:fldChar w:fldCharType="end"/>
        </w:r>
      </w:hyperlink>
    </w:p>
    <w:p w14:paraId="11F26EBC" w14:textId="019F3C8C" w:rsidR="00707021" w:rsidRPr="00032003" w:rsidRDefault="007F7885" w:rsidP="00032003">
      <w:pPr>
        <w:pStyle w:val="TOC2"/>
        <w:rPr>
          <w:rFonts w:ascii="Times New Roman" w:eastAsiaTheme="minorEastAsia" w:hAnsi="Times New Roman" w:cs="Times New Roman"/>
          <w:noProof/>
          <w:sz w:val="22"/>
          <w:szCs w:val="22"/>
        </w:rPr>
      </w:pPr>
      <w:hyperlink w:anchor="_Toc71728415" w:history="1">
        <w:r w:rsidR="00707021" w:rsidRPr="00032003">
          <w:rPr>
            <w:rStyle w:val="Hyperlink"/>
            <w:rFonts w:cs="Times New Roman"/>
            <w:noProof/>
            <w:szCs w:val="22"/>
            <w:lang w:bidi="en-US"/>
          </w:rPr>
          <w:t>2.2 OBJECTIVES</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_Toc71728415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33</w:t>
        </w:r>
        <w:r w:rsidR="00707021" w:rsidRPr="00032003">
          <w:rPr>
            <w:rFonts w:ascii="Times New Roman" w:hAnsi="Times New Roman" w:cs="Times New Roman"/>
            <w:noProof/>
            <w:webHidden/>
            <w:sz w:val="22"/>
            <w:szCs w:val="22"/>
          </w:rPr>
          <w:fldChar w:fldCharType="end"/>
        </w:r>
      </w:hyperlink>
    </w:p>
    <w:p w14:paraId="1C8ECDC2" w14:textId="0F22EAED" w:rsidR="00707021" w:rsidRPr="00032003" w:rsidRDefault="007F7885" w:rsidP="00032003">
      <w:pPr>
        <w:pStyle w:val="TOC2"/>
        <w:rPr>
          <w:rFonts w:ascii="Times New Roman" w:eastAsiaTheme="minorEastAsia" w:hAnsi="Times New Roman" w:cs="Times New Roman"/>
          <w:noProof/>
          <w:sz w:val="22"/>
          <w:szCs w:val="22"/>
        </w:rPr>
      </w:pPr>
      <w:hyperlink w:anchor="_Toc71728416" w:history="1">
        <w:r w:rsidR="00707021" w:rsidRPr="00032003">
          <w:rPr>
            <w:rStyle w:val="Hyperlink"/>
            <w:rFonts w:cs="Times New Roman"/>
            <w:noProof/>
            <w:szCs w:val="22"/>
            <w:lang w:bidi="en-US"/>
          </w:rPr>
          <w:t>2.3 MATERIALS AND METHODS</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_Toc71728416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34</w:t>
        </w:r>
        <w:r w:rsidR="00707021" w:rsidRPr="00032003">
          <w:rPr>
            <w:rFonts w:ascii="Times New Roman" w:hAnsi="Times New Roman" w:cs="Times New Roman"/>
            <w:noProof/>
            <w:webHidden/>
            <w:sz w:val="22"/>
            <w:szCs w:val="22"/>
          </w:rPr>
          <w:fldChar w:fldCharType="end"/>
        </w:r>
      </w:hyperlink>
    </w:p>
    <w:p w14:paraId="2D784C71" w14:textId="6688E535" w:rsidR="00707021" w:rsidRPr="00032003" w:rsidRDefault="007F7885" w:rsidP="00032003">
      <w:pPr>
        <w:pStyle w:val="TOC2"/>
        <w:rPr>
          <w:rFonts w:ascii="Times New Roman" w:eastAsiaTheme="minorEastAsia" w:hAnsi="Times New Roman" w:cs="Times New Roman"/>
          <w:noProof/>
          <w:sz w:val="22"/>
          <w:szCs w:val="22"/>
        </w:rPr>
      </w:pPr>
      <w:hyperlink w:anchor="_Toc71728417" w:history="1">
        <w:r w:rsidR="00707021" w:rsidRPr="00032003">
          <w:rPr>
            <w:rStyle w:val="Hyperlink"/>
            <w:rFonts w:cs="Times New Roman"/>
            <w:noProof/>
            <w:szCs w:val="22"/>
            <w:lang w:bidi="en-US"/>
          </w:rPr>
          <w:t>2.4 RESULTS AND DISCUSSION</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_Toc71728417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36</w:t>
        </w:r>
        <w:r w:rsidR="00707021" w:rsidRPr="00032003">
          <w:rPr>
            <w:rFonts w:ascii="Times New Roman" w:hAnsi="Times New Roman" w:cs="Times New Roman"/>
            <w:noProof/>
            <w:webHidden/>
            <w:sz w:val="22"/>
            <w:szCs w:val="22"/>
          </w:rPr>
          <w:fldChar w:fldCharType="end"/>
        </w:r>
      </w:hyperlink>
    </w:p>
    <w:p w14:paraId="7B195108" w14:textId="758C338B" w:rsidR="00707021" w:rsidRPr="00032003" w:rsidRDefault="007F7885" w:rsidP="00032003">
      <w:pPr>
        <w:pStyle w:val="TOC3"/>
        <w:rPr>
          <w:rFonts w:ascii="Times New Roman" w:eastAsiaTheme="minorEastAsia" w:hAnsi="Times New Roman" w:cs="Times New Roman"/>
          <w:i w:val="0"/>
          <w:iCs w:val="0"/>
          <w:noProof/>
          <w:sz w:val="22"/>
          <w:szCs w:val="22"/>
        </w:rPr>
      </w:pPr>
      <w:hyperlink w:anchor="_Toc71728418" w:history="1">
        <w:r w:rsidR="00707021" w:rsidRPr="00032003">
          <w:rPr>
            <w:rStyle w:val="Hyperlink"/>
            <w:rFonts w:cs="Times New Roman"/>
            <w:i w:val="0"/>
            <w:iCs w:val="0"/>
            <w:noProof/>
            <w:szCs w:val="22"/>
            <w:lang w:bidi="en-US"/>
          </w:rPr>
          <w:t>2.4.1 Contact Angles of Binders</w:t>
        </w:r>
        <w:r w:rsidR="00707021" w:rsidRPr="00032003">
          <w:rPr>
            <w:rFonts w:ascii="Times New Roman" w:hAnsi="Times New Roman" w:cs="Times New Roman"/>
            <w:i w:val="0"/>
            <w:iCs w:val="0"/>
            <w:noProof/>
            <w:webHidden/>
            <w:sz w:val="22"/>
            <w:szCs w:val="22"/>
          </w:rPr>
          <w:tab/>
        </w:r>
        <w:r w:rsidR="00707021" w:rsidRPr="00032003">
          <w:rPr>
            <w:rFonts w:ascii="Times New Roman" w:hAnsi="Times New Roman" w:cs="Times New Roman"/>
            <w:i w:val="0"/>
            <w:iCs w:val="0"/>
            <w:noProof/>
            <w:webHidden/>
            <w:sz w:val="22"/>
            <w:szCs w:val="22"/>
          </w:rPr>
          <w:fldChar w:fldCharType="begin"/>
        </w:r>
        <w:r w:rsidR="00707021" w:rsidRPr="00032003">
          <w:rPr>
            <w:rFonts w:ascii="Times New Roman" w:hAnsi="Times New Roman" w:cs="Times New Roman"/>
            <w:i w:val="0"/>
            <w:iCs w:val="0"/>
            <w:noProof/>
            <w:webHidden/>
            <w:sz w:val="22"/>
            <w:szCs w:val="22"/>
          </w:rPr>
          <w:instrText xml:space="preserve"> PAGEREF _Toc71728418 \h </w:instrText>
        </w:r>
        <w:r w:rsidR="00707021" w:rsidRPr="00032003">
          <w:rPr>
            <w:rFonts w:ascii="Times New Roman" w:hAnsi="Times New Roman" w:cs="Times New Roman"/>
            <w:i w:val="0"/>
            <w:iCs w:val="0"/>
            <w:noProof/>
            <w:webHidden/>
            <w:sz w:val="22"/>
            <w:szCs w:val="22"/>
          </w:rPr>
        </w:r>
        <w:r w:rsidR="00707021" w:rsidRPr="00032003">
          <w:rPr>
            <w:rFonts w:ascii="Times New Roman" w:hAnsi="Times New Roman" w:cs="Times New Roman"/>
            <w:i w:val="0"/>
            <w:iCs w:val="0"/>
            <w:noProof/>
            <w:webHidden/>
            <w:sz w:val="22"/>
            <w:szCs w:val="22"/>
          </w:rPr>
          <w:fldChar w:fldCharType="separate"/>
        </w:r>
        <w:r w:rsidR="005050F0">
          <w:rPr>
            <w:rFonts w:ascii="Times New Roman" w:hAnsi="Times New Roman" w:cs="Times New Roman"/>
            <w:i w:val="0"/>
            <w:iCs w:val="0"/>
            <w:noProof/>
            <w:webHidden/>
            <w:sz w:val="22"/>
            <w:szCs w:val="22"/>
          </w:rPr>
          <w:t>36</w:t>
        </w:r>
        <w:r w:rsidR="00707021" w:rsidRPr="00032003">
          <w:rPr>
            <w:rFonts w:ascii="Times New Roman" w:hAnsi="Times New Roman" w:cs="Times New Roman"/>
            <w:i w:val="0"/>
            <w:iCs w:val="0"/>
            <w:noProof/>
            <w:webHidden/>
            <w:sz w:val="22"/>
            <w:szCs w:val="22"/>
          </w:rPr>
          <w:fldChar w:fldCharType="end"/>
        </w:r>
      </w:hyperlink>
    </w:p>
    <w:p w14:paraId="154692C6" w14:textId="537CCC9B" w:rsidR="00707021" w:rsidRPr="00032003" w:rsidRDefault="007F7885" w:rsidP="00032003">
      <w:pPr>
        <w:pStyle w:val="TOC3"/>
        <w:rPr>
          <w:rFonts w:ascii="Times New Roman" w:eastAsiaTheme="minorEastAsia" w:hAnsi="Times New Roman" w:cs="Times New Roman"/>
          <w:i w:val="0"/>
          <w:iCs w:val="0"/>
          <w:noProof/>
          <w:sz w:val="22"/>
          <w:szCs w:val="22"/>
        </w:rPr>
      </w:pPr>
      <w:hyperlink w:anchor="_Toc71728419" w:history="1">
        <w:r w:rsidR="00707021" w:rsidRPr="00032003">
          <w:rPr>
            <w:rStyle w:val="Hyperlink"/>
            <w:rFonts w:cs="Times New Roman"/>
            <w:i w:val="0"/>
            <w:iCs w:val="0"/>
            <w:noProof/>
            <w:szCs w:val="22"/>
            <w:lang w:bidi="en-US"/>
          </w:rPr>
          <w:t>2.4.2 Surface Free Energy of Binders</w:t>
        </w:r>
        <w:r w:rsidR="00707021" w:rsidRPr="00032003">
          <w:rPr>
            <w:rFonts w:ascii="Times New Roman" w:hAnsi="Times New Roman" w:cs="Times New Roman"/>
            <w:i w:val="0"/>
            <w:iCs w:val="0"/>
            <w:noProof/>
            <w:webHidden/>
            <w:sz w:val="22"/>
            <w:szCs w:val="22"/>
          </w:rPr>
          <w:tab/>
        </w:r>
        <w:r w:rsidR="00707021" w:rsidRPr="00032003">
          <w:rPr>
            <w:rFonts w:ascii="Times New Roman" w:hAnsi="Times New Roman" w:cs="Times New Roman"/>
            <w:i w:val="0"/>
            <w:iCs w:val="0"/>
            <w:noProof/>
            <w:webHidden/>
            <w:sz w:val="22"/>
            <w:szCs w:val="22"/>
          </w:rPr>
          <w:fldChar w:fldCharType="begin"/>
        </w:r>
        <w:r w:rsidR="00707021" w:rsidRPr="00032003">
          <w:rPr>
            <w:rFonts w:ascii="Times New Roman" w:hAnsi="Times New Roman" w:cs="Times New Roman"/>
            <w:i w:val="0"/>
            <w:iCs w:val="0"/>
            <w:noProof/>
            <w:webHidden/>
            <w:sz w:val="22"/>
            <w:szCs w:val="22"/>
          </w:rPr>
          <w:instrText xml:space="preserve"> PAGEREF _Toc71728419 \h </w:instrText>
        </w:r>
        <w:r w:rsidR="00707021" w:rsidRPr="00032003">
          <w:rPr>
            <w:rFonts w:ascii="Times New Roman" w:hAnsi="Times New Roman" w:cs="Times New Roman"/>
            <w:i w:val="0"/>
            <w:iCs w:val="0"/>
            <w:noProof/>
            <w:webHidden/>
            <w:sz w:val="22"/>
            <w:szCs w:val="22"/>
          </w:rPr>
        </w:r>
        <w:r w:rsidR="00707021" w:rsidRPr="00032003">
          <w:rPr>
            <w:rFonts w:ascii="Times New Roman" w:hAnsi="Times New Roman" w:cs="Times New Roman"/>
            <w:i w:val="0"/>
            <w:iCs w:val="0"/>
            <w:noProof/>
            <w:webHidden/>
            <w:sz w:val="22"/>
            <w:szCs w:val="22"/>
          </w:rPr>
          <w:fldChar w:fldCharType="separate"/>
        </w:r>
        <w:r w:rsidR="005050F0">
          <w:rPr>
            <w:rFonts w:ascii="Times New Roman" w:hAnsi="Times New Roman" w:cs="Times New Roman"/>
            <w:i w:val="0"/>
            <w:iCs w:val="0"/>
            <w:noProof/>
            <w:webHidden/>
            <w:sz w:val="22"/>
            <w:szCs w:val="22"/>
          </w:rPr>
          <w:t>37</w:t>
        </w:r>
        <w:r w:rsidR="00707021" w:rsidRPr="00032003">
          <w:rPr>
            <w:rFonts w:ascii="Times New Roman" w:hAnsi="Times New Roman" w:cs="Times New Roman"/>
            <w:i w:val="0"/>
            <w:iCs w:val="0"/>
            <w:noProof/>
            <w:webHidden/>
            <w:sz w:val="22"/>
            <w:szCs w:val="22"/>
          </w:rPr>
          <w:fldChar w:fldCharType="end"/>
        </w:r>
      </w:hyperlink>
    </w:p>
    <w:p w14:paraId="4F797AF0" w14:textId="3490210F" w:rsidR="00707021" w:rsidRPr="00032003" w:rsidRDefault="007F7885" w:rsidP="00032003">
      <w:pPr>
        <w:pStyle w:val="TOC3"/>
        <w:rPr>
          <w:rFonts w:ascii="Times New Roman" w:eastAsiaTheme="minorEastAsia" w:hAnsi="Times New Roman" w:cs="Times New Roman"/>
          <w:i w:val="0"/>
          <w:iCs w:val="0"/>
          <w:noProof/>
          <w:sz w:val="22"/>
          <w:szCs w:val="22"/>
        </w:rPr>
      </w:pPr>
      <w:hyperlink w:anchor="_Toc71728420" w:history="1">
        <w:r w:rsidR="00707021" w:rsidRPr="00032003">
          <w:rPr>
            <w:rStyle w:val="Hyperlink"/>
            <w:rFonts w:cs="Times New Roman"/>
            <w:i w:val="0"/>
            <w:iCs w:val="0"/>
            <w:noProof/>
            <w:szCs w:val="22"/>
            <w:lang w:bidi="en-US"/>
          </w:rPr>
          <w:t>2.4.3 Comparison of Surface Free Energy Estimation Methods</w:t>
        </w:r>
        <w:r w:rsidR="00707021" w:rsidRPr="00032003">
          <w:rPr>
            <w:rFonts w:ascii="Times New Roman" w:hAnsi="Times New Roman" w:cs="Times New Roman"/>
            <w:i w:val="0"/>
            <w:iCs w:val="0"/>
            <w:noProof/>
            <w:webHidden/>
            <w:sz w:val="22"/>
            <w:szCs w:val="22"/>
          </w:rPr>
          <w:tab/>
        </w:r>
        <w:r w:rsidR="00707021" w:rsidRPr="00032003">
          <w:rPr>
            <w:rFonts w:ascii="Times New Roman" w:hAnsi="Times New Roman" w:cs="Times New Roman"/>
            <w:i w:val="0"/>
            <w:iCs w:val="0"/>
            <w:noProof/>
            <w:webHidden/>
            <w:sz w:val="22"/>
            <w:szCs w:val="22"/>
          </w:rPr>
          <w:fldChar w:fldCharType="begin"/>
        </w:r>
        <w:r w:rsidR="00707021" w:rsidRPr="00032003">
          <w:rPr>
            <w:rFonts w:ascii="Times New Roman" w:hAnsi="Times New Roman" w:cs="Times New Roman"/>
            <w:i w:val="0"/>
            <w:iCs w:val="0"/>
            <w:noProof/>
            <w:webHidden/>
            <w:sz w:val="22"/>
            <w:szCs w:val="22"/>
          </w:rPr>
          <w:instrText xml:space="preserve"> PAGEREF _Toc71728420 \h </w:instrText>
        </w:r>
        <w:r w:rsidR="00707021" w:rsidRPr="00032003">
          <w:rPr>
            <w:rFonts w:ascii="Times New Roman" w:hAnsi="Times New Roman" w:cs="Times New Roman"/>
            <w:i w:val="0"/>
            <w:iCs w:val="0"/>
            <w:noProof/>
            <w:webHidden/>
            <w:sz w:val="22"/>
            <w:szCs w:val="22"/>
          </w:rPr>
        </w:r>
        <w:r w:rsidR="00707021" w:rsidRPr="00032003">
          <w:rPr>
            <w:rFonts w:ascii="Times New Roman" w:hAnsi="Times New Roman" w:cs="Times New Roman"/>
            <w:i w:val="0"/>
            <w:iCs w:val="0"/>
            <w:noProof/>
            <w:webHidden/>
            <w:sz w:val="22"/>
            <w:szCs w:val="22"/>
          </w:rPr>
          <w:fldChar w:fldCharType="separate"/>
        </w:r>
        <w:r w:rsidR="005050F0">
          <w:rPr>
            <w:rFonts w:ascii="Times New Roman" w:hAnsi="Times New Roman" w:cs="Times New Roman"/>
            <w:i w:val="0"/>
            <w:iCs w:val="0"/>
            <w:noProof/>
            <w:webHidden/>
            <w:sz w:val="22"/>
            <w:szCs w:val="22"/>
          </w:rPr>
          <w:t>49</w:t>
        </w:r>
        <w:r w:rsidR="00707021" w:rsidRPr="00032003">
          <w:rPr>
            <w:rFonts w:ascii="Times New Roman" w:hAnsi="Times New Roman" w:cs="Times New Roman"/>
            <w:i w:val="0"/>
            <w:iCs w:val="0"/>
            <w:noProof/>
            <w:webHidden/>
            <w:sz w:val="22"/>
            <w:szCs w:val="22"/>
          </w:rPr>
          <w:fldChar w:fldCharType="end"/>
        </w:r>
      </w:hyperlink>
    </w:p>
    <w:p w14:paraId="026E2E32" w14:textId="759DD6EB" w:rsidR="00707021" w:rsidRPr="00032003" w:rsidRDefault="007F7885" w:rsidP="00032003">
      <w:pPr>
        <w:pStyle w:val="TOC2"/>
        <w:rPr>
          <w:rFonts w:ascii="Times New Roman" w:eastAsiaTheme="minorEastAsia" w:hAnsi="Times New Roman" w:cs="Times New Roman"/>
          <w:noProof/>
          <w:sz w:val="22"/>
          <w:szCs w:val="22"/>
        </w:rPr>
      </w:pPr>
      <w:hyperlink w:anchor="_Toc71728421" w:history="1">
        <w:r w:rsidR="00707021" w:rsidRPr="00032003">
          <w:rPr>
            <w:rStyle w:val="Hyperlink"/>
            <w:rFonts w:cs="Times New Roman"/>
            <w:noProof/>
            <w:szCs w:val="22"/>
            <w:lang w:bidi="en-US"/>
          </w:rPr>
          <w:t>2.5 CONCLUSIONS</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_Toc71728421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50</w:t>
        </w:r>
        <w:r w:rsidR="00707021" w:rsidRPr="00032003">
          <w:rPr>
            <w:rFonts w:ascii="Times New Roman" w:hAnsi="Times New Roman" w:cs="Times New Roman"/>
            <w:noProof/>
            <w:webHidden/>
            <w:sz w:val="22"/>
            <w:szCs w:val="22"/>
          </w:rPr>
          <w:fldChar w:fldCharType="end"/>
        </w:r>
      </w:hyperlink>
    </w:p>
    <w:p w14:paraId="57EEE1F2" w14:textId="2EAD4F4A" w:rsidR="00707021" w:rsidRPr="00032003" w:rsidRDefault="0035043F" w:rsidP="00032003">
      <w:pPr>
        <w:pStyle w:val="TOC1"/>
        <w:rPr>
          <w:rFonts w:ascii="Times New Roman" w:eastAsiaTheme="minorEastAsia" w:hAnsi="Times New Roman" w:cs="Times New Roman"/>
          <w:noProof/>
          <w:sz w:val="22"/>
          <w:szCs w:val="22"/>
        </w:rPr>
      </w:pPr>
      <w:r w:rsidRPr="00032003">
        <w:rPr>
          <w:rStyle w:val="Hyperlink"/>
          <w:rFonts w:cs="Times New Roman"/>
          <w:noProof/>
          <w:szCs w:val="22"/>
        </w:rPr>
        <w:t xml:space="preserve">CHAPTER </w:t>
      </w:r>
      <w:hyperlink w:anchor="_Toc71728422" w:history="1">
        <w:r w:rsidR="00707021" w:rsidRPr="00032003">
          <w:rPr>
            <w:rStyle w:val="Hyperlink"/>
            <w:rFonts w:cs="Times New Roman"/>
            <w:noProof/>
            <w:szCs w:val="22"/>
            <w:lang w:bidi="en-US"/>
          </w:rPr>
          <w:t>3. MICRO-STRUCTURAL EVALUATION OF THE EFFECTS OF AGGREGATE TYPE, AGING AND ADDITIVES ON THE MOISTURE SUSCEPTIBILITY OF BINDER-AGGREGATE SYSTEMS USING CHEMICAL AND THERMODYNAMIC APPROACHES</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_Toc71728422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61</w:t>
        </w:r>
        <w:r w:rsidR="00707021" w:rsidRPr="00032003">
          <w:rPr>
            <w:rFonts w:ascii="Times New Roman" w:hAnsi="Times New Roman" w:cs="Times New Roman"/>
            <w:noProof/>
            <w:webHidden/>
            <w:sz w:val="22"/>
            <w:szCs w:val="22"/>
          </w:rPr>
          <w:fldChar w:fldCharType="end"/>
        </w:r>
      </w:hyperlink>
    </w:p>
    <w:p w14:paraId="025EDA16" w14:textId="05F89A66" w:rsidR="00707021" w:rsidRPr="00032003" w:rsidRDefault="007F7885" w:rsidP="00032003">
      <w:pPr>
        <w:pStyle w:val="TOC2"/>
        <w:rPr>
          <w:rFonts w:ascii="Times New Roman" w:eastAsiaTheme="minorEastAsia" w:hAnsi="Times New Roman" w:cs="Times New Roman"/>
          <w:noProof/>
          <w:sz w:val="22"/>
          <w:szCs w:val="22"/>
        </w:rPr>
      </w:pPr>
      <w:hyperlink w:anchor="_Toc71728423" w:history="1">
        <w:r w:rsidR="00707021" w:rsidRPr="00032003">
          <w:rPr>
            <w:rStyle w:val="Hyperlink"/>
            <w:rFonts w:cs="Times New Roman"/>
            <w:noProof/>
            <w:szCs w:val="22"/>
            <w:lang w:bidi="en-US"/>
          </w:rPr>
          <w:t>3.1 INTRODUCTION</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_Toc71728423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62</w:t>
        </w:r>
        <w:r w:rsidR="00707021" w:rsidRPr="00032003">
          <w:rPr>
            <w:rFonts w:ascii="Times New Roman" w:hAnsi="Times New Roman" w:cs="Times New Roman"/>
            <w:noProof/>
            <w:webHidden/>
            <w:sz w:val="22"/>
            <w:szCs w:val="22"/>
          </w:rPr>
          <w:fldChar w:fldCharType="end"/>
        </w:r>
      </w:hyperlink>
    </w:p>
    <w:p w14:paraId="0BE127F5" w14:textId="3B320D9B" w:rsidR="00707021" w:rsidRPr="00032003" w:rsidRDefault="007F7885" w:rsidP="00032003">
      <w:pPr>
        <w:pStyle w:val="TOC3"/>
        <w:rPr>
          <w:rFonts w:ascii="Times New Roman" w:eastAsiaTheme="minorEastAsia" w:hAnsi="Times New Roman" w:cs="Times New Roman"/>
          <w:i w:val="0"/>
          <w:iCs w:val="0"/>
          <w:noProof/>
          <w:sz w:val="22"/>
          <w:szCs w:val="22"/>
        </w:rPr>
      </w:pPr>
      <w:hyperlink w:anchor="_Toc71728424" w:history="1">
        <w:r w:rsidR="00707021" w:rsidRPr="00032003">
          <w:rPr>
            <w:rStyle w:val="Hyperlink"/>
            <w:rFonts w:cs="Times New Roman"/>
            <w:i w:val="0"/>
            <w:iCs w:val="0"/>
            <w:noProof/>
            <w:szCs w:val="22"/>
            <w:lang w:bidi="en-US"/>
          </w:rPr>
          <w:t>3.1.1</w:t>
        </w:r>
        <w:r w:rsidR="00707021" w:rsidRPr="00032003">
          <w:rPr>
            <w:rStyle w:val="Hyperlink"/>
            <w:rFonts w:cs="Times New Roman"/>
            <w:i w:val="0"/>
            <w:iCs w:val="0"/>
            <w:noProof/>
            <w:szCs w:val="22"/>
            <w:lang w:val="en-CA" w:bidi="en-US"/>
          </w:rPr>
          <w:t xml:space="preserve"> Effect of Aging</w:t>
        </w:r>
        <w:r w:rsidR="00707021" w:rsidRPr="00032003">
          <w:rPr>
            <w:rFonts w:ascii="Times New Roman" w:hAnsi="Times New Roman" w:cs="Times New Roman"/>
            <w:i w:val="0"/>
            <w:iCs w:val="0"/>
            <w:noProof/>
            <w:webHidden/>
            <w:sz w:val="22"/>
            <w:szCs w:val="22"/>
          </w:rPr>
          <w:tab/>
        </w:r>
        <w:r w:rsidR="00707021" w:rsidRPr="00032003">
          <w:rPr>
            <w:rFonts w:ascii="Times New Roman" w:hAnsi="Times New Roman" w:cs="Times New Roman"/>
            <w:i w:val="0"/>
            <w:iCs w:val="0"/>
            <w:noProof/>
            <w:webHidden/>
            <w:sz w:val="22"/>
            <w:szCs w:val="22"/>
          </w:rPr>
          <w:fldChar w:fldCharType="begin"/>
        </w:r>
        <w:r w:rsidR="00707021" w:rsidRPr="00032003">
          <w:rPr>
            <w:rFonts w:ascii="Times New Roman" w:hAnsi="Times New Roman" w:cs="Times New Roman"/>
            <w:i w:val="0"/>
            <w:iCs w:val="0"/>
            <w:noProof/>
            <w:webHidden/>
            <w:sz w:val="22"/>
            <w:szCs w:val="22"/>
          </w:rPr>
          <w:instrText xml:space="preserve"> PAGEREF _Toc71728424 \h </w:instrText>
        </w:r>
        <w:r w:rsidR="00707021" w:rsidRPr="00032003">
          <w:rPr>
            <w:rFonts w:ascii="Times New Roman" w:hAnsi="Times New Roman" w:cs="Times New Roman"/>
            <w:i w:val="0"/>
            <w:iCs w:val="0"/>
            <w:noProof/>
            <w:webHidden/>
            <w:sz w:val="22"/>
            <w:szCs w:val="22"/>
          </w:rPr>
        </w:r>
        <w:r w:rsidR="00707021" w:rsidRPr="00032003">
          <w:rPr>
            <w:rFonts w:ascii="Times New Roman" w:hAnsi="Times New Roman" w:cs="Times New Roman"/>
            <w:i w:val="0"/>
            <w:iCs w:val="0"/>
            <w:noProof/>
            <w:webHidden/>
            <w:sz w:val="22"/>
            <w:szCs w:val="22"/>
          </w:rPr>
          <w:fldChar w:fldCharType="separate"/>
        </w:r>
        <w:r w:rsidR="005050F0">
          <w:rPr>
            <w:rFonts w:ascii="Times New Roman" w:hAnsi="Times New Roman" w:cs="Times New Roman"/>
            <w:i w:val="0"/>
            <w:iCs w:val="0"/>
            <w:noProof/>
            <w:webHidden/>
            <w:sz w:val="22"/>
            <w:szCs w:val="22"/>
          </w:rPr>
          <w:t>65</w:t>
        </w:r>
        <w:r w:rsidR="00707021" w:rsidRPr="00032003">
          <w:rPr>
            <w:rFonts w:ascii="Times New Roman" w:hAnsi="Times New Roman" w:cs="Times New Roman"/>
            <w:i w:val="0"/>
            <w:iCs w:val="0"/>
            <w:noProof/>
            <w:webHidden/>
            <w:sz w:val="22"/>
            <w:szCs w:val="22"/>
          </w:rPr>
          <w:fldChar w:fldCharType="end"/>
        </w:r>
      </w:hyperlink>
    </w:p>
    <w:p w14:paraId="57C68AB1" w14:textId="71982D28" w:rsidR="00707021" w:rsidRPr="00032003" w:rsidRDefault="007F7885" w:rsidP="00032003">
      <w:pPr>
        <w:pStyle w:val="TOC3"/>
        <w:rPr>
          <w:rFonts w:ascii="Times New Roman" w:eastAsiaTheme="minorEastAsia" w:hAnsi="Times New Roman" w:cs="Times New Roman"/>
          <w:i w:val="0"/>
          <w:iCs w:val="0"/>
          <w:noProof/>
          <w:sz w:val="22"/>
          <w:szCs w:val="22"/>
        </w:rPr>
      </w:pPr>
      <w:hyperlink w:anchor="_Toc71728425" w:history="1">
        <w:r w:rsidR="00707021" w:rsidRPr="00032003">
          <w:rPr>
            <w:rStyle w:val="Hyperlink"/>
            <w:rFonts w:cs="Times New Roman"/>
            <w:i w:val="0"/>
            <w:iCs w:val="0"/>
            <w:noProof/>
            <w:szCs w:val="22"/>
            <w:lang w:bidi="en-US"/>
          </w:rPr>
          <w:t>3.1.2 Effect of Additives and Modifiers</w:t>
        </w:r>
        <w:r w:rsidR="00707021" w:rsidRPr="00032003">
          <w:rPr>
            <w:rFonts w:ascii="Times New Roman" w:hAnsi="Times New Roman" w:cs="Times New Roman"/>
            <w:i w:val="0"/>
            <w:iCs w:val="0"/>
            <w:noProof/>
            <w:webHidden/>
            <w:sz w:val="22"/>
            <w:szCs w:val="22"/>
          </w:rPr>
          <w:tab/>
        </w:r>
        <w:r w:rsidR="00707021" w:rsidRPr="00032003">
          <w:rPr>
            <w:rFonts w:ascii="Times New Roman" w:hAnsi="Times New Roman" w:cs="Times New Roman"/>
            <w:i w:val="0"/>
            <w:iCs w:val="0"/>
            <w:noProof/>
            <w:webHidden/>
            <w:sz w:val="22"/>
            <w:szCs w:val="22"/>
          </w:rPr>
          <w:fldChar w:fldCharType="begin"/>
        </w:r>
        <w:r w:rsidR="00707021" w:rsidRPr="00032003">
          <w:rPr>
            <w:rFonts w:ascii="Times New Roman" w:hAnsi="Times New Roman" w:cs="Times New Roman"/>
            <w:i w:val="0"/>
            <w:iCs w:val="0"/>
            <w:noProof/>
            <w:webHidden/>
            <w:sz w:val="22"/>
            <w:szCs w:val="22"/>
          </w:rPr>
          <w:instrText xml:space="preserve"> PAGEREF _Toc71728425 \h </w:instrText>
        </w:r>
        <w:r w:rsidR="00707021" w:rsidRPr="00032003">
          <w:rPr>
            <w:rFonts w:ascii="Times New Roman" w:hAnsi="Times New Roman" w:cs="Times New Roman"/>
            <w:i w:val="0"/>
            <w:iCs w:val="0"/>
            <w:noProof/>
            <w:webHidden/>
            <w:sz w:val="22"/>
            <w:szCs w:val="22"/>
          </w:rPr>
        </w:r>
        <w:r w:rsidR="00707021" w:rsidRPr="00032003">
          <w:rPr>
            <w:rFonts w:ascii="Times New Roman" w:hAnsi="Times New Roman" w:cs="Times New Roman"/>
            <w:i w:val="0"/>
            <w:iCs w:val="0"/>
            <w:noProof/>
            <w:webHidden/>
            <w:sz w:val="22"/>
            <w:szCs w:val="22"/>
          </w:rPr>
          <w:fldChar w:fldCharType="separate"/>
        </w:r>
        <w:r w:rsidR="005050F0">
          <w:rPr>
            <w:rFonts w:ascii="Times New Roman" w:hAnsi="Times New Roman" w:cs="Times New Roman"/>
            <w:i w:val="0"/>
            <w:iCs w:val="0"/>
            <w:noProof/>
            <w:webHidden/>
            <w:sz w:val="22"/>
            <w:szCs w:val="22"/>
          </w:rPr>
          <w:t>66</w:t>
        </w:r>
        <w:r w:rsidR="00707021" w:rsidRPr="00032003">
          <w:rPr>
            <w:rFonts w:ascii="Times New Roman" w:hAnsi="Times New Roman" w:cs="Times New Roman"/>
            <w:i w:val="0"/>
            <w:iCs w:val="0"/>
            <w:noProof/>
            <w:webHidden/>
            <w:sz w:val="22"/>
            <w:szCs w:val="22"/>
          </w:rPr>
          <w:fldChar w:fldCharType="end"/>
        </w:r>
      </w:hyperlink>
    </w:p>
    <w:p w14:paraId="76C38AF8" w14:textId="5E94832F" w:rsidR="00707021" w:rsidRPr="00032003" w:rsidRDefault="007F7885" w:rsidP="00032003">
      <w:pPr>
        <w:pStyle w:val="TOC3"/>
        <w:rPr>
          <w:rFonts w:ascii="Times New Roman" w:eastAsiaTheme="minorEastAsia" w:hAnsi="Times New Roman" w:cs="Times New Roman"/>
          <w:i w:val="0"/>
          <w:iCs w:val="0"/>
          <w:noProof/>
          <w:sz w:val="22"/>
          <w:szCs w:val="22"/>
        </w:rPr>
      </w:pPr>
      <w:hyperlink w:anchor="_Toc71728426" w:history="1">
        <w:r w:rsidR="00707021" w:rsidRPr="00032003">
          <w:rPr>
            <w:rStyle w:val="Hyperlink"/>
            <w:rFonts w:cs="Times New Roman"/>
            <w:i w:val="0"/>
            <w:iCs w:val="0"/>
            <w:noProof/>
            <w:szCs w:val="22"/>
            <w:lang w:bidi="en-US"/>
          </w:rPr>
          <w:t>3.1.3 Surface Free Energy Technique</w:t>
        </w:r>
        <w:r w:rsidR="00707021" w:rsidRPr="00032003">
          <w:rPr>
            <w:rFonts w:ascii="Times New Roman" w:hAnsi="Times New Roman" w:cs="Times New Roman"/>
            <w:i w:val="0"/>
            <w:iCs w:val="0"/>
            <w:noProof/>
            <w:webHidden/>
            <w:sz w:val="22"/>
            <w:szCs w:val="22"/>
          </w:rPr>
          <w:tab/>
        </w:r>
        <w:r w:rsidR="00707021" w:rsidRPr="00032003">
          <w:rPr>
            <w:rFonts w:ascii="Times New Roman" w:hAnsi="Times New Roman" w:cs="Times New Roman"/>
            <w:i w:val="0"/>
            <w:iCs w:val="0"/>
            <w:noProof/>
            <w:webHidden/>
            <w:sz w:val="22"/>
            <w:szCs w:val="22"/>
          </w:rPr>
          <w:fldChar w:fldCharType="begin"/>
        </w:r>
        <w:r w:rsidR="00707021" w:rsidRPr="00032003">
          <w:rPr>
            <w:rFonts w:ascii="Times New Roman" w:hAnsi="Times New Roman" w:cs="Times New Roman"/>
            <w:i w:val="0"/>
            <w:iCs w:val="0"/>
            <w:noProof/>
            <w:webHidden/>
            <w:sz w:val="22"/>
            <w:szCs w:val="22"/>
          </w:rPr>
          <w:instrText xml:space="preserve"> PAGEREF _Toc71728426 \h </w:instrText>
        </w:r>
        <w:r w:rsidR="00707021" w:rsidRPr="00032003">
          <w:rPr>
            <w:rFonts w:ascii="Times New Roman" w:hAnsi="Times New Roman" w:cs="Times New Roman"/>
            <w:i w:val="0"/>
            <w:iCs w:val="0"/>
            <w:noProof/>
            <w:webHidden/>
            <w:sz w:val="22"/>
            <w:szCs w:val="22"/>
          </w:rPr>
        </w:r>
        <w:r w:rsidR="00707021" w:rsidRPr="00032003">
          <w:rPr>
            <w:rFonts w:ascii="Times New Roman" w:hAnsi="Times New Roman" w:cs="Times New Roman"/>
            <w:i w:val="0"/>
            <w:iCs w:val="0"/>
            <w:noProof/>
            <w:webHidden/>
            <w:sz w:val="22"/>
            <w:szCs w:val="22"/>
          </w:rPr>
          <w:fldChar w:fldCharType="separate"/>
        </w:r>
        <w:r w:rsidR="005050F0">
          <w:rPr>
            <w:rFonts w:ascii="Times New Roman" w:hAnsi="Times New Roman" w:cs="Times New Roman"/>
            <w:i w:val="0"/>
            <w:iCs w:val="0"/>
            <w:noProof/>
            <w:webHidden/>
            <w:sz w:val="22"/>
            <w:szCs w:val="22"/>
          </w:rPr>
          <w:t>68</w:t>
        </w:r>
        <w:r w:rsidR="00707021" w:rsidRPr="00032003">
          <w:rPr>
            <w:rFonts w:ascii="Times New Roman" w:hAnsi="Times New Roman" w:cs="Times New Roman"/>
            <w:i w:val="0"/>
            <w:iCs w:val="0"/>
            <w:noProof/>
            <w:webHidden/>
            <w:sz w:val="22"/>
            <w:szCs w:val="22"/>
          </w:rPr>
          <w:fldChar w:fldCharType="end"/>
        </w:r>
      </w:hyperlink>
    </w:p>
    <w:p w14:paraId="46B7457A" w14:textId="0C50F221" w:rsidR="00707021" w:rsidRPr="00032003" w:rsidRDefault="007F7885" w:rsidP="00032003">
      <w:pPr>
        <w:pStyle w:val="TOC2"/>
        <w:rPr>
          <w:rFonts w:ascii="Times New Roman" w:eastAsiaTheme="minorEastAsia" w:hAnsi="Times New Roman" w:cs="Times New Roman"/>
          <w:noProof/>
          <w:sz w:val="22"/>
          <w:szCs w:val="22"/>
        </w:rPr>
      </w:pPr>
      <w:hyperlink w:anchor="_Toc71728427" w:history="1">
        <w:r w:rsidR="00707021" w:rsidRPr="00032003">
          <w:rPr>
            <w:rStyle w:val="Hyperlink"/>
            <w:rFonts w:cs="Times New Roman"/>
            <w:noProof/>
            <w:szCs w:val="22"/>
            <w:lang w:bidi="en-US"/>
          </w:rPr>
          <w:t>3.2 OBJECTIVES</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_Toc71728427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70</w:t>
        </w:r>
        <w:r w:rsidR="00707021" w:rsidRPr="00032003">
          <w:rPr>
            <w:rFonts w:ascii="Times New Roman" w:hAnsi="Times New Roman" w:cs="Times New Roman"/>
            <w:noProof/>
            <w:webHidden/>
            <w:sz w:val="22"/>
            <w:szCs w:val="22"/>
          </w:rPr>
          <w:fldChar w:fldCharType="end"/>
        </w:r>
      </w:hyperlink>
    </w:p>
    <w:p w14:paraId="7FF13D0C" w14:textId="09F5FFA5" w:rsidR="00707021" w:rsidRPr="00032003" w:rsidRDefault="007F7885" w:rsidP="00032003">
      <w:pPr>
        <w:pStyle w:val="TOC2"/>
        <w:rPr>
          <w:rFonts w:ascii="Times New Roman" w:eastAsiaTheme="minorEastAsia" w:hAnsi="Times New Roman" w:cs="Times New Roman"/>
          <w:noProof/>
          <w:sz w:val="22"/>
          <w:szCs w:val="22"/>
        </w:rPr>
      </w:pPr>
      <w:hyperlink w:anchor="_Toc71728428" w:history="1">
        <w:r w:rsidR="00707021" w:rsidRPr="00032003">
          <w:rPr>
            <w:rStyle w:val="Hyperlink"/>
            <w:rFonts w:cs="Times New Roman"/>
            <w:noProof/>
            <w:szCs w:val="22"/>
            <w:lang w:bidi="en-US"/>
          </w:rPr>
          <w:t>3.3 MATERIALS AND METHODOLOGIES</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_Toc71728428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71</w:t>
        </w:r>
        <w:r w:rsidR="00707021" w:rsidRPr="00032003">
          <w:rPr>
            <w:rFonts w:ascii="Times New Roman" w:hAnsi="Times New Roman" w:cs="Times New Roman"/>
            <w:noProof/>
            <w:webHidden/>
            <w:sz w:val="22"/>
            <w:szCs w:val="22"/>
          </w:rPr>
          <w:fldChar w:fldCharType="end"/>
        </w:r>
      </w:hyperlink>
    </w:p>
    <w:p w14:paraId="64BFEC7E" w14:textId="33FFD4FE" w:rsidR="00707021" w:rsidRPr="00032003" w:rsidRDefault="007F7885" w:rsidP="00032003">
      <w:pPr>
        <w:pStyle w:val="TOC3"/>
        <w:rPr>
          <w:rFonts w:ascii="Times New Roman" w:eastAsiaTheme="minorEastAsia" w:hAnsi="Times New Roman" w:cs="Times New Roman"/>
          <w:i w:val="0"/>
          <w:iCs w:val="0"/>
          <w:noProof/>
          <w:sz w:val="22"/>
          <w:szCs w:val="22"/>
        </w:rPr>
      </w:pPr>
      <w:hyperlink w:anchor="_Toc71728429" w:history="1">
        <w:r w:rsidR="00707021" w:rsidRPr="00032003">
          <w:rPr>
            <w:rStyle w:val="Hyperlink"/>
            <w:rFonts w:cs="Times New Roman"/>
            <w:i w:val="0"/>
            <w:iCs w:val="0"/>
            <w:noProof/>
            <w:szCs w:val="22"/>
            <w:lang w:bidi="en-US"/>
          </w:rPr>
          <w:t>3.3.1 Materials</w:t>
        </w:r>
        <w:r w:rsidR="00707021" w:rsidRPr="00032003">
          <w:rPr>
            <w:rFonts w:ascii="Times New Roman" w:hAnsi="Times New Roman" w:cs="Times New Roman"/>
            <w:i w:val="0"/>
            <w:iCs w:val="0"/>
            <w:noProof/>
            <w:webHidden/>
            <w:sz w:val="22"/>
            <w:szCs w:val="22"/>
          </w:rPr>
          <w:tab/>
        </w:r>
        <w:r w:rsidR="00707021" w:rsidRPr="00032003">
          <w:rPr>
            <w:rFonts w:ascii="Times New Roman" w:hAnsi="Times New Roman" w:cs="Times New Roman"/>
            <w:i w:val="0"/>
            <w:iCs w:val="0"/>
            <w:noProof/>
            <w:webHidden/>
            <w:sz w:val="22"/>
            <w:szCs w:val="22"/>
          </w:rPr>
          <w:fldChar w:fldCharType="begin"/>
        </w:r>
        <w:r w:rsidR="00707021" w:rsidRPr="00032003">
          <w:rPr>
            <w:rFonts w:ascii="Times New Roman" w:hAnsi="Times New Roman" w:cs="Times New Roman"/>
            <w:i w:val="0"/>
            <w:iCs w:val="0"/>
            <w:noProof/>
            <w:webHidden/>
            <w:sz w:val="22"/>
            <w:szCs w:val="22"/>
          </w:rPr>
          <w:instrText xml:space="preserve"> PAGEREF _Toc71728429 \h </w:instrText>
        </w:r>
        <w:r w:rsidR="00707021" w:rsidRPr="00032003">
          <w:rPr>
            <w:rFonts w:ascii="Times New Roman" w:hAnsi="Times New Roman" w:cs="Times New Roman"/>
            <w:i w:val="0"/>
            <w:iCs w:val="0"/>
            <w:noProof/>
            <w:webHidden/>
            <w:sz w:val="22"/>
            <w:szCs w:val="22"/>
          </w:rPr>
        </w:r>
        <w:r w:rsidR="00707021" w:rsidRPr="00032003">
          <w:rPr>
            <w:rFonts w:ascii="Times New Roman" w:hAnsi="Times New Roman" w:cs="Times New Roman"/>
            <w:i w:val="0"/>
            <w:iCs w:val="0"/>
            <w:noProof/>
            <w:webHidden/>
            <w:sz w:val="22"/>
            <w:szCs w:val="22"/>
          </w:rPr>
          <w:fldChar w:fldCharType="separate"/>
        </w:r>
        <w:r w:rsidR="005050F0">
          <w:rPr>
            <w:rFonts w:ascii="Times New Roman" w:hAnsi="Times New Roman" w:cs="Times New Roman"/>
            <w:i w:val="0"/>
            <w:iCs w:val="0"/>
            <w:noProof/>
            <w:webHidden/>
            <w:sz w:val="22"/>
            <w:szCs w:val="22"/>
          </w:rPr>
          <w:t>71</w:t>
        </w:r>
        <w:r w:rsidR="00707021" w:rsidRPr="00032003">
          <w:rPr>
            <w:rFonts w:ascii="Times New Roman" w:hAnsi="Times New Roman" w:cs="Times New Roman"/>
            <w:i w:val="0"/>
            <w:iCs w:val="0"/>
            <w:noProof/>
            <w:webHidden/>
            <w:sz w:val="22"/>
            <w:szCs w:val="22"/>
          </w:rPr>
          <w:fldChar w:fldCharType="end"/>
        </w:r>
      </w:hyperlink>
    </w:p>
    <w:p w14:paraId="31E096C9" w14:textId="678BA449" w:rsidR="00707021" w:rsidRPr="00032003" w:rsidRDefault="007F7885" w:rsidP="00032003">
      <w:pPr>
        <w:pStyle w:val="TOC3"/>
        <w:rPr>
          <w:rFonts w:ascii="Times New Roman" w:eastAsiaTheme="minorEastAsia" w:hAnsi="Times New Roman" w:cs="Times New Roman"/>
          <w:i w:val="0"/>
          <w:iCs w:val="0"/>
          <w:noProof/>
          <w:sz w:val="22"/>
          <w:szCs w:val="22"/>
        </w:rPr>
      </w:pPr>
      <w:hyperlink w:anchor="_Toc71728430" w:history="1">
        <w:r w:rsidR="00707021" w:rsidRPr="00032003">
          <w:rPr>
            <w:rStyle w:val="Hyperlink"/>
            <w:rFonts w:cs="Times New Roman"/>
            <w:i w:val="0"/>
            <w:iCs w:val="0"/>
            <w:noProof/>
            <w:szCs w:val="22"/>
            <w:lang w:val="en-CA" w:bidi="en-US"/>
          </w:rPr>
          <w:t>3.3.2 Methods</w:t>
        </w:r>
        <w:r w:rsidR="00707021" w:rsidRPr="00032003">
          <w:rPr>
            <w:rFonts w:ascii="Times New Roman" w:hAnsi="Times New Roman" w:cs="Times New Roman"/>
            <w:i w:val="0"/>
            <w:iCs w:val="0"/>
            <w:noProof/>
            <w:webHidden/>
            <w:sz w:val="22"/>
            <w:szCs w:val="22"/>
          </w:rPr>
          <w:tab/>
        </w:r>
        <w:r w:rsidR="00707021" w:rsidRPr="00032003">
          <w:rPr>
            <w:rFonts w:ascii="Times New Roman" w:hAnsi="Times New Roman" w:cs="Times New Roman"/>
            <w:i w:val="0"/>
            <w:iCs w:val="0"/>
            <w:noProof/>
            <w:webHidden/>
            <w:sz w:val="22"/>
            <w:szCs w:val="22"/>
          </w:rPr>
          <w:fldChar w:fldCharType="begin"/>
        </w:r>
        <w:r w:rsidR="00707021" w:rsidRPr="00032003">
          <w:rPr>
            <w:rFonts w:ascii="Times New Roman" w:hAnsi="Times New Roman" w:cs="Times New Roman"/>
            <w:i w:val="0"/>
            <w:iCs w:val="0"/>
            <w:noProof/>
            <w:webHidden/>
            <w:sz w:val="22"/>
            <w:szCs w:val="22"/>
          </w:rPr>
          <w:instrText xml:space="preserve"> PAGEREF _Toc71728430 \h </w:instrText>
        </w:r>
        <w:r w:rsidR="00707021" w:rsidRPr="00032003">
          <w:rPr>
            <w:rFonts w:ascii="Times New Roman" w:hAnsi="Times New Roman" w:cs="Times New Roman"/>
            <w:i w:val="0"/>
            <w:iCs w:val="0"/>
            <w:noProof/>
            <w:webHidden/>
            <w:sz w:val="22"/>
            <w:szCs w:val="22"/>
          </w:rPr>
        </w:r>
        <w:r w:rsidR="00707021" w:rsidRPr="00032003">
          <w:rPr>
            <w:rFonts w:ascii="Times New Roman" w:hAnsi="Times New Roman" w:cs="Times New Roman"/>
            <w:i w:val="0"/>
            <w:iCs w:val="0"/>
            <w:noProof/>
            <w:webHidden/>
            <w:sz w:val="22"/>
            <w:szCs w:val="22"/>
          </w:rPr>
          <w:fldChar w:fldCharType="separate"/>
        </w:r>
        <w:r w:rsidR="005050F0">
          <w:rPr>
            <w:rFonts w:ascii="Times New Roman" w:hAnsi="Times New Roman" w:cs="Times New Roman"/>
            <w:i w:val="0"/>
            <w:iCs w:val="0"/>
            <w:noProof/>
            <w:webHidden/>
            <w:sz w:val="22"/>
            <w:szCs w:val="22"/>
          </w:rPr>
          <w:t>73</w:t>
        </w:r>
        <w:r w:rsidR="00707021" w:rsidRPr="00032003">
          <w:rPr>
            <w:rFonts w:ascii="Times New Roman" w:hAnsi="Times New Roman" w:cs="Times New Roman"/>
            <w:i w:val="0"/>
            <w:iCs w:val="0"/>
            <w:noProof/>
            <w:webHidden/>
            <w:sz w:val="22"/>
            <w:szCs w:val="22"/>
          </w:rPr>
          <w:fldChar w:fldCharType="end"/>
        </w:r>
      </w:hyperlink>
    </w:p>
    <w:p w14:paraId="10055DE9" w14:textId="40F90177" w:rsidR="00707021" w:rsidRPr="00032003" w:rsidRDefault="007F7885" w:rsidP="00032003">
      <w:pPr>
        <w:pStyle w:val="TOC2"/>
        <w:rPr>
          <w:rFonts w:ascii="Times New Roman" w:eastAsiaTheme="minorEastAsia" w:hAnsi="Times New Roman" w:cs="Times New Roman"/>
          <w:noProof/>
          <w:sz w:val="22"/>
          <w:szCs w:val="22"/>
        </w:rPr>
      </w:pPr>
      <w:hyperlink w:anchor="_Toc71728431" w:history="1">
        <w:r w:rsidR="00707021" w:rsidRPr="00032003">
          <w:rPr>
            <w:rStyle w:val="Hyperlink"/>
            <w:rFonts w:cs="Times New Roman"/>
            <w:noProof/>
            <w:szCs w:val="22"/>
            <w:lang w:bidi="en-US"/>
          </w:rPr>
          <w:t>3.4 RESULTS AND DISCUSSIONS</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_Toc71728431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77</w:t>
        </w:r>
        <w:r w:rsidR="00707021" w:rsidRPr="00032003">
          <w:rPr>
            <w:rFonts w:ascii="Times New Roman" w:hAnsi="Times New Roman" w:cs="Times New Roman"/>
            <w:noProof/>
            <w:webHidden/>
            <w:sz w:val="22"/>
            <w:szCs w:val="22"/>
          </w:rPr>
          <w:fldChar w:fldCharType="end"/>
        </w:r>
      </w:hyperlink>
    </w:p>
    <w:p w14:paraId="38F072A9" w14:textId="1C3CD6E7" w:rsidR="00707021" w:rsidRPr="00032003" w:rsidRDefault="007F7885" w:rsidP="00032003">
      <w:pPr>
        <w:pStyle w:val="TOC3"/>
        <w:rPr>
          <w:rFonts w:ascii="Times New Roman" w:eastAsiaTheme="minorEastAsia" w:hAnsi="Times New Roman" w:cs="Times New Roman"/>
          <w:i w:val="0"/>
          <w:iCs w:val="0"/>
          <w:noProof/>
          <w:sz w:val="22"/>
          <w:szCs w:val="22"/>
        </w:rPr>
      </w:pPr>
      <w:hyperlink w:anchor="_Toc71728432" w:history="1">
        <w:r w:rsidR="00707021" w:rsidRPr="00032003">
          <w:rPr>
            <w:rStyle w:val="Hyperlink"/>
            <w:rFonts w:cs="Times New Roman"/>
            <w:i w:val="0"/>
            <w:iCs w:val="0"/>
            <w:noProof/>
            <w:szCs w:val="22"/>
            <w:lang w:bidi="en-US"/>
          </w:rPr>
          <w:t>3.4.1 Asphalt Binder Test Results</w:t>
        </w:r>
        <w:r w:rsidR="00707021" w:rsidRPr="00032003">
          <w:rPr>
            <w:rFonts w:ascii="Times New Roman" w:hAnsi="Times New Roman" w:cs="Times New Roman"/>
            <w:i w:val="0"/>
            <w:iCs w:val="0"/>
            <w:noProof/>
            <w:webHidden/>
            <w:sz w:val="22"/>
            <w:szCs w:val="22"/>
          </w:rPr>
          <w:tab/>
        </w:r>
        <w:r w:rsidR="00707021" w:rsidRPr="00032003">
          <w:rPr>
            <w:rFonts w:ascii="Times New Roman" w:hAnsi="Times New Roman" w:cs="Times New Roman"/>
            <w:i w:val="0"/>
            <w:iCs w:val="0"/>
            <w:noProof/>
            <w:webHidden/>
            <w:sz w:val="22"/>
            <w:szCs w:val="22"/>
          </w:rPr>
          <w:fldChar w:fldCharType="begin"/>
        </w:r>
        <w:r w:rsidR="00707021" w:rsidRPr="00032003">
          <w:rPr>
            <w:rFonts w:ascii="Times New Roman" w:hAnsi="Times New Roman" w:cs="Times New Roman"/>
            <w:i w:val="0"/>
            <w:iCs w:val="0"/>
            <w:noProof/>
            <w:webHidden/>
            <w:sz w:val="22"/>
            <w:szCs w:val="22"/>
          </w:rPr>
          <w:instrText xml:space="preserve"> PAGEREF _Toc71728432 \h </w:instrText>
        </w:r>
        <w:r w:rsidR="00707021" w:rsidRPr="00032003">
          <w:rPr>
            <w:rFonts w:ascii="Times New Roman" w:hAnsi="Times New Roman" w:cs="Times New Roman"/>
            <w:i w:val="0"/>
            <w:iCs w:val="0"/>
            <w:noProof/>
            <w:webHidden/>
            <w:sz w:val="22"/>
            <w:szCs w:val="22"/>
          </w:rPr>
        </w:r>
        <w:r w:rsidR="00707021" w:rsidRPr="00032003">
          <w:rPr>
            <w:rFonts w:ascii="Times New Roman" w:hAnsi="Times New Roman" w:cs="Times New Roman"/>
            <w:i w:val="0"/>
            <w:iCs w:val="0"/>
            <w:noProof/>
            <w:webHidden/>
            <w:sz w:val="22"/>
            <w:szCs w:val="22"/>
          </w:rPr>
          <w:fldChar w:fldCharType="separate"/>
        </w:r>
        <w:r w:rsidR="005050F0">
          <w:rPr>
            <w:rFonts w:ascii="Times New Roman" w:hAnsi="Times New Roman" w:cs="Times New Roman"/>
            <w:i w:val="0"/>
            <w:iCs w:val="0"/>
            <w:noProof/>
            <w:webHidden/>
            <w:sz w:val="22"/>
            <w:szCs w:val="22"/>
          </w:rPr>
          <w:t>77</w:t>
        </w:r>
        <w:r w:rsidR="00707021" w:rsidRPr="00032003">
          <w:rPr>
            <w:rFonts w:ascii="Times New Roman" w:hAnsi="Times New Roman" w:cs="Times New Roman"/>
            <w:i w:val="0"/>
            <w:iCs w:val="0"/>
            <w:noProof/>
            <w:webHidden/>
            <w:sz w:val="22"/>
            <w:szCs w:val="22"/>
          </w:rPr>
          <w:fldChar w:fldCharType="end"/>
        </w:r>
      </w:hyperlink>
    </w:p>
    <w:p w14:paraId="7B6B8E04" w14:textId="428A168D" w:rsidR="00707021" w:rsidRPr="00032003" w:rsidRDefault="007F7885" w:rsidP="00032003">
      <w:pPr>
        <w:pStyle w:val="TOC3"/>
        <w:rPr>
          <w:rFonts w:ascii="Times New Roman" w:eastAsiaTheme="minorEastAsia" w:hAnsi="Times New Roman" w:cs="Times New Roman"/>
          <w:i w:val="0"/>
          <w:iCs w:val="0"/>
          <w:noProof/>
          <w:sz w:val="22"/>
          <w:szCs w:val="22"/>
        </w:rPr>
      </w:pPr>
      <w:hyperlink w:anchor="_Toc71728433" w:history="1">
        <w:r w:rsidR="00707021" w:rsidRPr="00032003">
          <w:rPr>
            <w:rStyle w:val="Hyperlink"/>
            <w:rFonts w:cs="Times New Roman"/>
            <w:i w:val="0"/>
            <w:iCs w:val="0"/>
            <w:noProof/>
            <w:szCs w:val="22"/>
            <w:lang w:val="en-CA" w:bidi="en-US"/>
          </w:rPr>
          <w:t>3.4.2 Aggregate Test Results</w:t>
        </w:r>
        <w:r w:rsidR="00707021" w:rsidRPr="00032003">
          <w:rPr>
            <w:rFonts w:ascii="Times New Roman" w:hAnsi="Times New Roman" w:cs="Times New Roman"/>
            <w:i w:val="0"/>
            <w:iCs w:val="0"/>
            <w:noProof/>
            <w:webHidden/>
            <w:sz w:val="22"/>
            <w:szCs w:val="22"/>
          </w:rPr>
          <w:tab/>
        </w:r>
        <w:r w:rsidR="00707021" w:rsidRPr="00032003">
          <w:rPr>
            <w:rFonts w:ascii="Times New Roman" w:hAnsi="Times New Roman" w:cs="Times New Roman"/>
            <w:i w:val="0"/>
            <w:iCs w:val="0"/>
            <w:noProof/>
            <w:webHidden/>
            <w:sz w:val="22"/>
            <w:szCs w:val="22"/>
          </w:rPr>
          <w:fldChar w:fldCharType="begin"/>
        </w:r>
        <w:r w:rsidR="00707021" w:rsidRPr="00032003">
          <w:rPr>
            <w:rFonts w:ascii="Times New Roman" w:hAnsi="Times New Roman" w:cs="Times New Roman"/>
            <w:i w:val="0"/>
            <w:iCs w:val="0"/>
            <w:noProof/>
            <w:webHidden/>
            <w:sz w:val="22"/>
            <w:szCs w:val="22"/>
          </w:rPr>
          <w:instrText xml:space="preserve"> PAGEREF _Toc71728433 \h </w:instrText>
        </w:r>
        <w:r w:rsidR="00707021" w:rsidRPr="00032003">
          <w:rPr>
            <w:rFonts w:ascii="Times New Roman" w:hAnsi="Times New Roman" w:cs="Times New Roman"/>
            <w:i w:val="0"/>
            <w:iCs w:val="0"/>
            <w:noProof/>
            <w:webHidden/>
            <w:sz w:val="22"/>
            <w:szCs w:val="22"/>
          </w:rPr>
        </w:r>
        <w:r w:rsidR="00707021" w:rsidRPr="00032003">
          <w:rPr>
            <w:rFonts w:ascii="Times New Roman" w:hAnsi="Times New Roman" w:cs="Times New Roman"/>
            <w:i w:val="0"/>
            <w:iCs w:val="0"/>
            <w:noProof/>
            <w:webHidden/>
            <w:sz w:val="22"/>
            <w:szCs w:val="22"/>
          </w:rPr>
          <w:fldChar w:fldCharType="separate"/>
        </w:r>
        <w:r w:rsidR="005050F0">
          <w:rPr>
            <w:rFonts w:ascii="Times New Roman" w:hAnsi="Times New Roman" w:cs="Times New Roman"/>
            <w:i w:val="0"/>
            <w:iCs w:val="0"/>
            <w:noProof/>
            <w:webHidden/>
            <w:sz w:val="22"/>
            <w:szCs w:val="22"/>
          </w:rPr>
          <w:t>87</w:t>
        </w:r>
        <w:r w:rsidR="00707021" w:rsidRPr="00032003">
          <w:rPr>
            <w:rFonts w:ascii="Times New Roman" w:hAnsi="Times New Roman" w:cs="Times New Roman"/>
            <w:i w:val="0"/>
            <w:iCs w:val="0"/>
            <w:noProof/>
            <w:webHidden/>
            <w:sz w:val="22"/>
            <w:szCs w:val="22"/>
          </w:rPr>
          <w:fldChar w:fldCharType="end"/>
        </w:r>
      </w:hyperlink>
    </w:p>
    <w:p w14:paraId="68341A60" w14:textId="1C752AEF" w:rsidR="00707021" w:rsidRPr="00032003" w:rsidRDefault="007F7885" w:rsidP="00032003">
      <w:pPr>
        <w:pStyle w:val="TOC3"/>
        <w:rPr>
          <w:rFonts w:ascii="Times New Roman" w:eastAsiaTheme="minorEastAsia" w:hAnsi="Times New Roman" w:cs="Times New Roman"/>
          <w:i w:val="0"/>
          <w:iCs w:val="0"/>
          <w:noProof/>
          <w:sz w:val="22"/>
          <w:szCs w:val="22"/>
        </w:rPr>
      </w:pPr>
      <w:hyperlink w:anchor="_Toc71728434" w:history="1">
        <w:r w:rsidR="00707021" w:rsidRPr="00032003">
          <w:rPr>
            <w:rStyle w:val="Hyperlink"/>
            <w:rFonts w:cs="Times New Roman"/>
            <w:i w:val="0"/>
            <w:iCs w:val="0"/>
            <w:noProof/>
            <w:szCs w:val="22"/>
            <w:lang w:bidi="en-US"/>
          </w:rPr>
          <w:t>3.4.3 Moisture-induced Damage Potential of Binder-Aggregate Systems</w:t>
        </w:r>
        <w:r w:rsidR="00707021" w:rsidRPr="00032003">
          <w:rPr>
            <w:rFonts w:ascii="Times New Roman" w:hAnsi="Times New Roman" w:cs="Times New Roman"/>
            <w:i w:val="0"/>
            <w:iCs w:val="0"/>
            <w:noProof/>
            <w:webHidden/>
            <w:sz w:val="22"/>
            <w:szCs w:val="22"/>
          </w:rPr>
          <w:tab/>
        </w:r>
        <w:r w:rsidR="00707021" w:rsidRPr="00032003">
          <w:rPr>
            <w:rFonts w:ascii="Times New Roman" w:hAnsi="Times New Roman" w:cs="Times New Roman"/>
            <w:i w:val="0"/>
            <w:iCs w:val="0"/>
            <w:noProof/>
            <w:webHidden/>
            <w:sz w:val="22"/>
            <w:szCs w:val="22"/>
          </w:rPr>
          <w:fldChar w:fldCharType="begin"/>
        </w:r>
        <w:r w:rsidR="00707021" w:rsidRPr="00032003">
          <w:rPr>
            <w:rFonts w:ascii="Times New Roman" w:hAnsi="Times New Roman" w:cs="Times New Roman"/>
            <w:i w:val="0"/>
            <w:iCs w:val="0"/>
            <w:noProof/>
            <w:webHidden/>
            <w:sz w:val="22"/>
            <w:szCs w:val="22"/>
          </w:rPr>
          <w:instrText xml:space="preserve"> PAGEREF _Toc71728434 \h </w:instrText>
        </w:r>
        <w:r w:rsidR="00707021" w:rsidRPr="00032003">
          <w:rPr>
            <w:rFonts w:ascii="Times New Roman" w:hAnsi="Times New Roman" w:cs="Times New Roman"/>
            <w:i w:val="0"/>
            <w:iCs w:val="0"/>
            <w:noProof/>
            <w:webHidden/>
            <w:sz w:val="22"/>
            <w:szCs w:val="22"/>
          </w:rPr>
        </w:r>
        <w:r w:rsidR="00707021" w:rsidRPr="00032003">
          <w:rPr>
            <w:rFonts w:ascii="Times New Roman" w:hAnsi="Times New Roman" w:cs="Times New Roman"/>
            <w:i w:val="0"/>
            <w:iCs w:val="0"/>
            <w:noProof/>
            <w:webHidden/>
            <w:sz w:val="22"/>
            <w:szCs w:val="22"/>
          </w:rPr>
          <w:fldChar w:fldCharType="separate"/>
        </w:r>
        <w:r w:rsidR="005050F0">
          <w:rPr>
            <w:rFonts w:ascii="Times New Roman" w:hAnsi="Times New Roman" w:cs="Times New Roman"/>
            <w:i w:val="0"/>
            <w:iCs w:val="0"/>
            <w:noProof/>
            <w:webHidden/>
            <w:sz w:val="22"/>
            <w:szCs w:val="22"/>
          </w:rPr>
          <w:t>89</w:t>
        </w:r>
        <w:r w:rsidR="00707021" w:rsidRPr="00032003">
          <w:rPr>
            <w:rFonts w:ascii="Times New Roman" w:hAnsi="Times New Roman" w:cs="Times New Roman"/>
            <w:i w:val="0"/>
            <w:iCs w:val="0"/>
            <w:noProof/>
            <w:webHidden/>
            <w:sz w:val="22"/>
            <w:szCs w:val="22"/>
          </w:rPr>
          <w:fldChar w:fldCharType="end"/>
        </w:r>
      </w:hyperlink>
    </w:p>
    <w:p w14:paraId="31E4B682" w14:textId="61555B58" w:rsidR="00707021" w:rsidRPr="00032003" w:rsidRDefault="007F7885" w:rsidP="00032003">
      <w:pPr>
        <w:pStyle w:val="TOC2"/>
        <w:rPr>
          <w:rFonts w:ascii="Times New Roman" w:eastAsiaTheme="minorEastAsia" w:hAnsi="Times New Roman" w:cs="Times New Roman"/>
          <w:noProof/>
          <w:sz w:val="22"/>
          <w:szCs w:val="22"/>
        </w:rPr>
      </w:pPr>
      <w:hyperlink w:anchor="_Toc71728435" w:history="1">
        <w:r w:rsidR="00707021" w:rsidRPr="00032003">
          <w:rPr>
            <w:rStyle w:val="Hyperlink"/>
            <w:rFonts w:cs="Times New Roman"/>
            <w:noProof/>
            <w:szCs w:val="22"/>
            <w:lang w:bidi="en-US"/>
          </w:rPr>
          <w:t>3.5 CONCLUSIONS</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_Toc71728435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96</w:t>
        </w:r>
        <w:r w:rsidR="00707021" w:rsidRPr="00032003">
          <w:rPr>
            <w:rFonts w:ascii="Times New Roman" w:hAnsi="Times New Roman" w:cs="Times New Roman"/>
            <w:noProof/>
            <w:webHidden/>
            <w:sz w:val="22"/>
            <w:szCs w:val="22"/>
          </w:rPr>
          <w:fldChar w:fldCharType="end"/>
        </w:r>
      </w:hyperlink>
    </w:p>
    <w:p w14:paraId="2E3A66B4" w14:textId="29386BB2" w:rsidR="00707021" w:rsidRPr="00032003" w:rsidRDefault="0035043F" w:rsidP="00032003">
      <w:pPr>
        <w:pStyle w:val="TOC1"/>
        <w:rPr>
          <w:rFonts w:ascii="Times New Roman" w:eastAsiaTheme="minorEastAsia" w:hAnsi="Times New Roman" w:cs="Times New Roman"/>
          <w:noProof/>
          <w:sz w:val="22"/>
          <w:szCs w:val="22"/>
        </w:rPr>
      </w:pPr>
      <w:r w:rsidRPr="00032003">
        <w:rPr>
          <w:rStyle w:val="Hyperlink"/>
          <w:rFonts w:cs="Times New Roman"/>
          <w:noProof/>
          <w:szCs w:val="22"/>
        </w:rPr>
        <w:t xml:space="preserve">CHAPTER </w:t>
      </w:r>
      <w:hyperlink w:anchor="_Toc71728436" w:history="1">
        <w:r w:rsidR="00707021" w:rsidRPr="00032003">
          <w:rPr>
            <w:rStyle w:val="Hyperlink"/>
            <w:rFonts w:cs="Times New Roman"/>
            <w:noProof/>
            <w:szCs w:val="22"/>
            <w:lang w:bidi="en-US"/>
          </w:rPr>
          <w:t>4. EFFECT OF ADDITIVES AND AGING ON MOISTURE-INDUCED DAMAGE POTENTIAL OF ASPHALT MIXES USING SURFACE FREE ENERGY AND LABORATORY-BASED PERFORMANCE TESTS</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_Toc71728436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110</w:t>
        </w:r>
        <w:r w:rsidR="00707021" w:rsidRPr="00032003">
          <w:rPr>
            <w:rFonts w:ascii="Times New Roman" w:hAnsi="Times New Roman" w:cs="Times New Roman"/>
            <w:noProof/>
            <w:webHidden/>
            <w:sz w:val="22"/>
            <w:szCs w:val="22"/>
          </w:rPr>
          <w:fldChar w:fldCharType="end"/>
        </w:r>
      </w:hyperlink>
    </w:p>
    <w:p w14:paraId="1182DA31" w14:textId="2E57A6CC" w:rsidR="00707021" w:rsidRPr="00032003" w:rsidRDefault="007F7885" w:rsidP="00032003">
      <w:pPr>
        <w:pStyle w:val="TOC2"/>
        <w:rPr>
          <w:rFonts w:ascii="Times New Roman" w:eastAsiaTheme="minorEastAsia" w:hAnsi="Times New Roman" w:cs="Times New Roman"/>
          <w:noProof/>
          <w:sz w:val="22"/>
          <w:szCs w:val="22"/>
        </w:rPr>
      </w:pPr>
      <w:hyperlink w:anchor="_Toc71728437" w:history="1">
        <w:r w:rsidR="00707021" w:rsidRPr="00032003">
          <w:rPr>
            <w:rStyle w:val="Hyperlink"/>
            <w:rFonts w:cs="Times New Roman"/>
            <w:noProof/>
            <w:szCs w:val="22"/>
            <w:lang w:bidi="en-US"/>
          </w:rPr>
          <w:t>4.1 INTRODUCTION</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_Toc71728437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111</w:t>
        </w:r>
        <w:r w:rsidR="00707021" w:rsidRPr="00032003">
          <w:rPr>
            <w:rFonts w:ascii="Times New Roman" w:hAnsi="Times New Roman" w:cs="Times New Roman"/>
            <w:noProof/>
            <w:webHidden/>
            <w:sz w:val="22"/>
            <w:szCs w:val="22"/>
          </w:rPr>
          <w:fldChar w:fldCharType="end"/>
        </w:r>
      </w:hyperlink>
    </w:p>
    <w:p w14:paraId="63F93243" w14:textId="5C4A0731" w:rsidR="00707021" w:rsidRPr="00032003" w:rsidRDefault="007F7885" w:rsidP="00032003">
      <w:pPr>
        <w:pStyle w:val="TOC2"/>
        <w:rPr>
          <w:rFonts w:ascii="Times New Roman" w:eastAsiaTheme="minorEastAsia" w:hAnsi="Times New Roman" w:cs="Times New Roman"/>
          <w:noProof/>
          <w:sz w:val="22"/>
          <w:szCs w:val="22"/>
        </w:rPr>
      </w:pPr>
      <w:hyperlink w:anchor="_Toc71728438" w:history="1">
        <w:r w:rsidR="00707021" w:rsidRPr="00032003">
          <w:rPr>
            <w:rStyle w:val="Hyperlink"/>
            <w:rFonts w:cs="Times New Roman"/>
            <w:noProof/>
            <w:szCs w:val="22"/>
            <w:lang w:bidi="en-US"/>
          </w:rPr>
          <w:t>4.2 OBJECTIVES</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_Toc71728438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115</w:t>
        </w:r>
        <w:r w:rsidR="00707021" w:rsidRPr="00032003">
          <w:rPr>
            <w:rFonts w:ascii="Times New Roman" w:hAnsi="Times New Roman" w:cs="Times New Roman"/>
            <w:noProof/>
            <w:webHidden/>
            <w:sz w:val="22"/>
            <w:szCs w:val="22"/>
          </w:rPr>
          <w:fldChar w:fldCharType="end"/>
        </w:r>
      </w:hyperlink>
    </w:p>
    <w:p w14:paraId="6A0A1179" w14:textId="49BD9236" w:rsidR="00707021" w:rsidRPr="00032003" w:rsidRDefault="007F7885" w:rsidP="00032003">
      <w:pPr>
        <w:pStyle w:val="TOC2"/>
        <w:rPr>
          <w:rFonts w:ascii="Times New Roman" w:eastAsiaTheme="minorEastAsia" w:hAnsi="Times New Roman" w:cs="Times New Roman"/>
          <w:noProof/>
          <w:sz w:val="22"/>
          <w:szCs w:val="22"/>
        </w:rPr>
      </w:pPr>
      <w:hyperlink w:anchor="_Toc71728439" w:history="1">
        <w:r w:rsidR="00707021" w:rsidRPr="00032003">
          <w:rPr>
            <w:rStyle w:val="Hyperlink"/>
            <w:rFonts w:cs="Times New Roman"/>
            <w:noProof/>
            <w:szCs w:val="22"/>
            <w:lang w:bidi="en-US"/>
          </w:rPr>
          <w:t>4.3 THERMODYNAMIC APPROACH OF EVALUATING MOISTURE-INDUCED DAMAGE</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_Toc71728439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116</w:t>
        </w:r>
        <w:r w:rsidR="00707021" w:rsidRPr="00032003">
          <w:rPr>
            <w:rFonts w:ascii="Times New Roman" w:hAnsi="Times New Roman" w:cs="Times New Roman"/>
            <w:noProof/>
            <w:webHidden/>
            <w:sz w:val="22"/>
            <w:szCs w:val="22"/>
          </w:rPr>
          <w:fldChar w:fldCharType="end"/>
        </w:r>
      </w:hyperlink>
    </w:p>
    <w:p w14:paraId="1F4D46B2" w14:textId="57523B77" w:rsidR="00707021" w:rsidRPr="00032003" w:rsidRDefault="007F7885" w:rsidP="00032003">
      <w:pPr>
        <w:pStyle w:val="TOC2"/>
        <w:rPr>
          <w:rFonts w:ascii="Times New Roman" w:eastAsiaTheme="minorEastAsia" w:hAnsi="Times New Roman" w:cs="Times New Roman"/>
          <w:noProof/>
          <w:sz w:val="22"/>
          <w:szCs w:val="22"/>
        </w:rPr>
      </w:pPr>
      <w:hyperlink w:anchor="_Toc71728440" w:history="1">
        <w:r w:rsidR="00707021" w:rsidRPr="00032003">
          <w:rPr>
            <w:rStyle w:val="Hyperlink"/>
            <w:rFonts w:cs="Times New Roman"/>
            <w:noProof/>
            <w:szCs w:val="22"/>
            <w:lang w:bidi="en-US"/>
          </w:rPr>
          <w:t>4.4 MATERIALS AND METHODS</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_Toc71728440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119</w:t>
        </w:r>
        <w:r w:rsidR="00707021" w:rsidRPr="00032003">
          <w:rPr>
            <w:rFonts w:ascii="Times New Roman" w:hAnsi="Times New Roman" w:cs="Times New Roman"/>
            <w:noProof/>
            <w:webHidden/>
            <w:sz w:val="22"/>
            <w:szCs w:val="22"/>
          </w:rPr>
          <w:fldChar w:fldCharType="end"/>
        </w:r>
      </w:hyperlink>
    </w:p>
    <w:p w14:paraId="729DD82D" w14:textId="50C3C261" w:rsidR="00707021" w:rsidRPr="00032003" w:rsidRDefault="007F7885" w:rsidP="00032003">
      <w:pPr>
        <w:pStyle w:val="TOC3"/>
        <w:rPr>
          <w:rFonts w:ascii="Times New Roman" w:eastAsiaTheme="minorEastAsia" w:hAnsi="Times New Roman" w:cs="Times New Roman"/>
          <w:i w:val="0"/>
          <w:iCs w:val="0"/>
          <w:noProof/>
          <w:sz w:val="22"/>
          <w:szCs w:val="22"/>
        </w:rPr>
      </w:pPr>
      <w:hyperlink w:anchor="_Toc71728441" w:history="1">
        <w:r w:rsidR="00707021" w:rsidRPr="00032003">
          <w:rPr>
            <w:rStyle w:val="Hyperlink"/>
            <w:rFonts w:cs="Times New Roman"/>
            <w:i w:val="0"/>
            <w:iCs w:val="0"/>
            <w:noProof/>
            <w:szCs w:val="22"/>
            <w:lang w:bidi="en-US"/>
          </w:rPr>
          <w:t>4.4.1 Materials</w:t>
        </w:r>
        <w:r w:rsidR="00707021" w:rsidRPr="00032003">
          <w:rPr>
            <w:rFonts w:ascii="Times New Roman" w:hAnsi="Times New Roman" w:cs="Times New Roman"/>
            <w:i w:val="0"/>
            <w:iCs w:val="0"/>
            <w:noProof/>
            <w:webHidden/>
            <w:sz w:val="22"/>
            <w:szCs w:val="22"/>
          </w:rPr>
          <w:tab/>
        </w:r>
        <w:r w:rsidR="00707021" w:rsidRPr="00032003">
          <w:rPr>
            <w:rFonts w:ascii="Times New Roman" w:hAnsi="Times New Roman" w:cs="Times New Roman"/>
            <w:i w:val="0"/>
            <w:iCs w:val="0"/>
            <w:noProof/>
            <w:webHidden/>
            <w:sz w:val="22"/>
            <w:szCs w:val="22"/>
          </w:rPr>
          <w:fldChar w:fldCharType="begin"/>
        </w:r>
        <w:r w:rsidR="00707021" w:rsidRPr="00032003">
          <w:rPr>
            <w:rFonts w:ascii="Times New Roman" w:hAnsi="Times New Roman" w:cs="Times New Roman"/>
            <w:i w:val="0"/>
            <w:iCs w:val="0"/>
            <w:noProof/>
            <w:webHidden/>
            <w:sz w:val="22"/>
            <w:szCs w:val="22"/>
          </w:rPr>
          <w:instrText xml:space="preserve"> PAGEREF _Toc71728441 \h </w:instrText>
        </w:r>
        <w:r w:rsidR="00707021" w:rsidRPr="00032003">
          <w:rPr>
            <w:rFonts w:ascii="Times New Roman" w:hAnsi="Times New Roman" w:cs="Times New Roman"/>
            <w:i w:val="0"/>
            <w:iCs w:val="0"/>
            <w:noProof/>
            <w:webHidden/>
            <w:sz w:val="22"/>
            <w:szCs w:val="22"/>
          </w:rPr>
        </w:r>
        <w:r w:rsidR="00707021" w:rsidRPr="00032003">
          <w:rPr>
            <w:rFonts w:ascii="Times New Roman" w:hAnsi="Times New Roman" w:cs="Times New Roman"/>
            <w:i w:val="0"/>
            <w:iCs w:val="0"/>
            <w:noProof/>
            <w:webHidden/>
            <w:sz w:val="22"/>
            <w:szCs w:val="22"/>
          </w:rPr>
          <w:fldChar w:fldCharType="separate"/>
        </w:r>
        <w:r w:rsidR="005050F0">
          <w:rPr>
            <w:rFonts w:ascii="Times New Roman" w:hAnsi="Times New Roman" w:cs="Times New Roman"/>
            <w:i w:val="0"/>
            <w:iCs w:val="0"/>
            <w:noProof/>
            <w:webHidden/>
            <w:sz w:val="22"/>
            <w:szCs w:val="22"/>
          </w:rPr>
          <w:t>119</w:t>
        </w:r>
        <w:r w:rsidR="00707021" w:rsidRPr="00032003">
          <w:rPr>
            <w:rFonts w:ascii="Times New Roman" w:hAnsi="Times New Roman" w:cs="Times New Roman"/>
            <w:i w:val="0"/>
            <w:iCs w:val="0"/>
            <w:noProof/>
            <w:webHidden/>
            <w:sz w:val="22"/>
            <w:szCs w:val="22"/>
          </w:rPr>
          <w:fldChar w:fldCharType="end"/>
        </w:r>
      </w:hyperlink>
    </w:p>
    <w:p w14:paraId="2C7B3B6C" w14:textId="32126068" w:rsidR="00707021" w:rsidRPr="00032003" w:rsidRDefault="007F7885" w:rsidP="00032003">
      <w:pPr>
        <w:pStyle w:val="TOC3"/>
        <w:rPr>
          <w:rFonts w:ascii="Times New Roman" w:eastAsiaTheme="minorEastAsia" w:hAnsi="Times New Roman" w:cs="Times New Roman"/>
          <w:i w:val="0"/>
          <w:iCs w:val="0"/>
          <w:noProof/>
          <w:sz w:val="22"/>
          <w:szCs w:val="22"/>
        </w:rPr>
      </w:pPr>
      <w:hyperlink w:anchor="_Toc71728442" w:history="1">
        <w:r w:rsidR="00707021" w:rsidRPr="00032003">
          <w:rPr>
            <w:rStyle w:val="Hyperlink"/>
            <w:rFonts w:cs="Times New Roman"/>
            <w:i w:val="0"/>
            <w:iCs w:val="0"/>
            <w:noProof/>
            <w:szCs w:val="22"/>
            <w:lang w:bidi="en-US"/>
          </w:rPr>
          <w:t>4.4.2 Test Methods</w:t>
        </w:r>
        <w:r w:rsidR="00707021" w:rsidRPr="00032003">
          <w:rPr>
            <w:rFonts w:ascii="Times New Roman" w:hAnsi="Times New Roman" w:cs="Times New Roman"/>
            <w:i w:val="0"/>
            <w:iCs w:val="0"/>
            <w:noProof/>
            <w:webHidden/>
            <w:sz w:val="22"/>
            <w:szCs w:val="22"/>
          </w:rPr>
          <w:tab/>
        </w:r>
        <w:r w:rsidR="00707021" w:rsidRPr="00032003">
          <w:rPr>
            <w:rFonts w:ascii="Times New Roman" w:hAnsi="Times New Roman" w:cs="Times New Roman"/>
            <w:i w:val="0"/>
            <w:iCs w:val="0"/>
            <w:noProof/>
            <w:webHidden/>
            <w:sz w:val="22"/>
            <w:szCs w:val="22"/>
          </w:rPr>
          <w:fldChar w:fldCharType="begin"/>
        </w:r>
        <w:r w:rsidR="00707021" w:rsidRPr="00032003">
          <w:rPr>
            <w:rFonts w:ascii="Times New Roman" w:hAnsi="Times New Roman" w:cs="Times New Roman"/>
            <w:i w:val="0"/>
            <w:iCs w:val="0"/>
            <w:noProof/>
            <w:webHidden/>
            <w:sz w:val="22"/>
            <w:szCs w:val="22"/>
          </w:rPr>
          <w:instrText xml:space="preserve"> PAGEREF _Toc71728442 \h </w:instrText>
        </w:r>
        <w:r w:rsidR="00707021" w:rsidRPr="00032003">
          <w:rPr>
            <w:rFonts w:ascii="Times New Roman" w:hAnsi="Times New Roman" w:cs="Times New Roman"/>
            <w:i w:val="0"/>
            <w:iCs w:val="0"/>
            <w:noProof/>
            <w:webHidden/>
            <w:sz w:val="22"/>
            <w:szCs w:val="22"/>
          </w:rPr>
        </w:r>
        <w:r w:rsidR="00707021" w:rsidRPr="00032003">
          <w:rPr>
            <w:rFonts w:ascii="Times New Roman" w:hAnsi="Times New Roman" w:cs="Times New Roman"/>
            <w:i w:val="0"/>
            <w:iCs w:val="0"/>
            <w:noProof/>
            <w:webHidden/>
            <w:sz w:val="22"/>
            <w:szCs w:val="22"/>
          </w:rPr>
          <w:fldChar w:fldCharType="separate"/>
        </w:r>
        <w:r w:rsidR="005050F0">
          <w:rPr>
            <w:rFonts w:ascii="Times New Roman" w:hAnsi="Times New Roman" w:cs="Times New Roman"/>
            <w:i w:val="0"/>
            <w:iCs w:val="0"/>
            <w:noProof/>
            <w:webHidden/>
            <w:sz w:val="22"/>
            <w:szCs w:val="22"/>
          </w:rPr>
          <w:t>122</w:t>
        </w:r>
        <w:r w:rsidR="00707021" w:rsidRPr="00032003">
          <w:rPr>
            <w:rFonts w:ascii="Times New Roman" w:hAnsi="Times New Roman" w:cs="Times New Roman"/>
            <w:i w:val="0"/>
            <w:iCs w:val="0"/>
            <w:noProof/>
            <w:webHidden/>
            <w:sz w:val="22"/>
            <w:szCs w:val="22"/>
          </w:rPr>
          <w:fldChar w:fldCharType="end"/>
        </w:r>
      </w:hyperlink>
    </w:p>
    <w:p w14:paraId="0EA3687E" w14:textId="2A918E5B" w:rsidR="00707021" w:rsidRPr="00032003" w:rsidRDefault="007F7885" w:rsidP="00032003">
      <w:pPr>
        <w:pStyle w:val="TOC2"/>
        <w:rPr>
          <w:rFonts w:ascii="Times New Roman" w:eastAsiaTheme="minorEastAsia" w:hAnsi="Times New Roman" w:cs="Times New Roman"/>
          <w:noProof/>
          <w:sz w:val="22"/>
          <w:szCs w:val="22"/>
        </w:rPr>
      </w:pPr>
      <w:hyperlink w:anchor="_Toc71728443" w:history="1">
        <w:r w:rsidR="00707021" w:rsidRPr="00032003">
          <w:rPr>
            <w:rStyle w:val="Hyperlink"/>
            <w:rFonts w:cs="Times New Roman"/>
            <w:noProof/>
            <w:szCs w:val="22"/>
            <w:lang w:bidi="en-US"/>
          </w:rPr>
          <w:t>4.5 RESULTS AND DISCUSSIONS</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_Toc71728443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127</w:t>
        </w:r>
        <w:r w:rsidR="00707021" w:rsidRPr="00032003">
          <w:rPr>
            <w:rFonts w:ascii="Times New Roman" w:hAnsi="Times New Roman" w:cs="Times New Roman"/>
            <w:noProof/>
            <w:webHidden/>
            <w:sz w:val="22"/>
            <w:szCs w:val="22"/>
          </w:rPr>
          <w:fldChar w:fldCharType="end"/>
        </w:r>
      </w:hyperlink>
    </w:p>
    <w:p w14:paraId="2DEC5D7A" w14:textId="340EBD6B" w:rsidR="00707021" w:rsidRPr="00032003" w:rsidRDefault="007F7885" w:rsidP="00032003">
      <w:pPr>
        <w:pStyle w:val="TOC3"/>
        <w:rPr>
          <w:rFonts w:ascii="Times New Roman" w:eastAsiaTheme="minorEastAsia" w:hAnsi="Times New Roman" w:cs="Times New Roman"/>
          <w:i w:val="0"/>
          <w:iCs w:val="0"/>
          <w:noProof/>
          <w:sz w:val="22"/>
          <w:szCs w:val="22"/>
        </w:rPr>
      </w:pPr>
      <w:hyperlink w:anchor="_Toc71728444" w:history="1">
        <w:r w:rsidR="00707021" w:rsidRPr="00032003">
          <w:rPr>
            <w:rStyle w:val="Hyperlink"/>
            <w:rFonts w:cs="Times New Roman"/>
            <w:i w:val="0"/>
            <w:iCs w:val="0"/>
            <w:noProof/>
            <w:szCs w:val="22"/>
            <w:lang w:bidi="en-US"/>
          </w:rPr>
          <w:t>4.5.1 Surface Free Energy Components of Binder Blends</w:t>
        </w:r>
        <w:r w:rsidR="00707021" w:rsidRPr="00032003">
          <w:rPr>
            <w:rFonts w:ascii="Times New Roman" w:hAnsi="Times New Roman" w:cs="Times New Roman"/>
            <w:i w:val="0"/>
            <w:iCs w:val="0"/>
            <w:noProof/>
            <w:webHidden/>
            <w:sz w:val="22"/>
            <w:szCs w:val="22"/>
          </w:rPr>
          <w:tab/>
        </w:r>
        <w:r w:rsidR="00707021" w:rsidRPr="00032003">
          <w:rPr>
            <w:rFonts w:ascii="Times New Roman" w:hAnsi="Times New Roman" w:cs="Times New Roman"/>
            <w:i w:val="0"/>
            <w:iCs w:val="0"/>
            <w:noProof/>
            <w:webHidden/>
            <w:sz w:val="22"/>
            <w:szCs w:val="22"/>
          </w:rPr>
          <w:fldChar w:fldCharType="begin"/>
        </w:r>
        <w:r w:rsidR="00707021" w:rsidRPr="00032003">
          <w:rPr>
            <w:rFonts w:ascii="Times New Roman" w:hAnsi="Times New Roman" w:cs="Times New Roman"/>
            <w:i w:val="0"/>
            <w:iCs w:val="0"/>
            <w:noProof/>
            <w:webHidden/>
            <w:sz w:val="22"/>
            <w:szCs w:val="22"/>
          </w:rPr>
          <w:instrText xml:space="preserve"> PAGEREF _Toc71728444 \h </w:instrText>
        </w:r>
        <w:r w:rsidR="00707021" w:rsidRPr="00032003">
          <w:rPr>
            <w:rFonts w:ascii="Times New Roman" w:hAnsi="Times New Roman" w:cs="Times New Roman"/>
            <w:i w:val="0"/>
            <w:iCs w:val="0"/>
            <w:noProof/>
            <w:webHidden/>
            <w:sz w:val="22"/>
            <w:szCs w:val="22"/>
          </w:rPr>
        </w:r>
        <w:r w:rsidR="00707021" w:rsidRPr="00032003">
          <w:rPr>
            <w:rFonts w:ascii="Times New Roman" w:hAnsi="Times New Roman" w:cs="Times New Roman"/>
            <w:i w:val="0"/>
            <w:iCs w:val="0"/>
            <w:noProof/>
            <w:webHidden/>
            <w:sz w:val="22"/>
            <w:szCs w:val="22"/>
          </w:rPr>
          <w:fldChar w:fldCharType="separate"/>
        </w:r>
        <w:r w:rsidR="005050F0">
          <w:rPr>
            <w:rFonts w:ascii="Times New Roman" w:hAnsi="Times New Roman" w:cs="Times New Roman"/>
            <w:i w:val="0"/>
            <w:iCs w:val="0"/>
            <w:noProof/>
            <w:webHidden/>
            <w:sz w:val="22"/>
            <w:szCs w:val="22"/>
          </w:rPr>
          <w:t>127</w:t>
        </w:r>
        <w:r w:rsidR="00707021" w:rsidRPr="00032003">
          <w:rPr>
            <w:rFonts w:ascii="Times New Roman" w:hAnsi="Times New Roman" w:cs="Times New Roman"/>
            <w:i w:val="0"/>
            <w:iCs w:val="0"/>
            <w:noProof/>
            <w:webHidden/>
            <w:sz w:val="22"/>
            <w:szCs w:val="22"/>
          </w:rPr>
          <w:fldChar w:fldCharType="end"/>
        </w:r>
      </w:hyperlink>
    </w:p>
    <w:p w14:paraId="5FCAD188" w14:textId="7DF0D907" w:rsidR="00707021" w:rsidRPr="00032003" w:rsidRDefault="007F7885" w:rsidP="00032003">
      <w:pPr>
        <w:pStyle w:val="TOC3"/>
        <w:rPr>
          <w:rFonts w:ascii="Times New Roman" w:eastAsiaTheme="minorEastAsia" w:hAnsi="Times New Roman" w:cs="Times New Roman"/>
          <w:i w:val="0"/>
          <w:iCs w:val="0"/>
          <w:noProof/>
          <w:sz w:val="22"/>
          <w:szCs w:val="22"/>
        </w:rPr>
      </w:pPr>
      <w:hyperlink w:anchor="_Toc71728445" w:history="1">
        <w:r w:rsidR="00707021" w:rsidRPr="00032003">
          <w:rPr>
            <w:rStyle w:val="Hyperlink"/>
            <w:rFonts w:cs="Times New Roman"/>
            <w:i w:val="0"/>
            <w:iCs w:val="0"/>
            <w:noProof/>
            <w:szCs w:val="22"/>
            <w:lang w:bidi="en-US"/>
          </w:rPr>
          <w:t>4.5.2 Surface Free Energy Components of Aggregates</w:t>
        </w:r>
        <w:r w:rsidR="00707021" w:rsidRPr="00032003">
          <w:rPr>
            <w:rFonts w:ascii="Times New Roman" w:hAnsi="Times New Roman" w:cs="Times New Roman"/>
            <w:i w:val="0"/>
            <w:iCs w:val="0"/>
            <w:noProof/>
            <w:webHidden/>
            <w:sz w:val="22"/>
            <w:szCs w:val="22"/>
          </w:rPr>
          <w:tab/>
        </w:r>
        <w:r w:rsidR="00707021" w:rsidRPr="00032003">
          <w:rPr>
            <w:rFonts w:ascii="Times New Roman" w:hAnsi="Times New Roman" w:cs="Times New Roman"/>
            <w:i w:val="0"/>
            <w:iCs w:val="0"/>
            <w:noProof/>
            <w:webHidden/>
            <w:sz w:val="22"/>
            <w:szCs w:val="22"/>
          </w:rPr>
          <w:fldChar w:fldCharType="begin"/>
        </w:r>
        <w:r w:rsidR="00707021" w:rsidRPr="00032003">
          <w:rPr>
            <w:rFonts w:ascii="Times New Roman" w:hAnsi="Times New Roman" w:cs="Times New Roman"/>
            <w:i w:val="0"/>
            <w:iCs w:val="0"/>
            <w:noProof/>
            <w:webHidden/>
            <w:sz w:val="22"/>
            <w:szCs w:val="22"/>
          </w:rPr>
          <w:instrText xml:space="preserve"> PAGEREF _Toc71728445 \h </w:instrText>
        </w:r>
        <w:r w:rsidR="00707021" w:rsidRPr="00032003">
          <w:rPr>
            <w:rFonts w:ascii="Times New Roman" w:hAnsi="Times New Roman" w:cs="Times New Roman"/>
            <w:i w:val="0"/>
            <w:iCs w:val="0"/>
            <w:noProof/>
            <w:webHidden/>
            <w:sz w:val="22"/>
            <w:szCs w:val="22"/>
          </w:rPr>
        </w:r>
        <w:r w:rsidR="00707021" w:rsidRPr="00032003">
          <w:rPr>
            <w:rFonts w:ascii="Times New Roman" w:hAnsi="Times New Roman" w:cs="Times New Roman"/>
            <w:i w:val="0"/>
            <w:iCs w:val="0"/>
            <w:noProof/>
            <w:webHidden/>
            <w:sz w:val="22"/>
            <w:szCs w:val="22"/>
          </w:rPr>
          <w:fldChar w:fldCharType="separate"/>
        </w:r>
        <w:r w:rsidR="005050F0">
          <w:rPr>
            <w:rFonts w:ascii="Times New Roman" w:hAnsi="Times New Roman" w:cs="Times New Roman"/>
            <w:i w:val="0"/>
            <w:iCs w:val="0"/>
            <w:noProof/>
            <w:webHidden/>
            <w:sz w:val="22"/>
            <w:szCs w:val="22"/>
          </w:rPr>
          <w:t>129</w:t>
        </w:r>
        <w:r w:rsidR="00707021" w:rsidRPr="00032003">
          <w:rPr>
            <w:rFonts w:ascii="Times New Roman" w:hAnsi="Times New Roman" w:cs="Times New Roman"/>
            <w:i w:val="0"/>
            <w:iCs w:val="0"/>
            <w:noProof/>
            <w:webHidden/>
            <w:sz w:val="22"/>
            <w:szCs w:val="22"/>
          </w:rPr>
          <w:fldChar w:fldCharType="end"/>
        </w:r>
      </w:hyperlink>
    </w:p>
    <w:p w14:paraId="02D541CD" w14:textId="1FA16F7F" w:rsidR="00707021" w:rsidRPr="00032003" w:rsidRDefault="007F7885" w:rsidP="00032003">
      <w:pPr>
        <w:pStyle w:val="TOC3"/>
        <w:rPr>
          <w:rFonts w:ascii="Times New Roman" w:eastAsiaTheme="minorEastAsia" w:hAnsi="Times New Roman" w:cs="Times New Roman"/>
          <w:i w:val="0"/>
          <w:iCs w:val="0"/>
          <w:noProof/>
          <w:sz w:val="22"/>
          <w:szCs w:val="22"/>
        </w:rPr>
      </w:pPr>
      <w:hyperlink w:anchor="_Toc71728446" w:history="1">
        <w:r w:rsidR="00707021" w:rsidRPr="00032003">
          <w:rPr>
            <w:rStyle w:val="Hyperlink"/>
            <w:rFonts w:cs="Times New Roman"/>
            <w:i w:val="0"/>
            <w:iCs w:val="0"/>
            <w:noProof/>
            <w:szCs w:val="22"/>
            <w:lang w:bidi="en-US"/>
          </w:rPr>
          <w:t>4.5.3 Energy Parameters from SFE Method</w:t>
        </w:r>
        <w:r w:rsidR="00707021" w:rsidRPr="00032003">
          <w:rPr>
            <w:rFonts w:ascii="Times New Roman" w:hAnsi="Times New Roman" w:cs="Times New Roman"/>
            <w:i w:val="0"/>
            <w:iCs w:val="0"/>
            <w:noProof/>
            <w:webHidden/>
            <w:sz w:val="22"/>
            <w:szCs w:val="22"/>
          </w:rPr>
          <w:tab/>
        </w:r>
        <w:r w:rsidR="00707021" w:rsidRPr="00032003">
          <w:rPr>
            <w:rFonts w:ascii="Times New Roman" w:hAnsi="Times New Roman" w:cs="Times New Roman"/>
            <w:i w:val="0"/>
            <w:iCs w:val="0"/>
            <w:noProof/>
            <w:webHidden/>
            <w:sz w:val="22"/>
            <w:szCs w:val="22"/>
          </w:rPr>
          <w:fldChar w:fldCharType="begin"/>
        </w:r>
        <w:r w:rsidR="00707021" w:rsidRPr="00032003">
          <w:rPr>
            <w:rFonts w:ascii="Times New Roman" w:hAnsi="Times New Roman" w:cs="Times New Roman"/>
            <w:i w:val="0"/>
            <w:iCs w:val="0"/>
            <w:noProof/>
            <w:webHidden/>
            <w:sz w:val="22"/>
            <w:szCs w:val="22"/>
          </w:rPr>
          <w:instrText xml:space="preserve"> PAGEREF _Toc71728446 \h </w:instrText>
        </w:r>
        <w:r w:rsidR="00707021" w:rsidRPr="00032003">
          <w:rPr>
            <w:rFonts w:ascii="Times New Roman" w:hAnsi="Times New Roman" w:cs="Times New Roman"/>
            <w:i w:val="0"/>
            <w:iCs w:val="0"/>
            <w:noProof/>
            <w:webHidden/>
            <w:sz w:val="22"/>
            <w:szCs w:val="22"/>
          </w:rPr>
        </w:r>
        <w:r w:rsidR="00707021" w:rsidRPr="00032003">
          <w:rPr>
            <w:rFonts w:ascii="Times New Roman" w:hAnsi="Times New Roman" w:cs="Times New Roman"/>
            <w:i w:val="0"/>
            <w:iCs w:val="0"/>
            <w:noProof/>
            <w:webHidden/>
            <w:sz w:val="22"/>
            <w:szCs w:val="22"/>
          </w:rPr>
          <w:fldChar w:fldCharType="separate"/>
        </w:r>
        <w:r w:rsidR="005050F0">
          <w:rPr>
            <w:rFonts w:ascii="Times New Roman" w:hAnsi="Times New Roman" w:cs="Times New Roman"/>
            <w:i w:val="0"/>
            <w:iCs w:val="0"/>
            <w:noProof/>
            <w:webHidden/>
            <w:sz w:val="22"/>
            <w:szCs w:val="22"/>
          </w:rPr>
          <w:t>129</w:t>
        </w:r>
        <w:r w:rsidR="00707021" w:rsidRPr="00032003">
          <w:rPr>
            <w:rFonts w:ascii="Times New Roman" w:hAnsi="Times New Roman" w:cs="Times New Roman"/>
            <w:i w:val="0"/>
            <w:iCs w:val="0"/>
            <w:noProof/>
            <w:webHidden/>
            <w:sz w:val="22"/>
            <w:szCs w:val="22"/>
          </w:rPr>
          <w:fldChar w:fldCharType="end"/>
        </w:r>
      </w:hyperlink>
    </w:p>
    <w:p w14:paraId="4A49FE75" w14:textId="01850A2F" w:rsidR="00707021" w:rsidRPr="00032003" w:rsidRDefault="007F7885" w:rsidP="00032003">
      <w:pPr>
        <w:pStyle w:val="TOC3"/>
        <w:rPr>
          <w:rFonts w:ascii="Times New Roman" w:eastAsiaTheme="minorEastAsia" w:hAnsi="Times New Roman" w:cs="Times New Roman"/>
          <w:i w:val="0"/>
          <w:iCs w:val="0"/>
          <w:noProof/>
          <w:sz w:val="22"/>
          <w:szCs w:val="22"/>
        </w:rPr>
      </w:pPr>
      <w:hyperlink w:anchor="_Toc71728447" w:history="1">
        <w:r w:rsidR="00707021" w:rsidRPr="00032003">
          <w:rPr>
            <w:rStyle w:val="Hyperlink"/>
            <w:rFonts w:cs="Times New Roman"/>
            <w:i w:val="0"/>
            <w:iCs w:val="0"/>
            <w:noProof/>
            <w:szCs w:val="22"/>
            <w:lang w:val="en-CA" w:bidi="en-US"/>
          </w:rPr>
          <w:t>4.5.4 Indirect Tensile Strength Test</w:t>
        </w:r>
        <w:r w:rsidR="00707021" w:rsidRPr="00032003">
          <w:rPr>
            <w:rFonts w:ascii="Times New Roman" w:hAnsi="Times New Roman" w:cs="Times New Roman"/>
            <w:i w:val="0"/>
            <w:iCs w:val="0"/>
            <w:noProof/>
            <w:webHidden/>
            <w:sz w:val="22"/>
            <w:szCs w:val="22"/>
          </w:rPr>
          <w:tab/>
        </w:r>
        <w:r w:rsidR="00707021" w:rsidRPr="00032003">
          <w:rPr>
            <w:rFonts w:ascii="Times New Roman" w:hAnsi="Times New Roman" w:cs="Times New Roman"/>
            <w:i w:val="0"/>
            <w:iCs w:val="0"/>
            <w:noProof/>
            <w:webHidden/>
            <w:sz w:val="22"/>
            <w:szCs w:val="22"/>
          </w:rPr>
          <w:fldChar w:fldCharType="begin"/>
        </w:r>
        <w:r w:rsidR="00707021" w:rsidRPr="00032003">
          <w:rPr>
            <w:rFonts w:ascii="Times New Roman" w:hAnsi="Times New Roman" w:cs="Times New Roman"/>
            <w:i w:val="0"/>
            <w:iCs w:val="0"/>
            <w:noProof/>
            <w:webHidden/>
            <w:sz w:val="22"/>
            <w:szCs w:val="22"/>
          </w:rPr>
          <w:instrText xml:space="preserve"> PAGEREF _Toc71728447 \h </w:instrText>
        </w:r>
        <w:r w:rsidR="00707021" w:rsidRPr="00032003">
          <w:rPr>
            <w:rFonts w:ascii="Times New Roman" w:hAnsi="Times New Roman" w:cs="Times New Roman"/>
            <w:i w:val="0"/>
            <w:iCs w:val="0"/>
            <w:noProof/>
            <w:webHidden/>
            <w:sz w:val="22"/>
            <w:szCs w:val="22"/>
          </w:rPr>
        </w:r>
        <w:r w:rsidR="00707021" w:rsidRPr="00032003">
          <w:rPr>
            <w:rFonts w:ascii="Times New Roman" w:hAnsi="Times New Roman" w:cs="Times New Roman"/>
            <w:i w:val="0"/>
            <w:iCs w:val="0"/>
            <w:noProof/>
            <w:webHidden/>
            <w:sz w:val="22"/>
            <w:szCs w:val="22"/>
          </w:rPr>
          <w:fldChar w:fldCharType="separate"/>
        </w:r>
        <w:r w:rsidR="005050F0">
          <w:rPr>
            <w:rFonts w:ascii="Times New Roman" w:hAnsi="Times New Roman" w:cs="Times New Roman"/>
            <w:i w:val="0"/>
            <w:iCs w:val="0"/>
            <w:noProof/>
            <w:webHidden/>
            <w:sz w:val="22"/>
            <w:szCs w:val="22"/>
          </w:rPr>
          <w:t>132</w:t>
        </w:r>
        <w:r w:rsidR="00707021" w:rsidRPr="00032003">
          <w:rPr>
            <w:rFonts w:ascii="Times New Roman" w:hAnsi="Times New Roman" w:cs="Times New Roman"/>
            <w:i w:val="0"/>
            <w:iCs w:val="0"/>
            <w:noProof/>
            <w:webHidden/>
            <w:sz w:val="22"/>
            <w:szCs w:val="22"/>
          </w:rPr>
          <w:fldChar w:fldCharType="end"/>
        </w:r>
      </w:hyperlink>
    </w:p>
    <w:p w14:paraId="13B3B60F" w14:textId="40A923C4" w:rsidR="00707021" w:rsidRPr="00032003" w:rsidRDefault="007F7885" w:rsidP="00032003">
      <w:pPr>
        <w:pStyle w:val="TOC3"/>
        <w:rPr>
          <w:rFonts w:ascii="Times New Roman" w:eastAsiaTheme="minorEastAsia" w:hAnsi="Times New Roman" w:cs="Times New Roman"/>
          <w:i w:val="0"/>
          <w:iCs w:val="0"/>
          <w:noProof/>
          <w:sz w:val="22"/>
          <w:szCs w:val="22"/>
        </w:rPr>
      </w:pPr>
      <w:hyperlink w:anchor="_Toc71728448" w:history="1">
        <w:r w:rsidR="00707021" w:rsidRPr="00032003">
          <w:rPr>
            <w:rStyle w:val="Hyperlink"/>
            <w:rFonts w:cs="Times New Roman"/>
            <w:i w:val="0"/>
            <w:iCs w:val="0"/>
            <w:noProof/>
            <w:szCs w:val="22"/>
            <w:lang w:val="en-CA" w:bidi="en-US"/>
          </w:rPr>
          <w:t>4.5.5 Illinois Semi-Circular Bend Test</w:t>
        </w:r>
        <w:r w:rsidR="00707021" w:rsidRPr="00032003">
          <w:rPr>
            <w:rFonts w:ascii="Times New Roman" w:hAnsi="Times New Roman" w:cs="Times New Roman"/>
            <w:i w:val="0"/>
            <w:iCs w:val="0"/>
            <w:noProof/>
            <w:webHidden/>
            <w:sz w:val="22"/>
            <w:szCs w:val="22"/>
          </w:rPr>
          <w:tab/>
        </w:r>
        <w:r w:rsidR="00707021" w:rsidRPr="00032003">
          <w:rPr>
            <w:rFonts w:ascii="Times New Roman" w:hAnsi="Times New Roman" w:cs="Times New Roman"/>
            <w:i w:val="0"/>
            <w:iCs w:val="0"/>
            <w:noProof/>
            <w:webHidden/>
            <w:sz w:val="22"/>
            <w:szCs w:val="22"/>
          </w:rPr>
          <w:fldChar w:fldCharType="begin"/>
        </w:r>
        <w:r w:rsidR="00707021" w:rsidRPr="00032003">
          <w:rPr>
            <w:rFonts w:ascii="Times New Roman" w:hAnsi="Times New Roman" w:cs="Times New Roman"/>
            <w:i w:val="0"/>
            <w:iCs w:val="0"/>
            <w:noProof/>
            <w:webHidden/>
            <w:sz w:val="22"/>
            <w:szCs w:val="22"/>
          </w:rPr>
          <w:instrText xml:space="preserve"> PAGEREF _Toc71728448 \h </w:instrText>
        </w:r>
        <w:r w:rsidR="00707021" w:rsidRPr="00032003">
          <w:rPr>
            <w:rFonts w:ascii="Times New Roman" w:hAnsi="Times New Roman" w:cs="Times New Roman"/>
            <w:i w:val="0"/>
            <w:iCs w:val="0"/>
            <w:noProof/>
            <w:webHidden/>
            <w:sz w:val="22"/>
            <w:szCs w:val="22"/>
          </w:rPr>
        </w:r>
        <w:r w:rsidR="00707021" w:rsidRPr="00032003">
          <w:rPr>
            <w:rFonts w:ascii="Times New Roman" w:hAnsi="Times New Roman" w:cs="Times New Roman"/>
            <w:i w:val="0"/>
            <w:iCs w:val="0"/>
            <w:noProof/>
            <w:webHidden/>
            <w:sz w:val="22"/>
            <w:szCs w:val="22"/>
          </w:rPr>
          <w:fldChar w:fldCharType="separate"/>
        </w:r>
        <w:r w:rsidR="005050F0">
          <w:rPr>
            <w:rFonts w:ascii="Times New Roman" w:hAnsi="Times New Roman" w:cs="Times New Roman"/>
            <w:i w:val="0"/>
            <w:iCs w:val="0"/>
            <w:noProof/>
            <w:webHidden/>
            <w:sz w:val="22"/>
            <w:szCs w:val="22"/>
          </w:rPr>
          <w:t>133</w:t>
        </w:r>
        <w:r w:rsidR="00707021" w:rsidRPr="00032003">
          <w:rPr>
            <w:rFonts w:ascii="Times New Roman" w:hAnsi="Times New Roman" w:cs="Times New Roman"/>
            <w:i w:val="0"/>
            <w:iCs w:val="0"/>
            <w:noProof/>
            <w:webHidden/>
            <w:sz w:val="22"/>
            <w:szCs w:val="22"/>
          </w:rPr>
          <w:fldChar w:fldCharType="end"/>
        </w:r>
      </w:hyperlink>
    </w:p>
    <w:p w14:paraId="705C28F9" w14:textId="7CE0BA4A" w:rsidR="00707021" w:rsidRPr="00032003" w:rsidRDefault="007F7885" w:rsidP="00032003">
      <w:pPr>
        <w:pStyle w:val="TOC3"/>
        <w:rPr>
          <w:rFonts w:ascii="Times New Roman" w:eastAsiaTheme="minorEastAsia" w:hAnsi="Times New Roman" w:cs="Times New Roman"/>
          <w:i w:val="0"/>
          <w:iCs w:val="0"/>
          <w:noProof/>
          <w:sz w:val="22"/>
          <w:szCs w:val="22"/>
        </w:rPr>
      </w:pPr>
      <w:hyperlink w:anchor="_Toc71728449" w:history="1">
        <w:r w:rsidR="00707021" w:rsidRPr="00032003">
          <w:rPr>
            <w:rStyle w:val="Hyperlink"/>
            <w:rFonts w:cs="Times New Roman"/>
            <w:i w:val="0"/>
            <w:iCs w:val="0"/>
            <w:noProof/>
            <w:szCs w:val="22"/>
            <w:lang w:val="en-CA" w:bidi="en-US"/>
          </w:rPr>
          <w:t>4.5.6 Comparison of Moisture-induced Damage Parameters</w:t>
        </w:r>
        <w:r w:rsidR="00707021" w:rsidRPr="00032003">
          <w:rPr>
            <w:rFonts w:ascii="Times New Roman" w:hAnsi="Times New Roman" w:cs="Times New Roman"/>
            <w:i w:val="0"/>
            <w:iCs w:val="0"/>
            <w:noProof/>
            <w:webHidden/>
            <w:sz w:val="22"/>
            <w:szCs w:val="22"/>
          </w:rPr>
          <w:tab/>
        </w:r>
        <w:r w:rsidR="00707021" w:rsidRPr="00032003">
          <w:rPr>
            <w:rFonts w:ascii="Times New Roman" w:hAnsi="Times New Roman" w:cs="Times New Roman"/>
            <w:i w:val="0"/>
            <w:iCs w:val="0"/>
            <w:noProof/>
            <w:webHidden/>
            <w:sz w:val="22"/>
            <w:szCs w:val="22"/>
          </w:rPr>
          <w:fldChar w:fldCharType="begin"/>
        </w:r>
        <w:r w:rsidR="00707021" w:rsidRPr="00032003">
          <w:rPr>
            <w:rFonts w:ascii="Times New Roman" w:hAnsi="Times New Roman" w:cs="Times New Roman"/>
            <w:i w:val="0"/>
            <w:iCs w:val="0"/>
            <w:noProof/>
            <w:webHidden/>
            <w:sz w:val="22"/>
            <w:szCs w:val="22"/>
          </w:rPr>
          <w:instrText xml:space="preserve"> PAGEREF _Toc71728449 \h </w:instrText>
        </w:r>
        <w:r w:rsidR="00707021" w:rsidRPr="00032003">
          <w:rPr>
            <w:rFonts w:ascii="Times New Roman" w:hAnsi="Times New Roman" w:cs="Times New Roman"/>
            <w:i w:val="0"/>
            <w:iCs w:val="0"/>
            <w:noProof/>
            <w:webHidden/>
            <w:sz w:val="22"/>
            <w:szCs w:val="22"/>
          </w:rPr>
        </w:r>
        <w:r w:rsidR="00707021" w:rsidRPr="00032003">
          <w:rPr>
            <w:rFonts w:ascii="Times New Roman" w:hAnsi="Times New Roman" w:cs="Times New Roman"/>
            <w:i w:val="0"/>
            <w:iCs w:val="0"/>
            <w:noProof/>
            <w:webHidden/>
            <w:sz w:val="22"/>
            <w:szCs w:val="22"/>
          </w:rPr>
          <w:fldChar w:fldCharType="separate"/>
        </w:r>
        <w:r w:rsidR="005050F0">
          <w:rPr>
            <w:rFonts w:ascii="Times New Roman" w:hAnsi="Times New Roman" w:cs="Times New Roman"/>
            <w:i w:val="0"/>
            <w:iCs w:val="0"/>
            <w:noProof/>
            <w:webHidden/>
            <w:sz w:val="22"/>
            <w:szCs w:val="22"/>
          </w:rPr>
          <w:t>134</w:t>
        </w:r>
        <w:r w:rsidR="00707021" w:rsidRPr="00032003">
          <w:rPr>
            <w:rFonts w:ascii="Times New Roman" w:hAnsi="Times New Roman" w:cs="Times New Roman"/>
            <w:i w:val="0"/>
            <w:iCs w:val="0"/>
            <w:noProof/>
            <w:webHidden/>
            <w:sz w:val="22"/>
            <w:szCs w:val="22"/>
          </w:rPr>
          <w:fldChar w:fldCharType="end"/>
        </w:r>
      </w:hyperlink>
    </w:p>
    <w:p w14:paraId="1A9CDC42" w14:textId="3EDF66B1" w:rsidR="00707021" w:rsidRPr="00032003" w:rsidRDefault="007F7885" w:rsidP="00032003">
      <w:pPr>
        <w:pStyle w:val="TOC2"/>
        <w:rPr>
          <w:rFonts w:ascii="Times New Roman" w:eastAsiaTheme="minorEastAsia" w:hAnsi="Times New Roman" w:cs="Times New Roman"/>
          <w:noProof/>
          <w:sz w:val="22"/>
          <w:szCs w:val="22"/>
        </w:rPr>
      </w:pPr>
      <w:hyperlink w:anchor="_Toc71728450" w:history="1">
        <w:r w:rsidR="00707021" w:rsidRPr="00032003">
          <w:rPr>
            <w:rStyle w:val="Hyperlink"/>
            <w:rFonts w:cs="Times New Roman"/>
            <w:noProof/>
            <w:szCs w:val="22"/>
            <w:lang w:bidi="en-US"/>
          </w:rPr>
          <w:t>4.6 CONCLUSIONS</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_Toc71728450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135</w:t>
        </w:r>
        <w:r w:rsidR="00707021" w:rsidRPr="00032003">
          <w:rPr>
            <w:rFonts w:ascii="Times New Roman" w:hAnsi="Times New Roman" w:cs="Times New Roman"/>
            <w:noProof/>
            <w:webHidden/>
            <w:sz w:val="22"/>
            <w:szCs w:val="22"/>
          </w:rPr>
          <w:fldChar w:fldCharType="end"/>
        </w:r>
      </w:hyperlink>
    </w:p>
    <w:p w14:paraId="0EBA96F0" w14:textId="36860A8D" w:rsidR="00707021" w:rsidRPr="00032003" w:rsidRDefault="009C3FA2" w:rsidP="00032003">
      <w:pPr>
        <w:pStyle w:val="TOC1"/>
        <w:rPr>
          <w:rFonts w:ascii="Times New Roman" w:eastAsiaTheme="minorEastAsia" w:hAnsi="Times New Roman" w:cs="Times New Roman"/>
          <w:noProof/>
          <w:sz w:val="22"/>
          <w:szCs w:val="22"/>
        </w:rPr>
      </w:pPr>
      <w:r w:rsidRPr="00032003">
        <w:rPr>
          <w:rStyle w:val="Hyperlink"/>
          <w:rFonts w:cs="Times New Roman"/>
          <w:noProof/>
          <w:szCs w:val="22"/>
        </w:rPr>
        <w:t xml:space="preserve">CHAPTEr </w:t>
      </w:r>
      <w:hyperlink w:anchor="_Toc71728451" w:history="1">
        <w:r w:rsidR="00707021" w:rsidRPr="00032003">
          <w:rPr>
            <w:rStyle w:val="Hyperlink"/>
            <w:rFonts w:cs="Times New Roman"/>
            <w:noProof/>
            <w:szCs w:val="22"/>
            <w:lang w:bidi="en-US"/>
          </w:rPr>
          <w:t>5. LABORATORY CHARACTERIZATION OF MOISTURE-INDUCED DAMAGE POTENTIAL OF ASPHALT MIXES USING CONVENTIONAL AND UNCONVENTIONAL PERFORMANCE-BASED TESTS</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_Toc71728451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145</w:t>
        </w:r>
        <w:r w:rsidR="00707021" w:rsidRPr="00032003">
          <w:rPr>
            <w:rFonts w:ascii="Times New Roman" w:hAnsi="Times New Roman" w:cs="Times New Roman"/>
            <w:noProof/>
            <w:webHidden/>
            <w:sz w:val="22"/>
            <w:szCs w:val="22"/>
          </w:rPr>
          <w:fldChar w:fldCharType="end"/>
        </w:r>
      </w:hyperlink>
    </w:p>
    <w:p w14:paraId="273D2931" w14:textId="3D37D5C0" w:rsidR="00707021" w:rsidRPr="00032003" w:rsidRDefault="007F7885" w:rsidP="00032003">
      <w:pPr>
        <w:pStyle w:val="TOC2"/>
        <w:rPr>
          <w:rFonts w:ascii="Times New Roman" w:eastAsiaTheme="minorEastAsia" w:hAnsi="Times New Roman" w:cs="Times New Roman"/>
          <w:noProof/>
          <w:sz w:val="22"/>
          <w:szCs w:val="22"/>
        </w:rPr>
      </w:pPr>
      <w:hyperlink w:anchor="_Toc71728452" w:history="1">
        <w:r w:rsidR="00707021" w:rsidRPr="00032003">
          <w:rPr>
            <w:rStyle w:val="Hyperlink"/>
            <w:rFonts w:cs="Times New Roman"/>
            <w:noProof/>
            <w:szCs w:val="22"/>
            <w:lang w:bidi="en-US"/>
          </w:rPr>
          <w:t>5.1 INTRODUCTION</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_Toc71728452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146</w:t>
        </w:r>
        <w:r w:rsidR="00707021" w:rsidRPr="00032003">
          <w:rPr>
            <w:rFonts w:ascii="Times New Roman" w:hAnsi="Times New Roman" w:cs="Times New Roman"/>
            <w:noProof/>
            <w:webHidden/>
            <w:sz w:val="22"/>
            <w:szCs w:val="22"/>
          </w:rPr>
          <w:fldChar w:fldCharType="end"/>
        </w:r>
      </w:hyperlink>
    </w:p>
    <w:p w14:paraId="7061F286" w14:textId="5B5DCDBE" w:rsidR="00707021" w:rsidRPr="00032003" w:rsidRDefault="007F7885" w:rsidP="00032003">
      <w:pPr>
        <w:pStyle w:val="TOC2"/>
        <w:rPr>
          <w:rFonts w:ascii="Times New Roman" w:eastAsiaTheme="minorEastAsia" w:hAnsi="Times New Roman" w:cs="Times New Roman"/>
          <w:noProof/>
          <w:sz w:val="22"/>
          <w:szCs w:val="22"/>
        </w:rPr>
      </w:pPr>
      <w:hyperlink w:anchor="_Toc71728453" w:history="1">
        <w:r w:rsidR="00707021" w:rsidRPr="00032003">
          <w:rPr>
            <w:rStyle w:val="Hyperlink"/>
            <w:rFonts w:cs="Times New Roman"/>
            <w:noProof/>
            <w:szCs w:val="22"/>
            <w:lang w:bidi="en-US"/>
          </w:rPr>
          <w:t>5.2 OBJECTIVES</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_Toc71728453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152</w:t>
        </w:r>
        <w:r w:rsidR="00707021" w:rsidRPr="00032003">
          <w:rPr>
            <w:rFonts w:ascii="Times New Roman" w:hAnsi="Times New Roman" w:cs="Times New Roman"/>
            <w:noProof/>
            <w:webHidden/>
            <w:sz w:val="22"/>
            <w:szCs w:val="22"/>
          </w:rPr>
          <w:fldChar w:fldCharType="end"/>
        </w:r>
      </w:hyperlink>
    </w:p>
    <w:p w14:paraId="78A1E195" w14:textId="0B6FCE0E" w:rsidR="00707021" w:rsidRPr="00032003" w:rsidRDefault="007F7885" w:rsidP="00032003">
      <w:pPr>
        <w:pStyle w:val="TOC2"/>
        <w:rPr>
          <w:rFonts w:ascii="Times New Roman" w:eastAsiaTheme="minorEastAsia" w:hAnsi="Times New Roman" w:cs="Times New Roman"/>
          <w:noProof/>
          <w:sz w:val="22"/>
          <w:szCs w:val="22"/>
        </w:rPr>
      </w:pPr>
      <w:hyperlink w:anchor="_Toc71728454" w:history="1">
        <w:r w:rsidR="00707021" w:rsidRPr="00032003">
          <w:rPr>
            <w:rStyle w:val="Hyperlink"/>
            <w:rFonts w:cs="Times New Roman"/>
            <w:noProof/>
            <w:szCs w:val="22"/>
            <w:lang w:bidi="en-US"/>
          </w:rPr>
          <w:t>5.3 MATERIALS AND METHODS</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_Toc71728454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153</w:t>
        </w:r>
        <w:r w:rsidR="00707021" w:rsidRPr="00032003">
          <w:rPr>
            <w:rFonts w:ascii="Times New Roman" w:hAnsi="Times New Roman" w:cs="Times New Roman"/>
            <w:noProof/>
            <w:webHidden/>
            <w:sz w:val="22"/>
            <w:szCs w:val="22"/>
          </w:rPr>
          <w:fldChar w:fldCharType="end"/>
        </w:r>
      </w:hyperlink>
    </w:p>
    <w:p w14:paraId="75580856" w14:textId="5B051056" w:rsidR="00707021" w:rsidRPr="00032003" w:rsidRDefault="007F7885" w:rsidP="00032003">
      <w:pPr>
        <w:pStyle w:val="TOC3"/>
        <w:rPr>
          <w:rFonts w:ascii="Times New Roman" w:eastAsiaTheme="minorEastAsia" w:hAnsi="Times New Roman" w:cs="Times New Roman"/>
          <w:i w:val="0"/>
          <w:iCs w:val="0"/>
          <w:noProof/>
          <w:sz w:val="22"/>
          <w:szCs w:val="22"/>
        </w:rPr>
      </w:pPr>
      <w:hyperlink w:anchor="_Toc71728455" w:history="1">
        <w:r w:rsidR="00707021" w:rsidRPr="00032003">
          <w:rPr>
            <w:rStyle w:val="Hyperlink"/>
            <w:rFonts w:cs="Times New Roman"/>
            <w:i w:val="0"/>
            <w:iCs w:val="0"/>
            <w:noProof/>
            <w:szCs w:val="22"/>
            <w:lang w:bidi="en-US"/>
          </w:rPr>
          <w:t>5.3.1 Materials</w:t>
        </w:r>
        <w:r w:rsidR="00707021" w:rsidRPr="00032003">
          <w:rPr>
            <w:rFonts w:ascii="Times New Roman" w:hAnsi="Times New Roman" w:cs="Times New Roman"/>
            <w:i w:val="0"/>
            <w:iCs w:val="0"/>
            <w:noProof/>
            <w:webHidden/>
            <w:sz w:val="22"/>
            <w:szCs w:val="22"/>
          </w:rPr>
          <w:tab/>
        </w:r>
        <w:r w:rsidR="00707021" w:rsidRPr="00032003">
          <w:rPr>
            <w:rFonts w:ascii="Times New Roman" w:hAnsi="Times New Roman" w:cs="Times New Roman"/>
            <w:i w:val="0"/>
            <w:iCs w:val="0"/>
            <w:noProof/>
            <w:webHidden/>
            <w:sz w:val="22"/>
            <w:szCs w:val="22"/>
          </w:rPr>
          <w:fldChar w:fldCharType="begin"/>
        </w:r>
        <w:r w:rsidR="00707021" w:rsidRPr="00032003">
          <w:rPr>
            <w:rFonts w:ascii="Times New Roman" w:hAnsi="Times New Roman" w:cs="Times New Roman"/>
            <w:i w:val="0"/>
            <w:iCs w:val="0"/>
            <w:noProof/>
            <w:webHidden/>
            <w:sz w:val="22"/>
            <w:szCs w:val="22"/>
          </w:rPr>
          <w:instrText xml:space="preserve"> PAGEREF _Toc71728455 \h </w:instrText>
        </w:r>
        <w:r w:rsidR="00707021" w:rsidRPr="00032003">
          <w:rPr>
            <w:rFonts w:ascii="Times New Roman" w:hAnsi="Times New Roman" w:cs="Times New Roman"/>
            <w:i w:val="0"/>
            <w:iCs w:val="0"/>
            <w:noProof/>
            <w:webHidden/>
            <w:sz w:val="22"/>
            <w:szCs w:val="22"/>
          </w:rPr>
        </w:r>
        <w:r w:rsidR="00707021" w:rsidRPr="00032003">
          <w:rPr>
            <w:rFonts w:ascii="Times New Roman" w:hAnsi="Times New Roman" w:cs="Times New Roman"/>
            <w:i w:val="0"/>
            <w:iCs w:val="0"/>
            <w:noProof/>
            <w:webHidden/>
            <w:sz w:val="22"/>
            <w:szCs w:val="22"/>
          </w:rPr>
          <w:fldChar w:fldCharType="separate"/>
        </w:r>
        <w:r w:rsidR="005050F0">
          <w:rPr>
            <w:rFonts w:ascii="Times New Roman" w:hAnsi="Times New Roman" w:cs="Times New Roman"/>
            <w:i w:val="0"/>
            <w:iCs w:val="0"/>
            <w:noProof/>
            <w:webHidden/>
            <w:sz w:val="22"/>
            <w:szCs w:val="22"/>
          </w:rPr>
          <w:t>153</w:t>
        </w:r>
        <w:r w:rsidR="00707021" w:rsidRPr="00032003">
          <w:rPr>
            <w:rFonts w:ascii="Times New Roman" w:hAnsi="Times New Roman" w:cs="Times New Roman"/>
            <w:i w:val="0"/>
            <w:iCs w:val="0"/>
            <w:noProof/>
            <w:webHidden/>
            <w:sz w:val="22"/>
            <w:szCs w:val="22"/>
          </w:rPr>
          <w:fldChar w:fldCharType="end"/>
        </w:r>
      </w:hyperlink>
    </w:p>
    <w:p w14:paraId="4D44CB25" w14:textId="6932D0F2" w:rsidR="00707021" w:rsidRPr="00032003" w:rsidRDefault="007F7885" w:rsidP="00032003">
      <w:pPr>
        <w:pStyle w:val="TOC3"/>
        <w:rPr>
          <w:rFonts w:ascii="Times New Roman" w:eastAsiaTheme="minorEastAsia" w:hAnsi="Times New Roman" w:cs="Times New Roman"/>
          <w:i w:val="0"/>
          <w:iCs w:val="0"/>
          <w:noProof/>
          <w:sz w:val="22"/>
          <w:szCs w:val="22"/>
        </w:rPr>
      </w:pPr>
      <w:hyperlink w:anchor="_Toc71728456" w:history="1">
        <w:r w:rsidR="00707021" w:rsidRPr="00032003">
          <w:rPr>
            <w:rStyle w:val="Hyperlink"/>
            <w:rFonts w:cs="Times New Roman"/>
            <w:i w:val="0"/>
            <w:iCs w:val="0"/>
            <w:noProof/>
            <w:szCs w:val="22"/>
            <w:lang w:bidi="en-US"/>
          </w:rPr>
          <w:t>5.3.2 Sample Preparation</w:t>
        </w:r>
        <w:r w:rsidR="00707021" w:rsidRPr="00032003">
          <w:rPr>
            <w:rFonts w:ascii="Times New Roman" w:hAnsi="Times New Roman" w:cs="Times New Roman"/>
            <w:i w:val="0"/>
            <w:iCs w:val="0"/>
            <w:noProof/>
            <w:webHidden/>
            <w:sz w:val="22"/>
            <w:szCs w:val="22"/>
          </w:rPr>
          <w:tab/>
        </w:r>
        <w:r w:rsidR="00707021" w:rsidRPr="00032003">
          <w:rPr>
            <w:rFonts w:ascii="Times New Roman" w:hAnsi="Times New Roman" w:cs="Times New Roman"/>
            <w:i w:val="0"/>
            <w:iCs w:val="0"/>
            <w:noProof/>
            <w:webHidden/>
            <w:sz w:val="22"/>
            <w:szCs w:val="22"/>
          </w:rPr>
          <w:fldChar w:fldCharType="begin"/>
        </w:r>
        <w:r w:rsidR="00707021" w:rsidRPr="00032003">
          <w:rPr>
            <w:rFonts w:ascii="Times New Roman" w:hAnsi="Times New Roman" w:cs="Times New Roman"/>
            <w:i w:val="0"/>
            <w:iCs w:val="0"/>
            <w:noProof/>
            <w:webHidden/>
            <w:sz w:val="22"/>
            <w:szCs w:val="22"/>
          </w:rPr>
          <w:instrText xml:space="preserve"> PAGEREF _Toc71728456 \h </w:instrText>
        </w:r>
        <w:r w:rsidR="00707021" w:rsidRPr="00032003">
          <w:rPr>
            <w:rFonts w:ascii="Times New Roman" w:hAnsi="Times New Roman" w:cs="Times New Roman"/>
            <w:i w:val="0"/>
            <w:iCs w:val="0"/>
            <w:noProof/>
            <w:webHidden/>
            <w:sz w:val="22"/>
            <w:szCs w:val="22"/>
          </w:rPr>
        </w:r>
        <w:r w:rsidR="00707021" w:rsidRPr="00032003">
          <w:rPr>
            <w:rFonts w:ascii="Times New Roman" w:hAnsi="Times New Roman" w:cs="Times New Roman"/>
            <w:i w:val="0"/>
            <w:iCs w:val="0"/>
            <w:noProof/>
            <w:webHidden/>
            <w:sz w:val="22"/>
            <w:szCs w:val="22"/>
          </w:rPr>
          <w:fldChar w:fldCharType="separate"/>
        </w:r>
        <w:r w:rsidR="005050F0">
          <w:rPr>
            <w:rFonts w:ascii="Times New Roman" w:hAnsi="Times New Roman" w:cs="Times New Roman"/>
            <w:i w:val="0"/>
            <w:iCs w:val="0"/>
            <w:noProof/>
            <w:webHidden/>
            <w:sz w:val="22"/>
            <w:szCs w:val="22"/>
          </w:rPr>
          <w:t>154</w:t>
        </w:r>
        <w:r w:rsidR="00707021" w:rsidRPr="00032003">
          <w:rPr>
            <w:rFonts w:ascii="Times New Roman" w:hAnsi="Times New Roman" w:cs="Times New Roman"/>
            <w:i w:val="0"/>
            <w:iCs w:val="0"/>
            <w:noProof/>
            <w:webHidden/>
            <w:sz w:val="22"/>
            <w:szCs w:val="22"/>
          </w:rPr>
          <w:fldChar w:fldCharType="end"/>
        </w:r>
      </w:hyperlink>
    </w:p>
    <w:p w14:paraId="633226AD" w14:textId="15CCB3DF" w:rsidR="00707021" w:rsidRPr="00032003" w:rsidRDefault="007F7885" w:rsidP="00032003">
      <w:pPr>
        <w:pStyle w:val="TOC3"/>
        <w:rPr>
          <w:rFonts w:ascii="Times New Roman" w:eastAsiaTheme="minorEastAsia" w:hAnsi="Times New Roman" w:cs="Times New Roman"/>
          <w:i w:val="0"/>
          <w:iCs w:val="0"/>
          <w:noProof/>
          <w:sz w:val="22"/>
          <w:szCs w:val="22"/>
        </w:rPr>
      </w:pPr>
      <w:hyperlink w:anchor="_Toc71728457" w:history="1">
        <w:r w:rsidR="00707021" w:rsidRPr="00032003">
          <w:rPr>
            <w:rStyle w:val="Hyperlink"/>
            <w:rFonts w:cs="Times New Roman"/>
            <w:i w:val="0"/>
            <w:iCs w:val="0"/>
            <w:noProof/>
            <w:szCs w:val="22"/>
            <w:lang w:bidi="en-US"/>
          </w:rPr>
          <w:t>5.3.3 Moisture Conditioning of Compacted Samples</w:t>
        </w:r>
        <w:r w:rsidR="00707021" w:rsidRPr="00032003">
          <w:rPr>
            <w:rFonts w:ascii="Times New Roman" w:hAnsi="Times New Roman" w:cs="Times New Roman"/>
            <w:i w:val="0"/>
            <w:iCs w:val="0"/>
            <w:noProof/>
            <w:webHidden/>
            <w:sz w:val="22"/>
            <w:szCs w:val="22"/>
          </w:rPr>
          <w:tab/>
        </w:r>
        <w:r w:rsidR="00707021" w:rsidRPr="00032003">
          <w:rPr>
            <w:rFonts w:ascii="Times New Roman" w:hAnsi="Times New Roman" w:cs="Times New Roman"/>
            <w:i w:val="0"/>
            <w:iCs w:val="0"/>
            <w:noProof/>
            <w:webHidden/>
            <w:sz w:val="22"/>
            <w:szCs w:val="22"/>
          </w:rPr>
          <w:fldChar w:fldCharType="begin"/>
        </w:r>
        <w:r w:rsidR="00707021" w:rsidRPr="00032003">
          <w:rPr>
            <w:rFonts w:ascii="Times New Roman" w:hAnsi="Times New Roman" w:cs="Times New Roman"/>
            <w:i w:val="0"/>
            <w:iCs w:val="0"/>
            <w:noProof/>
            <w:webHidden/>
            <w:sz w:val="22"/>
            <w:szCs w:val="22"/>
          </w:rPr>
          <w:instrText xml:space="preserve"> PAGEREF _Toc71728457 \h </w:instrText>
        </w:r>
        <w:r w:rsidR="00707021" w:rsidRPr="00032003">
          <w:rPr>
            <w:rFonts w:ascii="Times New Roman" w:hAnsi="Times New Roman" w:cs="Times New Roman"/>
            <w:i w:val="0"/>
            <w:iCs w:val="0"/>
            <w:noProof/>
            <w:webHidden/>
            <w:sz w:val="22"/>
            <w:szCs w:val="22"/>
          </w:rPr>
        </w:r>
        <w:r w:rsidR="00707021" w:rsidRPr="00032003">
          <w:rPr>
            <w:rFonts w:ascii="Times New Roman" w:hAnsi="Times New Roman" w:cs="Times New Roman"/>
            <w:i w:val="0"/>
            <w:iCs w:val="0"/>
            <w:noProof/>
            <w:webHidden/>
            <w:sz w:val="22"/>
            <w:szCs w:val="22"/>
          </w:rPr>
          <w:fldChar w:fldCharType="separate"/>
        </w:r>
        <w:r w:rsidR="005050F0">
          <w:rPr>
            <w:rFonts w:ascii="Times New Roman" w:hAnsi="Times New Roman" w:cs="Times New Roman"/>
            <w:i w:val="0"/>
            <w:iCs w:val="0"/>
            <w:noProof/>
            <w:webHidden/>
            <w:sz w:val="22"/>
            <w:szCs w:val="22"/>
          </w:rPr>
          <w:t>154</w:t>
        </w:r>
        <w:r w:rsidR="00707021" w:rsidRPr="00032003">
          <w:rPr>
            <w:rFonts w:ascii="Times New Roman" w:hAnsi="Times New Roman" w:cs="Times New Roman"/>
            <w:i w:val="0"/>
            <w:iCs w:val="0"/>
            <w:noProof/>
            <w:webHidden/>
            <w:sz w:val="22"/>
            <w:szCs w:val="22"/>
          </w:rPr>
          <w:fldChar w:fldCharType="end"/>
        </w:r>
      </w:hyperlink>
    </w:p>
    <w:p w14:paraId="1602ABB1" w14:textId="1E1CFF1E" w:rsidR="00707021" w:rsidRPr="00032003" w:rsidRDefault="007F7885" w:rsidP="00032003">
      <w:pPr>
        <w:pStyle w:val="TOC3"/>
        <w:rPr>
          <w:rFonts w:ascii="Times New Roman" w:eastAsiaTheme="minorEastAsia" w:hAnsi="Times New Roman" w:cs="Times New Roman"/>
          <w:i w:val="0"/>
          <w:iCs w:val="0"/>
          <w:noProof/>
          <w:sz w:val="22"/>
          <w:szCs w:val="22"/>
        </w:rPr>
      </w:pPr>
      <w:hyperlink w:anchor="_Toc71728458" w:history="1">
        <w:r w:rsidR="00707021" w:rsidRPr="00032003">
          <w:rPr>
            <w:rStyle w:val="Hyperlink"/>
            <w:rFonts w:cs="Times New Roman"/>
            <w:i w:val="0"/>
            <w:iCs w:val="0"/>
            <w:noProof/>
            <w:szCs w:val="22"/>
            <w:lang w:bidi="en-US"/>
          </w:rPr>
          <w:t>5.3.4 Test Methods</w:t>
        </w:r>
        <w:r w:rsidR="00707021" w:rsidRPr="00032003">
          <w:rPr>
            <w:rFonts w:ascii="Times New Roman" w:hAnsi="Times New Roman" w:cs="Times New Roman"/>
            <w:i w:val="0"/>
            <w:iCs w:val="0"/>
            <w:noProof/>
            <w:webHidden/>
            <w:sz w:val="22"/>
            <w:szCs w:val="22"/>
          </w:rPr>
          <w:tab/>
        </w:r>
        <w:r w:rsidR="00707021" w:rsidRPr="00032003">
          <w:rPr>
            <w:rFonts w:ascii="Times New Roman" w:hAnsi="Times New Roman" w:cs="Times New Roman"/>
            <w:i w:val="0"/>
            <w:iCs w:val="0"/>
            <w:noProof/>
            <w:webHidden/>
            <w:sz w:val="22"/>
            <w:szCs w:val="22"/>
          </w:rPr>
          <w:fldChar w:fldCharType="begin"/>
        </w:r>
        <w:r w:rsidR="00707021" w:rsidRPr="00032003">
          <w:rPr>
            <w:rFonts w:ascii="Times New Roman" w:hAnsi="Times New Roman" w:cs="Times New Roman"/>
            <w:i w:val="0"/>
            <w:iCs w:val="0"/>
            <w:noProof/>
            <w:webHidden/>
            <w:sz w:val="22"/>
            <w:szCs w:val="22"/>
          </w:rPr>
          <w:instrText xml:space="preserve"> PAGEREF _Toc71728458 \h </w:instrText>
        </w:r>
        <w:r w:rsidR="00707021" w:rsidRPr="00032003">
          <w:rPr>
            <w:rFonts w:ascii="Times New Roman" w:hAnsi="Times New Roman" w:cs="Times New Roman"/>
            <w:i w:val="0"/>
            <w:iCs w:val="0"/>
            <w:noProof/>
            <w:webHidden/>
            <w:sz w:val="22"/>
            <w:szCs w:val="22"/>
          </w:rPr>
        </w:r>
        <w:r w:rsidR="00707021" w:rsidRPr="00032003">
          <w:rPr>
            <w:rFonts w:ascii="Times New Roman" w:hAnsi="Times New Roman" w:cs="Times New Roman"/>
            <w:i w:val="0"/>
            <w:iCs w:val="0"/>
            <w:noProof/>
            <w:webHidden/>
            <w:sz w:val="22"/>
            <w:szCs w:val="22"/>
          </w:rPr>
          <w:fldChar w:fldCharType="separate"/>
        </w:r>
        <w:r w:rsidR="005050F0">
          <w:rPr>
            <w:rFonts w:ascii="Times New Roman" w:hAnsi="Times New Roman" w:cs="Times New Roman"/>
            <w:i w:val="0"/>
            <w:iCs w:val="0"/>
            <w:noProof/>
            <w:webHidden/>
            <w:sz w:val="22"/>
            <w:szCs w:val="22"/>
          </w:rPr>
          <w:t>155</w:t>
        </w:r>
        <w:r w:rsidR="00707021" w:rsidRPr="00032003">
          <w:rPr>
            <w:rFonts w:ascii="Times New Roman" w:hAnsi="Times New Roman" w:cs="Times New Roman"/>
            <w:i w:val="0"/>
            <w:iCs w:val="0"/>
            <w:noProof/>
            <w:webHidden/>
            <w:sz w:val="22"/>
            <w:szCs w:val="22"/>
          </w:rPr>
          <w:fldChar w:fldCharType="end"/>
        </w:r>
      </w:hyperlink>
    </w:p>
    <w:p w14:paraId="7F816DE7" w14:textId="50AD1D6B" w:rsidR="00707021" w:rsidRPr="00032003" w:rsidRDefault="007F7885" w:rsidP="00032003">
      <w:pPr>
        <w:pStyle w:val="TOC2"/>
        <w:rPr>
          <w:rFonts w:ascii="Times New Roman" w:eastAsiaTheme="minorEastAsia" w:hAnsi="Times New Roman" w:cs="Times New Roman"/>
          <w:noProof/>
          <w:sz w:val="22"/>
          <w:szCs w:val="22"/>
        </w:rPr>
      </w:pPr>
      <w:hyperlink w:anchor="_Toc71728459" w:history="1">
        <w:r w:rsidR="00707021" w:rsidRPr="00032003">
          <w:rPr>
            <w:rStyle w:val="Hyperlink"/>
            <w:rFonts w:cs="Times New Roman"/>
            <w:noProof/>
            <w:szCs w:val="22"/>
            <w:lang w:bidi="en-US"/>
          </w:rPr>
          <w:t>5.4 RESULTS AND DISCUSSIONS</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_Toc71728459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159</w:t>
        </w:r>
        <w:r w:rsidR="00707021" w:rsidRPr="00032003">
          <w:rPr>
            <w:rFonts w:ascii="Times New Roman" w:hAnsi="Times New Roman" w:cs="Times New Roman"/>
            <w:noProof/>
            <w:webHidden/>
            <w:sz w:val="22"/>
            <w:szCs w:val="22"/>
          </w:rPr>
          <w:fldChar w:fldCharType="end"/>
        </w:r>
      </w:hyperlink>
    </w:p>
    <w:p w14:paraId="2362377F" w14:textId="09A35E7B" w:rsidR="00707021" w:rsidRPr="00032003" w:rsidRDefault="007F7885" w:rsidP="00032003">
      <w:pPr>
        <w:pStyle w:val="TOC3"/>
        <w:rPr>
          <w:rFonts w:ascii="Times New Roman" w:eastAsiaTheme="minorEastAsia" w:hAnsi="Times New Roman" w:cs="Times New Roman"/>
          <w:i w:val="0"/>
          <w:iCs w:val="0"/>
          <w:noProof/>
          <w:sz w:val="22"/>
          <w:szCs w:val="22"/>
        </w:rPr>
      </w:pPr>
      <w:hyperlink w:anchor="_Toc71728460" w:history="1">
        <w:r w:rsidR="00707021" w:rsidRPr="00032003">
          <w:rPr>
            <w:rStyle w:val="Hyperlink"/>
            <w:rFonts w:cs="Times New Roman"/>
            <w:i w:val="0"/>
            <w:iCs w:val="0"/>
            <w:noProof/>
            <w:szCs w:val="22"/>
            <w:lang w:bidi="en-US"/>
          </w:rPr>
          <w:t>5.4.1 HWT Results</w:t>
        </w:r>
        <w:r w:rsidR="00707021" w:rsidRPr="00032003">
          <w:rPr>
            <w:rFonts w:ascii="Times New Roman" w:hAnsi="Times New Roman" w:cs="Times New Roman"/>
            <w:i w:val="0"/>
            <w:iCs w:val="0"/>
            <w:noProof/>
            <w:webHidden/>
            <w:sz w:val="22"/>
            <w:szCs w:val="22"/>
          </w:rPr>
          <w:tab/>
        </w:r>
        <w:r w:rsidR="00707021" w:rsidRPr="00032003">
          <w:rPr>
            <w:rFonts w:ascii="Times New Roman" w:hAnsi="Times New Roman" w:cs="Times New Roman"/>
            <w:i w:val="0"/>
            <w:iCs w:val="0"/>
            <w:noProof/>
            <w:webHidden/>
            <w:sz w:val="22"/>
            <w:szCs w:val="22"/>
          </w:rPr>
          <w:fldChar w:fldCharType="begin"/>
        </w:r>
        <w:r w:rsidR="00707021" w:rsidRPr="00032003">
          <w:rPr>
            <w:rFonts w:ascii="Times New Roman" w:hAnsi="Times New Roman" w:cs="Times New Roman"/>
            <w:i w:val="0"/>
            <w:iCs w:val="0"/>
            <w:noProof/>
            <w:webHidden/>
            <w:sz w:val="22"/>
            <w:szCs w:val="22"/>
          </w:rPr>
          <w:instrText xml:space="preserve"> PAGEREF _Toc71728460 \h </w:instrText>
        </w:r>
        <w:r w:rsidR="00707021" w:rsidRPr="00032003">
          <w:rPr>
            <w:rFonts w:ascii="Times New Roman" w:hAnsi="Times New Roman" w:cs="Times New Roman"/>
            <w:i w:val="0"/>
            <w:iCs w:val="0"/>
            <w:noProof/>
            <w:webHidden/>
            <w:sz w:val="22"/>
            <w:szCs w:val="22"/>
          </w:rPr>
        </w:r>
        <w:r w:rsidR="00707021" w:rsidRPr="00032003">
          <w:rPr>
            <w:rFonts w:ascii="Times New Roman" w:hAnsi="Times New Roman" w:cs="Times New Roman"/>
            <w:i w:val="0"/>
            <w:iCs w:val="0"/>
            <w:noProof/>
            <w:webHidden/>
            <w:sz w:val="22"/>
            <w:szCs w:val="22"/>
          </w:rPr>
          <w:fldChar w:fldCharType="separate"/>
        </w:r>
        <w:r w:rsidR="005050F0">
          <w:rPr>
            <w:rFonts w:ascii="Times New Roman" w:hAnsi="Times New Roman" w:cs="Times New Roman"/>
            <w:i w:val="0"/>
            <w:iCs w:val="0"/>
            <w:noProof/>
            <w:webHidden/>
            <w:sz w:val="22"/>
            <w:szCs w:val="22"/>
          </w:rPr>
          <w:t>159</w:t>
        </w:r>
        <w:r w:rsidR="00707021" w:rsidRPr="00032003">
          <w:rPr>
            <w:rFonts w:ascii="Times New Roman" w:hAnsi="Times New Roman" w:cs="Times New Roman"/>
            <w:i w:val="0"/>
            <w:iCs w:val="0"/>
            <w:noProof/>
            <w:webHidden/>
            <w:sz w:val="22"/>
            <w:szCs w:val="22"/>
          </w:rPr>
          <w:fldChar w:fldCharType="end"/>
        </w:r>
      </w:hyperlink>
    </w:p>
    <w:p w14:paraId="09F7D14A" w14:textId="62E86C46" w:rsidR="00707021" w:rsidRPr="00032003" w:rsidRDefault="007F7885" w:rsidP="00032003">
      <w:pPr>
        <w:pStyle w:val="TOC3"/>
        <w:rPr>
          <w:rFonts w:ascii="Times New Roman" w:eastAsiaTheme="minorEastAsia" w:hAnsi="Times New Roman" w:cs="Times New Roman"/>
          <w:i w:val="0"/>
          <w:iCs w:val="0"/>
          <w:noProof/>
          <w:sz w:val="22"/>
          <w:szCs w:val="22"/>
        </w:rPr>
      </w:pPr>
      <w:hyperlink w:anchor="_Toc71728461" w:history="1">
        <w:r w:rsidR="00707021" w:rsidRPr="00032003">
          <w:rPr>
            <w:rStyle w:val="Hyperlink"/>
            <w:rFonts w:cs="Times New Roman"/>
            <w:i w:val="0"/>
            <w:iCs w:val="0"/>
            <w:noProof/>
            <w:szCs w:val="22"/>
            <w:lang w:bidi="en-US"/>
          </w:rPr>
          <w:t>5.4.2 Indirect Tensile Strength (ITS) Test</w:t>
        </w:r>
        <w:r w:rsidR="00707021" w:rsidRPr="00032003">
          <w:rPr>
            <w:rFonts w:ascii="Times New Roman" w:hAnsi="Times New Roman" w:cs="Times New Roman"/>
            <w:i w:val="0"/>
            <w:iCs w:val="0"/>
            <w:noProof/>
            <w:webHidden/>
            <w:sz w:val="22"/>
            <w:szCs w:val="22"/>
          </w:rPr>
          <w:tab/>
        </w:r>
        <w:r w:rsidR="00707021" w:rsidRPr="00032003">
          <w:rPr>
            <w:rFonts w:ascii="Times New Roman" w:hAnsi="Times New Roman" w:cs="Times New Roman"/>
            <w:i w:val="0"/>
            <w:iCs w:val="0"/>
            <w:noProof/>
            <w:webHidden/>
            <w:sz w:val="22"/>
            <w:szCs w:val="22"/>
          </w:rPr>
          <w:fldChar w:fldCharType="begin"/>
        </w:r>
        <w:r w:rsidR="00707021" w:rsidRPr="00032003">
          <w:rPr>
            <w:rFonts w:ascii="Times New Roman" w:hAnsi="Times New Roman" w:cs="Times New Roman"/>
            <w:i w:val="0"/>
            <w:iCs w:val="0"/>
            <w:noProof/>
            <w:webHidden/>
            <w:sz w:val="22"/>
            <w:szCs w:val="22"/>
          </w:rPr>
          <w:instrText xml:space="preserve"> PAGEREF _Toc71728461 \h </w:instrText>
        </w:r>
        <w:r w:rsidR="00707021" w:rsidRPr="00032003">
          <w:rPr>
            <w:rFonts w:ascii="Times New Roman" w:hAnsi="Times New Roman" w:cs="Times New Roman"/>
            <w:i w:val="0"/>
            <w:iCs w:val="0"/>
            <w:noProof/>
            <w:webHidden/>
            <w:sz w:val="22"/>
            <w:szCs w:val="22"/>
          </w:rPr>
        </w:r>
        <w:r w:rsidR="00707021" w:rsidRPr="00032003">
          <w:rPr>
            <w:rFonts w:ascii="Times New Roman" w:hAnsi="Times New Roman" w:cs="Times New Roman"/>
            <w:i w:val="0"/>
            <w:iCs w:val="0"/>
            <w:noProof/>
            <w:webHidden/>
            <w:sz w:val="22"/>
            <w:szCs w:val="22"/>
          </w:rPr>
          <w:fldChar w:fldCharType="separate"/>
        </w:r>
        <w:r w:rsidR="005050F0">
          <w:rPr>
            <w:rFonts w:ascii="Times New Roman" w:hAnsi="Times New Roman" w:cs="Times New Roman"/>
            <w:i w:val="0"/>
            <w:iCs w:val="0"/>
            <w:noProof/>
            <w:webHidden/>
            <w:sz w:val="22"/>
            <w:szCs w:val="22"/>
          </w:rPr>
          <w:t>162</w:t>
        </w:r>
        <w:r w:rsidR="00707021" w:rsidRPr="00032003">
          <w:rPr>
            <w:rFonts w:ascii="Times New Roman" w:hAnsi="Times New Roman" w:cs="Times New Roman"/>
            <w:i w:val="0"/>
            <w:iCs w:val="0"/>
            <w:noProof/>
            <w:webHidden/>
            <w:sz w:val="22"/>
            <w:szCs w:val="22"/>
          </w:rPr>
          <w:fldChar w:fldCharType="end"/>
        </w:r>
      </w:hyperlink>
    </w:p>
    <w:p w14:paraId="0324C8AC" w14:textId="3FDC76E8" w:rsidR="00707021" w:rsidRPr="00032003" w:rsidRDefault="007F7885" w:rsidP="00032003">
      <w:pPr>
        <w:pStyle w:val="TOC3"/>
        <w:rPr>
          <w:rFonts w:ascii="Times New Roman" w:eastAsiaTheme="minorEastAsia" w:hAnsi="Times New Roman" w:cs="Times New Roman"/>
          <w:i w:val="0"/>
          <w:iCs w:val="0"/>
          <w:noProof/>
          <w:sz w:val="22"/>
          <w:szCs w:val="22"/>
        </w:rPr>
      </w:pPr>
      <w:hyperlink w:anchor="_Toc71728462" w:history="1">
        <w:r w:rsidR="00707021" w:rsidRPr="00032003">
          <w:rPr>
            <w:rStyle w:val="Hyperlink"/>
            <w:rFonts w:cs="Times New Roman"/>
            <w:i w:val="0"/>
            <w:iCs w:val="0"/>
            <w:noProof/>
            <w:szCs w:val="22"/>
            <w:lang w:bidi="en-US"/>
          </w:rPr>
          <w:t>5.4.3 Louisiana Semi-Circular Bend (LA-SCB) Test</w:t>
        </w:r>
        <w:r w:rsidR="00707021" w:rsidRPr="00032003">
          <w:rPr>
            <w:rFonts w:ascii="Times New Roman" w:hAnsi="Times New Roman" w:cs="Times New Roman"/>
            <w:i w:val="0"/>
            <w:iCs w:val="0"/>
            <w:noProof/>
            <w:webHidden/>
            <w:sz w:val="22"/>
            <w:szCs w:val="22"/>
          </w:rPr>
          <w:tab/>
        </w:r>
        <w:r w:rsidR="00707021" w:rsidRPr="00032003">
          <w:rPr>
            <w:rFonts w:ascii="Times New Roman" w:hAnsi="Times New Roman" w:cs="Times New Roman"/>
            <w:i w:val="0"/>
            <w:iCs w:val="0"/>
            <w:noProof/>
            <w:webHidden/>
            <w:sz w:val="22"/>
            <w:szCs w:val="22"/>
          </w:rPr>
          <w:fldChar w:fldCharType="begin"/>
        </w:r>
        <w:r w:rsidR="00707021" w:rsidRPr="00032003">
          <w:rPr>
            <w:rFonts w:ascii="Times New Roman" w:hAnsi="Times New Roman" w:cs="Times New Roman"/>
            <w:i w:val="0"/>
            <w:iCs w:val="0"/>
            <w:noProof/>
            <w:webHidden/>
            <w:sz w:val="22"/>
            <w:szCs w:val="22"/>
          </w:rPr>
          <w:instrText xml:space="preserve"> PAGEREF _Toc71728462 \h </w:instrText>
        </w:r>
        <w:r w:rsidR="00707021" w:rsidRPr="00032003">
          <w:rPr>
            <w:rFonts w:ascii="Times New Roman" w:hAnsi="Times New Roman" w:cs="Times New Roman"/>
            <w:i w:val="0"/>
            <w:iCs w:val="0"/>
            <w:noProof/>
            <w:webHidden/>
            <w:sz w:val="22"/>
            <w:szCs w:val="22"/>
          </w:rPr>
        </w:r>
        <w:r w:rsidR="00707021" w:rsidRPr="00032003">
          <w:rPr>
            <w:rFonts w:ascii="Times New Roman" w:hAnsi="Times New Roman" w:cs="Times New Roman"/>
            <w:i w:val="0"/>
            <w:iCs w:val="0"/>
            <w:noProof/>
            <w:webHidden/>
            <w:sz w:val="22"/>
            <w:szCs w:val="22"/>
          </w:rPr>
          <w:fldChar w:fldCharType="separate"/>
        </w:r>
        <w:r w:rsidR="005050F0">
          <w:rPr>
            <w:rFonts w:ascii="Times New Roman" w:hAnsi="Times New Roman" w:cs="Times New Roman"/>
            <w:i w:val="0"/>
            <w:iCs w:val="0"/>
            <w:noProof/>
            <w:webHidden/>
            <w:sz w:val="22"/>
            <w:szCs w:val="22"/>
          </w:rPr>
          <w:t>164</w:t>
        </w:r>
        <w:r w:rsidR="00707021" w:rsidRPr="00032003">
          <w:rPr>
            <w:rFonts w:ascii="Times New Roman" w:hAnsi="Times New Roman" w:cs="Times New Roman"/>
            <w:i w:val="0"/>
            <w:iCs w:val="0"/>
            <w:noProof/>
            <w:webHidden/>
            <w:sz w:val="22"/>
            <w:szCs w:val="22"/>
          </w:rPr>
          <w:fldChar w:fldCharType="end"/>
        </w:r>
      </w:hyperlink>
    </w:p>
    <w:p w14:paraId="35331838" w14:textId="001F2AE2" w:rsidR="00707021" w:rsidRPr="00032003" w:rsidRDefault="007F7885" w:rsidP="00032003">
      <w:pPr>
        <w:pStyle w:val="TOC3"/>
        <w:rPr>
          <w:rFonts w:ascii="Times New Roman" w:eastAsiaTheme="minorEastAsia" w:hAnsi="Times New Roman" w:cs="Times New Roman"/>
          <w:i w:val="0"/>
          <w:iCs w:val="0"/>
          <w:noProof/>
          <w:sz w:val="22"/>
          <w:szCs w:val="22"/>
        </w:rPr>
      </w:pPr>
      <w:hyperlink w:anchor="_Toc71728463" w:history="1">
        <w:r w:rsidR="00707021" w:rsidRPr="00032003">
          <w:rPr>
            <w:rStyle w:val="Hyperlink"/>
            <w:rFonts w:cs="Times New Roman"/>
            <w:i w:val="0"/>
            <w:iCs w:val="0"/>
            <w:noProof/>
            <w:szCs w:val="22"/>
            <w:lang w:bidi="en-US"/>
          </w:rPr>
          <w:t>5.4.4 Surface Free Energy Method</w:t>
        </w:r>
        <w:r w:rsidR="00707021" w:rsidRPr="00032003">
          <w:rPr>
            <w:rFonts w:ascii="Times New Roman" w:hAnsi="Times New Roman" w:cs="Times New Roman"/>
            <w:i w:val="0"/>
            <w:iCs w:val="0"/>
            <w:noProof/>
            <w:webHidden/>
            <w:sz w:val="22"/>
            <w:szCs w:val="22"/>
          </w:rPr>
          <w:tab/>
        </w:r>
        <w:r w:rsidR="00707021" w:rsidRPr="00032003">
          <w:rPr>
            <w:rFonts w:ascii="Times New Roman" w:hAnsi="Times New Roman" w:cs="Times New Roman"/>
            <w:i w:val="0"/>
            <w:iCs w:val="0"/>
            <w:noProof/>
            <w:webHidden/>
            <w:sz w:val="22"/>
            <w:szCs w:val="22"/>
          </w:rPr>
          <w:fldChar w:fldCharType="begin"/>
        </w:r>
        <w:r w:rsidR="00707021" w:rsidRPr="00032003">
          <w:rPr>
            <w:rFonts w:ascii="Times New Roman" w:hAnsi="Times New Roman" w:cs="Times New Roman"/>
            <w:i w:val="0"/>
            <w:iCs w:val="0"/>
            <w:noProof/>
            <w:webHidden/>
            <w:sz w:val="22"/>
            <w:szCs w:val="22"/>
          </w:rPr>
          <w:instrText xml:space="preserve"> PAGEREF _Toc71728463 \h </w:instrText>
        </w:r>
        <w:r w:rsidR="00707021" w:rsidRPr="00032003">
          <w:rPr>
            <w:rFonts w:ascii="Times New Roman" w:hAnsi="Times New Roman" w:cs="Times New Roman"/>
            <w:i w:val="0"/>
            <w:iCs w:val="0"/>
            <w:noProof/>
            <w:webHidden/>
            <w:sz w:val="22"/>
            <w:szCs w:val="22"/>
          </w:rPr>
        </w:r>
        <w:r w:rsidR="00707021" w:rsidRPr="00032003">
          <w:rPr>
            <w:rFonts w:ascii="Times New Roman" w:hAnsi="Times New Roman" w:cs="Times New Roman"/>
            <w:i w:val="0"/>
            <w:iCs w:val="0"/>
            <w:noProof/>
            <w:webHidden/>
            <w:sz w:val="22"/>
            <w:szCs w:val="22"/>
          </w:rPr>
          <w:fldChar w:fldCharType="separate"/>
        </w:r>
        <w:r w:rsidR="005050F0">
          <w:rPr>
            <w:rFonts w:ascii="Times New Roman" w:hAnsi="Times New Roman" w:cs="Times New Roman"/>
            <w:i w:val="0"/>
            <w:iCs w:val="0"/>
            <w:noProof/>
            <w:webHidden/>
            <w:sz w:val="22"/>
            <w:szCs w:val="22"/>
          </w:rPr>
          <w:t>165</w:t>
        </w:r>
        <w:r w:rsidR="00707021" w:rsidRPr="00032003">
          <w:rPr>
            <w:rFonts w:ascii="Times New Roman" w:hAnsi="Times New Roman" w:cs="Times New Roman"/>
            <w:i w:val="0"/>
            <w:iCs w:val="0"/>
            <w:noProof/>
            <w:webHidden/>
            <w:sz w:val="22"/>
            <w:szCs w:val="22"/>
          </w:rPr>
          <w:fldChar w:fldCharType="end"/>
        </w:r>
      </w:hyperlink>
    </w:p>
    <w:p w14:paraId="0434FCDC" w14:textId="551925EC" w:rsidR="00707021" w:rsidRPr="00032003" w:rsidRDefault="007F7885" w:rsidP="00032003">
      <w:pPr>
        <w:pStyle w:val="TOC3"/>
        <w:rPr>
          <w:rFonts w:ascii="Times New Roman" w:eastAsiaTheme="minorEastAsia" w:hAnsi="Times New Roman" w:cs="Times New Roman"/>
          <w:i w:val="0"/>
          <w:iCs w:val="0"/>
          <w:noProof/>
          <w:sz w:val="22"/>
          <w:szCs w:val="22"/>
        </w:rPr>
      </w:pPr>
      <w:hyperlink w:anchor="_Toc71728464" w:history="1">
        <w:r w:rsidR="00707021" w:rsidRPr="00032003">
          <w:rPr>
            <w:rStyle w:val="Hyperlink"/>
            <w:rFonts w:cs="Times New Roman"/>
            <w:i w:val="0"/>
            <w:iCs w:val="0"/>
            <w:noProof/>
            <w:szCs w:val="22"/>
            <w:lang w:bidi="en-US"/>
          </w:rPr>
          <w:t>5.4.5 Comparison of Different Parameters</w:t>
        </w:r>
        <w:r w:rsidR="00707021" w:rsidRPr="00032003">
          <w:rPr>
            <w:rFonts w:ascii="Times New Roman" w:hAnsi="Times New Roman" w:cs="Times New Roman"/>
            <w:i w:val="0"/>
            <w:iCs w:val="0"/>
            <w:noProof/>
            <w:webHidden/>
            <w:sz w:val="22"/>
            <w:szCs w:val="22"/>
          </w:rPr>
          <w:tab/>
        </w:r>
        <w:r w:rsidR="00707021" w:rsidRPr="00032003">
          <w:rPr>
            <w:rFonts w:ascii="Times New Roman" w:hAnsi="Times New Roman" w:cs="Times New Roman"/>
            <w:i w:val="0"/>
            <w:iCs w:val="0"/>
            <w:noProof/>
            <w:webHidden/>
            <w:sz w:val="22"/>
            <w:szCs w:val="22"/>
          </w:rPr>
          <w:fldChar w:fldCharType="begin"/>
        </w:r>
        <w:r w:rsidR="00707021" w:rsidRPr="00032003">
          <w:rPr>
            <w:rFonts w:ascii="Times New Roman" w:hAnsi="Times New Roman" w:cs="Times New Roman"/>
            <w:i w:val="0"/>
            <w:iCs w:val="0"/>
            <w:noProof/>
            <w:webHidden/>
            <w:sz w:val="22"/>
            <w:szCs w:val="22"/>
          </w:rPr>
          <w:instrText xml:space="preserve"> PAGEREF _Toc71728464 \h </w:instrText>
        </w:r>
        <w:r w:rsidR="00707021" w:rsidRPr="00032003">
          <w:rPr>
            <w:rFonts w:ascii="Times New Roman" w:hAnsi="Times New Roman" w:cs="Times New Roman"/>
            <w:i w:val="0"/>
            <w:iCs w:val="0"/>
            <w:noProof/>
            <w:webHidden/>
            <w:sz w:val="22"/>
            <w:szCs w:val="22"/>
          </w:rPr>
        </w:r>
        <w:r w:rsidR="00707021" w:rsidRPr="00032003">
          <w:rPr>
            <w:rFonts w:ascii="Times New Roman" w:hAnsi="Times New Roman" w:cs="Times New Roman"/>
            <w:i w:val="0"/>
            <w:iCs w:val="0"/>
            <w:noProof/>
            <w:webHidden/>
            <w:sz w:val="22"/>
            <w:szCs w:val="22"/>
          </w:rPr>
          <w:fldChar w:fldCharType="separate"/>
        </w:r>
        <w:r w:rsidR="005050F0">
          <w:rPr>
            <w:rFonts w:ascii="Times New Roman" w:hAnsi="Times New Roman" w:cs="Times New Roman"/>
            <w:i w:val="0"/>
            <w:iCs w:val="0"/>
            <w:noProof/>
            <w:webHidden/>
            <w:sz w:val="22"/>
            <w:szCs w:val="22"/>
          </w:rPr>
          <w:t>168</w:t>
        </w:r>
        <w:r w:rsidR="00707021" w:rsidRPr="00032003">
          <w:rPr>
            <w:rFonts w:ascii="Times New Roman" w:hAnsi="Times New Roman" w:cs="Times New Roman"/>
            <w:i w:val="0"/>
            <w:iCs w:val="0"/>
            <w:noProof/>
            <w:webHidden/>
            <w:sz w:val="22"/>
            <w:szCs w:val="22"/>
          </w:rPr>
          <w:fldChar w:fldCharType="end"/>
        </w:r>
      </w:hyperlink>
    </w:p>
    <w:p w14:paraId="7FD5263C" w14:textId="1F7E2579" w:rsidR="00707021" w:rsidRPr="00032003" w:rsidRDefault="007F7885" w:rsidP="00032003">
      <w:pPr>
        <w:pStyle w:val="TOC2"/>
        <w:rPr>
          <w:rFonts w:ascii="Times New Roman" w:eastAsiaTheme="minorEastAsia" w:hAnsi="Times New Roman" w:cs="Times New Roman"/>
          <w:noProof/>
          <w:sz w:val="22"/>
          <w:szCs w:val="22"/>
        </w:rPr>
      </w:pPr>
      <w:hyperlink w:anchor="_Toc71728465" w:history="1">
        <w:r w:rsidR="00707021" w:rsidRPr="00032003">
          <w:rPr>
            <w:rStyle w:val="Hyperlink"/>
            <w:rFonts w:cs="Times New Roman"/>
            <w:noProof/>
            <w:szCs w:val="22"/>
            <w:lang w:bidi="en-US"/>
          </w:rPr>
          <w:t>5.5 CONCLUSIONS</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_Toc71728465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170</w:t>
        </w:r>
        <w:r w:rsidR="00707021" w:rsidRPr="00032003">
          <w:rPr>
            <w:rFonts w:ascii="Times New Roman" w:hAnsi="Times New Roman" w:cs="Times New Roman"/>
            <w:noProof/>
            <w:webHidden/>
            <w:sz w:val="22"/>
            <w:szCs w:val="22"/>
          </w:rPr>
          <w:fldChar w:fldCharType="end"/>
        </w:r>
      </w:hyperlink>
    </w:p>
    <w:p w14:paraId="2F28D358" w14:textId="02F9B795" w:rsidR="00707021" w:rsidRPr="00032003" w:rsidRDefault="009C3FA2" w:rsidP="00032003">
      <w:pPr>
        <w:pStyle w:val="TOC1"/>
        <w:rPr>
          <w:rFonts w:ascii="Times New Roman" w:eastAsiaTheme="minorEastAsia" w:hAnsi="Times New Roman" w:cs="Times New Roman"/>
          <w:noProof/>
          <w:sz w:val="22"/>
          <w:szCs w:val="22"/>
        </w:rPr>
      </w:pPr>
      <w:r w:rsidRPr="00032003">
        <w:rPr>
          <w:rStyle w:val="Hyperlink"/>
          <w:rFonts w:cs="Times New Roman"/>
          <w:noProof/>
          <w:szCs w:val="22"/>
        </w:rPr>
        <w:t xml:space="preserve">CHAPTER </w:t>
      </w:r>
      <w:hyperlink w:anchor="_Toc71728466" w:history="1">
        <w:r w:rsidR="00707021" w:rsidRPr="00032003">
          <w:rPr>
            <w:rStyle w:val="Hyperlink"/>
            <w:rFonts w:cs="Times New Roman"/>
            <w:noProof/>
            <w:szCs w:val="22"/>
            <w:lang w:bidi="en-US"/>
          </w:rPr>
          <w:t>6. CONCLUSIONS AND RECOMMENDATIONS</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_Toc71728466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180</w:t>
        </w:r>
        <w:r w:rsidR="00707021" w:rsidRPr="00032003">
          <w:rPr>
            <w:rFonts w:ascii="Times New Roman" w:hAnsi="Times New Roman" w:cs="Times New Roman"/>
            <w:noProof/>
            <w:webHidden/>
            <w:sz w:val="22"/>
            <w:szCs w:val="22"/>
          </w:rPr>
          <w:fldChar w:fldCharType="end"/>
        </w:r>
      </w:hyperlink>
    </w:p>
    <w:p w14:paraId="4C40A113" w14:textId="63A91647" w:rsidR="00707021" w:rsidRPr="00032003" w:rsidRDefault="007F7885" w:rsidP="00032003">
      <w:pPr>
        <w:pStyle w:val="TOC2"/>
        <w:rPr>
          <w:rFonts w:ascii="Times New Roman" w:eastAsiaTheme="minorEastAsia" w:hAnsi="Times New Roman" w:cs="Times New Roman"/>
          <w:noProof/>
          <w:sz w:val="22"/>
          <w:szCs w:val="22"/>
        </w:rPr>
      </w:pPr>
      <w:hyperlink w:anchor="_Toc71728467" w:history="1">
        <w:r w:rsidR="00707021" w:rsidRPr="00032003">
          <w:rPr>
            <w:rStyle w:val="Hyperlink"/>
            <w:rFonts w:cs="Times New Roman"/>
            <w:noProof/>
            <w:szCs w:val="22"/>
            <w:lang w:bidi="en-US"/>
          </w:rPr>
          <w:t>6.1 CONCLUSIONS</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_Toc71728467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180</w:t>
        </w:r>
        <w:r w:rsidR="00707021" w:rsidRPr="00032003">
          <w:rPr>
            <w:rFonts w:ascii="Times New Roman" w:hAnsi="Times New Roman" w:cs="Times New Roman"/>
            <w:noProof/>
            <w:webHidden/>
            <w:sz w:val="22"/>
            <w:szCs w:val="22"/>
          </w:rPr>
          <w:fldChar w:fldCharType="end"/>
        </w:r>
      </w:hyperlink>
    </w:p>
    <w:p w14:paraId="66702207" w14:textId="6EF0DF60" w:rsidR="00707021" w:rsidRPr="00032003" w:rsidRDefault="007F7885" w:rsidP="00032003">
      <w:pPr>
        <w:pStyle w:val="TOC2"/>
        <w:rPr>
          <w:rFonts w:ascii="Times New Roman" w:eastAsiaTheme="minorEastAsia" w:hAnsi="Times New Roman" w:cs="Times New Roman"/>
          <w:noProof/>
          <w:sz w:val="22"/>
          <w:szCs w:val="22"/>
        </w:rPr>
      </w:pPr>
      <w:hyperlink w:anchor="_Toc71728468" w:history="1">
        <w:r w:rsidR="00707021" w:rsidRPr="00032003">
          <w:rPr>
            <w:rStyle w:val="Hyperlink"/>
            <w:rFonts w:cs="Times New Roman"/>
            <w:noProof/>
            <w:szCs w:val="22"/>
            <w:lang w:val="en-CA" w:bidi="en-US"/>
          </w:rPr>
          <w:t>6.2 RECOMMENDATIONS</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_Toc71728468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184</w:t>
        </w:r>
        <w:r w:rsidR="00707021" w:rsidRPr="00032003">
          <w:rPr>
            <w:rFonts w:ascii="Times New Roman" w:hAnsi="Times New Roman" w:cs="Times New Roman"/>
            <w:noProof/>
            <w:webHidden/>
            <w:sz w:val="22"/>
            <w:szCs w:val="22"/>
          </w:rPr>
          <w:fldChar w:fldCharType="end"/>
        </w:r>
      </w:hyperlink>
    </w:p>
    <w:p w14:paraId="76D6555C" w14:textId="50FBF28A" w:rsidR="00707021" w:rsidRPr="00032003" w:rsidRDefault="007F7885" w:rsidP="00032003">
      <w:pPr>
        <w:pStyle w:val="TOC1"/>
        <w:rPr>
          <w:rFonts w:ascii="Times New Roman" w:eastAsiaTheme="minorEastAsia" w:hAnsi="Times New Roman" w:cs="Times New Roman"/>
          <w:noProof/>
          <w:sz w:val="22"/>
          <w:szCs w:val="22"/>
        </w:rPr>
      </w:pPr>
      <w:hyperlink w:anchor="_Toc71728469" w:history="1">
        <w:r w:rsidR="00707021" w:rsidRPr="00032003">
          <w:rPr>
            <w:rStyle w:val="Hyperlink"/>
            <w:rFonts w:cs="Times New Roman"/>
            <w:noProof/>
            <w:szCs w:val="22"/>
            <w:lang w:bidi="en-US"/>
          </w:rPr>
          <w:t>REFERENCES</w:t>
        </w:r>
        <w:r w:rsidR="009C3FA2" w:rsidRPr="00032003">
          <w:rPr>
            <w:rStyle w:val="Hyperlink"/>
            <w:rFonts w:cs="Times New Roman"/>
            <w:noProof/>
            <w:szCs w:val="22"/>
            <w:lang w:bidi="en-US"/>
          </w:rPr>
          <w:t>.</w:t>
        </w:r>
        <w:r w:rsidR="00707021" w:rsidRPr="00032003">
          <w:rPr>
            <w:rFonts w:ascii="Times New Roman" w:hAnsi="Times New Roman" w:cs="Times New Roman"/>
            <w:noProof/>
            <w:webHidden/>
            <w:sz w:val="22"/>
            <w:szCs w:val="22"/>
          </w:rPr>
          <w:tab/>
        </w:r>
        <w:r w:rsidR="00707021" w:rsidRPr="00032003">
          <w:rPr>
            <w:rFonts w:ascii="Times New Roman" w:hAnsi="Times New Roman" w:cs="Times New Roman"/>
            <w:noProof/>
            <w:webHidden/>
            <w:sz w:val="22"/>
            <w:szCs w:val="22"/>
          </w:rPr>
          <w:fldChar w:fldCharType="begin"/>
        </w:r>
        <w:r w:rsidR="00707021" w:rsidRPr="00032003">
          <w:rPr>
            <w:rFonts w:ascii="Times New Roman" w:hAnsi="Times New Roman" w:cs="Times New Roman"/>
            <w:noProof/>
            <w:webHidden/>
            <w:sz w:val="22"/>
            <w:szCs w:val="22"/>
          </w:rPr>
          <w:instrText xml:space="preserve"> PAGEREF _Toc71728469 \h </w:instrText>
        </w:r>
        <w:r w:rsidR="00707021" w:rsidRPr="00032003">
          <w:rPr>
            <w:rFonts w:ascii="Times New Roman" w:hAnsi="Times New Roman" w:cs="Times New Roman"/>
            <w:noProof/>
            <w:webHidden/>
            <w:sz w:val="22"/>
            <w:szCs w:val="22"/>
          </w:rPr>
        </w:r>
        <w:r w:rsidR="00707021" w:rsidRPr="00032003">
          <w:rPr>
            <w:rFonts w:ascii="Times New Roman" w:hAnsi="Times New Roman" w:cs="Times New Roman"/>
            <w:noProof/>
            <w:webHidden/>
            <w:sz w:val="22"/>
            <w:szCs w:val="22"/>
          </w:rPr>
          <w:fldChar w:fldCharType="separate"/>
        </w:r>
        <w:r w:rsidR="005050F0">
          <w:rPr>
            <w:rFonts w:ascii="Times New Roman" w:hAnsi="Times New Roman" w:cs="Times New Roman"/>
            <w:noProof/>
            <w:webHidden/>
            <w:sz w:val="22"/>
            <w:szCs w:val="22"/>
          </w:rPr>
          <w:t>186</w:t>
        </w:r>
        <w:r w:rsidR="00707021" w:rsidRPr="00032003">
          <w:rPr>
            <w:rFonts w:ascii="Times New Roman" w:hAnsi="Times New Roman" w:cs="Times New Roman"/>
            <w:noProof/>
            <w:webHidden/>
            <w:sz w:val="22"/>
            <w:szCs w:val="22"/>
          </w:rPr>
          <w:fldChar w:fldCharType="end"/>
        </w:r>
      </w:hyperlink>
    </w:p>
    <w:p w14:paraId="0DD4080C" w14:textId="17959D11" w:rsidR="0037686A" w:rsidRPr="0037686A" w:rsidRDefault="006C5532" w:rsidP="006C4387">
      <w:pPr>
        <w:rPr>
          <w:lang w:bidi="en-US"/>
        </w:rPr>
      </w:pPr>
      <w:r w:rsidRPr="005E7D40">
        <w:rPr>
          <w:rFonts w:eastAsia="Times New Roman" w:cs="Times New Roman"/>
          <w:b/>
          <w:bCs/>
          <w:caps/>
          <w:noProof/>
          <w:sz w:val="22"/>
          <w:lang w:bidi="en-US"/>
        </w:rPr>
        <w:fldChar w:fldCharType="end"/>
      </w:r>
    </w:p>
    <w:p w14:paraId="3E37A1D0" w14:textId="6FDC4E57" w:rsidR="00B555D8" w:rsidRPr="000B3158" w:rsidRDefault="00B555D8" w:rsidP="005670AB">
      <w:pPr>
        <w:pStyle w:val="Chapter"/>
      </w:pPr>
      <w:bookmarkStart w:id="4" w:name="_Toc465677492"/>
      <w:bookmarkStart w:id="5" w:name="_Toc310579465"/>
      <w:bookmarkStart w:id="6" w:name="_Toc469234900"/>
      <w:bookmarkStart w:id="7" w:name="_Toc71728399"/>
      <w:r w:rsidRPr="000B3158">
        <w:lastRenderedPageBreak/>
        <w:t>List of Tables</w:t>
      </w:r>
      <w:bookmarkEnd w:id="4"/>
      <w:bookmarkEnd w:id="5"/>
      <w:bookmarkEnd w:id="6"/>
      <w:bookmarkEnd w:id="7"/>
    </w:p>
    <w:bookmarkStart w:id="8" w:name="_Toc310579466"/>
    <w:bookmarkStart w:id="9" w:name="_Toc469234901"/>
    <w:p w14:paraId="01E3D866" w14:textId="1507D917" w:rsidR="00C6718B" w:rsidRPr="009444BA" w:rsidRDefault="00E157F3" w:rsidP="009444BA">
      <w:pPr>
        <w:pStyle w:val="TableofFigures"/>
        <w:tabs>
          <w:tab w:val="right" w:leader="dot" w:pos="8460"/>
        </w:tabs>
        <w:spacing w:line="360" w:lineRule="auto"/>
        <w:ind w:left="990" w:right="576" w:hanging="990"/>
        <w:rPr>
          <w:rFonts w:asciiTheme="minorHAnsi" w:eastAsiaTheme="minorEastAsia" w:hAnsiTheme="minorHAnsi" w:cstheme="minorBidi"/>
          <w:noProof/>
          <w:sz w:val="22"/>
          <w:szCs w:val="22"/>
          <w:lang w:bidi="ar-SA"/>
        </w:rPr>
      </w:pPr>
      <w:r w:rsidRPr="00391D78">
        <w:rPr>
          <w:sz w:val="22"/>
          <w:szCs w:val="22"/>
        </w:rPr>
        <w:fldChar w:fldCharType="begin"/>
      </w:r>
      <w:r w:rsidRPr="00391D78">
        <w:rPr>
          <w:sz w:val="22"/>
          <w:szCs w:val="22"/>
        </w:rPr>
        <w:instrText xml:space="preserve"> TOC \h \z \c "Table" </w:instrText>
      </w:r>
      <w:r w:rsidRPr="00391D78">
        <w:rPr>
          <w:sz w:val="22"/>
          <w:szCs w:val="22"/>
        </w:rPr>
        <w:fldChar w:fldCharType="separate"/>
      </w:r>
      <w:hyperlink w:anchor="_Toc71330972" w:history="1">
        <w:r w:rsidR="00C6718B" w:rsidRPr="009444BA">
          <w:rPr>
            <w:rStyle w:val="Hyperlink"/>
            <w:noProof/>
            <w:szCs w:val="22"/>
          </w:rPr>
          <w:t>Table 2.1 Surface Free Energy Components of the Probe Liquids at 20</w:t>
        </w:r>
        <w:r w:rsidR="00C6718B" w:rsidRPr="009444BA">
          <w:rPr>
            <w:rStyle w:val="Hyperlink"/>
            <w:rFonts w:eastAsiaTheme="minorEastAsia"/>
            <w:noProof/>
            <w:szCs w:val="22"/>
          </w:rPr>
          <w:sym w:font="Symbol" w:char="F0B0"/>
        </w:r>
        <w:r w:rsidR="00C6718B" w:rsidRPr="009444BA">
          <w:rPr>
            <w:rStyle w:val="Hyperlink"/>
            <w:noProof/>
            <w:szCs w:val="22"/>
          </w:rPr>
          <w:t>C (Hefer et al., 2006)</w:t>
        </w:r>
        <w:r w:rsidR="00C6718B" w:rsidRPr="009444BA">
          <w:rPr>
            <w:noProof/>
            <w:webHidden/>
            <w:sz w:val="22"/>
            <w:szCs w:val="22"/>
          </w:rPr>
          <w:tab/>
        </w:r>
        <w:r w:rsidR="00C6718B" w:rsidRPr="009444BA">
          <w:rPr>
            <w:noProof/>
            <w:webHidden/>
            <w:sz w:val="22"/>
            <w:szCs w:val="22"/>
          </w:rPr>
          <w:fldChar w:fldCharType="begin"/>
        </w:r>
        <w:r w:rsidR="00C6718B" w:rsidRPr="009444BA">
          <w:rPr>
            <w:noProof/>
            <w:webHidden/>
            <w:sz w:val="22"/>
            <w:szCs w:val="22"/>
          </w:rPr>
          <w:instrText xml:space="preserve"> PAGEREF _Toc71330972 \h </w:instrText>
        </w:r>
        <w:r w:rsidR="00C6718B" w:rsidRPr="009444BA">
          <w:rPr>
            <w:noProof/>
            <w:webHidden/>
            <w:sz w:val="22"/>
            <w:szCs w:val="22"/>
          </w:rPr>
        </w:r>
        <w:r w:rsidR="00C6718B" w:rsidRPr="009444BA">
          <w:rPr>
            <w:noProof/>
            <w:webHidden/>
            <w:sz w:val="22"/>
            <w:szCs w:val="22"/>
          </w:rPr>
          <w:fldChar w:fldCharType="separate"/>
        </w:r>
        <w:r w:rsidR="005050F0">
          <w:rPr>
            <w:noProof/>
            <w:webHidden/>
            <w:sz w:val="22"/>
            <w:szCs w:val="22"/>
          </w:rPr>
          <w:t>52</w:t>
        </w:r>
        <w:r w:rsidR="00C6718B" w:rsidRPr="009444BA">
          <w:rPr>
            <w:noProof/>
            <w:webHidden/>
            <w:sz w:val="22"/>
            <w:szCs w:val="22"/>
          </w:rPr>
          <w:fldChar w:fldCharType="end"/>
        </w:r>
      </w:hyperlink>
    </w:p>
    <w:p w14:paraId="1CF1653F" w14:textId="0C67BDB9" w:rsidR="00C6718B" w:rsidRPr="009444BA" w:rsidRDefault="007F7885" w:rsidP="009444BA">
      <w:pPr>
        <w:pStyle w:val="TableofFigures"/>
        <w:tabs>
          <w:tab w:val="right" w:leader="dot" w:pos="8460"/>
        </w:tabs>
        <w:spacing w:line="360" w:lineRule="auto"/>
        <w:ind w:left="990" w:right="576" w:hanging="990"/>
        <w:rPr>
          <w:rFonts w:asciiTheme="minorHAnsi" w:eastAsiaTheme="minorEastAsia" w:hAnsiTheme="minorHAnsi" w:cstheme="minorBidi"/>
          <w:noProof/>
          <w:sz w:val="22"/>
          <w:szCs w:val="22"/>
          <w:lang w:bidi="ar-SA"/>
        </w:rPr>
      </w:pPr>
      <w:hyperlink w:anchor="_Toc71330973" w:history="1">
        <w:r w:rsidR="00C6718B" w:rsidRPr="009444BA">
          <w:rPr>
            <w:rStyle w:val="Hyperlink"/>
            <w:noProof/>
            <w:szCs w:val="22"/>
          </w:rPr>
          <w:t>Table 2.2 Contact Angles of Binders with Different Probe Liquids</w:t>
        </w:r>
        <w:r w:rsidR="00C6718B" w:rsidRPr="009444BA">
          <w:rPr>
            <w:noProof/>
            <w:webHidden/>
            <w:sz w:val="22"/>
            <w:szCs w:val="22"/>
          </w:rPr>
          <w:tab/>
        </w:r>
        <w:r w:rsidR="00C6718B" w:rsidRPr="009444BA">
          <w:rPr>
            <w:noProof/>
            <w:webHidden/>
            <w:sz w:val="22"/>
            <w:szCs w:val="22"/>
          </w:rPr>
          <w:fldChar w:fldCharType="begin"/>
        </w:r>
        <w:r w:rsidR="00C6718B" w:rsidRPr="009444BA">
          <w:rPr>
            <w:noProof/>
            <w:webHidden/>
            <w:sz w:val="22"/>
            <w:szCs w:val="22"/>
          </w:rPr>
          <w:instrText xml:space="preserve"> PAGEREF _Toc71330973 \h </w:instrText>
        </w:r>
        <w:r w:rsidR="00C6718B" w:rsidRPr="009444BA">
          <w:rPr>
            <w:noProof/>
            <w:webHidden/>
            <w:sz w:val="22"/>
            <w:szCs w:val="22"/>
          </w:rPr>
        </w:r>
        <w:r w:rsidR="00C6718B" w:rsidRPr="009444BA">
          <w:rPr>
            <w:noProof/>
            <w:webHidden/>
            <w:sz w:val="22"/>
            <w:szCs w:val="22"/>
          </w:rPr>
          <w:fldChar w:fldCharType="separate"/>
        </w:r>
        <w:r w:rsidR="005050F0">
          <w:rPr>
            <w:noProof/>
            <w:webHidden/>
            <w:sz w:val="22"/>
            <w:szCs w:val="22"/>
          </w:rPr>
          <w:t>52</w:t>
        </w:r>
        <w:r w:rsidR="00C6718B" w:rsidRPr="009444BA">
          <w:rPr>
            <w:noProof/>
            <w:webHidden/>
            <w:sz w:val="22"/>
            <w:szCs w:val="22"/>
          </w:rPr>
          <w:fldChar w:fldCharType="end"/>
        </w:r>
      </w:hyperlink>
    </w:p>
    <w:p w14:paraId="73C5F176" w14:textId="534484EE" w:rsidR="00C6718B" w:rsidRPr="009444BA" w:rsidRDefault="007F7885" w:rsidP="009444BA">
      <w:pPr>
        <w:pStyle w:val="TableofFigures"/>
        <w:tabs>
          <w:tab w:val="right" w:leader="dot" w:pos="8460"/>
        </w:tabs>
        <w:spacing w:line="360" w:lineRule="auto"/>
        <w:ind w:left="990" w:right="576" w:hanging="990"/>
        <w:rPr>
          <w:rFonts w:asciiTheme="minorHAnsi" w:eastAsiaTheme="minorEastAsia" w:hAnsiTheme="minorHAnsi" w:cstheme="minorBidi"/>
          <w:noProof/>
          <w:sz w:val="22"/>
          <w:szCs w:val="22"/>
          <w:lang w:bidi="ar-SA"/>
        </w:rPr>
      </w:pPr>
      <w:hyperlink w:anchor="_Toc71330974" w:history="1">
        <w:r w:rsidR="00C6718B" w:rsidRPr="009444BA">
          <w:rPr>
            <w:rStyle w:val="Hyperlink"/>
            <w:noProof/>
            <w:szCs w:val="22"/>
          </w:rPr>
          <w:t>Table 2.3 Surface Free Energy Components of S1 and S4 Binders from GvOC Method</w:t>
        </w:r>
        <w:r w:rsidR="00C6718B" w:rsidRPr="009444BA">
          <w:rPr>
            <w:noProof/>
            <w:webHidden/>
            <w:sz w:val="22"/>
            <w:szCs w:val="22"/>
          </w:rPr>
          <w:tab/>
        </w:r>
        <w:r w:rsidR="00C6718B" w:rsidRPr="009444BA">
          <w:rPr>
            <w:noProof/>
            <w:webHidden/>
            <w:sz w:val="22"/>
            <w:szCs w:val="22"/>
          </w:rPr>
          <w:fldChar w:fldCharType="begin"/>
        </w:r>
        <w:r w:rsidR="00C6718B" w:rsidRPr="009444BA">
          <w:rPr>
            <w:noProof/>
            <w:webHidden/>
            <w:sz w:val="22"/>
            <w:szCs w:val="22"/>
          </w:rPr>
          <w:instrText xml:space="preserve"> PAGEREF _Toc71330974 \h </w:instrText>
        </w:r>
        <w:r w:rsidR="00C6718B" w:rsidRPr="009444BA">
          <w:rPr>
            <w:noProof/>
            <w:webHidden/>
            <w:sz w:val="22"/>
            <w:szCs w:val="22"/>
          </w:rPr>
        </w:r>
        <w:r w:rsidR="00C6718B" w:rsidRPr="009444BA">
          <w:rPr>
            <w:noProof/>
            <w:webHidden/>
            <w:sz w:val="22"/>
            <w:szCs w:val="22"/>
          </w:rPr>
          <w:fldChar w:fldCharType="separate"/>
        </w:r>
        <w:r w:rsidR="005050F0">
          <w:rPr>
            <w:noProof/>
            <w:webHidden/>
            <w:sz w:val="22"/>
            <w:szCs w:val="22"/>
          </w:rPr>
          <w:t>52</w:t>
        </w:r>
        <w:r w:rsidR="00C6718B" w:rsidRPr="009444BA">
          <w:rPr>
            <w:noProof/>
            <w:webHidden/>
            <w:sz w:val="22"/>
            <w:szCs w:val="22"/>
          </w:rPr>
          <w:fldChar w:fldCharType="end"/>
        </w:r>
      </w:hyperlink>
    </w:p>
    <w:p w14:paraId="0BCD28F7" w14:textId="2378B4AA" w:rsidR="00C6718B" w:rsidRPr="009444BA" w:rsidRDefault="007F7885" w:rsidP="009444BA">
      <w:pPr>
        <w:pStyle w:val="TableofFigures"/>
        <w:tabs>
          <w:tab w:val="right" w:leader="dot" w:pos="8460"/>
        </w:tabs>
        <w:spacing w:line="360" w:lineRule="auto"/>
        <w:ind w:left="990" w:right="576" w:hanging="990"/>
        <w:rPr>
          <w:rFonts w:asciiTheme="minorHAnsi" w:eastAsiaTheme="minorEastAsia" w:hAnsiTheme="minorHAnsi" w:cstheme="minorBidi"/>
          <w:noProof/>
          <w:sz w:val="22"/>
          <w:szCs w:val="22"/>
          <w:lang w:bidi="ar-SA"/>
        </w:rPr>
      </w:pPr>
      <w:hyperlink w:anchor="_Toc71330975" w:history="1">
        <w:r w:rsidR="00C6718B" w:rsidRPr="009444BA">
          <w:rPr>
            <w:rStyle w:val="Hyperlink"/>
            <w:noProof/>
            <w:szCs w:val="22"/>
          </w:rPr>
          <w:t>Table 2.4 Condition Number of Different Probe Liquid Sets</w:t>
        </w:r>
        <w:r w:rsidR="00C6718B" w:rsidRPr="009444BA">
          <w:rPr>
            <w:noProof/>
            <w:webHidden/>
            <w:sz w:val="22"/>
            <w:szCs w:val="22"/>
          </w:rPr>
          <w:tab/>
        </w:r>
        <w:r w:rsidR="00C6718B" w:rsidRPr="009444BA">
          <w:rPr>
            <w:noProof/>
            <w:webHidden/>
            <w:sz w:val="22"/>
            <w:szCs w:val="22"/>
          </w:rPr>
          <w:fldChar w:fldCharType="begin"/>
        </w:r>
        <w:r w:rsidR="00C6718B" w:rsidRPr="009444BA">
          <w:rPr>
            <w:noProof/>
            <w:webHidden/>
            <w:sz w:val="22"/>
            <w:szCs w:val="22"/>
          </w:rPr>
          <w:instrText xml:space="preserve"> PAGEREF _Toc71330975 \h </w:instrText>
        </w:r>
        <w:r w:rsidR="00C6718B" w:rsidRPr="009444BA">
          <w:rPr>
            <w:noProof/>
            <w:webHidden/>
            <w:sz w:val="22"/>
            <w:szCs w:val="22"/>
          </w:rPr>
        </w:r>
        <w:r w:rsidR="00C6718B" w:rsidRPr="009444BA">
          <w:rPr>
            <w:noProof/>
            <w:webHidden/>
            <w:sz w:val="22"/>
            <w:szCs w:val="22"/>
          </w:rPr>
          <w:fldChar w:fldCharType="separate"/>
        </w:r>
        <w:r w:rsidR="005050F0">
          <w:rPr>
            <w:noProof/>
            <w:webHidden/>
            <w:sz w:val="22"/>
            <w:szCs w:val="22"/>
          </w:rPr>
          <w:t>53</w:t>
        </w:r>
        <w:r w:rsidR="00C6718B" w:rsidRPr="009444BA">
          <w:rPr>
            <w:noProof/>
            <w:webHidden/>
            <w:sz w:val="22"/>
            <w:szCs w:val="22"/>
          </w:rPr>
          <w:fldChar w:fldCharType="end"/>
        </w:r>
      </w:hyperlink>
    </w:p>
    <w:p w14:paraId="58A95130" w14:textId="681CFC01" w:rsidR="00C6718B" w:rsidRPr="009444BA" w:rsidRDefault="007F7885" w:rsidP="009444BA">
      <w:pPr>
        <w:pStyle w:val="TableofFigures"/>
        <w:tabs>
          <w:tab w:val="right" w:leader="dot" w:pos="8460"/>
        </w:tabs>
        <w:spacing w:line="360" w:lineRule="auto"/>
        <w:ind w:left="990" w:right="576" w:hanging="990"/>
        <w:rPr>
          <w:rFonts w:asciiTheme="minorHAnsi" w:eastAsiaTheme="minorEastAsia" w:hAnsiTheme="minorHAnsi" w:cstheme="minorBidi"/>
          <w:noProof/>
          <w:sz w:val="22"/>
          <w:szCs w:val="22"/>
          <w:lang w:bidi="ar-SA"/>
        </w:rPr>
      </w:pPr>
      <w:hyperlink w:anchor="_Toc71330976" w:history="1">
        <w:r w:rsidR="00C6718B" w:rsidRPr="009444BA">
          <w:rPr>
            <w:rStyle w:val="Hyperlink"/>
            <w:noProof/>
            <w:szCs w:val="22"/>
          </w:rPr>
          <w:t>Table 2.5 Surface Free Energy Components of Limestone aggregate</w:t>
        </w:r>
        <w:r w:rsidR="00C6718B" w:rsidRPr="009444BA">
          <w:rPr>
            <w:noProof/>
            <w:webHidden/>
            <w:sz w:val="22"/>
            <w:szCs w:val="22"/>
          </w:rPr>
          <w:tab/>
        </w:r>
        <w:r w:rsidR="00C6718B" w:rsidRPr="009444BA">
          <w:rPr>
            <w:noProof/>
            <w:webHidden/>
            <w:sz w:val="22"/>
            <w:szCs w:val="22"/>
          </w:rPr>
          <w:fldChar w:fldCharType="begin"/>
        </w:r>
        <w:r w:rsidR="00C6718B" w:rsidRPr="009444BA">
          <w:rPr>
            <w:noProof/>
            <w:webHidden/>
            <w:sz w:val="22"/>
            <w:szCs w:val="22"/>
          </w:rPr>
          <w:instrText xml:space="preserve"> PAGEREF _Toc71330976 \h </w:instrText>
        </w:r>
        <w:r w:rsidR="00C6718B" w:rsidRPr="009444BA">
          <w:rPr>
            <w:noProof/>
            <w:webHidden/>
            <w:sz w:val="22"/>
            <w:szCs w:val="22"/>
          </w:rPr>
        </w:r>
        <w:r w:rsidR="00C6718B" w:rsidRPr="009444BA">
          <w:rPr>
            <w:noProof/>
            <w:webHidden/>
            <w:sz w:val="22"/>
            <w:szCs w:val="22"/>
          </w:rPr>
          <w:fldChar w:fldCharType="separate"/>
        </w:r>
        <w:r w:rsidR="005050F0">
          <w:rPr>
            <w:noProof/>
            <w:webHidden/>
            <w:sz w:val="22"/>
            <w:szCs w:val="22"/>
          </w:rPr>
          <w:t>53</w:t>
        </w:r>
        <w:r w:rsidR="00C6718B" w:rsidRPr="009444BA">
          <w:rPr>
            <w:noProof/>
            <w:webHidden/>
            <w:sz w:val="22"/>
            <w:szCs w:val="22"/>
          </w:rPr>
          <w:fldChar w:fldCharType="end"/>
        </w:r>
      </w:hyperlink>
    </w:p>
    <w:p w14:paraId="729C86E3" w14:textId="0B8094AB" w:rsidR="00C6718B" w:rsidRPr="009444BA" w:rsidRDefault="007F7885" w:rsidP="009444BA">
      <w:pPr>
        <w:pStyle w:val="TableofFigures"/>
        <w:tabs>
          <w:tab w:val="right" w:leader="dot" w:pos="8460"/>
        </w:tabs>
        <w:spacing w:line="360" w:lineRule="auto"/>
        <w:ind w:left="990" w:right="576" w:hanging="990"/>
        <w:rPr>
          <w:rFonts w:asciiTheme="minorHAnsi" w:eastAsiaTheme="minorEastAsia" w:hAnsiTheme="minorHAnsi" w:cstheme="minorBidi"/>
          <w:noProof/>
          <w:sz w:val="22"/>
          <w:szCs w:val="22"/>
          <w:lang w:bidi="ar-SA"/>
        </w:rPr>
      </w:pPr>
      <w:hyperlink w:anchor="_Toc71330977" w:history="1">
        <w:r w:rsidR="00C6718B" w:rsidRPr="009444BA">
          <w:rPr>
            <w:rStyle w:val="Hyperlink"/>
            <w:noProof/>
            <w:szCs w:val="22"/>
          </w:rPr>
          <w:t>Table 2.6 Energy Parameters of Binder-Aggregate Systems from GvOC Methods</w:t>
        </w:r>
        <w:r w:rsidR="00C6718B" w:rsidRPr="009444BA">
          <w:rPr>
            <w:noProof/>
            <w:webHidden/>
            <w:sz w:val="22"/>
            <w:szCs w:val="22"/>
          </w:rPr>
          <w:tab/>
        </w:r>
        <w:r w:rsidR="00C6718B" w:rsidRPr="009444BA">
          <w:rPr>
            <w:noProof/>
            <w:webHidden/>
            <w:sz w:val="22"/>
            <w:szCs w:val="22"/>
          </w:rPr>
          <w:fldChar w:fldCharType="begin"/>
        </w:r>
        <w:r w:rsidR="00C6718B" w:rsidRPr="009444BA">
          <w:rPr>
            <w:noProof/>
            <w:webHidden/>
            <w:sz w:val="22"/>
            <w:szCs w:val="22"/>
          </w:rPr>
          <w:instrText xml:space="preserve"> PAGEREF _Toc71330977 \h </w:instrText>
        </w:r>
        <w:r w:rsidR="00C6718B" w:rsidRPr="009444BA">
          <w:rPr>
            <w:noProof/>
            <w:webHidden/>
            <w:sz w:val="22"/>
            <w:szCs w:val="22"/>
          </w:rPr>
        </w:r>
        <w:r w:rsidR="00C6718B" w:rsidRPr="009444BA">
          <w:rPr>
            <w:noProof/>
            <w:webHidden/>
            <w:sz w:val="22"/>
            <w:szCs w:val="22"/>
          </w:rPr>
          <w:fldChar w:fldCharType="separate"/>
        </w:r>
        <w:r w:rsidR="005050F0">
          <w:rPr>
            <w:noProof/>
            <w:webHidden/>
            <w:sz w:val="22"/>
            <w:szCs w:val="22"/>
          </w:rPr>
          <w:t>53</w:t>
        </w:r>
        <w:r w:rsidR="00C6718B" w:rsidRPr="009444BA">
          <w:rPr>
            <w:noProof/>
            <w:webHidden/>
            <w:sz w:val="22"/>
            <w:szCs w:val="22"/>
          </w:rPr>
          <w:fldChar w:fldCharType="end"/>
        </w:r>
      </w:hyperlink>
    </w:p>
    <w:p w14:paraId="79EF943E" w14:textId="0D011312" w:rsidR="00C6718B" w:rsidRPr="009444BA" w:rsidRDefault="007F7885" w:rsidP="009444BA">
      <w:pPr>
        <w:pStyle w:val="TableofFigures"/>
        <w:tabs>
          <w:tab w:val="right" w:leader="dot" w:pos="8460"/>
        </w:tabs>
        <w:spacing w:line="360" w:lineRule="auto"/>
        <w:ind w:left="990" w:right="576" w:hanging="990"/>
        <w:rPr>
          <w:rFonts w:asciiTheme="minorHAnsi" w:eastAsiaTheme="minorEastAsia" w:hAnsiTheme="minorHAnsi" w:cstheme="minorBidi"/>
          <w:noProof/>
          <w:sz w:val="22"/>
          <w:szCs w:val="22"/>
          <w:lang w:bidi="ar-SA"/>
        </w:rPr>
      </w:pPr>
      <w:hyperlink w:anchor="_Toc71330978" w:history="1">
        <w:r w:rsidR="00C6718B" w:rsidRPr="009444BA">
          <w:rPr>
            <w:rStyle w:val="Hyperlink"/>
            <w:noProof/>
            <w:szCs w:val="22"/>
          </w:rPr>
          <w:t>Table 2.7 Surface Free Energy Components of S1 and S4 Binders from Owens-Wendt Method</w:t>
        </w:r>
        <w:r w:rsidR="00C6718B" w:rsidRPr="009444BA">
          <w:rPr>
            <w:noProof/>
            <w:webHidden/>
            <w:sz w:val="22"/>
            <w:szCs w:val="22"/>
          </w:rPr>
          <w:tab/>
        </w:r>
        <w:r w:rsidR="00C6718B" w:rsidRPr="009444BA">
          <w:rPr>
            <w:noProof/>
            <w:webHidden/>
            <w:sz w:val="22"/>
            <w:szCs w:val="22"/>
          </w:rPr>
          <w:fldChar w:fldCharType="begin"/>
        </w:r>
        <w:r w:rsidR="00C6718B" w:rsidRPr="009444BA">
          <w:rPr>
            <w:noProof/>
            <w:webHidden/>
            <w:sz w:val="22"/>
            <w:szCs w:val="22"/>
          </w:rPr>
          <w:instrText xml:space="preserve"> PAGEREF _Toc71330978 \h </w:instrText>
        </w:r>
        <w:r w:rsidR="00C6718B" w:rsidRPr="009444BA">
          <w:rPr>
            <w:noProof/>
            <w:webHidden/>
            <w:sz w:val="22"/>
            <w:szCs w:val="22"/>
          </w:rPr>
        </w:r>
        <w:r w:rsidR="00C6718B" w:rsidRPr="009444BA">
          <w:rPr>
            <w:noProof/>
            <w:webHidden/>
            <w:sz w:val="22"/>
            <w:szCs w:val="22"/>
          </w:rPr>
          <w:fldChar w:fldCharType="separate"/>
        </w:r>
        <w:r w:rsidR="005050F0">
          <w:rPr>
            <w:noProof/>
            <w:webHidden/>
            <w:sz w:val="22"/>
            <w:szCs w:val="22"/>
          </w:rPr>
          <w:t>54</w:t>
        </w:r>
        <w:r w:rsidR="00C6718B" w:rsidRPr="009444BA">
          <w:rPr>
            <w:noProof/>
            <w:webHidden/>
            <w:sz w:val="22"/>
            <w:szCs w:val="22"/>
          </w:rPr>
          <w:fldChar w:fldCharType="end"/>
        </w:r>
      </w:hyperlink>
    </w:p>
    <w:p w14:paraId="7717105F" w14:textId="692F2706" w:rsidR="00C6718B" w:rsidRPr="009444BA" w:rsidRDefault="007F7885" w:rsidP="009444BA">
      <w:pPr>
        <w:pStyle w:val="TableofFigures"/>
        <w:tabs>
          <w:tab w:val="right" w:leader="dot" w:pos="8460"/>
        </w:tabs>
        <w:spacing w:line="360" w:lineRule="auto"/>
        <w:ind w:left="990" w:right="576" w:hanging="990"/>
        <w:rPr>
          <w:rFonts w:asciiTheme="minorHAnsi" w:eastAsiaTheme="minorEastAsia" w:hAnsiTheme="minorHAnsi" w:cstheme="minorBidi"/>
          <w:noProof/>
          <w:sz w:val="22"/>
          <w:szCs w:val="22"/>
          <w:lang w:bidi="ar-SA"/>
        </w:rPr>
      </w:pPr>
      <w:hyperlink w:anchor="_Toc71330979" w:history="1">
        <w:r w:rsidR="00C6718B" w:rsidRPr="009444BA">
          <w:rPr>
            <w:rStyle w:val="Hyperlink"/>
            <w:noProof/>
            <w:szCs w:val="22"/>
          </w:rPr>
          <w:t>Table 2.8 Energy Parameters of Binder-Aggregate Systems from Owens-Wendt Method</w:t>
        </w:r>
        <w:r w:rsidR="00C6718B" w:rsidRPr="009444BA">
          <w:rPr>
            <w:noProof/>
            <w:webHidden/>
            <w:sz w:val="22"/>
            <w:szCs w:val="22"/>
          </w:rPr>
          <w:tab/>
        </w:r>
        <w:r w:rsidR="00C6718B" w:rsidRPr="009444BA">
          <w:rPr>
            <w:noProof/>
            <w:webHidden/>
            <w:sz w:val="22"/>
            <w:szCs w:val="22"/>
          </w:rPr>
          <w:fldChar w:fldCharType="begin"/>
        </w:r>
        <w:r w:rsidR="00C6718B" w:rsidRPr="009444BA">
          <w:rPr>
            <w:noProof/>
            <w:webHidden/>
            <w:sz w:val="22"/>
            <w:szCs w:val="22"/>
          </w:rPr>
          <w:instrText xml:space="preserve"> PAGEREF _Toc71330979 \h </w:instrText>
        </w:r>
        <w:r w:rsidR="00C6718B" w:rsidRPr="009444BA">
          <w:rPr>
            <w:noProof/>
            <w:webHidden/>
            <w:sz w:val="22"/>
            <w:szCs w:val="22"/>
          </w:rPr>
        </w:r>
        <w:r w:rsidR="00C6718B" w:rsidRPr="009444BA">
          <w:rPr>
            <w:noProof/>
            <w:webHidden/>
            <w:sz w:val="22"/>
            <w:szCs w:val="22"/>
          </w:rPr>
          <w:fldChar w:fldCharType="separate"/>
        </w:r>
        <w:r w:rsidR="005050F0">
          <w:rPr>
            <w:noProof/>
            <w:webHidden/>
            <w:sz w:val="22"/>
            <w:szCs w:val="22"/>
          </w:rPr>
          <w:t>55</w:t>
        </w:r>
        <w:r w:rsidR="00C6718B" w:rsidRPr="009444BA">
          <w:rPr>
            <w:noProof/>
            <w:webHidden/>
            <w:sz w:val="22"/>
            <w:szCs w:val="22"/>
          </w:rPr>
          <w:fldChar w:fldCharType="end"/>
        </w:r>
      </w:hyperlink>
    </w:p>
    <w:p w14:paraId="4ADC0479" w14:textId="7D143A2B" w:rsidR="00C6718B" w:rsidRPr="009444BA" w:rsidRDefault="007F7885" w:rsidP="009444BA">
      <w:pPr>
        <w:pStyle w:val="TableofFigures"/>
        <w:tabs>
          <w:tab w:val="right" w:leader="dot" w:pos="8460"/>
        </w:tabs>
        <w:spacing w:line="360" w:lineRule="auto"/>
        <w:ind w:left="990" w:right="576" w:hanging="990"/>
        <w:rPr>
          <w:rFonts w:asciiTheme="minorHAnsi" w:eastAsiaTheme="minorEastAsia" w:hAnsiTheme="minorHAnsi" w:cstheme="minorBidi"/>
          <w:noProof/>
          <w:sz w:val="22"/>
          <w:szCs w:val="22"/>
          <w:lang w:bidi="ar-SA"/>
        </w:rPr>
      </w:pPr>
      <w:hyperlink w:anchor="_Toc71330980" w:history="1">
        <w:r w:rsidR="00C6718B" w:rsidRPr="009444BA">
          <w:rPr>
            <w:rStyle w:val="Hyperlink"/>
            <w:noProof/>
            <w:szCs w:val="22"/>
          </w:rPr>
          <w:t>Table 2.9 Surface Free Energy Components of S1 and S4 Binders from Wu Method</w:t>
        </w:r>
        <w:r w:rsidR="00C6718B" w:rsidRPr="009444BA">
          <w:rPr>
            <w:noProof/>
            <w:webHidden/>
            <w:sz w:val="22"/>
            <w:szCs w:val="22"/>
          </w:rPr>
          <w:tab/>
        </w:r>
        <w:r w:rsidR="00C6718B" w:rsidRPr="009444BA">
          <w:rPr>
            <w:noProof/>
            <w:webHidden/>
            <w:sz w:val="22"/>
            <w:szCs w:val="22"/>
          </w:rPr>
          <w:fldChar w:fldCharType="begin"/>
        </w:r>
        <w:r w:rsidR="00C6718B" w:rsidRPr="009444BA">
          <w:rPr>
            <w:noProof/>
            <w:webHidden/>
            <w:sz w:val="22"/>
            <w:szCs w:val="22"/>
          </w:rPr>
          <w:instrText xml:space="preserve"> PAGEREF _Toc71330980 \h </w:instrText>
        </w:r>
        <w:r w:rsidR="00C6718B" w:rsidRPr="009444BA">
          <w:rPr>
            <w:noProof/>
            <w:webHidden/>
            <w:sz w:val="22"/>
            <w:szCs w:val="22"/>
          </w:rPr>
        </w:r>
        <w:r w:rsidR="00C6718B" w:rsidRPr="009444BA">
          <w:rPr>
            <w:noProof/>
            <w:webHidden/>
            <w:sz w:val="22"/>
            <w:szCs w:val="22"/>
          </w:rPr>
          <w:fldChar w:fldCharType="separate"/>
        </w:r>
        <w:r w:rsidR="005050F0">
          <w:rPr>
            <w:noProof/>
            <w:webHidden/>
            <w:sz w:val="22"/>
            <w:szCs w:val="22"/>
          </w:rPr>
          <w:t>56</w:t>
        </w:r>
        <w:r w:rsidR="00C6718B" w:rsidRPr="009444BA">
          <w:rPr>
            <w:noProof/>
            <w:webHidden/>
            <w:sz w:val="22"/>
            <w:szCs w:val="22"/>
          </w:rPr>
          <w:fldChar w:fldCharType="end"/>
        </w:r>
      </w:hyperlink>
    </w:p>
    <w:p w14:paraId="75A46873" w14:textId="3CF84FEF" w:rsidR="00C6718B" w:rsidRPr="009444BA" w:rsidRDefault="007F7885" w:rsidP="009444BA">
      <w:pPr>
        <w:pStyle w:val="TableofFigures"/>
        <w:tabs>
          <w:tab w:val="right" w:leader="dot" w:pos="8460"/>
        </w:tabs>
        <w:spacing w:line="360" w:lineRule="auto"/>
        <w:ind w:left="990" w:right="576" w:hanging="990"/>
        <w:rPr>
          <w:rFonts w:asciiTheme="minorHAnsi" w:eastAsiaTheme="minorEastAsia" w:hAnsiTheme="minorHAnsi" w:cstheme="minorBidi"/>
          <w:noProof/>
          <w:sz w:val="22"/>
          <w:szCs w:val="22"/>
          <w:lang w:bidi="ar-SA"/>
        </w:rPr>
      </w:pPr>
      <w:hyperlink w:anchor="_Toc71330981" w:history="1">
        <w:r w:rsidR="00C6718B" w:rsidRPr="009444BA">
          <w:rPr>
            <w:rStyle w:val="Hyperlink"/>
            <w:noProof/>
            <w:szCs w:val="22"/>
          </w:rPr>
          <w:t>Table 2.10 Energy Parameters of Binder-Aggregate Systems from Wu Method</w:t>
        </w:r>
        <w:r w:rsidR="00C6718B" w:rsidRPr="009444BA">
          <w:rPr>
            <w:noProof/>
            <w:webHidden/>
            <w:sz w:val="22"/>
            <w:szCs w:val="22"/>
          </w:rPr>
          <w:tab/>
        </w:r>
        <w:r w:rsidR="00C6718B" w:rsidRPr="009444BA">
          <w:rPr>
            <w:noProof/>
            <w:webHidden/>
            <w:sz w:val="22"/>
            <w:szCs w:val="22"/>
          </w:rPr>
          <w:fldChar w:fldCharType="begin"/>
        </w:r>
        <w:r w:rsidR="00C6718B" w:rsidRPr="009444BA">
          <w:rPr>
            <w:noProof/>
            <w:webHidden/>
            <w:sz w:val="22"/>
            <w:szCs w:val="22"/>
          </w:rPr>
          <w:instrText xml:space="preserve"> PAGEREF _Toc71330981 \h </w:instrText>
        </w:r>
        <w:r w:rsidR="00C6718B" w:rsidRPr="009444BA">
          <w:rPr>
            <w:noProof/>
            <w:webHidden/>
            <w:sz w:val="22"/>
            <w:szCs w:val="22"/>
          </w:rPr>
        </w:r>
        <w:r w:rsidR="00C6718B" w:rsidRPr="009444BA">
          <w:rPr>
            <w:noProof/>
            <w:webHidden/>
            <w:sz w:val="22"/>
            <w:szCs w:val="22"/>
          </w:rPr>
          <w:fldChar w:fldCharType="separate"/>
        </w:r>
        <w:r w:rsidR="005050F0">
          <w:rPr>
            <w:noProof/>
            <w:webHidden/>
            <w:sz w:val="22"/>
            <w:szCs w:val="22"/>
          </w:rPr>
          <w:t>57</w:t>
        </w:r>
        <w:r w:rsidR="00C6718B" w:rsidRPr="009444BA">
          <w:rPr>
            <w:noProof/>
            <w:webHidden/>
            <w:sz w:val="22"/>
            <w:szCs w:val="22"/>
          </w:rPr>
          <w:fldChar w:fldCharType="end"/>
        </w:r>
      </w:hyperlink>
    </w:p>
    <w:p w14:paraId="3F480375" w14:textId="58D7633A" w:rsidR="00C6718B" w:rsidRPr="009444BA" w:rsidRDefault="007F7885" w:rsidP="009444BA">
      <w:pPr>
        <w:pStyle w:val="TableofFigures"/>
        <w:tabs>
          <w:tab w:val="right" w:leader="dot" w:pos="8460"/>
        </w:tabs>
        <w:spacing w:line="360" w:lineRule="auto"/>
        <w:ind w:left="990" w:right="576" w:hanging="990"/>
        <w:rPr>
          <w:rFonts w:asciiTheme="minorHAnsi" w:eastAsiaTheme="minorEastAsia" w:hAnsiTheme="minorHAnsi" w:cstheme="minorBidi"/>
          <w:noProof/>
          <w:sz w:val="22"/>
          <w:szCs w:val="22"/>
          <w:lang w:bidi="ar-SA"/>
        </w:rPr>
      </w:pPr>
      <w:hyperlink w:anchor="_Toc71330982" w:history="1">
        <w:r w:rsidR="00C6718B" w:rsidRPr="009444BA">
          <w:rPr>
            <w:rStyle w:val="Hyperlink"/>
            <w:noProof/>
            <w:szCs w:val="22"/>
          </w:rPr>
          <w:t>Table 2.11 Surface Free Energy of Binders using Neumann Method</w:t>
        </w:r>
        <w:r w:rsidR="00C6718B" w:rsidRPr="009444BA">
          <w:rPr>
            <w:noProof/>
            <w:webHidden/>
            <w:sz w:val="22"/>
            <w:szCs w:val="22"/>
          </w:rPr>
          <w:tab/>
        </w:r>
        <w:r w:rsidR="00C6718B" w:rsidRPr="009444BA">
          <w:rPr>
            <w:noProof/>
            <w:webHidden/>
            <w:sz w:val="22"/>
            <w:szCs w:val="22"/>
          </w:rPr>
          <w:fldChar w:fldCharType="begin"/>
        </w:r>
        <w:r w:rsidR="00C6718B" w:rsidRPr="009444BA">
          <w:rPr>
            <w:noProof/>
            <w:webHidden/>
            <w:sz w:val="22"/>
            <w:szCs w:val="22"/>
          </w:rPr>
          <w:instrText xml:space="preserve"> PAGEREF _Toc71330982 \h </w:instrText>
        </w:r>
        <w:r w:rsidR="00C6718B" w:rsidRPr="009444BA">
          <w:rPr>
            <w:noProof/>
            <w:webHidden/>
            <w:sz w:val="22"/>
            <w:szCs w:val="22"/>
          </w:rPr>
        </w:r>
        <w:r w:rsidR="00C6718B" w:rsidRPr="009444BA">
          <w:rPr>
            <w:noProof/>
            <w:webHidden/>
            <w:sz w:val="22"/>
            <w:szCs w:val="22"/>
          </w:rPr>
          <w:fldChar w:fldCharType="separate"/>
        </w:r>
        <w:r w:rsidR="005050F0">
          <w:rPr>
            <w:noProof/>
            <w:webHidden/>
            <w:sz w:val="22"/>
            <w:szCs w:val="22"/>
          </w:rPr>
          <w:t>57</w:t>
        </w:r>
        <w:r w:rsidR="00C6718B" w:rsidRPr="009444BA">
          <w:rPr>
            <w:noProof/>
            <w:webHidden/>
            <w:sz w:val="22"/>
            <w:szCs w:val="22"/>
          </w:rPr>
          <w:fldChar w:fldCharType="end"/>
        </w:r>
      </w:hyperlink>
    </w:p>
    <w:p w14:paraId="48B966C3" w14:textId="4ABA8AE3" w:rsidR="00C6718B" w:rsidRPr="009444BA" w:rsidRDefault="007F7885" w:rsidP="009444BA">
      <w:pPr>
        <w:pStyle w:val="TableofFigures"/>
        <w:tabs>
          <w:tab w:val="right" w:leader="dot" w:pos="8460"/>
        </w:tabs>
        <w:spacing w:line="360" w:lineRule="auto"/>
        <w:ind w:left="990" w:right="576" w:hanging="990"/>
        <w:rPr>
          <w:rFonts w:asciiTheme="minorHAnsi" w:eastAsiaTheme="minorEastAsia" w:hAnsiTheme="minorHAnsi" w:cstheme="minorBidi"/>
          <w:noProof/>
          <w:sz w:val="22"/>
          <w:szCs w:val="22"/>
          <w:lang w:bidi="ar-SA"/>
        </w:rPr>
      </w:pPr>
      <w:hyperlink w:anchor="_Toc71330983" w:history="1">
        <w:r w:rsidR="00C6718B" w:rsidRPr="009444BA">
          <w:rPr>
            <w:rStyle w:val="Hyperlink"/>
            <w:noProof/>
            <w:szCs w:val="22"/>
          </w:rPr>
          <w:t>Table 2.12 Differences in Measured and Predicted Contact Angles from Neumann Method</w:t>
        </w:r>
        <w:r w:rsidR="00C6718B" w:rsidRPr="009444BA">
          <w:rPr>
            <w:noProof/>
            <w:webHidden/>
            <w:sz w:val="22"/>
            <w:szCs w:val="22"/>
          </w:rPr>
          <w:tab/>
        </w:r>
        <w:r w:rsidR="00C6718B" w:rsidRPr="009444BA">
          <w:rPr>
            <w:noProof/>
            <w:webHidden/>
            <w:sz w:val="22"/>
            <w:szCs w:val="22"/>
          </w:rPr>
          <w:fldChar w:fldCharType="begin"/>
        </w:r>
        <w:r w:rsidR="00C6718B" w:rsidRPr="009444BA">
          <w:rPr>
            <w:noProof/>
            <w:webHidden/>
            <w:sz w:val="22"/>
            <w:szCs w:val="22"/>
          </w:rPr>
          <w:instrText xml:space="preserve"> PAGEREF _Toc71330983 \h </w:instrText>
        </w:r>
        <w:r w:rsidR="00C6718B" w:rsidRPr="009444BA">
          <w:rPr>
            <w:noProof/>
            <w:webHidden/>
            <w:sz w:val="22"/>
            <w:szCs w:val="22"/>
          </w:rPr>
        </w:r>
        <w:r w:rsidR="00C6718B" w:rsidRPr="009444BA">
          <w:rPr>
            <w:noProof/>
            <w:webHidden/>
            <w:sz w:val="22"/>
            <w:szCs w:val="22"/>
          </w:rPr>
          <w:fldChar w:fldCharType="separate"/>
        </w:r>
        <w:r w:rsidR="005050F0">
          <w:rPr>
            <w:noProof/>
            <w:webHidden/>
            <w:sz w:val="22"/>
            <w:szCs w:val="22"/>
          </w:rPr>
          <w:t>57</w:t>
        </w:r>
        <w:r w:rsidR="00C6718B" w:rsidRPr="009444BA">
          <w:rPr>
            <w:noProof/>
            <w:webHidden/>
            <w:sz w:val="22"/>
            <w:szCs w:val="22"/>
          </w:rPr>
          <w:fldChar w:fldCharType="end"/>
        </w:r>
      </w:hyperlink>
    </w:p>
    <w:p w14:paraId="0BA816B8" w14:textId="4CDB45F2" w:rsidR="00C6718B" w:rsidRPr="009444BA" w:rsidRDefault="007F7885" w:rsidP="009444BA">
      <w:pPr>
        <w:pStyle w:val="TableofFigures"/>
        <w:tabs>
          <w:tab w:val="right" w:leader="dot" w:pos="8460"/>
        </w:tabs>
        <w:spacing w:line="360" w:lineRule="auto"/>
        <w:ind w:left="990" w:right="576" w:hanging="990"/>
        <w:rPr>
          <w:rFonts w:asciiTheme="minorHAnsi" w:eastAsiaTheme="minorEastAsia" w:hAnsiTheme="minorHAnsi" w:cstheme="minorBidi"/>
          <w:noProof/>
          <w:sz w:val="22"/>
          <w:szCs w:val="22"/>
          <w:lang w:bidi="ar-SA"/>
        </w:rPr>
      </w:pPr>
      <w:hyperlink w:anchor="_Toc71330984" w:history="1">
        <w:r w:rsidR="00C6718B" w:rsidRPr="009444BA">
          <w:rPr>
            <w:rStyle w:val="Hyperlink"/>
            <w:noProof/>
            <w:szCs w:val="22"/>
          </w:rPr>
          <w:t>Table 2.13 Energy Ratios of Binder-Aggregate Systems from Neumann Method</w:t>
        </w:r>
        <w:r w:rsidR="00C6718B" w:rsidRPr="009444BA">
          <w:rPr>
            <w:noProof/>
            <w:webHidden/>
            <w:sz w:val="22"/>
            <w:szCs w:val="22"/>
          </w:rPr>
          <w:tab/>
        </w:r>
        <w:r w:rsidR="00C6718B" w:rsidRPr="009444BA">
          <w:rPr>
            <w:noProof/>
            <w:webHidden/>
            <w:sz w:val="22"/>
            <w:szCs w:val="22"/>
          </w:rPr>
          <w:fldChar w:fldCharType="begin"/>
        </w:r>
        <w:r w:rsidR="00C6718B" w:rsidRPr="009444BA">
          <w:rPr>
            <w:noProof/>
            <w:webHidden/>
            <w:sz w:val="22"/>
            <w:szCs w:val="22"/>
          </w:rPr>
          <w:instrText xml:space="preserve"> PAGEREF _Toc71330984 \h </w:instrText>
        </w:r>
        <w:r w:rsidR="00C6718B" w:rsidRPr="009444BA">
          <w:rPr>
            <w:noProof/>
            <w:webHidden/>
            <w:sz w:val="22"/>
            <w:szCs w:val="22"/>
          </w:rPr>
        </w:r>
        <w:r w:rsidR="00C6718B" w:rsidRPr="009444BA">
          <w:rPr>
            <w:noProof/>
            <w:webHidden/>
            <w:sz w:val="22"/>
            <w:szCs w:val="22"/>
          </w:rPr>
          <w:fldChar w:fldCharType="separate"/>
        </w:r>
        <w:r w:rsidR="005050F0">
          <w:rPr>
            <w:noProof/>
            <w:webHidden/>
            <w:sz w:val="22"/>
            <w:szCs w:val="22"/>
          </w:rPr>
          <w:t>58</w:t>
        </w:r>
        <w:r w:rsidR="00C6718B" w:rsidRPr="009444BA">
          <w:rPr>
            <w:noProof/>
            <w:webHidden/>
            <w:sz w:val="22"/>
            <w:szCs w:val="22"/>
          </w:rPr>
          <w:fldChar w:fldCharType="end"/>
        </w:r>
      </w:hyperlink>
    </w:p>
    <w:p w14:paraId="4A7C3615" w14:textId="799208FE" w:rsidR="00C6718B" w:rsidRPr="009444BA" w:rsidRDefault="007F7885" w:rsidP="009444BA">
      <w:pPr>
        <w:pStyle w:val="TableofFigures"/>
        <w:tabs>
          <w:tab w:val="right" w:leader="dot" w:pos="8460"/>
        </w:tabs>
        <w:spacing w:line="360" w:lineRule="auto"/>
        <w:ind w:left="990" w:right="576" w:hanging="990"/>
        <w:rPr>
          <w:rFonts w:asciiTheme="minorHAnsi" w:eastAsiaTheme="minorEastAsia" w:hAnsiTheme="minorHAnsi" w:cstheme="minorBidi"/>
          <w:noProof/>
          <w:sz w:val="22"/>
          <w:szCs w:val="22"/>
          <w:lang w:bidi="ar-SA"/>
        </w:rPr>
      </w:pPr>
      <w:hyperlink w:anchor="_Toc71330985" w:history="1">
        <w:r w:rsidR="00C6718B" w:rsidRPr="009444BA">
          <w:rPr>
            <w:rStyle w:val="Hyperlink"/>
            <w:noProof/>
            <w:szCs w:val="22"/>
          </w:rPr>
          <w:t>Table 2.14 %Difference in Γ</w:t>
        </w:r>
        <w:r w:rsidR="00C6718B" w:rsidRPr="009444BA">
          <w:rPr>
            <w:rStyle w:val="Hyperlink"/>
            <w:noProof/>
            <w:szCs w:val="22"/>
            <w:vertAlign w:val="subscript"/>
          </w:rPr>
          <w:t>A</w:t>
        </w:r>
        <w:r w:rsidR="00C6718B" w:rsidRPr="009444BA">
          <w:rPr>
            <w:rStyle w:val="Hyperlink"/>
            <w:noProof/>
            <w:szCs w:val="22"/>
          </w:rPr>
          <w:t xml:space="preserve"> SFE component with Respect to Neumann’s Method</w:t>
        </w:r>
        <w:r w:rsidR="00C6718B" w:rsidRPr="009444BA">
          <w:rPr>
            <w:noProof/>
            <w:webHidden/>
            <w:sz w:val="22"/>
            <w:szCs w:val="22"/>
          </w:rPr>
          <w:tab/>
        </w:r>
        <w:r w:rsidR="00C6718B" w:rsidRPr="009444BA">
          <w:rPr>
            <w:noProof/>
            <w:webHidden/>
            <w:sz w:val="22"/>
            <w:szCs w:val="22"/>
          </w:rPr>
          <w:fldChar w:fldCharType="begin"/>
        </w:r>
        <w:r w:rsidR="00C6718B" w:rsidRPr="009444BA">
          <w:rPr>
            <w:noProof/>
            <w:webHidden/>
            <w:sz w:val="22"/>
            <w:szCs w:val="22"/>
          </w:rPr>
          <w:instrText xml:space="preserve"> PAGEREF _Toc71330985 \h </w:instrText>
        </w:r>
        <w:r w:rsidR="00C6718B" w:rsidRPr="009444BA">
          <w:rPr>
            <w:noProof/>
            <w:webHidden/>
            <w:sz w:val="22"/>
            <w:szCs w:val="22"/>
          </w:rPr>
        </w:r>
        <w:r w:rsidR="00C6718B" w:rsidRPr="009444BA">
          <w:rPr>
            <w:noProof/>
            <w:webHidden/>
            <w:sz w:val="22"/>
            <w:szCs w:val="22"/>
          </w:rPr>
          <w:fldChar w:fldCharType="separate"/>
        </w:r>
        <w:r w:rsidR="005050F0">
          <w:rPr>
            <w:noProof/>
            <w:webHidden/>
            <w:sz w:val="22"/>
            <w:szCs w:val="22"/>
          </w:rPr>
          <w:t>58</w:t>
        </w:r>
        <w:r w:rsidR="00C6718B" w:rsidRPr="009444BA">
          <w:rPr>
            <w:noProof/>
            <w:webHidden/>
            <w:sz w:val="22"/>
            <w:szCs w:val="22"/>
          </w:rPr>
          <w:fldChar w:fldCharType="end"/>
        </w:r>
      </w:hyperlink>
    </w:p>
    <w:p w14:paraId="1A33A809" w14:textId="4A578C31" w:rsidR="00C6718B" w:rsidRPr="009444BA" w:rsidRDefault="007F7885" w:rsidP="009444BA">
      <w:pPr>
        <w:pStyle w:val="TableofFigures"/>
        <w:tabs>
          <w:tab w:val="right" w:leader="dot" w:pos="8460"/>
        </w:tabs>
        <w:spacing w:line="360" w:lineRule="auto"/>
        <w:ind w:left="990" w:right="576" w:hanging="990"/>
        <w:rPr>
          <w:rFonts w:asciiTheme="minorHAnsi" w:eastAsiaTheme="minorEastAsia" w:hAnsiTheme="minorHAnsi" w:cstheme="minorBidi"/>
          <w:noProof/>
          <w:sz w:val="22"/>
          <w:szCs w:val="22"/>
          <w:lang w:bidi="ar-SA"/>
        </w:rPr>
      </w:pPr>
      <w:hyperlink w:anchor="_Toc71330986" w:history="1">
        <w:r w:rsidR="00C6718B" w:rsidRPr="009444BA">
          <w:rPr>
            <w:rStyle w:val="Hyperlink"/>
            <w:noProof/>
            <w:szCs w:val="22"/>
          </w:rPr>
          <w:t>Table 2.15 Susceptibility to Moisture-Induced Damage by Different SFE Method (Least = 1, Most = 4)</w:t>
        </w:r>
        <w:r w:rsidR="00C6718B" w:rsidRPr="009444BA">
          <w:rPr>
            <w:noProof/>
            <w:webHidden/>
            <w:sz w:val="22"/>
            <w:szCs w:val="22"/>
          </w:rPr>
          <w:tab/>
        </w:r>
        <w:r w:rsidR="00C6718B" w:rsidRPr="009444BA">
          <w:rPr>
            <w:noProof/>
            <w:webHidden/>
            <w:sz w:val="22"/>
            <w:szCs w:val="22"/>
          </w:rPr>
          <w:fldChar w:fldCharType="begin"/>
        </w:r>
        <w:r w:rsidR="00C6718B" w:rsidRPr="009444BA">
          <w:rPr>
            <w:noProof/>
            <w:webHidden/>
            <w:sz w:val="22"/>
            <w:szCs w:val="22"/>
          </w:rPr>
          <w:instrText xml:space="preserve"> PAGEREF _Toc71330986 \h </w:instrText>
        </w:r>
        <w:r w:rsidR="00C6718B" w:rsidRPr="009444BA">
          <w:rPr>
            <w:noProof/>
            <w:webHidden/>
            <w:sz w:val="22"/>
            <w:szCs w:val="22"/>
          </w:rPr>
        </w:r>
        <w:r w:rsidR="00C6718B" w:rsidRPr="009444BA">
          <w:rPr>
            <w:noProof/>
            <w:webHidden/>
            <w:sz w:val="22"/>
            <w:szCs w:val="22"/>
          </w:rPr>
          <w:fldChar w:fldCharType="separate"/>
        </w:r>
        <w:r w:rsidR="005050F0">
          <w:rPr>
            <w:noProof/>
            <w:webHidden/>
            <w:sz w:val="22"/>
            <w:szCs w:val="22"/>
          </w:rPr>
          <w:t>58</w:t>
        </w:r>
        <w:r w:rsidR="00C6718B" w:rsidRPr="009444BA">
          <w:rPr>
            <w:noProof/>
            <w:webHidden/>
            <w:sz w:val="22"/>
            <w:szCs w:val="22"/>
          </w:rPr>
          <w:fldChar w:fldCharType="end"/>
        </w:r>
      </w:hyperlink>
    </w:p>
    <w:p w14:paraId="4AC22408" w14:textId="651C66C9" w:rsidR="00C6718B" w:rsidRPr="009444BA" w:rsidRDefault="007F7885" w:rsidP="009444BA">
      <w:pPr>
        <w:pStyle w:val="TableofFigures"/>
        <w:tabs>
          <w:tab w:val="right" w:leader="dot" w:pos="8460"/>
        </w:tabs>
        <w:spacing w:line="360" w:lineRule="auto"/>
        <w:ind w:left="990" w:right="576" w:hanging="990"/>
        <w:rPr>
          <w:rFonts w:asciiTheme="minorHAnsi" w:eastAsiaTheme="minorEastAsia" w:hAnsiTheme="minorHAnsi" w:cstheme="minorBidi"/>
          <w:noProof/>
          <w:sz w:val="22"/>
          <w:szCs w:val="22"/>
          <w:lang w:bidi="ar-SA"/>
        </w:rPr>
      </w:pPr>
      <w:hyperlink w:anchor="_Toc71330987" w:history="1">
        <w:r w:rsidR="00C6718B" w:rsidRPr="009444BA">
          <w:rPr>
            <w:rStyle w:val="Hyperlink"/>
            <w:noProof/>
            <w:szCs w:val="22"/>
          </w:rPr>
          <w:t>Table 3.1 Elemental compositions of PG 64-22 and PG 76-28 binder blends from XRF tests</w:t>
        </w:r>
        <w:r w:rsidR="00C6718B" w:rsidRPr="009444BA">
          <w:rPr>
            <w:noProof/>
            <w:webHidden/>
            <w:sz w:val="22"/>
            <w:szCs w:val="22"/>
          </w:rPr>
          <w:tab/>
        </w:r>
        <w:r w:rsidR="00C6718B" w:rsidRPr="009444BA">
          <w:rPr>
            <w:noProof/>
            <w:webHidden/>
            <w:sz w:val="22"/>
            <w:szCs w:val="22"/>
          </w:rPr>
          <w:fldChar w:fldCharType="begin"/>
        </w:r>
        <w:r w:rsidR="00C6718B" w:rsidRPr="009444BA">
          <w:rPr>
            <w:noProof/>
            <w:webHidden/>
            <w:sz w:val="22"/>
            <w:szCs w:val="22"/>
          </w:rPr>
          <w:instrText xml:space="preserve"> PAGEREF _Toc71330987 \h </w:instrText>
        </w:r>
        <w:r w:rsidR="00C6718B" w:rsidRPr="009444BA">
          <w:rPr>
            <w:noProof/>
            <w:webHidden/>
            <w:sz w:val="22"/>
            <w:szCs w:val="22"/>
          </w:rPr>
        </w:r>
        <w:r w:rsidR="00C6718B" w:rsidRPr="009444BA">
          <w:rPr>
            <w:noProof/>
            <w:webHidden/>
            <w:sz w:val="22"/>
            <w:szCs w:val="22"/>
          </w:rPr>
          <w:fldChar w:fldCharType="separate"/>
        </w:r>
        <w:r w:rsidR="005050F0">
          <w:rPr>
            <w:noProof/>
            <w:webHidden/>
            <w:sz w:val="22"/>
            <w:szCs w:val="22"/>
          </w:rPr>
          <w:t>99</w:t>
        </w:r>
        <w:r w:rsidR="00C6718B" w:rsidRPr="009444BA">
          <w:rPr>
            <w:noProof/>
            <w:webHidden/>
            <w:sz w:val="22"/>
            <w:szCs w:val="22"/>
          </w:rPr>
          <w:fldChar w:fldCharType="end"/>
        </w:r>
      </w:hyperlink>
    </w:p>
    <w:p w14:paraId="14ED1AAE" w14:textId="4FA6F26C" w:rsidR="00C6718B" w:rsidRPr="009444BA" w:rsidRDefault="007F7885" w:rsidP="009444BA">
      <w:pPr>
        <w:pStyle w:val="TableofFigures"/>
        <w:tabs>
          <w:tab w:val="right" w:leader="dot" w:pos="8460"/>
        </w:tabs>
        <w:spacing w:line="360" w:lineRule="auto"/>
        <w:ind w:left="990" w:right="576" w:hanging="990"/>
        <w:rPr>
          <w:rFonts w:asciiTheme="minorHAnsi" w:eastAsiaTheme="minorEastAsia" w:hAnsiTheme="minorHAnsi" w:cstheme="minorBidi"/>
          <w:noProof/>
          <w:sz w:val="22"/>
          <w:szCs w:val="22"/>
          <w:lang w:bidi="ar-SA"/>
        </w:rPr>
      </w:pPr>
      <w:hyperlink w:anchor="_Toc71330988" w:history="1">
        <w:r w:rsidR="00C6718B" w:rsidRPr="009444BA">
          <w:rPr>
            <w:rStyle w:val="Hyperlink"/>
            <w:noProof/>
            <w:szCs w:val="22"/>
          </w:rPr>
          <w:t>Table 3.2 Contact angles of PG 64-22 and PG 76-28 binder blends with probe liquids</w:t>
        </w:r>
        <w:r w:rsidR="00C6718B" w:rsidRPr="009444BA">
          <w:rPr>
            <w:noProof/>
            <w:webHidden/>
            <w:sz w:val="22"/>
            <w:szCs w:val="22"/>
          </w:rPr>
          <w:tab/>
        </w:r>
        <w:r w:rsidR="00C6718B" w:rsidRPr="009444BA">
          <w:rPr>
            <w:noProof/>
            <w:webHidden/>
            <w:sz w:val="22"/>
            <w:szCs w:val="22"/>
          </w:rPr>
          <w:fldChar w:fldCharType="begin"/>
        </w:r>
        <w:r w:rsidR="00C6718B" w:rsidRPr="009444BA">
          <w:rPr>
            <w:noProof/>
            <w:webHidden/>
            <w:sz w:val="22"/>
            <w:szCs w:val="22"/>
          </w:rPr>
          <w:instrText xml:space="preserve"> PAGEREF _Toc71330988 \h </w:instrText>
        </w:r>
        <w:r w:rsidR="00C6718B" w:rsidRPr="009444BA">
          <w:rPr>
            <w:noProof/>
            <w:webHidden/>
            <w:sz w:val="22"/>
            <w:szCs w:val="22"/>
          </w:rPr>
        </w:r>
        <w:r w:rsidR="00C6718B" w:rsidRPr="009444BA">
          <w:rPr>
            <w:noProof/>
            <w:webHidden/>
            <w:sz w:val="22"/>
            <w:szCs w:val="22"/>
          </w:rPr>
          <w:fldChar w:fldCharType="separate"/>
        </w:r>
        <w:r w:rsidR="005050F0">
          <w:rPr>
            <w:noProof/>
            <w:webHidden/>
            <w:sz w:val="22"/>
            <w:szCs w:val="22"/>
          </w:rPr>
          <w:t>99</w:t>
        </w:r>
        <w:r w:rsidR="00C6718B" w:rsidRPr="009444BA">
          <w:rPr>
            <w:noProof/>
            <w:webHidden/>
            <w:sz w:val="22"/>
            <w:szCs w:val="22"/>
          </w:rPr>
          <w:fldChar w:fldCharType="end"/>
        </w:r>
      </w:hyperlink>
    </w:p>
    <w:p w14:paraId="67253B88" w14:textId="1AE9C603" w:rsidR="00C6718B" w:rsidRPr="009444BA" w:rsidRDefault="007F7885" w:rsidP="009444BA">
      <w:pPr>
        <w:pStyle w:val="TableofFigures"/>
        <w:tabs>
          <w:tab w:val="right" w:leader="dot" w:pos="8460"/>
        </w:tabs>
        <w:spacing w:line="360" w:lineRule="auto"/>
        <w:ind w:left="990" w:right="576" w:hanging="990"/>
        <w:rPr>
          <w:rFonts w:asciiTheme="minorHAnsi" w:eastAsiaTheme="minorEastAsia" w:hAnsiTheme="minorHAnsi" w:cstheme="minorBidi"/>
          <w:noProof/>
          <w:sz w:val="22"/>
          <w:szCs w:val="22"/>
          <w:lang w:bidi="ar-SA"/>
        </w:rPr>
      </w:pPr>
      <w:hyperlink w:anchor="_Toc71330989" w:history="1">
        <w:r w:rsidR="00C6718B" w:rsidRPr="009444BA">
          <w:rPr>
            <w:rStyle w:val="Hyperlink"/>
            <w:noProof/>
            <w:szCs w:val="22"/>
          </w:rPr>
          <w:t>Table 3.3 SFE components of PG 64-22 and PG 76-28 binder blends at different aging conditions</w:t>
        </w:r>
        <w:r w:rsidR="00C6718B" w:rsidRPr="009444BA">
          <w:rPr>
            <w:noProof/>
            <w:webHidden/>
            <w:sz w:val="22"/>
            <w:szCs w:val="22"/>
          </w:rPr>
          <w:tab/>
        </w:r>
        <w:r w:rsidR="00C6718B" w:rsidRPr="009444BA">
          <w:rPr>
            <w:noProof/>
            <w:webHidden/>
            <w:sz w:val="22"/>
            <w:szCs w:val="22"/>
          </w:rPr>
          <w:fldChar w:fldCharType="begin"/>
        </w:r>
        <w:r w:rsidR="00C6718B" w:rsidRPr="009444BA">
          <w:rPr>
            <w:noProof/>
            <w:webHidden/>
            <w:sz w:val="22"/>
            <w:szCs w:val="22"/>
          </w:rPr>
          <w:instrText xml:space="preserve"> PAGEREF _Toc71330989 \h </w:instrText>
        </w:r>
        <w:r w:rsidR="00C6718B" w:rsidRPr="009444BA">
          <w:rPr>
            <w:noProof/>
            <w:webHidden/>
            <w:sz w:val="22"/>
            <w:szCs w:val="22"/>
          </w:rPr>
        </w:r>
        <w:r w:rsidR="00C6718B" w:rsidRPr="009444BA">
          <w:rPr>
            <w:noProof/>
            <w:webHidden/>
            <w:sz w:val="22"/>
            <w:szCs w:val="22"/>
          </w:rPr>
          <w:fldChar w:fldCharType="separate"/>
        </w:r>
        <w:r w:rsidR="005050F0">
          <w:rPr>
            <w:noProof/>
            <w:webHidden/>
            <w:sz w:val="22"/>
            <w:szCs w:val="22"/>
          </w:rPr>
          <w:t>100</w:t>
        </w:r>
        <w:r w:rsidR="00C6718B" w:rsidRPr="009444BA">
          <w:rPr>
            <w:noProof/>
            <w:webHidden/>
            <w:sz w:val="22"/>
            <w:szCs w:val="22"/>
          </w:rPr>
          <w:fldChar w:fldCharType="end"/>
        </w:r>
      </w:hyperlink>
    </w:p>
    <w:p w14:paraId="1A69C4B3" w14:textId="550E52EF" w:rsidR="00C6718B" w:rsidRPr="009444BA" w:rsidRDefault="007F7885" w:rsidP="009444BA">
      <w:pPr>
        <w:pStyle w:val="TableofFigures"/>
        <w:tabs>
          <w:tab w:val="right" w:leader="dot" w:pos="8460"/>
        </w:tabs>
        <w:spacing w:line="360" w:lineRule="auto"/>
        <w:ind w:left="990" w:right="576" w:hanging="990"/>
        <w:rPr>
          <w:rFonts w:asciiTheme="minorHAnsi" w:eastAsiaTheme="minorEastAsia" w:hAnsiTheme="minorHAnsi" w:cstheme="minorBidi"/>
          <w:noProof/>
          <w:sz w:val="22"/>
          <w:szCs w:val="22"/>
          <w:lang w:bidi="ar-SA"/>
        </w:rPr>
      </w:pPr>
      <w:hyperlink w:anchor="_Toc71330990" w:history="1">
        <w:r w:rsidR="00C6718B" w:rsidRPr="009444BA">
          <w:rPr>
            <w:rStyle w:val="Hyperlink"/>
            <w:noProof/>
            <w:szCs w:val="22"/>
          </w:rPr>
          <w:t>Table 3.4</w:t>
        </w:r>
        <w:r w:rsidR="00C6718B" w:rsidRPr="009444BA">
          <w:rPr>
            <w:rStyle w:val="Hyperlink"/>
            <w:noProof/>
            <w:szCs w:val="22"/>
            <w:lang w:val="en-CA"/>
          </w:rPr>
          <w:t xml:space="preserve"> Mineralogical composition of aggregates from XRF test</w:t>
        </w:r>
        <w:r w:rsidR="00C6718B" w:rsidRPr="009444BA">
          <w:rPr>
            <w:noProof/>
            <w:webHidden/>
            <w:sz w:val="22"/>
            <w:szCs w:val="22"/>
          </w:rPr>
          <w:tab/>
        </w:r>
        <w:r w:rsidR="00C6718B" w:rsidRPr="009444BA">
          <w:rPr>
            <w:noProof/>
            <w:webHidden/>
            <w:sz w:val="22"/>
            <w:szCs w:val="22"/>
          </w:rPr>
          <w:fldChar w:fldCharType="begin"/>
        </w:r>
        <w:r w:rsidR="00C6718B" w:rsidRPr="009444BA">
          <w:rPr>
            <w:noProof/>
            <w:webHidden/>
            <w:sz w:val="22"/>
            <w:szCs w:val="22"/>
          </w:rPr>
          <w:instrText xml:space="preserve"> PAGEREF _Toc71330990 \h </w:instrText>
        </w:r>
        <w:r w:rsidR="00C6718B" w:rsidRPr="009444BA">
          <w:rPr>
            <w:noProof/>
            <w:webHidden/>
            <w:sz w:val="22"/>
            <w:szCs w:val="22"/>
          </w:rPr>
        </w:r>
        <w:r w:rsidR="00C6718B" w:rsidRPr="009444BA">
          <w:rPr>
            <w:noProof/>
            <w:webHidden/>
            <w:sz w:val="22"/>
            <w:szCs w:val="22"/>
          </w:rPr>
          <w:fldChar w:fldCharType="separate"/>
        </w:r>
        <w:r w:rsidR="005050F0">
          <w:rPr>
            <w:noProof/>
            <w:webHidden/>
            <w:sz w:val="22"/>
            <w:szCs w:val="22"/>
          </w:rPr>
          <w:t>101</w:t>
        </w:r>
        <w:r w:rsidR="00C6718B" w:rsidRPr="009444BA">
          <w:rPr>
            <w:noProof/>
            <w:webHidden/>
            <w:sz w:val="22"/>
            <w:szCs w:val="22"/>
          </w:rPr>
          <w:fldChar w:fldCharType="end"/>
        </w:r>
      </w:hyperlink>
    </w:p>
    <w:p w14:paraId="66ABB6E8" w14:textId="3EA1A661" w:rsidR="00C6718B" w:rsidRPr="009444BA" w:rsidRDefault="007F7885" w:rsidP="009444BA">
      <w:pPr>
        <w:pStyle w:val="TableofFigures"/>
        <w:tabs>
          <w:tab w:val="right" w:leader="dot" w:pos="8460"/>
        </w:tabs>
        <w:spacing w:line="360" w:lineRule="auto"/>
        <w:ind w:left="990" w:right="576" w:hanging="990"/>
        <w:rPr>
          <w:rFonts w:asciiTheme="minorHAnsi" w:eastAsiaTheme="minorEastAsia" w:hAnsiTheme="minorHAnsi" w:cstheme="minorBidi"/>
          <w:noProof/>
          <w:sz w:val="22"/>
          <w:szCs w:val="22"/>
          <w:lang w:bidi="ar-SA"/>
        </w:rPr>
      </w:pPr>
      <w:hyperlink w:anchor="_Toc71330991" w:history="1">
        <w:r w:rsidR="00C6718B" w:rsidRPr="009444BA">
          <w:rPr>
            <w:rStyle w:val="Hyperlink"/>
            <w:noProof/>
            <w:szCs w:val="22"/>
          </w:rPr>
          <w:t>Table 3.5</w:t>
        </w:r>
        <w:r w:rsidR="00C6718B" w:rsidRPr="009444BA">
          <w:rPr>
            <w:rStyle w:val="Hyperlink"/>
            <w:noProof/>
            <w:szCs w:val="22"/>
            <w:lang w:val="en-CA"/>
          </w:rPr>
          <w:t xml:space="preserve"> Surface free energy components of different aggregates from USD test</w:t>
        </w:r>
        <w:r w:rsidR="00C6718B" w:rsidRPr="009444BA">
          <w:rPr>
            <w:noProof/>
            <w:webHidden/>
            <w:sz w:val="22"/>
            <w:szCs w:val="22"/>
          </w:rPr>
          <w:tab/>
        </w:r>
        <w:r w:rsidR="00C6718B" w:rsidRPr="009444BA">
          <w:rPr>
            <w:noProof/>
            <w:webHidden/>
            <w:sz w:val="22"/>
            <w:szCs w:val="22"/>
          </w:rPr>
          <w:fldChar w:fldCharType="begin"/>
        </w:r>
        <w:r w:rsidR="00C6718B" w:rsidRPr="009444BA">
          <w:rPr>
            <w:noProof/>
            <w:webHidden/>
            <w:sz w:val="22"/>
            <w:szCs w:val="22"/>
          </w:rPr>
          <w:instrText xml:space="preserve"> PAGEREF _Toc71330991 \h </w:instrText>
        </w:r>
        <w:r w:rsidR="00C6718B" w:rsidRPr="009444BA">
          <w:rPr>
            <w:noProof/>
            <w:webHidden/>
            <w:sz w:val="22"/>
            <w:szCs w:val="22"/>
          </w:rPr>
        </w:r>
        <w:r w:rsidR="00C6718B" w:rsidRPr="009444BA">
          <w:rPr>
            <w:noProof/>
            <w:webHidden/>
            <w:sz w:val="22"/>
            <w:szCs w:val="22"/>
          </w:rPr>
          <w:fldChar w:fldCharType="separate"/>
        </w:r>
        <w:r w:rsidR="005050F0">
          <w:rPr>
            <w:noProof/>
            <w:webHidden/>
            <w:sz w:val="22"/>
            <w:szCs w:val="22"/>
          </w:rPr>
          <w:t>101</w:t>
        </w:r>
        <w:r w:rsidR="00C6718B" w:rsidRPr="009444BA">
          <w:rPr>
            <w:noProof/>
            <w:webHidden/>
            <w:sz w:val="22"/>
            <w:szCs w:val="22"/>
          </w:rPr>
          <w:fldChar w:fldCharType="end"/>
        </w:r>
      </w:hyperlink>
    </w:p>
    <w:p w14:paraId="6494BEBE" w14:textId="6020411D" w:rsidR="00C6718B" w:rsidRPr="009444BA" w:rsidRDefault="007F7885" w:rsidP="009444BA">
      <w:pPr>
        <w:pStyle w:val="TableofFigures"/>
        <w:tabs>
          <w:tab w:val="right" w:leader="dot" w:pos="8460"/>
        </w:tabs>
        <w:spacing w:line="360" w:lineRule="auto"/>
        <w:ind w:left="990" w:right="576" w:hanging="990"/>
        <w:rPr>
          <w:rFonts w:asciiTheme="minorHAnsi" w:eastAsiaTheme="minorEastAsia" w:hAnsiTheme="minorHAnsi" w:cstheme="minorBidi"/>
          <w:noProof/>
          <w:sz w:val="22"/>
          <w:szCs w:val="22"/>
          <w:lang w:bidi="ar-SA"/>
        </w:rPr>
      </w:pPr>
      <w:hyperlink w:anchor="_Toc71330992" w:history="1">
        <w:r w:rsidR="00C6718B" w:rsidRPr="009444BA">
          <w:rPr>
            <w:rStyle w:val="Hyperlink"/>
            <w:noProof/>
            <w:szCs w:val="22"/>
          </w:rPr>
          <w:t>Table 3.6</w:t>
        </w:r>
        <w:r w:rsidR="00C6718B" w:rsidRPr="009444BA">
          <w:rPr>
            <w:rStyle w:val="Hyperlink"/>
            <w:noProof/>
            <w:szCs w:val="22"/>
            <w:lang w:val="en-CA"/>
          </w:rPr>
          <w:t xml:space="preserve"> The </w:t>
        </w:r>
        <w:r w:rsidR="00C6718B" w:rsidRPr="009444BA">
          <w:rPr>
            <w:rStyle w:val="Hyperlink"/>
            <w:i/>
            <w:iCs/>
            <w:noProof/>
            <w:szCs w:val="22"/>
            <w:lang w:val="en-CA"/>
          </w:rPr>
          <w:t>W</w:t>
        </w:r>
        <w:r w:rsidR="00C6718B" w:rsidRPr="009444BA">
          <w:rPr>
            <w:rStyle w:val="Hyperlink"/>
            <w:i/>
            <w:iCs/>
            <w:noProof/>
            <w:szCs w:val="22"/>
            <w:vertAlign w:val="subscript"/>
            <w:lang w:val="en-CA"/>
          </w:rPr>
          <w:t>AR</w:t>
        </w:r>
        <w:r w:rsidR="00C6718B" w:rsidRPr="009444BA">
          <w:rPr>
            <w:rStyle w:val="Hyperlink"/>
            <w:noProof/>
            <w:szCs w:val="22"/>
            <w:lang w:val="en-CA"/>
          </w:rPr>
          <w:t xml:space="preserve"> and </w:t>
        </w:r>
        <w:r w:rsidR="00C6718B" w:rsidRPr="009444BA">
          <w:rPr>
            <w:rStyle w:val="Hyperlink"/>
            <w:i/>
            <w:iCs/>
            <w:noProof/>
            <w:szCs w:val="22"/>
            <w:lang w:val="en-CA"/>
          </w:rPr>
          <w:t>W</w:t>
        </w:r>
        <w:r w:rsidR="00C6718B" w:rsidRPr="009444BA">
          <w:rPr>
            <w:rStyle w:val="Hyperlink"/>
            <w:i/>
            <w:iCs/>
            <w:noProof/>
            <w:szCs w:val="22"/>
            <w:vertAlign w:val="superscript"/>
            <w:lang w:val="en-CA"/>
          </w:rPr>
          <w:t>wet</w:t>
        </w:r>
        <w:r w:rsidR="00C6718B" w:rsidRPr="009444BA">
          <w:rPr>
            <w:rStyle w:val="Hyperlink"/>
            <w:i/>
            <w:iCs/>
            <w:noProof/>
            <w:szCs w:val="22"/>
            <w:vertAlign w:val="subscript"/>
            <w:lang w:val="en-CA"/>
          </w:rPr>
          <w:t>ARW</w:t>
        </w:r>
        <w:r w:rsidR="00C6718B" w:rsidRPr="009444BA">
          <w:rPr>
            <w:rStyle w:val="Hyperlink"/>
            <w:noProof/>
            <w:szCs w:val="22"/>
            <w:lang w:val="en-CA"/>
          </w:rPr>
          <w:t xml:space="preserve"> of PG 64-22 and PG 76-28 binder blends with different aggregates</w:t>
        </w:r>
        <w:r w:rsidR="00C6718B" w:rsidRPr="009444BA">
          <w:rPr>
            <w:noProof/>
            <w:webHidden/>
            <w:sz w:val="22"/>
            <w:szCs w:val="22"/>
          </w:rPr>
          <w:tab/>
        </w:r>
        <w:r w:rsidR="00C6718B" w:rsidRPr="009444BA">
          <w:rPr>
            <w:noProof/>
            <w:webHidden/>
            <w:sz w:val="22"/>
            <w:szCs w:val="22"/>
          </w:rPr>
          <w:fldChar w:fldCharType="begin"/>
        </w:r>
        <w:r w:rsidR="00C6718B" w:rsidRPr="009444BA">
          <w:rPr>
            <w:noProof/>
            <w:webHidden/>
            <w:sz w:val="22"/>
            <w:szCs w:val="22"/>
          </w:rPr>
          <w:instrText xml:space="preserve"> PAGEREF _Toc71330992 \h </w:instrText>
        </w:r>
        <w:r w:rsidR="00C6718B" w:rsidRPr="009444BA">
          <w:rPr>
            <w:noProof/>
            <w:webHidden/>
            <w:sz w:val="22"/>
            <w:szCs w:val="22"/>
          </w:rPr>
        </w:r>
        <w:r w:rsidR="00C6718B" w:rsidRPr="009444BA">
          <w:rPr>
            <w:noProof/>
            <w:webHidden/>
            <w:sz w:val="22"/>
            <w:szCs w:val="22"/>
          </w:rPr>
          <w:fldChar w:fldCharType="separate"/>
        </w:r>
        <w:r w:rsidR="005050F0">
          <w:rPr>
            <w:noProof/>
            <w:webHidden/>
            <w:sz w:val="22"/>
            <w:szCs w:val="22"/>
          </w:rPr>
          <w:t>102</w:t>
        </w:r>
        <w:r w:rsidR="00C6718B" w:rsidRPr="009444BA">
          <w:rPr>
            <w:noProof/>
            <w:webHidden/>
            <w:sz w:val="22"/>
            <w:szCs w:val="22"/>
          </w:rPr>
          <w:fldChar w:fldCharType="end"/>
        </w:r>
      </w:hyperlink>
    </w:p>
    <w:p w14:paraId="39665E68" w14:textId="474719D7" w:rsidR="00C6718B" w:rsidRPr="009444BA" w:rsidRDefault="007F7885" w:rsidP="009444BA">
      <w:pPr>
        <w:pStyle w:val="TableofFigures"/>
        <w:tabs>
          <w:tab w:val="right" w:leader="dot" w:pos="8460"/>
        </w:tabs>
        <w:spacing w:line="360" w:lineRule="auto"/>
        <w:ind w:left="990" w:right="576" w:hanging="990"/>
        <w:rPr>
          <w:rFonts w:asciiTheme="minorHAnsi" w:eastAsiaTheme="minorEastAsia" w:hAnsiTheme="minorHAnsi" w:cstheme="minorBidi"/>
          <w:noProof/>
          <w:sz w:val="22"/>
          <w:szCs w:val="22"/>
          <w:lang w:bidi="ar-SA"/>
        </w:rPr>
      </w:pPr>
      <w:hyperlink w:anchor="_Toc71330993" w:history="1">
        <w:r w:rsidR="00C6718B" w:rsidRPr="009444BA">
          <w:rPr>
            <w:rStyle w:val="Hyperlink"/>
            <w:noProof/>
            <w:szCs w:val="22"/>
          </w:rPr>
          <w:t>Table 3.7</w:t>
        </w:r>
        <w:r w:rsidR="00C6718B" w:rsidRPr="009444BA">
          <w:rPr>
            <w:rStyle w:val="Hyperlink"/>
            <w:noProof/>
            <w:szCs w:val="22"/>
            <w:lang w:val="en-CA"/>
          </w:rPr>
          <w:t xml:space="preserve"> Energy ratios (</w:t>
        </w:r>
        <w:r w:rsidR="00C6718B" w:rsidRPr="009444BA">
          <w:rPr>
            <w:rStyle w:val="Hyperlink"/>
            <w:i/>
            <w:iCs/>
            <w:noProof/>
            <w:szCs w:val="22"/>
            <w:lang w:val="en-CA"/>
          </w:rPr>
          <w:t>ER</w:t>
        </w:r>
        <w:r w:rsidR="00C6718B" w:rsidRPr="009444BA">
          <w:rPr>
            <w:rStyle w:val="Hyperlink"/>
            <w:i/>
            <w:iCs/>
            <w:noProof/>
            <w:szCs w:val="22"/>
            <w:vertAlign w:val="subscript"/>
            <w:lang w:val="en-CA"/>
          </w:rPr>
          <w:t>1</w:t>
        </w:r>
        <w:r w:rsidR="00C6718B" w:rsidRPr="009444BA">
          <w:rPr>
            <w:rStyle w:val="Hyperlink"/>
            <w:noProof/>
            <w:szCs w:val="22"/>
            <w:lang w:val="en-CA"/>
          </w:rPr>
          <w:t xml:space="preserve"> and </w:t>
        </w:r>
        <w:r w:rsidR="00C6718B" w:rsidRPr="009444BA">
          <w:rPr>
            <w:rStyle w:val="Hyperlink"/>
            <w:i/>
            <w:iCs/>
            <w:noProof/>
            <w:szCs w:val="22"/>
            <w:lang w:val="en-CA"/>
          </w:rPr>
          <w:t>ER</w:t>
        </w:r>
        <w:r w:rsidR="00C6718B" w:rsidRPr="009444BA">
          <w:rPr>
            <w:rStyle w:val="Hyperlink"/>
            <w:i/>
            <w:iCs/>
            <w:noProof/>
            <w:szCs w:val="22"/>
            <w:vertAlign w:val="subscript"/>
            <w:lang w:val="en-CA"/>
          </w:rPr>
          <w:t>2</w:t>
        </w:r>
        <w:r w:rsidR="00C6718B" w:rsidRPr="009444BA">
          <w:rPr>
            <w:rStyle w:val="Hyperlink"/>
            <w:noProof/>
            <w:szCs w:val="22"/>
            <w:lang w:val="en-CA"/>
          </w:rPr>
          <w:t>) of PG 64-22 and PG 76-28 binder blends with different aggregates</w:t>
        </w:r>
        <w:r w:rsidR="00C6718B" w:rsidRPr="009444BA">
          <w:rPr>
            <w:noProof/>
            <w:webHidden/>
            <w:sz w:val="22"/>
            <w:szCs w:val="22"/>
          </w:rPr>
          <w:tab/>
        </w:r>
        <w:r w:rsidR="00C6718B" w:rsidRPr="009444BA">
          <w:rPr>
            <w:noProof/>
            <w:webHidden/>
            <w:sz w:val="22"/>
            <w:szCs w:val="22"/>
          </w:rPr>
          <w:fldChar w:fldCharType="begin"/>
        </w:r>
        <w:r w:rsidR="00C6718B" w:rsidRPr="009444BA">
          <w:rPr>
            <w:noProof/>
            <w:webHidden/>
            <w:sz w:val="22"/>
            <w:szCs w:val="22"/>
          </w:rPr>
          <w:instrText xml:space="preserve"> PAGEREF _Toc71330993 \h </w:instrText>
        </w:r>
        <w:r w:rsidR="00C6718B" w:rsidRPr="009444BA">
          <w:rPr>
            <w:noProof/>
            <w:webHidden/>
            <w:sz w:val="22"/>
            <w:szCs w:val="22"/>
          </w:rPr>
        </w:r>
        <w:r w:rsidR="00C6718B" w:rsidRPr="009444BA">
          <w:rPr>
            <w:noProof/>
            <w:webHidden/>
            <w:sz w:val="22"/>
            <w:szCs w:val="22"/>
          </w:rPr>
          <w:fldChar w:fldCharType="separate"/>
        </w:r>
        <w:r w:rsidR="005050F0">
          <w:rPr>
            <w:noProof/>
            <w:webHidden/>
            <w:sz w:val="22"/>
            <w:szCs w:val="22"/>
          </w:rPr>
          <w:t>103</w:t>
        </w:r>
        <w:r w:rsidR="00C6718B" w:rsidRPr="009444BA">
          <w:rPr>
            <w:noProof/>
            <w:webHidden/>
            <w:sz w:val="22"/>
            <w:szCs w:val="22"/>
          </w:rPr>
          <w:fldChar w:fldCharType="end"/>
        </w:r>
      </w:hyperlink>
    </w:p>
    <w:p w14:paraId="27409E64" w14:textId="44137DF8" w:rsidR="00C6718B" w:rsidRPr="009444BA" w:rsidRDefault="007F7885" w:rsidP="009444BA">
      <w:pPr>
        <w:pStyle w:val="TableofFigures"/>
        <w:tabs>
          <w:tab w:val="right" w:leader="dot" w:pos="8460"/>
        </w:tabs>
        <w:spacing w:line="360" w:lineRule="auto"/>
        <w:ind w:left="990" w:right="576" w:hanging="990"/>
        <w:rPr>
          <w:rFonts w:asciiTheme="minorHAnsi" w:eastAsiaTheme="minorEastAsia" w:hAnsiTheme="minorHAnsi" w:cstheme="minorBidi"/>
          <w:noProof/>
          <w:sz w:val="22"/>
          <w:szCs w:val="22"/>
          <w:lang w:bidi="ar-SA"/>
        </w:rPr>
      </w:pPr>
      <w:hyperlink w:anchor="_Toc71330994" w:history="1">
        <w:r w:rsidR="00C6718B" w:rsidRPr="009444BA">
          <w:rPr>
            <w:rStyle w:val="Hyperlink"/>
            <w:noProof/>
            <w:szCs w:val="22"/>
          </w:rPr>
          <w:t>Table 4.1 Contact Angles of the Binder Blends with Different Solvents</w:t>
        </w:r>
        <w:r w:rsidR="00C6718B" w:rsidRPr="009444BA">
          <w:rPr>
            <w:noProof/>
            <w:webHidden/>
            <w:sz w:val="22"/>
            <w:szCs w:val="22"/>
          </w:rPr>
          <w:tab/>
        </w:r>
        <w:r w:rsidR="00C6718B" w:rsidRPr="009444BA">
          <w:rPr>
            <w:noProof/>
            <w:webHidden/>
            <w:sz w:val="22"/>
            <w:szCs w:val="22"/>
          </w:rPr>
          <w:fldChar w:fldCharType="begin"/>
        </w:r>
        <w:r w:rsidR="00C6718B" w:rsidRPr="009444BA">
          <w:rPr>
            <w:noProof/>
            <w:webHidden/>
            <w:sz w:val="22"/>
            <w:szCs w:val="22"/>
          </w:rPr>
          <w:instrText xml:space="preserve"> PAGEREF _Toc71330994 \h </w:instrText>
        </w:r>
        <w:r w:rsidR="00C6718B" w:rsidRPr="009444BA">
          <w:rPr>
            <w:noProof/>
            <w:webHidden/>
            <w:sz w:val="22"/>
            <w:szCs w:val="22"/>
          </w:rPr>
        </w:r>
        <w:r w:rsidR="00C6718B" w:rsidRPr="009444BA">
          <w:rPr>
            <w:noProof/>
            <w:webHidden/>
            <w:sz w:val="22"/>
            <w:szCs w:val="22"/>
          </w:rPr>
          <w:fldChar w:fldCharType="separate"/>
        </w:r>
        <w:r w:rsidR="005050F0">
          <w:rPr>
            <w:noProof/>
            <w:webHidden/>
            <w:sz w:val="22"/>
            <w:szCs w:val="22"/>
          </w:rPr>
          <w:t>137</w:t>
        </w:r>
        <w:r w:rsidR="00C6718B" w:rsidRPr="009444BA">
          <w:rPr>
            <w:noProof/>
            <w:webHidden/>
            <w:sz w:val="22"/>
            <w:szCs w:val="22"/>
          </w:rPr>
          <w:fldChar w:fldCharType="end"/>
        </w:r>
      </w:hyperlink>
    </w:p>
    <w:p w14:paraId="7509174D" w14:textId="01D424F7" w:rsidR="00C6718B" w:rsidRPr="009444BA" w:rsidRDefault="007F7885" w:rsidP="009444BA">
      <w:pPr>
        <w:pStyle w:val="TableofFigures"/>
        <w:tabs>
          <w:tab w:val="right" w:leader="dot" w:pos="8460"/>
        </w:tabs>
        <w:spacing w:line="360" w:lineRule="auto"/>
        <w:ind w:left="990" w:right="576" w:hanging="990"/>
        <w:rPr>
          <w:rFonts w:asciiTheme="minorHAnsi" w:eastAsiaTheme="minorEastAsia" w:hAnsiTheme="minorHAnsi" w:cstheme="minorBidi"/>
          <w:noProof/>
          <w:sz w:val="22"/>
          <w:szCs w:val="22"/>
          <w:lang w:bidi="ar-SA"/>
        </w:rPr>
      </w:pPr>
      <w:hyperlink w:anchor="_Toc71330995" w:history="1">
        <w:r w:rsidR="00C6718B" w:rsidRPr="009444BA">
          <w:rPr>
            <w:rStyle w:val="Hyperlink"/>
            <w:noProof/>
            <w:szCs w:val="22"/>
          </w:rPr>
          <w:t>Table 4.2 SFE Components of the Binder Blends and Aggregate</w:t>
        </w:r>
        <w:r w:rsidR="00C6718B" w:rsidRPr="009444BA">
          <w:rPr>
            <w:noProof/>
            <w:webHidden/>
            <w:sz w:val="22"/>
            <w:szCs w:val="22"/>
          </w:rPr>
          <w:tab/>
        </w:r>
        <w:r w:rsidR="00C6718B" w:rsidRPr="009444BA">
          <w:rPr>
            <w:noProof/>
            <w:webHidden/>
            <w:sz w:val="22"/>
            <w:szCs w:val="22"/>
          </w:rPr>
          <w:fldChar w:fldCharType="begin"/>
        </w:r>
        <w:r w:rsidR="00C6718B" w:rsidRPr="009444BA">
          <w:rPr>
            <w:noProof/>
            <w:webHidden/>
            <w:sz w:val="22"/>
            <w:szCs w:val="22"/>
          </w:rPr>
          <w:instrText xml:space="preserve"> PAGEREF _Toc71330995 \h </w:instrText>
        </w:r>
        <w:r w:rsidR="00C6718B" w:rsidRPr="009444BA">
          <w:rPr>
            <w:noProof/>
            <w:webHidden/>
            <w:sz w:val="22"/>
            <w:szCs w:val="22"/>
          </w:rPr>
        </w:r>
        <w:r w:rsidR="00C6718B" w:rsidRPr="009444BA">
          <w:rPr>
            <w:noProof/>
            <w:webHidden/>
            <w:sz w:val="22"/>
            <w:szCs w:val="22"/>
          </w:rPr>
          <w:fldChar w:fldCharType="separate"/>
        </w:r>
        <w:r w:rsidR="005050F0">
          <w:rPr>
            <w:noProof/>
            <w:webHidden/>
            <w:sz w:val="22"/>
            <w:szCs w:val="22"/>
          </w:rPr>
          <w:t>137</w:t>
        </w:r>
        <w:r w:rsidR="00C6718B" w:rsidRPr="009444BA">
          <w:rPr>
            <w:noProof/>
            <w:webHidden/>
            <w:sz w:val="22"/>
            <w:szCs w:val="22"/>
          </w:rPr>
          <w:fldChar w:fldCharType="end"/>
        </w:r>
      </w:hyperlink>
    </w:p>
    <w:p w14:paraId="78CFCEEB" w14:textId="49836A22" w:rsidR="00C6718B" w:rsidRPr="009444BA" w:rsidRDefault="007F7885" w:rsidP="009444BA">
      <w:pPr>
        <w:pStyle w:val="TableofFigures"/>
        <w:tabs>
          <w:tab w:val="right" w:leader="dot" w:pos="8460"/>
        </w:tabs>
        <w:spacing w:line="360" w:lineRule="auto"/>
        <w:ind w:left="990" w:right="576" w:hanging="990"/>
        <w:rPr>
          <w:rFonts w:asciiTheme="minorHAnsi" w:eastAsiaTheme="minorEastAsia" w:hAnsiTheme="minorHAnsi" w:cstheme="minorBidi"/>
          <w:noProof/>
          <w:sz w:val="22"/>
          <w:szCs w:val="22"/>
          <w:lang w:bidi="ar-SA"/>
        </w:rPr>
      </w:pPr>
      <w:hyperlink w:anchor="_Toc71330996" w:history="1">
        <w:r w:rsidR="00C6718B" w:rsidRPr="009444BA">
          <w:rPr>
            <w:rStyle w:val="Hyperlink"/>
            <w:noProof/>
            <w:szCs w:val="22"/>
          </w:rPr>
          <w:t>Table 5.1 Test Matrix for Laboratory Performance Tests on Asphalt Mixes</w:t>
        </w:r>
        <w:r w:rsidR="00C6718B" w:rsidRPr="009444BA">
          <w:rPr>
            <w:noProof/>
            <w:webHidden/>
            <w:sz w:val="22"/>
            <w:szCs w:val="22"/>
          </w:rPr>
          <w:tab/>
        </w:r>
        <w:r w:rsidR="00C6718B" w:rsidRPr="009444BA">
          <w:rPr>
            <w:noProof/>
            <w:webHidden/>
            <w:sz w:val="22"/>
            <w:szCs w:val="22"/>
          </w:rPr>
          <w:fldChar w:fldCharType="begin"/>
        </w:r>
        <w:r w:rsidR="00C6718B" w:rsidRPr="009444BA">
          <w:rPr>
            <w:noProof/>
            <w:webHidden/>
            <w:sz w:val="22"/>
            <w:szCs w:val="22"/>
          </w:rPr>
          <w:instrText xml:space="preserve"> PAGEREF _Toc71330996 \h </w:instrText>
        </w:r>
        <w:r w:rsidR="00C6718B" w:rsidRPr="009444BA">
          <w:rPr>
            <w:noProof/>
            <w:webHidden/>
            <w:sz w:val="22"/>
            <w:szCs w:val="22"/>
          </w:rPr>
        </w:r>
        <w:r w:rsidR="00C6718B" w:rsidRPr="009444BA">
          <w:rPr>
            <w:noProof/>
            <w:webHidden/>
            <w:sz w:val="22"/>
            <w:szCs w:val="22"/>
          </w:rPr>
          <w:fldChar w:fldCharType="separate"/>
        </w:r>
        <w:r w:rsidR="005050F0">
          <w:rPr>
            <w:noProof/>
            <w:webHidden/>
            <w:sz w:val="22"/>
            <w:szCs w:val="22"/>
          </w:rPr>
          <w:t>173</w:t>
        </w:r>
        <w:r w:rsidR="00C6718B" w:rsidRPr="009444BA">
          <w:rPr>
            <w:noProof/>
            <w:webHidden/>
            <w:sz w:val="22"/>
            <w:szCs w:val="22"/>
          </w:rPr>
          <w:fldChar w:fldCharType="end"/>
        </w:r>
      </w:hyperlink>
    </w:p>
    <w:p w14:paraId="57420794" w14:textId="6CEFB93D" w:rsidR="00C6718B" w:rsidRPr="009444BA" w:rsidRDefault="007F7885" w:rsidP="009444BA">
      <w:pPr>
        <w:pStyle w:val="TableofFigures"/>
        <w:tabs>
          <w:tab w:val="right" w:leader="dot" w:pos="8460"/>
        </w:tabs>
        <w:spacing w:line="360" w:lineRule="auto"/>
        <w:ind w:left="990" w:right="576" w:hanging="990"/>
        <w:rPr>
          <w:rFonts w:asciiTheme="minorHAnsi" w:eastAsiaTheme="minorEastAsia" w:hAnsiTheme="minorHAnsi" w:cstheme="minorBidi"/>
          <w:noProof/>
          <w:sz w:val="22"/>
          <w:szCs w:val="22"/>
          <w:lang w:bidi="ar-SA"/>
        </w:rPr>
      </w:pPr>
      <w:hyperlink w:anchor="_Toc71330997" w:history="1">
        <w:r w:rsidR="00C6718B" w:rsidRPr="009444BA">
          <w:rPr>
            <w:rStyle w:val="Hyperlink"/>
            <w:noProof/>
            <w:szCs w:val="22"/>
          </w:rPr>
          <w:t>Table 5.2</w:t>
        </w:r>
        <w:r w:rsidR="00C6718B" w:rsidRPr="009444BA">
          <w:rPr>
            <w:rStyle w:val="Hyperlink"/>
            <w:noProof/>
            <w:szCs w:val="22"/>
            <w:lang w:val="en-CA"/>
          </w:rPr>
          <w:t xml:space="preserve"> Different Parameters Obtained from HWT Test</w:t>
        </w:r>
        <w:r w:rsidR="00C6718B" w:rsidRPr="009444BA">
          <w:rPr>
            <w:noProof/>
            <w:webHidden/>
            <w:sz w:val="22"/>
            <w:szCs w:val="22"/>
          </w:rPr>
          <w:tab/>
        </w:r>
        <w:r w:rsidR="00C6718B" w:rsidRPr="009444BA">
          <w:rPr>
            <w:noProof/>
            <w:webHidden/>
            <w:sz w:val="22"/>
            <w:szCs w:val="22"/>
          </w:rPr>
          <w:fldChar w:fldCharType="begin"/>
        </w:r>
        <w:r w:rsidR="00C6718B" w:rsidRPr="009444BA">
          <w:rPr>
            <w:noProof/>
            <w:webHidden/>
            <w:sz w:val="22"/>
            <w:szCs w:val="22"/>
          </w:rPr>
          <w:instrText xml:space="preserve"> PAGEREF _Toc71330997 \h </w:instrText>
        </w:r>
        <w:r w:rsidR="00C6718B" w:rsidRPr="009444BA">
          <w:rPr>
            <w:noProof/>
            <w:webHidden/>
            <w:sz w:val="22"/>
            <w:szCs w:val="22"/>
          </w:rPr>
        </w:r>
        <w:r w:rsidR="00C6718B" w:rsidRPr="009444BA">
          <w:rPr>
            <w:noProof/>
            <w:webHidden/>
            <w:sz w:val="22"/>
            <w:szCs w:val="22"/>
          </w:rPr>
          <w:fldChar w:fldCharType="separate"/>
        </w:r>
        <w:r w:rsidR="005050F0">
          <w:rPr>
            <w:noProof/>
            <w:webHidden/>
            <w:sz w:val="22"/>
            <w:szCs w:val="22"/>
          </w:rPr>
          <w:t>173</w:t>
        </w:r>
        <w:r w:rsidR="00C6718B" w:rsidRPr="009444BA">
          <w:rPr>
            <w:noProof/>
            <w:webHidden/>
            <w:sz w:val="22"/>
            <w:szCs w:val="22"/>
          </w:rPr>
          <w:fldChar w:fldCharType="end"/>
        </w:r>
      </w:hyperlink>
    </w:p>
    <w:p w14:paraId="1B299C7F" w14:textId="44EF4641" w:rsidR="00C6718B" w:rsidRDefault="007F7885" w:rsidP="009444BA">
      <w:pPr>
        <w:pStyle w:val="TableofFigures"/>
        <w:tabs>
          <w:tab w:val="right" w:leader="dot" w:pos="8460"/>
        </w:tabs>
        <w:spacing w:line="360" w:lineRule="auto"/>
        <w:ind w:left="990" w:right="576" w:hanging="990"/>
        <w:rPr>
          <w:rFonts w:asciiTheme="minorHAnsi" w:eastAsiaTheme="minorEastAsia" w:hAnsiTheme="minorHAnsi" w:cstheme="minorBidi"/>
          <w:noProof/>
          <w:sz w:val="22"/>
          <w:szCs w:val="22"/>
          <w:lang w:bidi="ar-SA"/>
        </w:rPr>
      </w:pPr>
      <w:hyperlink w:anchor="_Toc71330998" w:history="1">
        <w:r w:rsidR="00C6718B" w:rsidRPr="009444BA">
          <w:rPr>
            <w:rStyle w:val="Hyperlink"/>
            <w:noProof/>
            <w:szCs w:val="22"/>
          </w:rPr>
          <w:t>Table 5.3</w:t>
        </w:r>
        <w:r w:rsidR="00C6718B" w:rsidRPr="009444BA">
          <w:rPr>
            <w:rStyle w:val="Hyperlink"/>
            <w:noProof/>
            <w:szCs w:val="22"/>
            <w:lang w:val="en-CA"/>
          </w:rPr>
          <w:t xml:space="preserve"> Ranking of Asphalt Mixes based on Different Laboratory-based Performance Parameters</w:t>
        </w:r>
        <w:r w:rsidR="00C6718B" w:rsidRPr="009444BA">
          <w:rPr>
            <w:noProof/>
            <w:webHidden/>
            <w:sz w:val="22"/>
            <w:szCs w:val="22"/>
          </w:rPr>
          <w:tab/>
        </w:r>
        <w:r w:rsidR="00C6718B" w:rsidRPr="009444BA">
          <w:rPr>
            <w:noProof/>
            <w:webHidden/>
            <w:sz w:val="22"/>
            <w:szCs w:val="22"/>
          </w:rPr>
          <w:fldChar w:fldCharType="begin"/>
        </w:r>
        <w:r w:rsidR="00C6718B" w:rsidRPr="009444BA">
          <w:rPr>
            <w:noProof/>
            <w:webHidden/>
            <w:sz w:val="22"/>
            <w:szCs w:val="22"/>
          </w:rPr>
          <w:instrText xml:space="preserve"> PAGEREF _Toc71330998 \h </w:instrText>
        </w:r>
        <w:r w:rsidR="00C6718B" w:rsidRPr="009444BA">
          <w:rPr>
            <w:noProof/>
            <w:webHidden/>
            <w:sz w:val="22"/>
            <w:szCs w:val="22"/>
          </w:rPr>
        </w:r>
        <w:r w:rsidR="00C6718B" w:rsidRPr="009444BA">
          <w:rPr>
            <w:noProof/>
            <w:webHidden/>
            <w:sz w:val="22"/>
            <w:szCs w:val="22"/>
          </w:rPr>
          <w:fldChar w:fldCharType="separate"/>
        </w:r>
        <w:r w:rsidR="005050F0">
          <w:rPr>
            <w:noProof/>
            <w:webHidden/>
            <w:sz w:val="22"/>
            <w:szCs w:val="22"/>
          </w:rPr>
          <w:t>174</w:t>
        </w:r>
        <w:r w:rsidR="00C6718B" w:rsidRPr="009444BA">
          <w:rPr>
            <w:noProof/>
            <w:webHidden/>
            <w:sz w:val="22"/>
            <w:szCs w:val="22"/>
          </w:rPr>
          <w:fldChar w:fldCharType="end"/>
        </w:r>
      </w:hyperlink>
    </w:p>
    <w:p w14:paraId="16096FDE" w14:textId="266584E9" w:rsidR="00535733" w:rsidRDefault="00E157F3" w:rsidP="00391D78">
      <w:pPr>
        <w:pStyle w:val="TableofFigures"/>
        <w:tabs>
          <w:tab w:val="right" w:leader="dot" w:pos="8460"/>
        </w:tabs>
        <w:spacing w:line="360" w:lineRule="auto"/>
        <w:ind w:left="990" w:right="576" w:hanging="990"/>
      </w:pPr>
      <w:r w:rsidRPr="00391D78">
        <w:rPr>
          <w:sz w:val="22"/>
          <w:szCs w:val="22"/>
        </w:rPr>
        <w:fldChar w:fldCharType="end"/>
      </w:r>
    </w:p>
    <w:p w14:paraId="6622B304" w14:textId="5C3A8BC0" w:rsidR="00206F78" w:rsidRDefault="00206F78" w:rsidP="00206F78">
      <w:pPr>
        <w:pStyle w:val="Default"/>
        <w:rPr>
          <w:lang w:bidi="en-US"/>
        </w:rPr>
      </w:pPr>
    </w:p>
    <w:p w14:paraId="4D1022C9" w14:textId="728A57FA" w:rsidR="00206F78" w:rsidRDefault="00206F78" w:rsidP="00206F78">
      <w:pPr>
        <w:pStyle w:val="Default"/>
        <w:rPr>
          <w:lang w:bidi="en-US"/>
        </w:rPr>
      </w:pPr>
    </w:p>
    <w:p w14:paraId="405E0583" w14:textId="1241F402" w:rsidR="00206F78" w:rsidRDefault="00206F78" w:rsidP="00206F78">
      <w:pPr>
        <w:pStyle w:val="Default"/>
        <w:rPr>
          <w:lang w:bidi="en-US"/>
        </w:rPr>
      </w:pPr>
    </w:p>
    <w:p w14:paraId="073AB0CB" w14:textId="3B8BB2C2" w:rsidR="00206F78" w:rsidRDefault="00206F78" w:rsidP="00206F78">
      <w:pPr>
        <w:pStyle w:val="Default"/>
        <w:rPr>
          <w:lang w:bidi="en-US"/>
        </w:rPr>
      </w:pPr>
    </w:p>
    <w:p w14:paraId="79557F02" w14:textId="4158E3FE" w:rsidR="00206F78" w:rsidRDefault="00206F78" w:rsidP="00206F78">
      <w:pPr>
        <w:pStyle w:val="Default"/>
        <w:rPr>
          <w:lang w:bidi="en-US"/>
        </w:rPr>
      </w:pPr>
    </w:p>
    <w:p w14:paraId="0A2F63F7" w14:textId="7133B0DE" w:rsidR="00206F78" w:rsidRDefault="00206F78" w:rsidP="00206F78">
      <w:pPr>
        <w:pStyle w:val="Default"/>
        <w:rPr>
          <w:lang w:bidi="en-US"/>
        </w:rPr>
      </w:pPr>
    </w:p>
    <w:p w14:paraId="67153A65" w14:textId="14E52CC2" w:rsidR="00206F78" w:rsidRDefault="00206F78" w:rsidP="00206F78">
      <w:pPr>
        <w:pStyle w:val="Default"/>
        <w:rPr>
          <w:lang w:bidi="en-US"/>
        </w:rPr>
      </w:pPr>
    </w:p>
    <w:p w14:paraId="36F2BC42" w14:textId="61E5D5F4" w:rsidR="00206F78" w:rsidRDefault="00206F78" w:rsidP="00206F78">
      <w:pPr>
        <w:pStyle w:val="Default"/>
        <w:rPr>
          <w:lang w:bidi="en-US"/>
        </w:rPr>
      </w:pPr>
    </w:p>
    <w:p w14:paraId="494DE2DB" w14:textId="0B0D0C45" w:rsidR="00206F78" w:rsidRDefault="00206F78" w:rsidP="00206F78">
      <w:pPr>
        <w:pStyle w:val="Default"/>
        <w:rPr>
          <w:lang w:bidi="en-US"/>
        </w:rPr>
      </w:pPr>
    </w:p>
    <w:p w14:paraId="0E9C663F" w14:textId="4AB79381" w:rsidR="00206F78" w:rsidRDefault="00206F78" w:rsidP="00206F78">
      <w:pPr>
        <w:pStyle w:val="Default"/>
        <w:rPr>
          <w:lang w:bidi="en-US"/>
        </w:rPr>
      </w:pPr>
    </w:p>
    <w:p w14:paraId="7FA295B3" w14:textId="2CB087DC" w:rsidR="00206F78" w:rsidRDefault="00206F78" w:rsidP="00206F78">
      <w:pPr>
        <w:pStyle w:val="Default"/>
        <w:rPr>
          <w:lang w:bidi="en-US"/>
        </w:rPr>
      </w:pPr>
    </w:p>
    <w:p w14:paraId="0B58C670" w14:textId="3D4586FC" w:rsidR="00206F78" w:rsidRDefault="00206F78" w:rsidP="00206F78">
      <w:pPr>
        <w:pStyle w:val="Default"/>
        <w:rPr>
          <w:lang w:bidi="en-US"/>
        </w:rPr>
      </w:pPr>
    </w:p>
    <w:p w14:paraId="2F584AF0" w14:textId="256A9654" w:rsidR="00206F78" w:rsidRDefault="00206F78" w:rsidP="00206F78">
      <w:pPr>
        <w:pStyle w:val="Default"/>
        <w:rPr>
          <w:lang w:bidi="en-US"/>
        </w:rPr>
      </w:pPr>
    </w:p>
    <w:p w14:paraId="0515CA3E" w14:textId="1523F9A6" w:rsidR="00206F78" w:rsidRDefault="00206F78" w:rsidP="00206F78">
      <w:pPr>
        <w:pStyle w:val="Default"/>
        <w:rPr>
          <w:lang w:bidi="en-US"/>
        </w:rPr>
      </w:pPr>
    </w:p>
    <w:p w14:paraId="202D0423" w14:textId="157FB944" w:rsidR="00206F78" w:rsidRDefault="00206F78" w:rsidP="00206F78">
      <w:pPr>
        <w:pStyle w:val="Default"/>
        <w:rPr>
          <w:lang w:bidi="en-US"/>
        </w:rPr>
      </w:pPr>
    </w:p>
    <w:p w14:paraId="5FF33008" w14:textId="786E3757" w:rsidR="00206F78" w:rsidRDefault="00206F78" w:rsidP="00206F78">
      <w:pPr>
        <w:pStyle w:val="Default"/>
        <w:rPr>
          <w:lang w:bidi="en-US"/>
        </w:rPr>
      </w:pPr>
    </w:p>
    <w:p w14:paraId="374DF6CC" w14:textId="205375BA" w:rsidR="00206F78" w:rsidRDefault="00206F78" w:rsidP="00206F78">
      <w:pPr>
        <w:pStyle w:val="Default"/>
        <w:rPr>
          <w:lang w:bidi="en-US"/>
        </w:rPr>
      </w:pPr>
    </w:p>
    <w:p w14:paraId="3CD832C4" w14:textId="342B72F8" w:rsidR="00206F78" w:rsidRDefault="00206F78" w:rsidP="00206F78">
      <w:pPr>
        <w:pStyle w:val="Default"/>
        <w:rPr>
          <w:lang w:bidi="en-US"/>
        </w:rPr>
      </w:pPr>
    </w:p>
    <w:p w14:paraId="01E66DF0" w14:textId="358D3044" w:rsidR="00206F78" w:rsidRDefault="00206F78" w:rsidP="00206F78">
      <w:pPr>
        <w:pStyle w:val="Default"/>
        <w:rPr>
          <w:lang w:bidi="en-US"/>
        </w:rPr>
      </w:pPr>
    </w:p>
    <w:p w14:paraId="048178C9" w14:textId="545DA6AE" w:rsidR="00206F78" w:rsidRDefault="00206F78" w:rsidP="00206F78">
      <w:pPr>
        <w:pStyle w:val="Default"/>
        <w:rPr>
          <w:lang w:bidi="en-US"/>
        </w:rPr>
      </w:pPr>
    </w:p>
    <w:p w14:paraId="27D039DA" w14:textId="5E5287AF" w:rsidR="00206F78" w:rsidRDefault="00206F78" w:rsidP="00206F78">
      <w:pPr>
        <w:pStyle w:val="Default"/>
        <w:rPr>
          <w:lang w:bidi="en-US"/>
        </w:rPr>
      </w:pPr>
    </w:p>
    <w:p w14:paraId="1F2C2948" w14:textId="51641138" w:rsidR="00206F78" w:rsidRDefault="00206F78" w:rsidP="00206F78">
      <w:pPr>
        <w:pStyle w:val="Default"/>
        <w:rPr>
          <w:lang w:bidi="en-US"/>
        </w:rPr>
      </w:pPr>
    </w:p>
    <w:p w14:paraId="06F5857D" w14:textId="461402B0" w:rsidR="00206F78" w:rsidRDefault="00206F78" w:rsidP="00206F78">
      <w:pPr>
        <w:pStyle w:val="Default"/>
        <w:rPr>
          <w:lang w:bidi="en-US"/>
        </w:rPr>
      </w:pPr>
    </w:p>
    <w:p w14:paraId="08B80397" w14:textId="31239146" w:rsidR="00206F78" w:rsidRDefault="00206F78" w:rsidP="00206F78">
      <w:pPr>
        <w:pStyle w:val="Default"/>
        <w:rPr>
          <w:lang w:bidi="en-US"/>
        </w:rPr>
      </w:pPr>
    </w:p>
    <w:p w14:paraId="3C88E805" w14:textId="75AD1C80" w:rsidR="00206F78" w:rsidRDefault="00206F78" w:rsidP="00206F78">
      <w:pPr>
        <w:pStyle w:val="Default"/>
        <w:rPr>
          <w:lang w:bidi="en-US"/>
        </w:rPr>
      </w:pPr>
    </w:p>
    <w:p w14:paraId="0D2B63EC" w14:textId="1B75FDD7" w:rsidR="00206F78" w:rsidRDefault="00206F78" w:rsidP="00206F78">
      <w:pPr>
        <w:pStyle w:val="Default"/>
        <w:rPr>
          <w:lang w:bidi="en-US"/>
        </w:rPr>
      </w:pPr>
    </w:p>
    <w:p w14:paraId="3A81B888" w14:textId="544D3D56" w:rsidR="009E7711" w:rsidRDefault="00F43ABC" w:rsidP="005670AB">
      <w:pPr>
        <w:pStyle w:val="Chapter"/>
        <w:rPr>
          <w:rStyle w:val="Heading1Char"/>
          <w:rFonts w:eastAsiaTheme="minorHAnsi"/>
          <w:b/>
          <w:bCs/>
          <w:sz w:val="24"/>
          <w:szCs w:val="24"/>
        </w:rPr>
      </w:pPr>
      <w:bookmarkStart w:id="10" w:name="_Toc71728400"/>
      <w:r w:rsidRPr="009D5786">
        <w:rPr>
          <w:rStyle w:val="Heading1Char"/>
          <w:rFonts w:eastAsiaTheme="minorHAnsi"/>
          <w:b/>
          <w:bCs/>
          <w:sz w:val="24"/>
          <w:szCs w:val="24"/>
        </w:rPr>
        <w:lastRenderedPageBreak/>
        <w:t>List of Figures</w:t>
      </w:r>
      <w:bookmarkEnd w:id="8"/>
      <w:bookmarkEnd w:id="9"/>
      <w:bookmarkEnd w:id="10"/>
    </w:p>
    <w:p w14:paraId="4483EEB4" w14:textId="4F4B8DAA" w:rsidR="005E6568" w:rsidRPr="00E27790" w:rsidRDefault="000247E7" w:rsidP="003D0490">
      <w:pPr>
        <w:pStyle w:val="TableofFigures"/>
        <w:tabs>
          <w:tab w:val="right" w:leader="dot" w:pos="8460"/>
        </w:tabs>
        <w:spacing w:line="360" w:lineRule="auto"/>
        <w:ind w:left="1080" w:right="846" w:hanging="1080"/>
        <w:rPr>
          <w:rFonts w:eastAsiaTheme="minorEastAsia"/>
          <w:noProof/>
          <w:sz w:val="22"/>
          <w:szCs w:val="22"/>
          <w:lang w:bidi="ar-SA"/>
        </w:rPr>
      </w:pPr>
      <w:r w:rsidRPr="00206F78">
        <w:fldChar w:fldCharType="begin"/>
      </w:r>
      <w:r w:rsidRPr="00206F78">
        <w:instrText xml:space="preserve"> TOC \h \z \c "Figure" </w:instrText>
      </w:r>
      <w:r w:rsidRPr="00206F78">
        <w:fldChar w:fldCharType="separate"/>
      </w:r>
      <w:hyperlink w:anchor="_Toc71334085" w:history="1">
        <w:r w:rsidR="005E6568" w:rsidRPr="00E27790">
          <w:rPr>
            <w:rStyle w:val="Hyperlink"/>
            <w:noProof/>
            <w:szCs w:val="22"/>
          </w:rPr>
          <w:t>Figure 2.1 Contact angle measurement using DWP test: (a) asphalt binder used for testing; (b) binder coated glass plates; and (c) DWP test setup</w:t>
        </w:r>
        <w:r w:rsidR="005E6568" w:rsidRPr="00E27790">
          <w:rPr>
            <w:noProof/>
            <w:webHidden/>
            <w:sz w:val="22"/>
            <w:szCs w:val="22"/>
          </w:rPr>
          <w:tab/>
        </w:r>
        <w:r w:rsidR="005E6568" w:rsidRPr="00E27790">
          <w:rPr>
            <w:noProof/>
            <w:webHidden/>
            <w:sz w:val="22"/>
            <w:szCs w:val="22"/>
          </w:rPr>
          <w:fldChar w:fldCharType="begin"/>
        </w:r>
        <w:r w:rsidR="005E6568" w:rsidRPr="00E27790">
          <w:rPr>
            <w:noProof/>
            <w:webHidden/>
            <w:sz w:val="22"/>
            <w:szCs w:val="22"/>
          </w:rPr>
          <w:instrText xml:space="preserve"> PAGEREF _Toc71334085 \h </w:instrText>
        </w:r>
        <w:r w:rsidR="005E6568" w:rsidRPr="00E27790">
          <w:rPr>
            <w:noProof/>
            <w:webHidden/>
            <w:sz w:val="22"/>
            <w:szCs w:val="22"/>
          </w:rPr>
        </w:r>
        <w:r w:rsidR="005E6568" w:rsidRPr="00E27790">
          <w:rPr>
            <w:noProof/>
            <w:webHidden/>
            <w:sz w:val="22"/>
            <w:szCs w:val="22"/>
          </w:rPr>
          <w:fldChar w:fldCharType="separate"/>
        </w:r>
        <w:r w:rsidR="005050F0">
          <w:rPr>
            <w:noProof/>
            <w:webHidden/>
            <w:sz w:val="22"/>
            <w:szCs w:val="22"/>
          </w:rPr>
          <w:t>59</w:t>
        </w:r>
        <w:r w:rsidR="005E6568" w:rsidRPr="00E27790">
          <w:rPr>
            <w:noProof/>
            <w:webHidden/>
            <w:sz w:val="22"/>
            <w:szCs w:val="22"/>
          </w:rPr>
          <w:fldChar w:fldCharType="end"/>
        </w:r>
      </w:hyperlink>
    </w:p>
    <w:p w14:paraId="14694290" w14:textId="636B0B29" w:rsidR="005E6568" w:rsidRPr="00F447E8" w:rsidRDefault="007F7885" w:rsidP="003D0490">
      <w:pPr>
        <w:pStyle w:val="TableofFigures"/>
        <w:tabs>
          <w:tab w:val="right" w:leader="dot" w:pos="8460"/>
        </w:tabs>
        <w:spacing w:line="360" w:lineRule="auto"/>
        <w:ind w:left="1080" w:right="846" w:hanging="1080"/>
        <w:rPr>
          <w:rFonts w:eastAsiaTheme="minorEastAsia"/>
          <w:noProof/>
          <w:sz w:val="22"/>
          <w:szCs w:val="22"/>
          <w:lang w:bidi="ar-SA"/>
        </w:rPr>
      </w:pPr>
      <w:hyperlink w:anchor="_Toc71334086" w:history="1">
        <w:r w:rsidR="005E6568" w:rsidRPr="00F447E8">
          <w:rPr>
            <w:rStyle w:val="Hyperlink"/>
            <w:noProof/>
            <w:szCs w:val="22"/>
          </w:rPr>
          <w:t xml:space="preserve">Figure 2.2 The </w:t>
        </w:r>
        <m:oMath>
          <m:r>
            <m:rPr>
              <m:sty m:val="p"/>
            </m:rPr>
            <w:rPr>
              <w:rStyle w:val="Hyperlink"/>
              <w:rFonts w:ascii="Cambria Math" w:hAnsi="Cambria Math"/>
              <w:noProof/>
              <w:szCs w:val="22"/>
            </w:rPr>
            <m:t>Γ</m:t>
          </m:r>
          <m:r>
            <w:rPr>
              <w:rStyle w:val="Hyperlink"/>
              <w:rFonts w:ascii="Cambria Math" w:hAnsi="Cambria Math"/>
              <w:noProof/>
              <w:szCs w:val="22"/>
            </w:rPr>
            <m:t>L</m:t>
          </m:r>
        </m:oMath>
        <w:r w:rsidR="005E6568" w:rsidRPr="00F447E8">
          <w:rPr>
            <w:rStyle w:val="Hyperlink"/>
            <w:noProof/>
            <w:szCs w:val="22"/>
          </w:rPr>
          <w:t xml:space="preserve"> versus </w:t>
        </w:r>
        <m:oMath>
          <m:r>
            <m:rPr>
              <m:sty m:val="p"/>
            </m:rPr>
            <w:rPr>
              <w:rStyle w:val="Hyperlink"/>
              <w:rFonts w:ascii="Cambria Math" w:hAnsi="Cambria Math"/>
              <w:noProof/>
              <w:szCs w:val="22"/>
            </w:rPr>
            <m:t>Γ</m:t>
          </m:r>
          <m:r>
            <w:rPr>
              <w:rStyle w:val="Hyperlink"/>
              <w:rFonts w:ascii="Cambria Math" w:hAnsi="Cambria Math"/>
              <w:noProof/>
              <w:szCs w:val="22"/>
            </w:rPr>
            <m:t>Lcosθ</m:t>
          </m:r>
        </m:oMath>
        <w:r w:rsidR="005E6568" w:rsidRPr="00F447E8">
          <w:rPr>
            <w:rStyle w:val="Hyperlink"/>
            <w:noProof/>
            <w:szCs w:val="22"/>
          </w:rPr>
          <w:t xml:space="preserve"> plot for WGFDE probe liquid set</w:t>
        </w:r>
        <w:r w:rsidR="005E6568" w:rsidRPr="00F447E8">
          <w:rPr>
            <w:noProof/>
            <w:webHidden/>
            <w:sz w:val="22"/>
            <w:szCs w:val="22"/>
          </w:rPr>
          <w:tab/>
        </w:r>
        <w:r w:rsidR="005E6568" w:rsidRPr="00F447E8">
          <w:rPr>
            <w:noProof/>
            <w:webHidden/>
            <w:sz w:val="22"/>
            <w:szCs w:val="22"/>
          </w:rPr>
          <w:fldChar w:fldCharType="begin"/>
        </w:r>
        <w:r w:rsidR="005E6568" w:rsidRPr="00F447E8">
          <w:rPr>
            <w:noProof/>
            <w:webHidden/>
            <w:sz w:val="22"/>
            <w:szCs w:val="22"/>
          </w:rPr>
          <w:instrText xml:space="preserve"> PAGEREF _Toc71334086 \h </w:instrText>
        </w:r>
        <w:r w:rsidR="005E6568" w:rsidRPr="00F447E8">
          <w:rPr>
            <w:noProof/>
            <w:webHidden/>
            <w:sz w:val="22"/>
            <w:szCs w:val="22"/>
          </w:rPr>
        </w:r>
        <w:r w:rsidR="005E6568" w:rsidRPr="00F447E8">
          <w:rPr>
            <w:noProof/>
            <w:webHidden/>
            <w:sz w:val="22"/>
            <w:szCs w:val="22"/>
          </w:rPr>
          <w:fldChar w:fldCharType="separate"/>
        </w:r>
        <w:r w:rsidR="005050F0">
          <w:rPr>
            <w:noProof/>
            <w:webHidden/>
            <w:sz w:val="22"/>
            <w:szCs w:val="22"/>
          </w:rPr>
          <w:t>59</w:t>
        </w:r>
        <w:r w:rsidR="005E6568" w:rsidRPr="00F447E8">
          <w:rPr>
            <w:noProof/>
            <w:webHidden/>
            <w:sz w:val="22"/>
            <w:szCs w:val="22"/>
          </w:rPr>
          <w:fldChar w:fldCharType="end"/>
        </w:r>
      </w:hyperlink>
    </w:p>
    <w:p w14:paraId="252B599E" w14:textId="0F15F9A7" w:rsidR="005E6568" w:rsidRPr="00F447E8" w:rsidRDefault="007F7885" w:rsidP="003D0490">
      <w:pPr>
        <w:pStyle w:val="TableofFigures"/>
        <w:tabs>
          <w:tab w:val="right" w:leader="dot" w:pos="8460"/>
        </w:tabs>
        <w:spacing w:line="360" w:lineRule="auto"/>
        <w:ind w:left="1080" w:right="846" w:hanging="1080"/>
        <w:rPr>
          <w:rFonts w:eastAsiaTheme="minorEastAsia"/>
          <w:noProof/>
          <w:sz w:val="22"/>
          <w:szCs w:val="22"/>
          <w:lang w:bidi="ar-SA"/>
        </w:rPr>
      </w:pPr>
      <w:hyperlink w:anchor="_Toc71334087" w:history="1">
        <w:r w:rsidR="005E6568" w:rsidRPr="00F447E8">
          <w:rPr>
            <w:rStyle w:val="Hyperlink"/>
            <w:noProof/>
            <w:szCs w:val="22"/>
          </w:rPr>
          <w:t xml:space="preserve">Figure 2.3 The </w:t>
        </w:r>
        <m:oMath>
          <m:r>
            <m:rPr>
              <m:sty m:val="p"/>
            </m:rPr>
            <w:rPr>
              <w:rStyle w:val="Hyperlink"/>
              <w:rFonts w:ascii="Cambria Math" w:hAnsi="Cambria Math"/>
              <w:noProof/>
              <w:szCs w:val="22"/>
            </w:rPr>
            <m:t>Γ</m:t>
          </m:r>
          <m:r>
            <w:rPr>
              <w:rStyle w:val="Hyperlink"/>
              <w:rFonts w:ascii="Cambria Math" w:hAnsi="Cambria Math"/>
              <w:noProof/>
              <w:szCs w:val="22"/>
            </w:rPr>
            <m:t>L</m:t>
          </m:r>
        </m:oMath>
        <w:r w:rsidR="005E6568" w:rsidRPr="00F447E8">
          <w:rPr>
            <w:rStyle w:val="Hyperlink"/>
            <w:noProof/>
            <w:szCs w:val="22"/>
          </w:rPr>
          <w:t xml:space="preserve"> versus </w:t>
        </w:r>
        <m:oMath>
          <m:r>
            <m:rPr>
              <m:sty m:val="p"/>
            </m:rPr>
            <w:rPr>
              <w:rStyle w:val="Hyperlink"/>
              <w:rFonts w:ascii="Cambria Math" w:hAnsi="Cambria Math"/>
              <w:noProof/>
              <w:szCs w:val="22"/>
            </w:rPr>
            <m:t>Γ</m:t>
          </m:r>
          <m:r>
            <w:rPr>
              <w:rStyle w:val="Hyperlink"/>
              <w:rFonts w:ascii="Cambria Math" w:hAnsi="Cambria Math"/>
              <w:noProof/>
              <w:szCs w:val="22"/>
            </w:rPr>
            <m:t>Lcosθ</m:t>
          </m:r>
        </m:oMath>
        <w:r w:rsidR="005E6568" w:rsidRPr="00F447E8">
          <w:rPr>
            <w:rStyle w:val="Hyperlink"/>
            <w:noProof/>
            <w:szCs w:val="22"/>
          </w:rPr>
          <w:t xml:space="preserve"> plot of binders using Neumann model</w:t>
        </w:r>
        <w:r w:rsidR="005E6568" w:rsidRPr="00F447E8">
          <w:rPr>
            <w:noProof/>
            <w:webHidden/>
            <w:sz w:val="22"/>
            <w:szCs w:val="22"/>
          </w:rPr>
          <w:tab/>
        </w:r>
        <w:r w:rsidR="005E6568" w:rsidRPr="00F447E8">
          <w:rPr>
            <w:noProof/>
            <w:webHidden/>
            <w:sz w:val="22"/>
            <w:szCs w:val="22"/>
          </w:rPr>
          <w:fldChar w:fldCharType="begin"/>
        </w:r>
        <w:r w:rsidR="005E6568" w:rsidRPr="00F447E8">
          <w:rPr>
            <w:noProof/>
            <w:webHidden/>
            <w:sz w:val="22"/>
            <w:szCs w:val="22"/>
          </w:rPr>
          <w:instrText xml:space="preserve"> PAGEREF _Toc71334087 \h </w:instrText>
        </w:r>
        <w:r w:rsidR="005E6568" w:rsidRPr="00F447E8">
          <w:rPr>
            <w:noProof/>
            <w:webHidden/>
            <w:sz w:val="22"/>
            <w:szCs w:val="22"/>
          </w:rPr>
        </w:r>
        <w:r w:rsidR="005E6568" w:rsidRPr="00F447E8">
          <w:rPr>
            <w:noProof/>
            <w:webHidden/>
            <w:sz w:val="22"/>
            <w:szCs w:val="22"/>
          </w:rPr>
          <w:fldChar w:fldCharType="separate"/>
        </w:r>
        <w:r w:rsidR="005050F0">
          <w:rPr>
            <w:noProof/>
            <w:webHidden/>
            <w:sz w:val="22"/>
            <w:szCs w:val="22"/>
          </w:rPr>
          <w:t>60</w:t>
        </w:r>
        <w:r w:rsidR="005E6568" w:rsidRPr="00F447E8">
          <w:rPr>
            <w:noProof/>
            <w:webHidden/>
            <w:sz w:val="22"/>
            <w:szCs w:val="22"/>
          </w:rPr>
          <w:fldChar w:fldCharType="end"/>
        </w:r>
      </w:hyperlink>
    </w:p>
    <w:p w14:paraId="0B19CAEF" w14:textId="69085528" w:rsidR="005E6568" w:rsidRPr="00E27790" w:rsidRDefault="007F7885" w:rsidP="003D0490">
      <w:pPr>
        <w:pStyle w:val="TableofFigures"/>
        <w:tabs>
          <w:tab w:val="right" w:leader="dot" w:pos="8460"/>
        </w:tabs>
        <w:spacing w:line="360" w:lineRule="auto"/>
        <w:ind w:left="1080" w:right="846" w:hanging="1080"/>
        <w:rPr>
          <w:rFonts w:eastAsiaTheme="minorEastAsia"/>
          <w:noProof/>
          <w:sz w:val="22"/>
          <w:szCs w:val="22"/>
          <w:lang w:bidi="ar-SA"/>
        </w:rPr>
      </w:pPr>
      <w:hyperlink w:anchor="_Toc71334088" w:history="1">
        <w:r w:rsidR="005E6568" w:rsidRPr="00E27790">
          <w:rPr>
            <w:rStyle w:val="Hyperlink"/>
            <w:noProof/>
            <w:szCs w:val="22"/>
          </w:rPr>
          <w:t>Figure 3.1</w:t>
        </w:r>
        <w:r w:rsidR="005E6568" w:rsidRPr="00E27790">
          <w:rPr>
            <w:rStyle w:val="Hyperlink"/>
            <w:noProof/>
            <w:szCs w:val="22"/>
            <w:lang w:val="en-CA"/>
          </w:rPr>
          <w:t xml:space="preserve"> Work-flow diagram for the study</w:t>
        </w:r>
        <w:r w:rsidR="005E6568" w:rsidRPr="00E27790">
          <w:rPr>
            <w:noProof/>
            <w:webHidden/>
            <w:sz w:val="22"/>
            <w:szCs w:val="22"/>
          </w:rPr>
          <w:tab/>
        </w:r>
        <w:r w:rsidR="005E6568" w:rsidRPr="00E27790">
          <w:rPr>
            <w:noProof/>
            <w:webHidden/>
            <w:sz w:val="22"/>
            <w:szCs w:val="22"/>
          </w:rPr>
          <w:fldChar w:fldCharType="begin"/>
        </w:r>
        <w:r w:rsidR="005E6568" w:rsidRPr="00E27790">
          <w:rPr>
            <w:noProof/>
            <w:webHidden/>
            <w:sz w:val="22"/>
            <w:szCs w:val="22"/>
          </w:rPr>
          <w:instrText xml:space="preserve"> PAGEREF _Toc71334088 \h </w:instrText>
        </w:r>
        <w:r w:rsidR="005E6568" w:rsidRPr="00E27790">
          <w:rPr>
            <w:noProof/>
            <w:webHidden/>
            <w:sz w:val="22"/>
            <w:szCs w:val="22"/>
          </w:rPr>
        </w:r>
        <w:r w:rsidR="005E6568" w:rsidRPr="00E27790">
          <w:rPr>
            <w:noProof/>
            <w:webHidden/>
            <w:sz w:val="22"/>
            <w:szCs w:val="22"/>
          </w:rPr>
          <w:fldChar w:fldCharType="separate"/>
        </w:r>
        <w:r w:rsidR="005050F0">
          <w:rPr>
            <w:noProof/>
            <w:webHidden/>
            <w:sz w:val="22"/>
            <w:szCs w:val="22"/>
          </w:rPr>
          <w:t>104</w:t>
        </w:r>
        <w:r w:rsidR="005E6568" w:rsidRPr="00E27790">
          <w:rPr>
            <w:noProof/>
            <w:webHidden/>
            <w:sz w:val="22"/>
            <w:szCs w:val="22"/>
          </w:rPr>
          <w:fldChar w:fldCharType="end"/>
        </w:r>
      </w:hyperlink>
    </w:p>
    <w:p w14:paraId="778ADFB4" w14:textId="4754D76A" w:rsidR="005E6568" w:rsidRPr="00E27790" w:rsidRDefault="007F7885" w:rsidP="003D0490">
      <w:pPr>
        <w:pStyle w:val="TableofFigures"/>
        <w:tabs>
          <w:tab w:val="right" w:leader="dot" w:pos="8460"/>
        </w:tabs>
        <w:spacing w:line="360" w:lineRule="auto"/>
        <w:ind w:left="1080" w:right="846" w:hanging="1080"/>
        <w:rPr>
          <w:rFonts w:eastAsiaTheme="minorEastAsia"/>
          <w:noProof/>
          <w:sz w:val="22"/>
          <w:szCs w:val="22"/>
          <w:lang w:bidi="ar-SA"/>
        </w:rPr>
      </w:pPr>
      <w:hyperlink w:anchor="_Toc71334089" w:history="1">
        <w:r w:rsidR="005E6568" w:rsidRPr="00E27790">
          <w:rPr>
            <w:rStyle w:val="Hyperlink"/>
            <w:noProof/>
            <w:szCs w:val="22"/>
          </w:rPr>
          <w:t>Figure 3.2 Setup for (a) DWP test on binder coated glass plates, (b) FTIR test on binder, and (c) USD test on aggregate.</w:t>
        </w:r>
        <w:r w:rsidR="005E6568" w:rsidRPr="00E27790">
          <w:rPr>
            <w:noProof/>
            <w:webHidden/>
            <w:sz w:val="22"/>
            <w:szCs w:val="22"/>
          </w:rPr>
          <w:tab/>
        </w:r>
        <w:r w:rsidR="005E6568" w:rsidRPr="00E27790">
          <w:rPr>
            <w:noProof/>
            <w:webHidden/>
            <w:sz w:val="22"/>
            <w:szCs w:val="22"/>
          </w:rPr>
          <w:fldChar w:fldCharType="begin"/>
        </w:r>
        <w:r w:rsidR="005E6568" w:rsidRPr="00E27790">
          <w:rPr>
            <w:noProof/>
            <w:webHidden/>
            <w:sz w:val="22"/>
            <w:szCs w:val="22"/>
          </w:rPr>
          <w:instrText xml:space="preserve"> PAGEREF _Toc71334089 \h </w:instrText>
        </w:r>
        <w:r w:rsidR="005E6568" w:rsidRPr="00E27790">
          <w:rPr>
            <w:noProof/>
            <w:webHidden/>
            <w:sz w:val="22"/>
            <w:szCs w:val="22"/>
          </w:rPr>
        </w:r>
        <w:r w:rsidR="005E6568" w:rsidRPr="00E27790">
          <w:rPr>
            <w:noProof/>
            <w:webHidden/>
            <w:sz w:val="22"/>
            <w:szCs w:val="22"/>
          </w:rPr>
          <w:fldChar w:fldCharType="separate"/>
        </w:r>
        <w:r w:rsidR="005050F0">
          <w:rPr>
            <w:noProof/>
            <w:webHidden/>
            <w:sz w:val="22"/>
            <w:szCs w:val="22"/>
          </w:rPr>
          <w:t>104</w:t>
        </w:r>
        <w:r w:rsidR="005E6568" w:rsidRPr="00E27790">
          <w:rPr>
            <w:noProof/>
            <w:webHidden/>
            <w:sz w:val="22"/>
            <w:szCs w:val="22"/>
          </w:rPr>
          <w:fldChar w:fldCharType="end"/>
        </w:r>
      </w:hyperlink>
    </w:p>
    <w:p w14:paraId="25B4F507" w14:textId="470674C7" w:rsidR="005E6568" w:rsidRPr="00E27790" w:rsidRDefault="007F7885" w:rsidP="003D0490">
      <w:pPr>
        <w:pStyle w:val="TableofFigures"/>
        <w:tabs>
          <w:tab w:val="right" w:leader="dot" w:pos="8460"/>
        </w:tabs>
        <w:spacing w:line="360" w:lineRule="auto"/>
        <w:ind w:left="1080" w:right="846" w:hanging="1080"/>
        <w:rPr>
          <w:rFonts w:eastAsiaTheme="minorEastAsia"/>
          <w:noProof/>
          <w:sz w:val="22"/>
          <w:szCs w:val="22"/>
          <w:lang w:bidi="ar-SA"/>
        </w:rPr>
      </w:pPr>
      <w:hyperlink w:anchor="_Toc71334090" w:history="1">
        <w:r w:rsidR="005E6568" w:rsidRPr="00E27790">
          <w:rPr>
            <w:rStyle w:val="Hyperlink"/>
            <w:noProof/>
            <w:szCs w:val="22"/>
          </w:rPr>
          <w:t>Figure 3.3 FTIR Spectra of unaged PG 64-22 and PG 76-28 binders</w:t>
        </w:r>
        <w:r w:rsidR="005E6568" w:rsidRPr="00E27790">
          <w:rPr>
            <w:noProof/>
            <w:webHidden/>
            <w:sz w:val="22"/>
            <w:szCs w:val="22"/>
          </w:rPr>
          <w:tab/>
        </w:r>
        <w:r w:rsidR="005E6568" w:rsidRPr="00E27790">
          <w:rPr>
            <w:noProof/>
            <w:webHidden/>
            <w:sz w:val="22"/>
            <w:szCs w:val="22"/>
          </w:rPr>
          <w:fldChar w:fldCharType="begin"/>
        </w:r>
        <w:r w:rsidR="005E6568" w:rsidRPr="00E27790">
          <w:rPr>
            <w:noProof/>
            <w:webHidden/>
            <w:sz w:val="22"/>
            <w:szCs w:val="22"/>
          </w:rPr>
          <w:instrText xml:space="preserve"> PAGEREF _Toc71334090 \h </w:instrText>
        </w:r>
        <w:r w:rsidR="005E6568" w:rsidRPr="00E27790">
          <w:rPr>
            <w:noProof/>
            <w:webHidden/>
            <w:sz w:val="22"/>
            <w:szCs w:val="22"/>
          </w:rPr>
        </w:r>
        <w:r w:rsidR="005E6568" w:rsidRPr="00E27790">
          <w:rPr>
            <w:noProof/>
            <w:webHidden/>
            <w:sz w:val="22"/>
            <w:szCs w:val="22"/>
          </w:rPr>
          <w:fldChar w:fldCharType="separate"/>
        </w:r>
        <w:r w:rsidR="005050F0">
          <w:rPr>
            <w:noProof/>
            <w:webHidden/>
            <w:sz w:val="22"/>
            <w:szCs w:val="22"/>
          </w:rPr>
          <w:t>105</w:t>
        </w:r>
        <w:r w:rsidR="005E6568" w:rsidRPr="00E27790">
          <w:rPr>
            <w:noProof/>
            <w:webHidden/>
            <w:sz w:val="22"/>
            <w:szCs w:val="22"/>
          </w:rPr>
          <w:fldChar w:fldCharType="end"/>
        </w:r>
      </w:hyperlink>
    </w:p>
    <w:p w14:paraId="2A28D21B" w14:textId="63CC6EA4" w:rsidR="005E6568" w:rsidRPr="00E27790" w:rsidRDefault="007F7885" w:rsidP="003D0490">
      <w:pPr>
        <w:pStyle w:val="TableofFigures"/>
        <w:tabs>
          <w:tab w:val="right" w:leader="dot" w:pos="8460"/>
        </w:tabs>
        <w:spacing w:line="360" w:lineRule="auto"/>
        <w:ind w:left="1080" w:right="846" w:hanging="1080"/>
        <w:rPr>
          <w:rFonts w:eastAsiaTheme="minorEastAsia"/>
          <w:noProof/>
          <w:sz w:val="22"/>
          <w:szCs w:val="22"/>
          <w:lang w:bidi="ar-SA"/>
        </w:rPr>
      </w:pPr>
      <w:hyperlink w:anchor="_Toc71334091" w:history="1">
        <w:r w:rsidR="005E6568" w:rsidRPr="00E27790">
          <w:rPr>
            <w:rStyle w:val="Hyperlink"/>
            <w:noProof/>
            <w:szCs w:val="22"/>
          </w:rPr>
          <w:t>Figure 3.4</w:t>
        </w:r>
        <w:r w:rsidR="005E6568" w:rsidRPr="00E27790">
          <w:rPr>
            <w:rStyle w:val="Hyperlink"/>
            <w:noProof/>
            <w:szCs w:val="22"/>
            <w:lang w:val="en-CA"/>
          </w:rPr>
          <w:t xml:space="preserve"> FTIR Spectra for PG 64-22 and PG 76-28 binders with WMA additives at different aging conditions</w:t>
        </w:r>
        <w:r w:rsidR="005E6568" w:rsidRPr="00E27790">
          <w:rPr>
            <w:noProof/>
            <w:webHidden/>
            <w:sz w:val="22"/>
            <w:szCs w:val="22"/>
          </w:rPr>
          <w:tab/>
        </w:r>
        <w:r w:rsidR="005E6568" w:rsidRPr="00E27790">
          <w:rPr>
            <w:noProof/>
            <w:webHidden/>
            <w:sz w:val="22"/>
            <w:szCs w:val="22"/>
          </w:rPr>
          <w:fldChar w:fldCharType="begin"/>
        </w:r>
        <w:r w:rsidR="005E6568" w:rsidRPr="00E27790">
          <w:rPr>
            <w:noProof/>
            <w:webHidden/>
            <w:sz w:val="22"/>
            <w:szCs w:val="22"/>
          </w:rPr>
          <w:instrText xml:space="preserve"> PAGEREF _Toc71334091 \h </w:instrText>
        </w:r>
        <w:r w:rsidR="005E6568" w:rsidRPr="00E27790">
          <w:rPr>
            <w:noProof/>
            <w:webHidden/>
            <w:sz w:val="22"/>
            <w:szCs w:val="22"/>
          </w:rPr>
        </w:r>
        <w:r w:rsidR="005E6568" w:rsidRPr="00E27790">
          <w:rPr>
            <w:noProof/>
            <w:webHidden/>
            <w:sz w:val="22"/>
            <w:szCs w:val="22"/>
          </w:rPr>
          <w:fldChar w:fldCharType="separate"/>
        </w:r>
        <w:r w:rsidR="005050F0">
          <w:rPr>
            <w:noProof/>
            <w:webHidden/>
            <w:sz w:val="22"/>
            <w:szCs w:val="22"/>
          </w:rPr>
          <w:t>105</w:t>
        </w:r>
        <w:r w:rsidR="005E6568" w:rsidRPr="00E27790">
          <w:rPr>
            <w:noProof/>
            <w:webHidden/>
            <w:sz w:val="22"/>
            <w:szCs w:val="22"/>
          </w:rPr>
          <w:fldChar w:fldCharType="end"/>
        </w:r>
      </w:hyperlink>
    </w:p>
    <w:p w14:paraId="7B111100" w14:textId="63AF6E1B" w:rsidR="005E6568" w:rsidRPr="00E27790" w:rsidRDefault="007F7885" w:rsidP="003D0490">
      <w:pPr>
        <w:pStyle w:val="TableofFigures"/>
        <w:tabs>
          <w:tab w:val="right" w:leader="dot" w:pos="8460"/>
        </w:tabs>
        <w:spacing w:line="360" w:lineRule="auto"/>
        <w:ind w:left="1080" w:right="846" w:hanging="1080"/>
        <w:rPr>
          <w:rFonts w:eastAsiaTheme="minorEastAsia"/>
          <w:noProof/>
          <w:sz w:val="22"/>
          <w:szCs w:val="22"/>
          <w:lang w:bidi="ar-SA"/>
        </w:rPr>
      </w:pPr>
      <w:hyperlink w:anchor="_Toc71334092" w:history="1">
        <w:r w:rsidR="005E6568" w:rsidRPr="00E27790">
          <w:rPr>
            <w:rStyle w:val="Hyperlink"/>
            <w:noProof/>
            <w:szCs w:val="22"/>
          </w:rPr>
          <w:t>Figure 3.5</w:t>
        </w:r>
        <w:r w:rsidR="005E6568" w:rsidRPr="00E27790">
          <w:rPr>
            <w:rStyle w:val="Hyperlink"/>
            <w:noProof/>
            <w:szCs w:val="22"/>
            <w:lang w:val="en-CA"/>
          </w:rPr>
          <w:t xml:space="preserve"> FTIR Spectra for PG 64-22 and PG 76-28 binders with ASA additives at different aging conditions</w:t>
        </w:r>
        <w:r w:rsidR="005E6568" w:rsidRPr="00E27790">
          <w:rPr>
            <w:noProof/>
            <w:webHidden/>
            <w:sz w:val="22"/>
            <w:szCs w:val="22"/>
          </w:rPr>
          <w:tab/>
        </w:r>
        <w:r w:rsidR="005E6568" w:rsidRPr="00E27790">
          <w:rPr>
            <w:noProof/>
            <w:webHidden/>
            <w:sz w:val="22"/>
            <w:szCs w:val="22"/>
          </w:rPr>
          <w:fldChar w:fldCharType="begin"/>
        </w:r>
        <w:r w:rsidR="005E6568" w:rsidRPr="00E27790">
          <w:rPr>
            <w:noProof/>
            <w:webHidden/>
            <w:sz w:val="22"/>
            <w:szCs w:val="22"/>
          </w:rPr>
          <w:instrText xml:space="preserve"> PAGEREF _Toc71334092 \h </w:instrText>
        </w:r>
        <w:r w:rsidR="005E6568" w:rsidRPr="00E27790">
          <w:rPr>
            <w:noProof/>
            <w:webHidden/>
            <w:sz w:val="22"/>
            <w:szCs w:val="22"/>
          </w:rPr>
        </w:r>
        <w:r w:rsidR="005E6568" w:rsidRPr="00E27790">
          <w:rPr>
            <w:noProof/>
            <w:webHidden/>
            <w:sz w:val="22"/>
            <w:szCs w:val="22"/>
          </w:rPr>
          <w:fldChar w:fldCharType="separate"/>
        </w:r>
        <w:r w:rsidR="005050F0">
          <w:rPr>
            <w:noProof/>
            <w:webHidden/>
            <w:sz w:val="22"/>
            <w:szCs w:val="22"/>
          </w:rPr>
          <w:t>106</w:t>
        </w:r>
        <w:r w:rsidR="005E6568" w:rsidRPr="00E27790">
          <w:rPr>
            <w:noProof/>
            <w:webHidden/>
            <w:sz w:val="22"/>
            <w:szCs w:val="22"/>
          </w:rPr>
          <w:fldChar w:fldCharType="end"/>
        </w:r>
      </w:hyperlink>
    </w:p>
    <w:p w14:paraId="58C619DF" w14:textId="506A9C3F" w:rsidR="005E6568" w:rsidRPr="00E27790" w:rsidRDefault="007F7885" w:rsidP="003D0490">
      <w:pPr>
        <w:pStyle w:val="TableofFigures"/>
        <w:tabs>
          <w:tab w:val="right" w:leader="dot" w:pos="8460"/>
        </w:tabs>
        <w:spacing w:line="360" w:lineRule="auto"/>
        <w:ind w:left="1080" w:right="846" w:hanging="1080"/>
        <w:rPr>
          <w:rFonts w:eastAsiaTheme="minorEastAsia"/>
          <w:noProof/>
          <w:sz w:val="22"/>
          <w:szCs w:val="22"/>
          <w:lang w:bidi="ar-SA"/>
        </w:rPr>
      </w:pPr>
      <w:hyperlink w:anchor="_Toc71334093" w:history="1">
        <w:r w:rsidR="005E6568" w:rsidRPr="00E27790">
          <w:rPr>
            <w:rStyle w:val="Hyperlink"/>
            <w:noProof/>
            <w:szCs w:val="22"/>
          </w:rPr>
          <w:t xml:space="preserve">Figure 3.6 </w:t>
        </w:r>
        <w:r w:rsidR="005E6568" w:rsidRPr="00E27790">
          <w:rPr>
            <w:rStyle w:val="Hyperlink"/>
            <w:noProof/>
            <w:szCs w:val="22"/>
            <w:lang w:val="en-CA"/>
          </w:rPr>
          <w:t>FTIR Spectra for PG 64-22 and PG 76-28 binders with 20% RAP binder at different aging conditions</w:t>
        </w:r>
        <w:r w:rsidR="005E6568" w:rsidRPr="00E27790">
          <w:rPr>
            <w:noProof/>
            <w:webHidden/>
            <w:sz w:val="22"/>
            <w:szCs w:val="22"/>
          </w:rPr>
          <w:tab/>
        </w:r>
        <w:r w:rsidR="005E6568" w:rsidRPr="00E27790">
          <w:rPr>
            <w:noProof/>
            <w:webHidden/>
            <w:sz w:val="22"/>
            <w:szCs w:val="22"/>
          </w:rPr>
          <w:fldChar w:fldCharType="begin"/>
        </w:r>
        <w:r w:rsidR="005E6568" w:rsidRPr="00E27790">
          <w:rPr>
            <w:noProof/>
            <w:webHidden/>
            <w:sz w:val="22"/>
            <w:szCs w:val="22"/>
          </w:rPr>
          <w:instrText xml:space="preserve"> PAGEREF _Toc71334093 \h </w:instrText>
        </w:r>
        <w:r w:rsidR="005E6568" w:rsidRPr="00E27790">
          <w:rPr>
            <w:noProof/>
            <w:webHidden/>
            <w:sz w:val="22"/>
            <w:szCs w:val="22"/>
          </w:rPr>
        </w:r>
        <w:r w:rsidR="005E6568" w:rsidRPr="00E27790">
          <w:rPr>
            <w:noProof/>
            <w:webHidden/>
            <w:sz w:val="22"/>
            <w:szCs w:val="22"/>
          </w:rPr>
          <w:fldChar w:fldCharType="separate"/>
        </w:r>
        <w:r w:rsidR="005050F0">
          <w:rPr>
            <w:noProof/>
            <w:webHidden/>
            <w:sz w:val="22"/>
            <w:szCs w:val="22"/>
          </w:rPr>
          <w:t>106</w:t>
        </w:r>
        <w:r w:rsidR="005E6568" w:rsidRPr="00E27790">
          <w:rPr>
            <w:noProof/>
            <w:webHidden/>
            <w:sz w:val="22"/>
            <w:szCs w:val="22"/>
          </w:rPr>
          <w:fldChar w:fldCharType="end"/>
        </w:r>
      </w:hyperlink>
    </w:p>
    <w:p w14:paraId="42DB5701" w14:textId="00E12F6F" w:rsidR="005E6568" w:rsidRPr="00E27790" w:rsidRDefault="007F7885" w:rsidP="003D0490">
      <w:pPr>
        <w:pStyle w:val="TableofFigures"/>
        <w:tabs>
          <w:tab w:val="right" w:leader="dot" w:pos="8460"/>
        </w:tabs>
        <w:spacing w:line="360" w:lineRule="auto"/>
        <w:ind w:left="1080" w:right="846" w:hanging="1080"/>
        <w:rPr>
          <w:rFonts w:eastAsiaTheme="minorEastAsia"/>
          <w:noProof/>
          <w:sz w:val="22"/>
          <w:szCs w:val="22"/>
          <w:lang w:bidi="ar-SA"/>
        </w:rPr>
      </w:pPr>
      <w:hyperlink w:anchor="_Toc71334094" w:history="1">
        <w:r w:rsidR="005E6568" w:rsidRPr="00E27790">
          <w:rPr>
            <w:rStyle w:val="Hyperlink"/>
            <w:noProof/>
            <w:szCs w:val="22"/>
          </w:rPr>
          <w:t xml:space="preserve">Figure 3.7 </w:t>
        </w:r>
        <w:r w:rsidR="005E6568" w:rsidRPr="00E27790">
          <w:rPr>
            <w:rStyle w:val="Hyperlink"/>
            <w:noProof/>
            <w:szCs w:val="22"/>
            <w:lang w:val="en-CA"/>
          </w:rPr>
          <w:t>FTIR Spectra for PG 64-22 binder with 1.5% PPA at different aging conditions</w:t>
        </w:r>
        <w:r w:rsidR="005E6568" w:rsidRPr="00E27790">
          <w:rPr>
            <w:noProof/>
            <w:webHidden/>
            <w:sz w:val="22"/>
            <w:szCs w:val="22"/>
          </w:rPr>
          <w:tab/>
        </w:r>
        <w:r w:rsidR="005E6568" w:rsidRPr="00E27790">
          <w:rPr>
            <w:noProof/>
            <w:webHidden/>
            <w:sz w:val="22"/>
            <w:szCs w:val="22"/>
          </w:rPr>
          <w:fldChar w:fldCharType="begin"/>
        </w:r>
        <w:r w:rsidR="005E6568" w:rsidRPr="00E27790">
          <w:rPr>
            <w:noProof/>
            <w:webHidden/>
            <w:sz w:val="22"/>
            <w:szCs w:val="22"/>
          </w:rPr>
          <w:instrText xml:space="preserve"> PAGEREF _Toc71334094 \h </w:instrText>
        </w:r>
        <w:r w:rsidR="005E6568" w:rsidRPr="00E27790">
          <w:rPr>
            <w:noProof/>
            <w:webHidden/>
            <w:sz w:val="22"/>
            <w:szCs w:val="22"/>
          </w:rPr>
        </w:r>
        <w:r w:rsidR="005E6568" w:rsidRPr="00E27790">
          <w:rPr>
            <w:noProof/>
            <w:webHidden/>
            <w:sz w:val="22"/>
            <w:szCs w:val="22"/>
          </w:rPr>
          <w:fldChar w:fldCharType="separate"/>
        </w:r>
        <w:r w:rsidR="005050F0">
          <w:rPr>
            <w:noProof/>
            <w:webHidden/>
            <w:sz w:val="22"/>
            <w:szCs w:val="22"/>
          </w:rPr>
          <w:t>107</w:t>
        </w:r>
        <w:r w:rsidR="005E6568" w:rsidRPr="00E27790">
          <w:rPr>
            <w:noProof/>
            <w:webHidden/>
            <w:sz w:val="22"/>
            <w:szCs w:val="22"/>
          </w:rPr>
          <w:fldChar w:fldCharType="end"/>
        </w:r>
      </w:hyperlink>
    </w:p>
    <w:p w14:paraId="73A596C7" w14:textId="4E6E6F1D" w:rsidR="005E6568" w:rsidRPr="00E27790" w:rsidRDefault="007F7885" w:rsidP="003D0490">
      <w:pPr>
        <w:pStyle w:val="TableofFigures"/>
        <w:tabs>
          <w:tab w:val="right" w:leader="dot" w:pos="8460"/>
        </w:tabs>
        <w:spacing w:line="360" w:lineRule="auto"/>
        <w:ind w:left="1080" w:right="846" w:hanging="1080"/>
        <w:rPr>
          <w:rFonts w:eastAsiaTheme="minorEastAsia"/>
          <w:noProof/>
          <w:sz w:val="22"/>
          <w:szCs w:val="22"/>
          <w:lang w:bidi="ar-SA"/>
        </w:rPr>
      </w:pPr>
      <w:hyperlink w:anchor="_Toc71334095" w:history="1">
        <w:r w:rsidR="005E6568" w:rsidRPr="00E27790">
          <w:rPr>
            <w:rStyle w:val="Hyperlink"/>
            <w:noProof/>
            <w:szCs w:val="22"/>
          </w:rPr>
          <w:t>Figure 3.8</w:t>
        </w:r>
        <w:r w:rsidR="005E6568" w:rsidRPr="00E27790">
          <w:rPr>
            <w:rStyle w:val="Hyperlink"/>
            <w:i/>
            <w:iCs/>
            <w:noProof/>
            <w:szCs w:val="22"/>
            <w:lang w:val="en-CA"/>
          </w:rPr>
          <w:t xml:space="preserve"> I</w:t>
        </w:r>
        <w:r w:rsidR="005E6568" w:rsidRPr="00E27790">
          <w:rPr>
            <w:rStyle w:val="Hyperlink"/>
            <w:i/>
            <w:iCs/>
            <w:noProof/>
            <w:szCs w:val="22"/>
            <w:vertAlign w:val="subscript"/>
            <w:lang w:val="en-CA"/>
          </w:rPr>
          <w:t>CO</w:t>
        </w:r>
        <w:r w:rsidR="005E6568" w:rsidRPr="00E27790">
          <w:rPr>
            <w:rStyle w:val="Hyperlink"/>
            <w:noProof/>
            <w:szCs w:val="22"/>
            <w:lang w:val="en-CA"/>
          </w:rPr>
          <w:t xml:space="preserve"> based on peak heights at 1695 and 1740 cm</w:t>
        </w:r>
        <w:r w:rsidR="005E6568" w:rsidRPr="00E27790">
          <w:rPr>
            <w:rStyle w:val="Hyperlink"/>
            <w:noProof/>
            <w:szCs w:val="22"/>
            <w:vertAlign w:val="superscript"/>
            <w:lang w:val="en-CA"/>
          </w:rPr>
          <w:t>-1</w:t>
        </w:r>
        <w:r w:rsidR="005E6568" w:rsidRPr="00E27790">
          <w:rPr>
            <w:rStyle w:val="Hyperlink"/>
            <w:noProof/>
            <w:szCs w:val="22"/>
            <w:lang w:val="en-CA"/>
          </w:rPr>
          <w:t xml:space="preserve"> for (a) PG 64-22 and (b) PG 76-28 binders</w:t>
        </w:r>
        <w:r w:rsidR="005E6568" w:rsidRPr="00E27790">
          <w:rPr>
            <w:noProof/>
            <w:webHidden/>
            <w:sz w:val="22"/>
            <w:szCs w:val="22"/>
          </w:rPr>
          <w:tab/>
        </w:r>
        <w:r w:rsidR="005E6568" w:rsidRPr="00E27790">
          <w:rPr>
            <w:noProof/>
            <w:webHidden/>
            <w:sz w:val="22"/>
            <w:szCs w:val="22"/>
          </w:rPr>
          <w:fldChar w:fldCharType="begin"/>
        </w:r>
        <w:r w:rsidR="005E6568" w:rsidRPr="00E27790">
          <w:rPr>
            <w:noProof/>
            <w:webHidden/>
            <w:sz w:val="22"/>
            <w:szCs w:val="22"/>
          </w:rPr>
          <w:instrText xml:space="preserve"> PAGEREF _Toc71334095 \h </w:instrText>
        </w:r>
        <w:r w:rsidR="005E6568" w:rsidRPr="00E27790">
          <w:rPr>
            <w:noProof/>
            <w:webHidden/>
            <w:sz w:val="22"/>
            <w:szCs w:val="22"/>
          </w:rPr>
        </w:r>
        <w:r w:rsidR="005E6568" w:rsidRPr="00E27790">
          <w:rPr>
            <w:noProof/>
            <w:webHidden/>
            <w:sz w:val="22"/>
            <w:szCs w:val="22"/>
          </w:rPr>
          <w:fldChar w:fldCharType="separate"/>
        </w:r>
        <w:r w:rsidR="005050F0">
          <w:rPr>
            <w:noProof/>
            <w:webHidden/>
            <w:sz w:val="22"/>
            <w:szCs w:val="22"/>
          </w:rPr>
          <w:t>108</w:t>
        </w:r>
        <w:r w:rsidR="005E6568" w:rsidRPr="00E27790">
          <w:rPr>
            <w:noProof/>
            <w:webHidden/>
            <w:sz w:val="22"/>
            <w:szCs w:val="22"/>
          </w:rPr>
          <w:fldChar w:fldCharType="end"/>
        </w:r>
      </w:hyperlink>
    </w:p>
    <w:p w14:paraId="32965332" w14:textId="6D710E65" w:rsidR="005E6568" w:rsidRPr="00E27790" w:rsidRDefault="007F7885" w:rsidP="003D0490">
      <w:pPr>
        <w:pStyle w:val="TableofFigures"/>
        <w:tabs>
          <w:tab w:val="right" w:leader="dot" w:pos="8460"/>
        </w:tabs>
        <w:spacing w:line="360" w:lineRule="auto"/>
        <w:ind w:left="1080" w:right="846" w:hanging="1080"/>
        <w:rPr>
          <w:rFonts w:eastAsiaTheme="minorEastAsia"/>
          <w:noProof/>
          <w:sz w:val="22"/>
          <w:szCs w:val="22"/>
          <w:lang w:bidi="ar-SA"/>
        </w:rPr>
      </w:pPr>
      <w:hyperlink w:anchor="_Toc71334096" w:history="1">
        <w:r w:rsidR="005E6568" w:rsidRPr="00E27790">
          <w:rPr>
            <w:rStyle w:val="Hyperlink"/>
            <w:noProof/>
            <w:szCs w:val="22"/>
          </w:rPr>
          <w:t>Figure 3.9</w:t>
        </w:r>
        <w:r w:rsidR="005E6568" w:rsidRPr="00E27790">
          <w:rPr>
            <w:rStyle w:val="Hyperlink"/>
            <w:noProof/>
            <w:szCs w:val="22"/>
            <w:lang w:val="en-CA"/>
          </w:rPr>
          <w:t xml:space="preserve"> </w:t>
        </w:r>
        <w:r w:rsidR="005E6568" w:rsidRPr="00E27790">
          <w:rPr>
            <w:rStyle w:val="Hyperlink"/>
            <w:i/>
            <w:iCs/>
            <w:noProof/>
            <w:szCs w:val="22"/>
            <w:lang w:val="en-CA"/>
          </w:rPr>
          <w:t>I</w:t>
        </w:r>
        <w:r w:rsidR="005E6568" w:rsidRPr="00E27790">
          <w:rPr>
            <w:rStyle w:val="Hyperlink"/>
            <w:i/>
            <w:iCs/>
            <w:noProof/>
            <w:szCs w:val="22"/>
            <w:vertAlign w:val="subscript"/>
            <w:lang w:val="en-CA"/>
          </w:rPr>
          <w:t>SO</w:t>
        </w:r>
        <w:r w:rsidR="005E6568" w:rsidRPr="00E27790">
          <w:rPr>
            <w:rStyle w:val="Hyperlink"/>
            <w:noProof/>
            <w:szCs w:val="22"/>
            <w:lang w:val="en-CA"/>
          </w:rPr>
          <w:t xml:space="preserve"> based on peak height at 1030 cm</w:t>
        </w:r>
        <w:r w:rsidR="005E6568" w:rsidRPr="00E27790">
          <w:rPr>
            <w:rStyle w:val="Hyperlink"/>
            <w:noProof/>
            <w:szCs w:val="22"/>
            <w:vertAlign w:val="superscript"/>
            <w:lang w:val="en-CA"/>
          </w:rPr>
          <w:t>-1</w:t>
        </w:r>
        <w:r w:rsidR="005E6568" w:rsidRPr="00E27790">
          <w:rPr>
            <w:rStyle w:val="Hyperlink"/>
            <w:noProof/>
            <w:szCs w:val="22"/>
            <w:lang w:val="en-CA"/>
          </w:rPr>
          <w:t xml:space="preserve"> for (a) PG 64-22 and (b) PG 76-28 binders</w:t>
        </w:r>
        <w:r w:rsidR="005E6568" w:rsidRPr="00E27790">
          <w:rPr>
            <w:noProof/>
            <w:webHidden/>
            <w:sz w:val="22"/>
            <w:szCs w:val="22"/>
          </w:rPr>
          <w:tab/>
        </w:r>
        <w:r w:rsidR="005E6568" w:rsidRPr="00E27790">
          <w:rPr>
            <w:noProof/>
            <w:webHidden/>
            <w:sz w:val="22"/>
            <w:szCs w:val="22"/>
          </w:rPr>
          <w:fldChar w:fldCharType="begin"/>
        </w:r>
        <w:r w:rsidR="005E6568" w:rsidRPr="00E27790">
          <w:rPr>
            <w:noProof/>
            <w:webHidden/>
            <w:sz w:val="22"/>
            <w:szCs w:val="22"/>
          </w:rPr>
          <w:instrText xml:space="preserve"> PAGEREF _Toc71334096 \h </w:instrText>
        </w:r>
        <w:r w:rsidR="005E6568" w:rsidRPr="00E27790">
          <w:rPr>
            <w:noProof/>
            <w:webHidden/>
            <w:sz w:val="22"/>
            <w:szCs w:val="22"/>
          </w:rPr>
        </w:r>
        <w:r w:rsidR="005E6568" w:rsidRPr="00E27790">
          <w:rPr>
            <w:noProof/>
            <w:webHidden/>
            <w:sz w:val="22"/>
            <w:szCs w:val="22"/>
          </w:rPr>
          <w:fldChar w:fldCharType="separate"/>
        </w:r>
        <w:r w:rsidR="005050F0">
          <w:rPr>
            <w:noProof/>
            <w:webHidden/>
            <w:sz w:val="22"/>
            <w:szCs w:val="22"/>
          </w:rPr>
          <w:t>109</w:t>
        </w:r>
        <w:r w:rsidR="005E6568" w:rsidRPr="00E27790">
          <w:rPr>
            <w:noProof/>
            <w:webHidden/>
            <w:sz w:val="22"/>
            <w:szCs w:val="22"/>
          </w:rPr>
          <w:fldChar w:fldCharType="end"/>
        </w:r>
      </w:hyperlink>
    </w:p>
    <w:p w14:paraId="4C02653A" w14:textId="772ECAB6" w:rsidR="005E6568" w:rsidRPr="00E27790" w:rsidRDefault="007F7885" w:rsidP="003D0490">
      <w:pPr>
        <w:pStyle w:val="TableofFigures"/>
        <w:tabs>
          <w:tab w:val="right" w:leader="dot" w:pos="8460"/>
        </w:tabs>
        <w:spacing w:line="360" w:lineRule="auto"/>
        <w:ind w:left="1080" w:right="846" w:hanging="1080"/>
        <w:rPr>
          <w:rFonts w:eastAsiaTheme="minorEastAsia"/>
          <w:noProof/>
          <w:sz w:val="22"/>
          <w:szCs w:val="22"/>
          <w:lang w:bidi="ar-SA"/>
        </w:rPr>
      </w:pPr>
      <w:hyperlink w:anchor="_Toc71334097" w:history="1">
        <w:r w:rsidR="005E6568" w:rsidRPr="00E27790">
          <w:rPr>
            <w:rStyle w:val="Hyperlink"/>
            <w:noProof/>
            <w:szCs w:val="22"/>
          </w:rPr>
          <w:t>Figure 4.1 Work-flow diagram for the present study</w:t>
        </w:r>
        <w:r w:rsidR="005E6568" w:rsidRPr="00E27790">
          <w:rPr>
            <w:noProof/>
            <w:webHidden/>
            <w:sz w:val="22"/>
            <w:szCs w:val="22"/>
          </w:rPr>
          <w:tab/>
        </w:r>
        <w:r w:rsidR="005E6568" w:rsidRPr="00E27790">
          <w:rPr>
            <w:noProof/>
            <w:webHidden/>
            <w:sz w:val="22"/>
            <w:szCs w:val="22"/>
          </w:rPr>
          <w:fldChar w:fldCharType="begin"/>
        </w:r>
        <w:r w:rsidR="005E6568" w:rsidRPr="00E27790">
          <w:rPr>
            <w:noProof/>
            <w:webHidden/>
            <w:sz w:val="22"/>
            <w:szCs w:val="22"/>
          </w:rPr>
          <w:instrText xml:space="preserve"> PAGEREF _Toc71334097 \h </w:instrText>
        </w:r>
        <w:r w:rsidR="005E6568" w:rsidRPr="00E27790">
          <w:rPr>
            <w:noProof/>
            <w:webHidden/>
            <w:sz w:val="22"/>
            <w:szCs w:val="22"/>
          </w:rPr>
        </w:r>
        <w:r w:rsidR="005E6568" w:rsidRPr="00E27790">
          <w:rPr>
            <w:noProof/>
            <w:webHidden/>
            <w:sz w:val="22"/>
            <w:szCs w:val="22"/>
          </w:rPr>
          <w:fldChar w:fldCharType="separate"/>
        </w:r>
        <w:r w:rsidR="005050F0">
          <w:rPr>
            <w:noProof/>
            <w:webHidden/>
            <w:sz w:val="22"/>
            <w:szCs w:val="22"/>
          </w:rPr>
          <w:t>138</w:t>
        </w:r>
        <w:r w:rsidR="005E6568" w:rsidRPr="00E27790">
          <w:rPr>
            <w:noProof/>
            <w:webHidden/>
            <w:sz w:val="22"/>
            <w:szCs w:val="22"/>
          </w:rPr>
          <w:fldChar w:fldCharType="end"/>
        </w:r>
      </w:hyperlink>
    </w:p>
    <w:p w14:paraId="12F24787" w14:textId="4992713A" w:rsidR="005E6568" w:rsidRPr="00E27790" w:rsidRDefault="007F7885" w:rsidP="003D0490">
      <w:pPr>
        <w:pStyle w:val="TableofFigures"/>
        <w:tabs>
          <w:tab w:val="right" w:leader="dot" w:pos="8460"/>
        </w:tabs>
        <w:spacing w:line="360" w:lineRule="auto"/>
        <w:ind w:left="1080" w:right="846" w:hanging="1080"/>
        <w:rPr>
          <w:rFonts w:eastAsiaTheme="minorEastAsia"/>
          <w:noProof/>
          <w:sz w:val="22"/>
          <w:szCs w:val="22"/>
          <w:lang w:bidi="ar-SA"/>
        </w:rPr>
      </w:pPr>
      <w:hyperlink w:anchor="_Toc71334098" w:history="1">
        <w:r w:rsidR="005E6568" w:rsidRPr="00E27790">
          <w:rPr>
            <w:rStyle w:val="Hyperlink"/>
            <w:noProof/>
            <w:szCs w:val="22"/>
          </w:rPr>
          <w:t>Figure 4.2 Gradation curve for the mixes</w:t>
        </w:r>
        <w:r w:rsidR="005E6568" w:rsidRPr="00E27790">
          <w:rPr>
            <w:noProof/>
            <w:webHidden/>
            <w:sz w:val="22"/>
            <w:szCs w:val="22"/>
          </w:rPr>
          <w:tab/>
        </w:r>
        <w:r w:rsidR="005E6568" w:rsidRPr="00E27790">
          <w:rPr>
            <w:noProof/>
            <w:webHidden/>
            <w:sz w:val="22"/>
            <w:szCs w:val="22"/>
          </w:rPr>
          <w:fldChar w:fldCharType="begin"/>
        </w:r>
        <w:r w:rsidR="005E6568" w:rsidRPr="00E27790">
          <w:rPr>
            <w:noProof/>
            <w:webHidden/>
            <w:sz w:val="22"/>
            <w:szCs w:val="22"/>
          </w:rPr>
          <w:instrText xml:space="preserve"> PAGEREF _Toc71334098 \h </w:instrText>
        </w:r>
        <w:r w:rsidR="005E6568" w:rsidRPr="00E27790">
          <w:rPr>
            <w:noProof/>
            <w:webHidden/>
            <w:sz w:val="22"/>
            <w:szCs w:val="22"/>
          </w:rPr>
        </w:r>
        <w:r w:rsidR="005E6568" w:rsidRPr="00E27790">
          <w:rPr>
            <w:noProof/>
            <w:webHidden/>
            <w:sz w:val="22"/>
            <w:szCs w:val="22"/>
          </w:rPr>
          <w:fldChar w:fldCharType="separate"/>
        </w:r>
        <w:r w:rsidR="005050F0">
          <w:rPr>
            <w:noProof/>
            <w:webHidden/>
            <w:sz w:val="22"/>
            <w:szCs w:val="22"/>
          </w:rPr>
          <w:t>138</w:t>
        </w:r>
        <w:r w:rsidR="005E6568" w:rsidRPr="00E27790">
          <w:rPr>
            <w:noProof/>
            <w:webHidden/>
            <w:sz w:val="22"/>
            <w:szCs w:val="22"/>
          </w:rPr>
          <w:fldChar w:fldCharType="end"/>
        </w:r>
      </w:hyperlink>
    </w:p>
    <w:p w14:paraId="73AEB745" w14:textId="53FDC1CA" w:rsidR="005E6568" w:rsidRPr="00E27790" w:rsidRDefault="007F7885" w:rsidP="003D0490">
      <w:pPr>
        <w:pStyle w:val="TableofFigures"/>
        <w:tabs>
          <w:tab w:val="right" w:leader="dot" w:pos="8460"/>
        </w:tabs>
        <w:spacing w:line="360" w:lineRule="auto"/>
        <w:ind w:left="1080" w:right="846" w:hanging="1080"/>
        <w:rPr>
          <w:rFonts w:eastAsiaTheme="minorEastAsia"/>
          <w:noProof/>
          <w:sz w:val="22"/>
          <w:szCs w:val="22"/>
          <w:lang w:bidi="ar-SA"/>
        </w:rPr>
      </w:pPr>
      <w:hyperlink w:anchor="_Toc71334099" w:history="1">
        <w:r w:rsidR="005E6568" w:rsidRPr="00E27790">
          <w:rPr>
            <w:rStyle w:val="Hyperlink"/>
            <w:noProof/>
            <w:szCs w:val="22"/>
          </w:rPr>
          <w:t xml:space="preserve">Figure 4.3 The (a) </w:t>
        </w:r>
        <w:r w:rsidR="005E6568" w:rsidRPr="00E27790">
          <w:rPr>
            <w:rStyle w:val="Hyperlink"/>
            <w:i/>
            <w:noProof/>
            <w:szCs w:val="22"/>
          </w:rPr>
          <w:t>S</w:t>
        </w:r>
        <w:r w:rsidR="005E6568" w:rsidRPr="00E27790">
          <w:rPr>
            <w:rStyle w:val="Hyperlink"/>
            <w:i/>
            <w:noProof/>
            <w:szCs w:val="22"/>
            <w:vertAlign w:val="subscript"/>
          </w:rPr>
          <w:t>A/S</w:t>
        </w:r>
        <w:r w:rsidR="005E6568" w:rsidRPr="00E27790">
          <w:rPr>
            <w:rStyle w:val="Hyperlink"/>
            <w:noProof/>
            <w:szCs w:val="22"/>
          </w:rPr>
          <w:t xml:space="preserve">, (b) </w:t>
        </w:r>
        <w:r w:rsidR="005E6568" w:rsidRPr="00E27790">
          <w:rPr>
            <w:rStyle w:val="Hyperlink"/>
            <w:i/>
            <w:noProof/>
            <w:szCs w:val="22"/>
          </w:rPr>
          <w:t>W</w:t>
        </w:r>
        <w:r w:rsidR="005E6568" w:rsidRPr="00E27790">
          <w:rPr>
            <w:rStyle w:val="Hyperlink"/>
            <w:i/>
            <w:noProof/>
            <w:szCs w:val="22"/>
            <w:vertAlign w:val="subscript"/>
          </w:rPr>
          <w:t>A/S</w:t>
        </w:r>
        <w:r w:rsidR="005E6568" w:rsidRPr="00E27790">
          <w:rPr>
            <w:rStyle w:val="Hyperlink"/>
            <w:noProof/>
            <w:szCs w:val="22"/>
          </w:rPr>
          <w:t xml:space="preserve"> and (c) </w:t>
        </w:r>
        <w:r w:rsidR="005E6568" w:rsidRPr="00E27790">
          <w:rPr>
            <w:rStyle w:val="Hyperlink"/>
            <w:i/>
            <w:iCs/>
            <w:noProof/>
            <w:szCs w:val="22"/>
            <w:lang w:val="en-CA"/>
          </w:rPr>
          <w:t>W</w:t>
        </w:r>
        <w:r w:rsidR="005E6568" w:rsidRPr="00E27790">
          <w:rPr>
            <w:rStyle w:val="Hyperlink"/>
            <w:i/>
            <w:iCs/>
            <w:noProof/>
            <w:szCs w:val="22"/>
            <w:vertAlign w:val="superscript"/>
            <w:lang w:val="en-CA"/>
          </w:rPr>
          <w:t>wet</w:t>
        </w:r>
        <w:r w:rsidR="005E6568" w:rsidRPr="00E27790">
          <w:rPr>
            <w:rStyle w:val="Hyperlink"/>
            <w:i/>
            <w:iCs/>
            <w:noProof/>
            <w:szCs w:val="22"/>
            <w:vertAlign w:val="subscript"/>
            <w:lang w:val="en-CA"/>
          </w:rPr>
          <w:t>ASW</w:t>
        </w:r>
        <w:r w:rsidR="005E6568" w:rsidRPr="00E27790">
          <w:rPr>
            <w:rStyle w:val="Hyperlink"/>
            <w:noProof/>
            <w:szCs w:val="22"/>
          </w:rPr>
          <w:t xml:space="preserve"> of RTFO-aged PG 64-22 binder containing different additives with rhyolite aggregate</w:t>
        </w:r>
        <w:r w:rsidR="005E6568" w:rsidRPr="00E27790">
          <w:rPr>
            <w:noProof/>
            <w:webHidden/>
            <w:sz w:val="22"/>
            <w:szCs w:val="22"/>
          </w:rPr>
          <w:tab/>
        </w:r>
        <w:r w:rsidR="005E6568" w:rsidRPr="00E27790">
          <w:rPr>
            <w:noProof/>
            <w:webHidden/>
            <w:sz w:val="22"/>
            <w:szCs w:val="22"/>
          </w:rPr>
          <w:fldChar w:fldCharType="begin"/>
        </w:r>
        <w:r w:rsidR="005E6568" w:rsidRPr="00E27790">
          <w:rPr>
            <w:noProof/>
            <w:webHidden/>
            <w:sz w:val="22"/>
            <w:szCs w:val="22"/>
          </w:rPr>
          <w:instrText xml:space="preserve"> PAGEREF _Toc71334099 \h </w:instrText>
        </w:r>
        <w:r w:rsidR="005E6568" w:rsidRPr="00E27790">
          <w:rPr>
            <w:noProof/>
            <w:webHidden/>
            <w:sz w:val="22"/>
            <w:szCs w:val="22"/>
          </w:rPr>
        </w:r>
        <w:r w:rsidR="005E6568" w:rsidRPr="00E27790">
          <w:rPr>
            <w:noProof/>
            <w:webHidden/>
            <w:sz w:val="22"/>
            <w:szCs w:val="22"/>
          </w:rPr>
          <w:fldChar w:fldCharType="separate"/>
        </w:r>
        <w:r w:rsidR="005050F0">
          <w:rPr>
            <w:noProof/>
            <w:webHidden/>
            <w:sz w:val="22"/>
            <w:szCs w:val="22"/>
          </w:rPr>
          <w:t>139</w:t>
        </w:r>
        <w:r w:rsidR="005E6568" w:rsidRPr="00E27790">
          <w:rPr>
            <w:noProof/>
            <w:webHidden/>
            <w:sz w:val="22"/>
            <w:szCs w:val="22"/>
          </w:rPr>
          <w:fldChar w:fldCharType="end"/>
        </w:r>
      </w:hyperlink>
    </w:p>
    <w:p w14:paraId="10B9B8DF" w14:textId="2D09DABA" w:rsidR="005E6568" w:rsidRPr="00E27790" w:rsidRDefault="007F7885" w:rsidP="003D0490">
      <w:pPr>
        <w:pStyle w:val="TableofFigures"/>
        <w:tabs>
          <w:tab w:val="right" w:leader="dot" w:pos="8460"/>
        </w:tabs>
        <w:spacing w:line="360" w:lineRule="auto"/>
        <w:ind w:left="1080" w:right="846" w:hanging="1080"/>
        <w:rPr>
          <w:rFonts w:eastAsiaTheme="minorEastAsia"/>
          <w:noProof/>
          <w:sz w:val="22"/>
          <w:szCs w:val="22"/>
          <w:lang w:bidi="ar-SA"/>
        </w:rPr>
      </w:pPr>
      <w:hyperlink w:anchor="_Toc71334100" w:history="1">
        <w:r w:rsidR="005E6568" w:rsidRPr="00E27790">
          <w:rPr>
            <w:rStyle w:val="Hyperlink"/>
            <w:noProof/>
            <w:szCs w:val="22"/>
          </w:rPr>
          <w:t xml:space="preserve">Figure 4.4 The (a) </w:t>
        </w:r>
        <w:r w:rsidR="005E6568" w:rsidRPr="00E27790">
          <w:rPr>
            <w:rStyle w:val="Hyperlink"/>
            <w:i/>
            <w:noProof/>
            <w:szCs w:val="22"/>
          </w:rPr>
          <w:t>S</w:t>
        </w:r>
        <w:r w:rsidR="005E6568" w:rsidRPr="00E27790">
          <w:rPr>
            <w:rStyle w:val="Hyperlink"/>
            <w:i/>
            <w:noProof/>
            <w:szCs w:val="22"/>
            <w:vertAlign w:val="subscript"/>
          </w:rPr>
          <w:t>A/S</w:t>
        </w:r>
        <w:r w:rsidR="005E6568" w:rsidRPr="00E27790">
          <w:rPr>
            <w:rStyle w:val="Hyperlink"/>
            <w:noProof/>
            <w:szCs w:val="22"/>
          </w:rPr>
          <w:t xml:space="preserve">, (b) </w:t>
        </w:r>
        <w:r w:rsidR="005E6568" w:rsidRPr="00E27790">
          <w:rPr>
            <w:rStyle w:val="Hyperlink"/>
            <w:i/>
            <w:noProof/>
            <w:szCs w:val="22"/>
          </w:rPr>
          <w:t>W</w:t>
        </w:r>
        <w:r w:rsidR="005E6568" w:rsidRPr="00E27790">
          <w:rPr>
            <w:rStyle w:val="Hyperlink"/>
            <w:i/>
            <w:noProof/>
            <w:szCs w:val="22"/>
            <w:vertAlign w:val="subscript"/>
          </w:rPr>
          <w:t>A/S</w:t>
        </w:r>
        <w:r w:rsidR="005E6568" w:rsidRPr="00E27790">
          <w:rPr>
            <w:rStyle w:val="Hyperlink"/>
            <w:noProof/>
            <w:szCs w:val="22"/>
          </w:rPr>
          <w:t xml:space="preserve"> and (c) </w:t>
        </w:r>
        <w:r w:rsidR="005E6568" w:rsidRPr="00E27790">
          <w:rPr>
            <w:rStyle w:val="Hyperlink"/>
            <w:i/>
            <w:iCs/>
            <w:noProof/>
            <w:szCs w:val="22"/>
            <w:lang w:val="en-CA"/>
          </w:rPr>
          <w:t>W</w:t>
        </w:r>
        <w:r w:rsidR="005E6568" w:rsidRPr="00E27790">
          <w:rPr>
            <w:rStyle w:val="Hyperlink"/>
            <w:i/>
            <w:iCs/>
            <w:noProof/>
            <w:szCs w:val="22"/>
            <w:vertAlign w:val="superscript"/>
            <w:lang w:val="en-CA"/>
          </w:rPr>
          <w:t>wet</w:t>
        </w:r>
        <w:r w:rsidR="005E6568" w:rsidRPr="00E27790">
          <w:rPr>
            <w:rStyle w:val="Hyperlink"/>
            <w:i/>
            <w:iCs/>
            <w:noProof/>
            <w:szCs w:val="22"/>
            <w:vertAlign w:val="subscript"/>
            <w:lang w:val="en-CA"/>
          </w:rPr>
          <w:t>ASW</w:t>
        </w:r>
        <w:r w:rsidR="005E6568" w:rsidRPr="00E27790">
          <w:rPr>
            <w:rStyle w:val="Hyperlink"/>
            <w:noProof/>
            <w:szCs w:val="22"/>
          </w:rPr>
          <w:t xml:space="preserve"> of PAV-aged PG 64-22 binder containing different additives with rhyolite aggregate</w:t>
        </w:r>
        <w:r w:rsidR="005E6568" w:rsidRPr="00E27790">
          <w:rPr>
            <w:noProof/>
            <w:webHidden/>
            <w:sz w:val="22"/>
            <w:szCs w:val="22"/>
          </w:rPr>
          <w:tab/>
        </w:r>
        <w:r w:rsidR="005E6568" w:rsidRPr="00E27790">
          <w:rPr>
            <w:noProof/>
            <w:webHidden/>
            <w:sz w:val="22"/>
            <w:szCs w:val="22"/>
          </w:rPr>
          <w:fldChar w:fldCharType="begin"/>
        </w:r>
        <w:r w:rsidR="005E6568" w:rsidRPr="00E27790">
          <w:rPr>
            <w:noProof/>
            <w:webHidden/>
            <w:sz w:val="22"/>
            <w:szCs w:val="22"/>
          </w:rPr>
          <w:instrText xml:space="preserve"> PAGEREF _Toc71334100 \h </w:instrText>
        </w:r>
        <w:r w:rsidR="005E6568" w:rsidRPr="00E27790">
          <w:rPr>
            <w:noProof/>
            <w:webHidden/>
            <w:sz w:val="22"/>
            <w:szCs w:val="22"/>
          </w:rPr>
        </w:r>
        <w:r w:rsidR="005E6568" w:rsidRPr="00E27790">
          <w:rPr>
            <w:noProof/>
            <w:webHidden/>
            <w:sz w:val="22"/>
            <w:szCs w:val="22"/>
          </w:rPr>
          <w:fldChar w:fldCharType="separate"/>
        </w:r>
        <w:r w:rsidR="005050F0">
          <w:rPr>
            <w:noProof/>
            <w:webHidden/>
            <w:sz w:val="22"/>
            <w:szCs w:val="22"/>
          </w:rPr>
          <w:t>140</w:t>
        </w:r>
        <w:r w:rsidR="005E6568" w:rsidRPr="00E27790">
          <w:rPr>
            <w:noProof/>
            <w:webHidden/>
            <w:sz w:val="22"/>
            <w:szCs w:val="22"/>
          </w:rPr>
          <w:fldChar w:fldCharType="end"/>
        </w:r>
      </w:hyperlink>
    </w:p>
    <w:p w14:paraId="3FF5FE94" w14:textId="4D70884A" w:rsidR="005E6568" w:rsidRPr="00E27790" w:rsidRDefault="007F7885" w:rsidP="003D0490">
      <w:pPr>
        <w:pStyle w:val="TableofFigures"/>
        <w:tabs>
          <w:tab w:val="right" w:leader="dot" w:pos="8460"/>
        </w:tabs>
        <w:spacing w:line="360" w:lineRule="auto"/>
        <w:ind w:left="1080" w:right="846" w:hanging="1080"/>
        <w:rPr>
          <w:rFonts w:eastAsiaTheme="minorEastAsia"/>
          <w:noProof/>
          <w:sz w:val="22"/>
          <w:szCs w:val="22"/>
          <w:lang w:bidi="ar-SA"/>
        </w:rPr>
      </w:pPr>
      <w:hyperlink w:anchor="_Toc71334101" w:history="1">
        <w:r w:rsidR="005E6568" w:rsidRPr="00E27790">
          <w:rPr>
            <w:rStyle w:val="Hyperlink"/>
            <w:noProof/>
            <w:szCs w:val="22"/>
          </w:rPr>
          <w:t xml:space="preserve">Figure 4.5 The </w:t>
        </w:r>
        <w:r w:rsidR="005E6568" w:rsidRPr="00E27790">
          <w:rPr>
            <w:rStyle w:val="Hyperlink"/>
            <w:i/>
            <w:iCs/>
            <w:noProof/>
            <w:szCs w:val="22"/>
          </w:rPr>
          <w:t>ER</w:t>
        </w:r>
        <w:r w:rsidR="005E6568" w:rsidRPr="00E27790">
          <w:rPr>
            <w:rStyle w:val="Hyperlink"/>
            <w:i/>
            <w:iCs/>
            <w:noProof/>
            <w:szCs w:val="22"/>
            <w:vertAlign w:val="subscript"/>
          </w:rPr>
          <w:t>1</w:t>
        </w:r>
        <w:r w:rsidR="005E6568" w:rsidRPr="00E27790">
          <w:rPr>
            <w:rStyle w:val="Hyperlink"/>
            <w:i/>
            <w:iCs/>
            <w:noProof/>
            <w:szCs w:val="22"/>
          </w:rPr>
          <w:t xml:space="preserve"> </w:t>
        </w:r>
        <w:r w:rsidR="005E6568" w:rsidRPr="00E27790">
          <w:rPr>
            <w:rStyle w:val="Hyperlink"/>
            <w:noProof/>
            <w:szCs w:val="22"/>
          </w:rPr>
          <w:t xml:space="preserve">and </w:t>
        </w:r>
        <w:r w:rsidR="005E6568" w:rsidRPr="00E27790">
          <w:rPr>
            <w:rStyle w:val="Hyperlink"/>
            <w:i/>
            <w:iCs/>
            <w:noProof/>
            <w:szCs w:val="22"/>
          </w:rPr>
          <w:t>ER</w:t>
        </w:r>
        <w:r w:rsidR="005E6568" w:rsidRPr="00E27790">
          <w:rPr>
            <w:rStyle w:val="Hyperlink"/>
            <w:i/>
            <w:iCs/>
            <w:noProof/>
            <w:szCs w:val="22"/>
            <w:vertAlign w:val="subscript"/>
          </w:rPr>
          <w:t>2</w:t>
        </w:r>
        <w:r w:rsidR="005E6568" w:rsidRPr="00E27790">
          <w:rPr>
            <w:rStyle w:val="Hyperlink"/>
            <w:noProof/>
            <w:szCs w:val="22"/>
          </w:rPr>
          <w:t xml:space="preserve"> of (a) RTFO-aged and (b) PAV-aged PG 64-22 containing different additives with rhyolite aggregate</w:t>
        </w:r>
        <w:r w:rsidR="005E6568" w:rsidRPr="00E27790">
          <w:rPr>
            <w:noProof/>
            <w:webHidden/>
            <w:sz w:val="22"/>
            <w:szCs w:val="22"/>
          </w:rPr>
          <w:tab/>
        </w:r>
        <w:r w:rsidR="005E6568" w:rsidRPr="00E27790">
          <w:rPr>
            <w:noProof/>
            <w:webHidden/>
            <w:sz w:val="22"/>
            <w:szCs w:val="22"/>
          </w:rPr>
          <w:fldChar w:fldCharType="begin"/>
        </w:r>
        <w:r w:rsidR="005E6568" w:rsidRPr="00E27790">
          <w:rPr>
            <w:noProof/>
            <w:webHidden/>
            <w:sz w:val="22"/>
            <w:szCs w:val="22"/>
          </w:rPr>
          <w:instrText xml:space="preserve"> PAGEREF _Toc71334101 \h </w:instrText>
        </w:r>
        <w:r w:rsidR="005E6568" w:rsidRPr="00E27790">
          <w:rPr>
            <w:noProof/>
            <w:webHidden/>
            <w:sz w:val="22"/>
            <w:szCs w:val="22"/>
          </w:rPr>
        </w:r>
        <w:r w:rsidR="005E6568" w:rsidRPr="00E27790">
          <w:rPr>
            <w:noProof/>
            <w:webHidden/>
            <w:sz w:val="22"/>
            <w:szCs w:val="22"/>
          </w:rPr>
          <w:fldChar w:fldCharType="separate"/>
        </w:r>
        <w:r w:rsidR="005050F0">
          <w:rPr>
            <w:noProof/>
            <w:webHidden/>
            <w:sz w:val="22"/>
            <w:szCs w:val="22"/>
          </w:rPr>
          <w:t>141</w:t>
        </w:r>
        <w:r w:rsidR="005E6568" w:rsidRPr="00E27790">
          <w:rPr>
            <w:noProof/>
            <w:webHidden/>
            <w:sz w:val="22"/>
            <w:szCs w:val="22"/>
          </w:rPr>
          <w:fldChar w:fldCharType="end"/>
        </w:r>
      </w:hyperlink>
    </w:p>
    <w:p w14:paraId="5B345D1D" w14:textId="5B90B39E" w:rsidR="005E6568" w:rsidRPr="00E27790" w:rsidRDefault="007F7885" w:rsidP="003D0490">
      <w:pPr>
        <w:pStyle w:val="TableofFigures"/>
        <w:tabs>
          <w:tab w:val="right" w:leader="dot" w:pos="8460"/>
        </w:tabs>
        <w:spacing w:line="360" w:lineRule="auto"/>
        <w:ind w:left="1080" w:right="846" w:hanging="1080"/>
        <w:rPr>
          <w:rFonts w:eastAsiaTheme="minorEastAsia"/>
          <w:noProof/>
          <w:sz w:val="22"/>
          <w:szCs w:val="22"/>
          <w:lang w:bidi="ar-SA"/>
        </w:rPr>
      </w:pPr>
      <w:hyperlink w:anchor="_Toc71334102" w:history="1">
        <w:r w:rsidR="005E6568" w:rsidRPr="00E27790">
          <w:rPr>
            <w:rStyle w:val="Hyperlink"/>
            <w:noProof/>
            <w:szCs w:val="22"/>
          </w:rPr>
          <w:t xml:space="preserve">Figure 4.6 </w:t>
        </w:r>
        <w:r w:rsidR="005E6568" w:rsidRPr="00E27790">
          <w:rPr>
            <w:rStyle w:val="Hyperlink"/>
            <w:noProof/>
            <w:szCs w:val="22"/>
            <w:lang w:val="en-CA"/>
          </w:rPr>
          <w:t>(a) Indirect tensile strength (</w:t>
        </w:r>
        <w:r w:rsidR="005E6568" w:rsidRPr="00E27790">
          <w:rPr>
            <w:rStyle w:val="Hyperlink"/>
            <w:i/>
            <w:iCs/>
            <w:noProof/>
            <w:szCs w:val="22"/>
            <w:lang w:val="en-CA"/>
          </w:rPr>
          <w:t>ITS</w:t>
        </w:r>
        <w:r w:rsidR="005E6568" w:rsidRPr="00E27790">
          <w:rPr>
            <w:rStyle w:val="Hyperlink"/>
            <w:noProof/>
            <w:szCs w:val="22"/>
            <w:lang w:val="en-CA"/>
          </w:rPr>
          <w:t>) and (b) tensile strength ratio (</w:t>
        </w:r>
        <w:r w:rsidR="005E6568" w:rsidRPr="00E27790">
          <w:rPr>
            <w:rStyle w:val="Hyperlink"/>
            <w:i/>
            <w:iCs/>
            <w:noProof/>
            <w:szCs w:val="22"/>
            <w:lang w:val="en-CA"/>
          </w:rPr>
          <w:t>TSR</w:t>
        </w:r>
        <w:r w:rsidR="005E6568" w:rsidRPr="00E27790">
          <w:rPr>
            <w:rStyle w:val="Hyperlink"/>
            <w:noProof/>
            <w:szCs w:val="22"/>
            <w:lang w:val="en-CA"/>
          </w:rPr>
          <w:t>) of the tested asphalt mixes</w:t>
        </w:r>
        <w:r w:rsidR="005E6568" w:rsidRPr="00E27790">
          <w:rPr>
            <w:noProof/>
            <w:webHidden/>
            <w:sz w:val="22"/>
            <w:szCs w:val="22"/>
          </w:rPr>
          <w:tab/>
        </w:r>
        <w:r w:rsidR="005E6568" w:rsidRPr="00E27790">
          <w:rPr>
            <w:noProof/>
            <w:webHidden/>
            <w:sz w:val="22"/>
            <w:szCs w:val="22"/>
          </w:rPr>
          <w:fldChar w:fldCharType="begin"/>
        </w:r>
        <w:r w:rsidR="005E6568" w:rsidRPr="00E27790">
          <w:rPr>
            <w:noProof/>
            <w:webHidden/>
            <w:sz w:val="22"/>
            <w:szCs w:val="22"/>
          </w:rPr>
          <w:instrText xml:space="preserve"> PAGEREF _Toc71334102 \h </w:instrText>
        </w:r>
        <w:r w:rsidR="005E6568" w:rsidRPr="00E27790">
          <w:rPr>
            <w:noProof/>
            <w:webHidden/>
            <w:sz w:val="22"/>
            <w:szCs w:val="22"/>
          </w:rPr>
        </w:r>
        <w:r w:rsidR="005E6568" w:rsidRPr="00E27790">
          <w:rPr>
            <w:noProof/>
            <w:webHidden/>
            <w:sz w:val="22"/>
            <w:szCs w:val="22"/>
          </w:rPr>
          <w:fldChar w:fldCharType="separate"/>
        </w:r>
        <w:r w:rsidR="005050F0">
          <w:rPr>
            <w:noProof/>
            <w:webHidden/>
            <w:sz w:val="22"/>
            <w:szCs w:val="22"/>
          </w:rPr>
          <w:t>142</w:t>
        </w:r>
        <w:r w:rsidR="005E6568" w:rsidRPr="00E27790">
          <w:rPr>
            <w:noProof/>
            <w:webHidden/>
            <w:sz w:val="22"/>
            <w:szCs w:val="22"/>
          </w:rPr>
          <w:fldChar w:fldCharType="end"/>
        </w:r>
      </w:hyperlink>
    </w:p>
    <w:p w14:paraId="02E50A37" w14:textId="2AF47724" w:rsidR="005E6568" w:rsidRPr="00E27790" w:rsidRDefault="007F7885" w:rsidP="003D0490">
      <w:pPr>
        <w:pStyle w:val="TableofFigures"/>
        <w:tabs>
          <w:tab w:val="right" w:leader="dot" w:pos="8460"/>
        </w:tabs>
        <w:spacing w:line="360" w:lineRule="auto"/>
        <w:ind w:left="1080" w:right="846" w:hanging="1080"/>
        <w:rPr>
          <w:rFonts w:eastAsiaTheme="minorEastAsia"/>
          <w:noProof/>
          <w:sz w:val="22"/>
          <w:szCs w:val="22"/>
          <w:lang w:bidi="ar-SA"/>
        </w:rPr>
      </w:pPr>
      <w:hyperlink w:anchor="_Toc71334103" w:history="1">
        <w:r w:rsidR="005E6568" w:rsidRPr="00E27790">
          <w:rPr>
            <w:rStyle w:val="Hyperlink"/>
            <w:noProof/>
            <w:szCs w:val="22"/>
          </w:rPr>
          <w:t xml:space="preserve">Figure 4.7 </w:t>
        </w:r>
        <w:r w:rsidR="005E6568" w:rsidRPr="00E27790">
          <w:rPr>
            <w:rStyle w:val="Hyperlink"/>
            <w:noProof/>
            <w:szCs w:val="22"/>
            <w:lang w:val="en-CA"/>
          </w:rPr>
          <w:t>(a) Fracture energy (</w:t>
        </w:r>
        <w:r w:rsidR="005E6568" w:rsidRPr="00E27790">
          <w:rPr>
            <w:rStyle w:val="Hyperlink"/>
            <w:i/>
            <w:iCs/>
            <w:noProof/>
            <w:szCs w:val="22"/>
            <w:lang w:val="en-CA"/>
          </w:rPr>
          <w:t>G</w:t>
        </w:r>
        <w:r w:rsidR="005E6568" w:rsidRPr="00E27790">
          <w:rPr>
            <w:rStyle w:val="Hyperlink"/>
            <w:i/>
            <w:iCs/>
            <w:noProof/>
            <w:szCs w:val="22"/>
            <w:vertAlign w:val="subscript"/>
            <w:lang w:val="en-CA"/>
          </w:rPr>
          <w:t>f</w:t>
        </w:r>
        <w:r w:rsidR="005E6568" w:rsidRPr="00E27790">
          <w:rPr>
            <w:rStyle w:val="Hyperlink"/>
            <w:noProof/>
            <w:szCs w:val="22"/>
            <w:lang w:val="en-CA"/>
          </w:rPr>
          <w:t>) and (b) fracture energy ratio (</w:t>
        </w:r>
        <w:r w:rsidR="005E6568" w:rsidRPr="00E27790">
          <w:rPr>
            <w:rStyle w:val="Hyperlink"/>
            <w:i/>
            <w:iCs/>
            <w:noProof/>
            <w:szCs w:val="22"/>
            <w:lang w:val="en-CA"/>
          </w:rPr>
          <w:t>G</w:t>
        </w:r>
        <w:r w:rsidR="005E6568" w:rsidRPr="00E27790">
          <w:rPr>
            <w:rStyle w:val="Hyperlink"/>
            <w:i/>
            <w:iCs/>
            <w:noProof/>
            <w:szCs w:val="22"/>
            <w:vertAlign w:val="subscript"/>
            <w:lang w:val="en-CA"/>
          </w:rPr>
          <w:t>f</w:t>
        </w:r>
        <w:r w:rsidR="005E6568" w:rsidRPr="00E27790">
          <w:rPr>
            <w:rStyle w:val="Hyperlink"/>
            <w:i/>
            <w:iCs/>
            <w:noProof/>
            <w:szCs w:val="22"/>
            <w:lang w:val="en-CA"/>
          </w:rPr>
          <w:t xml:space="preserve"> ratio</w:t>
        </w:r>
        <w:r w:rsidR="005E6568" w:rsidRPr="00E27790">
          <w:rPr>
            <w:rStyle w:val="Hyperlink"/>
            <w:noProof/>
            <w:szCs w:val="22"/>
            <w:lang w:val="en-CA"/>
          </w:rPr>
          <w:t>) of tested asphalt mixes</w:t>
        </w:r>
        <w:r w:rsidR="005E6568" w:rsidRPr="00E27790">
          <w:rPr>
            <w:noProof/>
            <w:webHidden/>
            <w:sz w:val="22"/>
            <w:szCs w:val="22"/>
          </w:rPr>
          <w:tab/>
        </w:r>
        <w:r w:rsidR="005E6568" w:rsidRPr="00E27790">
          <w:rPr>
            <w:noProof/>
            <w:webHidden/>
            <w:sz w:val="22"/>
            <w:szCs w:val="22"/>
          </w:rPr>
          <w:fldChar w:fldCharType="begin"/>
        </w:r>
        <w:r w:rsidR="005E6568" w:rsidRPr="00E27790">
          <w:rPr>
            <w:noProof/>
            <w:webHidden/>
            <w:sz w:val="22"/>
            <w:szCs w:val="22"/>
          </w:rPr>
          <w:instrText xml:space="preserve"> PAGEREF _Toc71334103 \h </w:instrText>
        </w:r>
        <w:r w:rsidR="005E6568" w:rsidRPr="00E27790">
          <w:rPr>
            <w:noProof/>
            <w:webHidden/>
            <w:sz w:val="22"/>
            <w:szCs w:val="22"/>
          </w:rPr>
        </w:r>
        <w:r w:rsidR="005E6568" w:rsidRPr="00E27790">
          <w:rPr>
            <w:noProof/>
            <w:webHidden/>
            <w:sz w:val="22"/>
            <w:szCs w:val="22"/>
          </w:rPr>
          <w:fldChar w:fldCharType="separate"/>
        </w:r>
        <w:r w:rsidR="005050F0">
          <w:rPr>
            <w:noProof/>
            <w:webHidden/>
            <w:sz w:val="22"/>
            <w:szCs w:val="22"/>
          </w:rPr>
          <w:t>143</w:t>
        </w:r>
        <w:r w:rsidR="005E6568" w:rsidRPr="00E27790">
          <w:rPr>
            <w:noProof/>
            <w:webHidden/>
            <w:sz w:val="22"/>
            <w:szCs w:val="22"/>
          </w:rPr>
          <w:fldChar w:fldCharType="end"/>
        </w:r>
      </w:hyperlink>
    </w:p>
    <w:p w14:paraId="27C589F1" w14:textId="23ABCB3C" w:rsidR="005E6568" w:rsidRPr="00E27790" w:rsidRDefault="007F7885" w:rsidP="003D0490">
      <w:pPr>
        <w:pStyle w:val="TableofFigures"/>
        <w:tabs>
          <w:tab w:val="right" w:leader="dot" w:pos="8460"/>
        </w:tabs>
        <w:spacing w:line="360" w:lineRule="auto"/>
        <w:ind w:left="1080" w:right="846" w:hanging="1080"/>
        <w:rPr>
          <w:rFonts w:eastAsiaTheme="minorEastAsia"/>
          <w:noProof/>
          <w:sz w:val="22"/>
          <w:szCs w:val="22"/>
          <w:lang w:bidi="ar-SA"/>
        </w:rPr>
      </w:pPr>
      <w:hyperlink w:anchor="_Toc71334104" w:history="1">
        <w:r w:rsidR="005E6568" w:rsidRPr="00E27790">
          <w:rPr>
            <w:rStyle w:val="Hyperlink"/>
            <w:noProof/>
            <w:szCs w:val="22"/>
          </w:rPr>
          <w:t xml:space="preserve">Figure 4.8 Comparison of moisture-induced damage parameters: (a) </w:t>
        </w:r>
        <w:r w:rsidR="005E6568" w:rsidRPr="00E27790">
          <w:rPr>
            <w:rStyle w:val="Hyperlink"/>
            <w:i/>
            <w:iCs/>
            <w:noProof/>
            <w:szCs w:val="22"/>
          </w:rPr>
          <w:t>TSR</w:t>
        </w:r>
        <w:r w:rsidR="005E6568" w:rsidRPr="00E27790">
          <w:rPr>
            <w:rStyle w:val="Hyperlink"/>
            <w:noProof/>
            <w:szCs w:val="22"/>
          </w:rPr>
          <w:t xml:space="preserve"> vs. </w:t>
        </w:r>
        <w:r w:rsidR="005E6568" w:rsidRPr="00E27790">
          <w:rPr>
            <w:rStyle w:val="Hyperlink"/>
            <w:i/>
            <w:iCs/>
            <w:noProof/>
            <w:szCs w:val="22"/>
          </w:rPr>
          <w:t>ER</w:t>
        </w:r>
        <w:r w:rsidR="005E6568" w:rsidRPr="00E27790">
          <w:rPr>
            <w:rStyle w:val="Hyperlink"/>
            <w:i/>
            <w:iCs/>
            <w:noProof/>
            <w:szCs w:val="22"/>
            <w:vertAlign w:val="subscript"/>
          </w:rPr>
          <w:t>1</w:t>
        </w:r>
        <w:r w:rsidR="005E6568" w:rsidRPr="00E27790">
          <w:rPr>
            <w:rStyle w:val="Hyperlink"/>
            <w:noProof/>
            <w:szCs w:val="22"/>
          </w:rPr>
          <w:t xml:space="preserve"> and (b) </w:t>
        </w:r>
        <w:r w:rsidR="005E6568" w:rsidRPr="00E27790">
          <w:rPr>
            <w:rStyle w:val="Hyperlink"/>
            <w:i/>
            <w:iCs/>
            <w:noProof/>
            <w:szCs w:val="22"/>
          </w:rPr>
          <w:t>G</w:t>
        </w:r>
        <w:r w:rsidR="005E6568" w:rsidRPr="00E27790">
          <w:rPr>
            <w:rStyle w:val="Hyperlink"/>
            <w:i/>
            <w:iCs/>
            <w:noProof/>
            <w:szCs w:val="22"/>
            <w:vertAlign w:val="subscript"/>
          </w:rPr>
          <w:t>f</w:t>
        </w:r>
        <w:r w:rsidR="005E6568" w:rsidRPr="00E27790">
          <w:rPr>
            <w:rStyle w:val="Hyperlink"/>
            <w:i/>
            <w:iCs/>
            <w:noProof/>
            <w:szCs w:val="22"/>
          </w:rPr>
          <w:t xml:space="preserve"> ratio</w:t>
        </w:r>
        <w:r w:rsidR="005E6568" w:rsidRPr="00E27790">
          <w:rPr>
            <w:rStyle w:val="Hyperlink"/>
            <w:noProof/>
            <w:szCs w:val="22"/>
          </w:rPr>
          <w:t xml:space="preserve"> vs. </w:t>
        </w:r>
        <w:r w:rsidR="005E6568" w:rsidRPr="00E27790">
          <w:rPr>
            <w:rStyle w:val="Hyperlink"/>
            <w:i/>
            <w:iCs/>
            <w:noProof/>
            <w:szCs w:val="22"/>
          </w:rPr>
          <w:t>ER</w:t>
        </w:r>
        <w:r w:rsidR="005E6568" w:rsidRPr="00E27790">
          <w:rPr>
            <w:rStyle w:val="Hyperlink"/>
            <w:i/>
            <w:iCs/>
            <w:noProof/>
            <w:szCs w:val="22"/>
            <w:vertAlign w:val="subscript"/>
          </w:rPr>
          <w:t>1</w:t>
        </w:r>
        <w:r w:rsidR="005E6568" w:rsidRPr="00E27790">
          <w:rPr>
            <w:noProof/>
            <w:webHidden/>
            <w:sz w:val="22"/>
            <w:szCs w:val="22"/>
          </w:rPr>
          <w:tab/>
        </w:r>
        <w:r w:rsidR="005E6568" w:rsidRPr="00E27790">
          <w:rPr>
            <w:noProof/>
            <w:webHidden/>
            <w:sz w:val="22"/>
            <w:szCs w:val="22"/>
          </w:rPr>
          <w:fldChar w:fldCharType="begin"/>
        </w:r>
        <w:r w:rsidR="005E6568" w:rsidRPr="00E27790">
          <w:rPr>
            <w:noProof/>
            <w:webHidden/>
            <w:sz w:val="22"/>
            <w:szCs w:val="22"/>
          </w:rPr>
          <w:instrText xml:space="preserve"> PAGEREF _Toc71334104 \h </w:instrText>
        </w:r>
        <w:r w:rsidR="005E6568" w:rsidRPr="00E27790">
          <w:rPr>
            <w:noProof/>
            <w:webHidden/>
            <w:sz w:val="22"/>
            <w:szCs w:val="22"/>
          </w:rPr>
        </w:r>
        <w:r w:rsidR="005E6568" w:rsidRPr="00E27790">
          <w:rPr>
            <w:noProof/>
            <w:webHidden/>
            <w:sz w:val="22"/>
            <w:szCs w:val="22"/>
          </w:rPr>
          <w:fldChar w:fldCharType="separate"/>
        </w:r>
        <w:r w:rsidR="005050F0">
          <w:rPr>
            <w:noProof/>
            <w:webHidden/>
            <w:sz w:val="22"/>
            <w:szCs w:val="22"/>
          </w:rPr>
          <w:t>144</w:t>
        </w:r>
        <w:r w:rsidR="005E6568" w:rsidRPr="00E27790">
          <w:rPr>
            <w:noProof/>
            <w:webHidden/>
            <w:sz w:val="22"/>
            <w:szCs w:val="22"/>
          </w:rPr>
          <w:fldChar w:fldCharType="end"/>
        </w:r>
      </w:hyperlink>
    </w:p>
    <w:p w14:paraId="6049B19A" w14:textId="7B6F4081" w:rsidR="005E6568" w:rsidRPr="00E27790" w:rsidRDefault="007F7885" w:rsidP="003D0490">
      <w:pPr>
        <w:pStyle w:val="TableofFigures"/>
        <w:tabs>
          <w:tab w:val="right" w:leader="dot" w:pos="8460"/>
        </w:tabs>
        <w:spacing w:line="360" w:lineRule="auto"/>
        <w:ind w:left="1080" w:right="846" w:hanging="1080"/>
        <w:rPr>
          <w:rFonts w:eastAsiaTheme="minorEastAsia"/>
          <w:noProof/>
          <w:sz w:val="22"/>
          <w:szCs w:val="22"/>
          <w:lang w:bidi="ar-SA"/>
        </w:rPr>
      </w:pPr>
      <w:hyperlink w:anchor="_Toc71334105" w:history="1">
        <w:r w:rsidR="005E6568" w:rsidRPr="00E27790">
          <w:rPr>
            <w:rStyle w:val="Hyperlink"/>
            <w:noProof/>
            <w:szCs w:val="22"/>
          </w:rPr>
          <w:t>Figure 5.1 Workflow diagram for the study</w:t>
        </w:r>
        <w:r w:rsidR="005E6568" w:rsidRPr="00E27790">
          <w:rPr>
            <w:noProof/>
            <w:webHidden/>
            <w:sz w:val="22"/>
            <w:szCs w:val="22"/>
          </w:rPr>
          <w:tab/>
        </w:r>
        <w:r w:rsidR="005E6568" w:rsidRPr="00E27790">
          <w:rPr>
            <w:noProof/>
            <w:webHidden/>
            <w:sz w:val="22"/>
            <w:szCs w:val="22"/>
          </w:rPr>
          <w:fldChar w:fldCharType="begin"/>
        </w:r>
        <w:r w:rsidR="005E6568" w:rsidRPr="00E27790">
          <w:rPr>
            <w:noProof/>
            <w:webHidden/>
            <w:sz w:val="22"/>
            <w:szCs w:val="22"/>
          </w:rPr>
          <w:instrText xml:space="preserve"> PAGEREF _Toc71334105 \h </w:instrText>
        </w:r>
        <w:r w:rsidR="005E6568" w:rsidRPr="00E27790">
          <w:rPr>
            <w:noProof/>
            <w:webHidden/>
            <w:sz w:val="22"/>
            <w:szCs w:val="22"/>
          </w:rPr>
        </w:r>
        <w:r w:rsidR="005E6568" w:rsidRPr="00E27790">
          <w:rPr>
            <w:noProof/>
            <w:webHidden/>
            <w:sz w:val="22"/>
            <w:szCs w:val="22"/>
          </w:rPr>
          <w:fldChar w:fldCharType="separate"/>
        </w:r>
        <w:r w:rsidR="005050F0">
          <w:rPr>
            <w:noProof/>
            <w:webHidden/>
            <w:sz w:val="22"/>
            <w:szCs w:val="22"/>
          </w:rPr>
          <w:t>174</w:t>
        </w:r>
        <w:r w:rsidR="005E6568" w:rsidRPr="00E27790">
          <w:rPr>
            <w:noProof/>
            <w:webHidden/>
            <w:sz w:val="22"/>
            <w:szCs w:val="22"/>
          </w:rPr>
          <w:fldChar w:fldCharType="end"/>
        </w:r>
      </w:hyperlink>
    </w:p>
    <w:p w14:paraId="062F43A1" w14:textId="0EFFBF2F" w:rsidR="005E6568" w:rsidRPr="00E27790" w:rsidRDefault="007F7885" w:rsidP="003D0490">
      <w:pPr>
        <w:pStyle w:val="TableofFigures"/>
        <w:tabs>
          <w:tab w:val="right" w:leader="dot" w:pos="8460"/>
        </w:tabs>
        <w:spacing w:line="360" w:lineRule="auto"/>
        <w:ind w:left="1080" w:right="846" w:hanging="1080"/>
        <w:rPr>
          <w:rFonts w:eastAsiaTheme="minorEastAsia"/>
          <w:noProof/>
          <w:sz w:val="22"/>
          <w:szCs w:val="22"/>
          <w:lang w:bidi="ar-SA"/>
        </w:rPr>
      </w:pPr>
      <w:hyperlink w:anchor="_Toc71334106" w:history="1">
        <w:r w:rsidR="005E6568" w:rsidRPr="00E27790">
          <w:rPr>
            <w:rStyle w:val="Hyperlink"/>
            <w:noProof/>
            <w:szCs w:val="22"/>
          </w:rPr>
          <w:t>Figure 5.2 Rut depths vs. wheel passes from HWT test</w:t>
        </w:r>
        <w:r w:rsidR="005E6568" w:rsidRPr="00E27790">
          <w:rPr>
            <w:noProof/>
            <w:webHidden/>
            <w:sz w:val="22"/>
            <w:szCs w:val="22"/>
          </w:rPr>
          <w:tab/>
        </w:r>
        <w:r w:rsidR="005E6568" w:rsidRPr="00E27790">
          <w:rPr>
            <w:noProof/>
            <w:webHidden/>
            <w:sz w:val="22"/>
            <w:szCs w:val="22"/>
          </w:rPr>
          <w:fldChar w:fldCharType="begin"/>
        </w:r>
        <w:r w:rsidR="005E6568" w:rsidRPr="00E27790">
          <w:rPr>
            <w:noProof/>
            <w:webHidden/>
            <w:sz w:val="22"/>
            <w:szCs w:val="22"/>
          </w:rPr>
          <w:instrText xml:space="preserve"> PAGEREF _Toc71334106 \h </w:instrText>
        </w:r>
        <w:r w:rsidR="005E6568" w:rsidRPr="00E27790">
          <w:rPr>
            <w:noProof/>
            <w:webHidden/>
            <w:sz w:val="22"/>
            <w:szCs w:val="22"/>
          </w:rPr>
        </w:r>
        <w:r w:rsidR="005E6568" w:rsidRPr="00E27790">
          <w:rPr>
            <w:noProof/>
            <w:webHidden/>
            <w:sz w:val="22"/>
            <w:szCs w:val="22"/>
          </w:rPr>
          <w:fldChar w:fldCharType="separate"/>
        </w:r>
        <w:r w:rsidR="005050F0">
          <w:rPr>
            <w:noProof/>
            <w:webHidden/>
            <w:sz w:val="22"/>
            <w:szCs w:val="22"/>
          </w:rPr>
          <w:t>175</w:t>
        </w:r>
        <w:r w:rsidR="005E6568" w:rsidRPr="00E27790">
          <w:rPr>
            <w:noProof/>
            <w:webHidden/>
            <w:sz w:val="22"/>
            <w:szCs w:val="22"/>
          </w:rPr>
          <w:fldChar w:fldCharType="end"/>
        </w:r>
      </w:hyperlink>
    </w:p>
    <w:p w14:paraId="5E42336E" w14:textId="798B1649" w:rsidR="005E6568" w:rsidRPr="00E27790" w:rsidRDefault="007F7885" w:rsidP="003D0490">
      <w:pPr>
        <w:pStyle w:val="TableofFigures"/>
        <w:tabs>
          <w:tab w:val="right" w:leader="dot" w:pos="8460"/>
        </w:tabs>
        <w:spacing w:line="360" w:lineRule="auto"/>
        <w:ind w:left="1080" w:right="846" w:hanging="1080"/>
        <w:rPr>
          <w:rFonts w:eastAsiaTheme="minorEastAsia"/>
          <w:noProof/>
          <w:sz w:val="22"/>
          <w:szCs w:val="22"/>
          <w:lang w:bidi="ar-SA"/>
        </w:rPr>
      </w:pPr>
      <w:hyperlink w:anchor="_Toc71334107" w:history="1">
        <w:r w:rsidR="005E6568" w:rsidRPr="00E27790">
          <w:rPr>
            <w:rStyle w:val="Hyperlink"/>
            <w:noProof/>
            <w:szCs w:val="22"/>
          </w:rPr>
          <w:t>Figure 5.3</w:t>
        </w:r>
        <w:r w:rsidR="005E6568" w:rsidRPr="00E27790">
          <w:rPr>
            <w:rStyle w:val="Hyperlink"/>
            <w:noProof/>
            <w:szCs w:val="22"/>
            <w:lang w:val="en-CA"/>
          </w:rPr>
          <w:t xml:space="preserve"> (a) Indirect tensile strength (</w:t>
        </w:r>
        <w:r w:rsidR="005E6568" w:rsidRPr="00E27790">
          <w:rPr>
            <w:rStyle w:val="Hyperlink"/>
            <w:i/>
            <w:iCs/>
            <w:noProof/>
            <w:szCs w:val="22"/>
            <w:lang w:val="en-CA"/>
          </w:rPr>
          <w:t>ITS</w:t>
        </w:r>
        <w:r w:rsidR="005E6568" w:rsidRPr="00E27790">
          <w:rPr>
            <w:rStyle w:val="Hyperlink"/>
            <w:i/>
            <w:iCs/>
            <w:noProof/>
            <w:szCs w:val="22"/>
            <w:vertAlign w:val="subscript"/>
            <w:lang w:val="en-CA"/>
          </w:rPr>
          <w:t>dry</w:t>
        </w:r>
        <w:r w:rsidR="005E6568" w:rsidRPr="00E27790">
          <w:rPr>
            <w:rStyle w:val="Hyperlink"/>
            <w:noProof/>
            <w:szCs w:val="22"/>
            <w:lang w:val="en-CA"/>
          </w:rPr>
          <w:t xml:space="preserve"> and </w:t>
        </w:r>
        <w:r w:rsidR="005E6568" w:rsidRPr="00E27790">
          <w:rPr>
            <w:rStyle w:val="Hyperlink"/>
            <w:i/>
            <w:iCs/>
            <w:noProof/>
            <w:szCs w:val="22"/>
            <w:lang w:val="en-CA"/>
          </w:rPr>
          <w:t>ITS</w:t>
        </w:r>
        <w:r w:rsidR="005E6568" w:rsidRPr="00E27790">
          <w:rPr>
            <w:rStyle w:val="Hyperlink"/>
            <w:i/>
            <w:iCs/>
            <w:noProof/>
            <w:szCs w:val="22"/>
            <w:vertAlign w:val="subscript"/>
            <w:lang w:val="en-CA"/>
          </w:rPr>
          <w:t>wet</w:t>
        </w:r>
        <w:r w:rsidR="005E6568" w:rsidRPr="00E27790">
          <w:rPr>
            <w:rStyle w:val="Hyperlink"/>
            <w:noProof/>
            <w:szCs w:val="22"/>
            <w:lang w:val="en-CA"/>
          </w:rPr>
          <w:t xml:space="preserve">) and </w:t>
        </w:r>
        <w:r w:rsidR="005E6568" w:rsidRPr="00E27790">
          <w:rPr>
            <w:rStyle w:val="Hyperlink"/>
            <w:i/>
            <w:iCs/>
            <w:noProof/>
            <w:szCs w:val="22"/>
            <w:lang w:val="en-CA"/>
          </w:rPr>
          <w:t>TSR</w:t>
        </w:r>
        <w:r w:rsidR="005E6568" w:rsidRPr="00E27790">
          <w:rPr>
            <w:rStyle w:val="Hyperlink"/>
            <w:noProof/>
            <w:szCs w:val="22"/>
            <w:lang w:val="en-CA"/>
          </w:rPr>
          <w:t xml:space="preserve"> values; (b) toughness index (</w:t>
        </w:r>
        <w:r w:rsidR="005E6568" w:rsidRPr="00E27790">
          <w:rPr>
            <w:rStyle w:val="Hyperlink"/>
            <w:i/>
            <w:iCs/>
            <w:noProof/>
            <w:szCs w:val="22"/>
            <w:lang w:val="en-CA"/>
          </w:rPr>
          <w:t>TI</w:t>
        </w:r>
        <w:r w:rsidR="005E6568" w:rsidRPr="00E27790">
          <w:rPr>
            <w:rStyle w:val="Hyperlink"/>
            <w:i/>
            <w:iCs/>
            <w:noProof/>
            <w:szCs w:val="22"/>
            <w:vertAlign w:val="subscript"/>
            <w:lang w:val="en-CA"/>
          </w:rPr>
          <w:t>dry</w:t>
        </w:r>
        <w:r w:rsidR="005E6568" w:rsidRPr="00E27790">
          <w:rPr>
            <w:rStyle w:val="Hyperlink"/>
            <w:noProof/>
            <w:szCs w:val="22"/>
            <w:lang w:val="en-CA"/>
          </w:rPr>
          <w:t xml:space="preserve"> and </w:t>
        </w:r>
        <w:r w:rsidR="005E6568" w:rsidRPr="00E27790">
          <w:rPr>
            <w:rStyle w:val="Hyperlink"/>
            <w:i/>
            <w:iCs/>
            <w:noProof/>
            <w:szCs w:val="22"/>
            <w:lang w:val="en-CA"/>
          </w:rPr>
          <w:t>TI</w:t>
        </w:r>
        <w:r w:rsidR="005E6568" w:rsidRPr="00E27790">
          <w:rPr>
            <w:rStyle w:val="Hyperlink"/>
            <w:i/>
            <w:iCs/>
            <w:noProof/>
            <w:szCs w:val="22"/>
            <w:vertAlign w:val="subscript"/>
            <w:lang w:val="en-CA"/>
          </w:rPr>
          <w:t>wet</w:t>
        </w:r>
        <w:r w:rsidR="005E6568" w:rsidRPr="00E27790">
          <w:rPr>
            <w:rStyle w:val="Hyperlink"/>
            <w:noProof/>
            <w:szCs w:val="22"/>
            <w:lang w:val="en-CA"/>
          </w:rPr>
          <w:t xml:space="preserve">) and </w:t>
        </w:r>
        <w:r w:rsidR="005E6568" w:rsidRPr="00E27790">
          <w:rPr>
            <w:rStyle w:val="Hyperlink"/>
            <w:i/>
            <w:iCs/>
            <w:noProof/>
            <w:szCs w:val="22"/>
            <w:lang w:val="en-CA"/>
          </w:rPr>
          <w:t>TI ratios</w:t>
        </w:r>
        <w:r w:rsidR="005E6568" w:rsidRPr="00E27790">
          <w:rPr>
            <w:rStyle w:val="Hyperlink"/>
            <w:noProof/>
            <w:szCs w:val="22"/>
            <w:lang w:val="en-CA"/>
          </w:rPr>
          <w:t xml:space="preserve"> of asphalt mixes from ITS test</w:t>
        </w:r>
        <w:r w:rsidR="005E6568" w:rsidRPr="00E27790">
          <w:rPr>
            <w:noProof/>
            <w:webHidden/>
            <w:sz w:val="22"/>
            <w:szCs w:val="22"/>
          </w:rPr>
          <w:tab/>
        </w:r>
        <w:r w:rsidR="005E6568" w:rsidRPr="00E27790">
          <w:rPr>
            <w:noProof/>
            <w:webHidden/>
            <w:sz w:val="22"/>
            <w:szCs w:val="22"/>
          </w:rPr>
          <w:fldChar w:fldCharType="begin"/>
        </w:r>
        <w:r w:rsidR="005E6568" w:rsidRPr="00E27790">
          <w:rPr>
            <w:noProof/>
            <w:webHidden/>
            <w:sz w:val="22"/>
            <w:szCs w:val="22"/>
          </w:rPr>
          <w:instrText xml:space="preserve"> PAGEREF _Toc71334107 \h </w:instrText>
        </w:r>
        <w:r w:rsidR="005E6568" w:rsidRPr="00E27790">
          <w:rPr>
            <w:noProof/>
            <w:webHidden/>
            <w:sz w:val="22"/>
            <w:szCs w:val="22"/>
          </w:rPr>
        </w:r>
        <w:r w:rsidR="005E6568" w:rsidRPr="00E27790">
          <w:rPr>
            <w:noProof/>
            <w:webHidden/>
            <w:sz w:val="22"/>
            <w:szCs w:val="22"/>
          </w:rPr>
          <w:fldChar w:fldCharType="separate"/>
        </w:r>
        <w:r w:rsidR="005050F0">
          <w:rPr>
            <w:noProof/>
            <w:webHidden/>
            <w:sz w:val="22"/>
            <w:szCs w:val="22"/>
          </w:rPr>
          <w:t>176</w:t>
        </w:r>
        <w:r w:rsidR="005E6568" w:rsidRPr="00E27790">
          <w:rPr>
            <w:noProof/>
            <w:webHidden/>
            <w:sz w:val="22"/>
            <w:szCs w:val="22"/>
          </w:rPr>
          <w:fldChar w:fldCharType="end"/>
        </w:r>
      </w:hyperlink>
    </w:p>
    <w:p w14:paraId="2CBBE8CA" w14:textId="064F1395" w:rsidR="005E6568" w:rsidRPr="00E27790" w:rsidRDefault="007F7885" w:rsidP="003D0490">
      <w:pPr>
        <w:pStyle w:val="TableofFigures"/>
        <w:tabs>
          <w:tab w:val="right" w:leader="dot" w:pos="8460"/>
        </w:tabs>
        <w:spacing w:line="360" w:lineRule="auto"/>
        <w:ind w:left="1080" w:right="846" w:hanging="1080"/>
        <w:rPr>
          <w:rFonts w:eastAsiaTheme="minorEastAsia"/>
          <w:noProof/>
          <w:sz w:val="22"/>
          <w:szCs w:val="22"/>
          <w:lang w:bidi="ar-SA"/>
        </w:rPr>
      </w:pPr>
      <w:hyperlink w:anchor="_Toc71334108" w:history="1">
        <w:r w:rsidR="005E6568" w:rsidRPr="00E27790">
          <w:rPr>
            <w:rStyle w:val="Hyperlink"/>
            <w:noProof/>
            <w:szCs w:val="22"/>
          </w:rPr>
          <w:t>Figure 5.4</w:t>
        </w:r>
        <w:r w:rsidR="005E6568" w:rsidRPr="00E27790">
          <w:rPr>
            <w:rStyle w:val="Hyperlink"/>
            <w:noProof/>
            <w:szCs w:val="22"/>
            <w:lang w:val="en-CA"/>
          </w:rPr>
          <w:t xml:space="preserve"> </w:t>
        </w:r>
        <w:r w:rsidR="005E6568" w:rsidRPr="00E27790">
          <w:rPr>
            <w:rStyle w:val="Hyperlink"/>
            <w:i/>
            <w:iCs/>
            <w:noProof/>
            <w:szCs w:val="22"/>
            <w:lang w:val="en-CA"/>
          </w:rPr>
          <w:t>J</w:t>
        </w:r>
        <w:r w:rsidR="005E6568" w:rsidRPr="00E27790">
          <w:rPr>
            <w:rStyle w:val="Hyperlink"/>
            <w:i/>
            <w:iCs/>
            <w:noProof/>
            <w:szCs w:val="22"/>
            <w:vertAlign w:val="subscript"/>
            <w:lang w:val="en-CA"/>
          </w:rPr>
          <w:t>c-dry</w:t>
        </w:r>
        <w:r w:rsidR="005E6568" w:rsidRPr="00E27790">
          <w:rPr>
            <w:rStyle w:val="Hyperlink"/>
            <w:noProof/>
            <w:szCs w:val="22"/>
            <w:lang w:val="en-CA"/>
          </w:rPr>
          <w:t xml:space="preserve"> and </w:t>
        </w:r>
        <w:r w:rsidR="005E6568" w:rsidRPr="00E27790">
          <w:rPr>
            <w:rStyle w:val="Hyperlink"/>
            <w:i/>
            <w:iCs/>
            <w:noProof/>
            <w:szCs w:val="22"/>
            <w:lang w:val="en-CA"/>
          </w:rPr>
          <w:t>J</w:t>
        </w:r>
        <w:r w:rsidR="005E6568" w:rsidRPr="00E27790">
          <w:rPr>
            <w:rStyle w:val="Hyperlink"/>
            <w:i/>
            <w:iCs/>
            <w:noProof/>
            <w:szCs w:val="22"/>
            <w:vertAlign w:val="subscript"/>
            <w:lang w:val="en-CA"/>
          </w:rPr>
          <w:t>c-MIST</w:t>
        </w:r>
        <w:r w:rsidR="005E6568" w:rsidRPr="00E27790">
          <w:rPr>
            <w:rStyle w:val="Hyperlink"/>
            <w:noProof/>
            <w:szCs w:val="22"/>
            <w:lang w:val="en-CA"/>
          </w:rPr>
          <w:t xml:space="preserve"> values and </w:t>
        </w:r>
        <w:r w:rsidR="005E6568" w:rsidRPr="00E27790">
          <w:rPr>
            <w:rStyle w:val="Hyperlink"/>
            <w:i/>
            <w:iCs/>
            <w:noProof/>
            <w:szCs w:val="22"/>
            <w:lang w:val="en-CA"/>
          </w:rPr>
          <w:t>J</w:t>
        </w:r>
        <w:r w:rsidR="005E6568" w:rsidRPr="00E27790">
          <w:rPr>
            <w:rStyle w:val="Hyperlink"/>
            <w:i/>
            <w:iCs/>
            <w:noProof/>
            <w:szCs w:val="22"/>
            <w:vertAlign w:val="subscript"/>
            <w:lang w:val="en-CA"/>
          </w:rPr>
          <w:t>c</w:t>
        </w:r>
        <w:r w:rsidR="005E6568" w:rsidRPr="00E27790">
          <w:rPr>
            <w:rStyle w:val="Hyperlink"/>
            <w:i/>
            <w:iCs/>
            <w:noProof/>
            <w:szCs w:val="22"/>
            <w:lang w:val="en-CA"/>
          </w:rPr>
          <w:t xml:space="preserve"> ratio</w:t>
        </w:r>
        <w:r w:rsidR="005E6568" w:rsidRPr="00E27790">
          <w:rPr>
            <w:rStyle w:val="Hyperlink"/>
            <w:noProof/>
            <w:szCs w:val="22"/>
            <w:lang w:val="en-CA"/>
          </w:rPr>
          <w:t xml:space="preserve"> of asphalt mixes from LA-SCB test</w:t>
        </w:r>
        <w:r w:rsidR="005E6568" w:rsidRPr="00E27790">
          <w:rPr>
            <w:noProof/>
            <w:webHidden/>
            <w:sz w:val="22"/>
            <w:szCs w:val="22"/>
          </w:rPr>
          <w:tab/>
        </w:r>
        <w:r w:rsidR="005E6568" w:rsidRPr="00E27790">
          <w:rPr>
            <w:noProof/>
            <w:webHidden/>
            <w:sz w:val="22"/>
            <w:szCs w:val="22"/>
          </w:rPr>
          <w:fldChar w:fldCharType="begin"/>
        </w:r>
        <w:r w:rsidR="005E6568" w:rsidRPr="00E27790">
          <w:rPr>
            <w:noProof/>
            <w:webHidden/>
            <w:sz w:val="22"/>
            <w:szCs w:val="22"/>
          </w:rPr>
          <w:instrText xml:space="preserve"> PAGEREF _Toc71334108 \h </w:instrText>
        </w:r>
        <w:r w:rsidR="005E6568" w:rsidRPr="00E27790">
          <w:rPr>
            <w:noProof/>
            <w:webHidden/>
            <w:sz w:val="22"/>
            <w:szCs w:val="22"/>
          </w:rPr>
        </w:r>
        <w:r w:rsidR="005E6568" w:rsidRPr="00E27790">
          <w:rPr>
            <w:noProof/>
            <w:webHidden/>
            <w:sz w:val="22"/>
            <w:szCs w:val="22"/>
          </w:rPr>
          <w:fldChar w:fldCharType="separate"/>
        </w:r>
        <w:r w:rsidR="005050F0">
          <w:rPr>
            <w:noProof/>
            <w:webHidden/>
            <w:sz w:val="22"/>
            <w:szCs w:val="22"/>
          </w:rPr>
          <w:t>177</w:t>
        </w:r>
        <w:r w:rsidR="005E6568" w:rsidRPr="00E27790">
          <w:rPr>
            <w:noProof/>
            <w:webHidden/>
            <w:sz w:val="22"/>
            <w:szCs w:val="22"/>
          </w:rPr>
          <w:fldChar w:fldCharType="end"/>
        </w:r>
      </w:hyperlink>
    </w:p>
    <w:p w14:paraId="3FDE6174" w14:textId="29F0B9E8" w:rsidR="005E6568" w:rsidRPr="00E27790" w:rsidRDefault="007F7885" w:rsidP="003D0490">
      <w:pPr>
        <w:pStyle w:val="TableofFigures"/>
        <w:tabs>
          <w:tab w:val="right" w:leader="dot" w:pos="8460"/>
        </w:tabs>
        <w:spacing w:line="360" w:lineRule="auto"/>
        <w:ind w:left="1080" w:right="846" w:hanging="1080"/>
        <w:rPr>
          <w:rFonts w:eastAsiaTheme="minorEastAsia"/>
          <w:noProof/>
          <w:sz w:val="22"/>
          <w:szCs w:val="22"/>
          <w:lang w:bidi="ar-SA"/>
        </w:rPr>
      </w:pPr>
      <w:hyperlink w:anchor="_Toc71334109" w:history="1">
        <w:r w:rsidR="005E6568" w:rsidRPr="00E27790">
          <w:rPr>
            <w:rStyle w:val="Hyperlink"/>
            <w:noProof/>
            <w:szCs w:val="22"/>
          </w:rPr>
          <w:t>Figure 5.5</w:t>
        </w:r>
        <w:r w:rsidR="005E6568" w:rsidRPr="00E27790">
          <w:rPr>
            <w:rStyle w:val="Hyperlink"/>
            <w:noProof/>
            <w:szCs w:val="22"/>
            <w:lang w:val="en-CA"/>
          </w:rPr>
          <w:t xml:space="preserve"> Work of adhesion (</w:t>
        </w:r>
        <w:r w:rsidR="005E6568" w:rsidRPr="00E27790">
          <w:rPr>
            <w:rStyle w:val="Hyperlink"/>
            <w:i/>
            <w:iCs/>
            <w:noProof/>
            <w:szCs w:val="22"/>
            <w:lang w:val="en-CA"/>
          </w:rPr>
          <w:t>W</w:t>
        </w:r>
        <w:r w:rsidR="005E6568" w:rsidRPr="00E27790">
          <w:rPr>
            <w:rStyle w:val="Hyperlink"/>
            <w:i/>
            <w:iCs/>
            <w:noProof/>
            <w:szCs w:val="22"/>
            <w:vertAlign w:val="subscript"/>
            <w:lang w:val="en-CA"/>
          </w:rPr>
          <w:t>AS</w:t>
        </w:r>
        <w:r w:rsidR="005E6568" w:rsidRPr="00E27790">
          <w:rPr>
            <w:rStyle w:val="Hyperlink"/>
            <w:i/>
            <w:iCs/>
            <w:noProof/>
            <w:szCs w:val="22"/>
            <w:lang w:val="en-CA"/>
          </w:rPr>
          <w:t>)</w:t>
        </w:r>
        <w:r w:rsidR="005E6568" w:rsidRPr="00E27790">
          <w:rPr>
            <w:rStyle w:val="Hyperlink"/>
            <w:noProof/>
            <w:szCs w:val="22"/>
            <w:lang w:val="en-CA"/>
          </w:rPr>
          <w:t>, work of debonding (</w:t>
        </w:r>
        <m:oMath>
          <m:r>
            <w:rPr>
              <w:rStyle w:val="Hyperlink"/>
              <w:rFonts w:ascii="Cambria Math" w:hAnsi="Cambria Math"/>
              <w:noProof/>
              <w:szCs w:val="22"/>
            </w:rPr>
            <m:t>WASWwet)</m:t>
          </m:r>
        </m:oMath>
        <w:r w:rsidR="005E6568" w:rsidRPr="00E27790">
          <w:rPr>
            <w:rStyle w:val="Hyperlink"/>
            <w:noProof/>
            <w:szCs w:val="22"/>
            <w:lang w:val="en-CA"/>
          </w:rPr>
          <w:t xml:space="preserve"> and energy ratio (</w:t>
        </w:r>
        <w:r w:rsidR="005E6568" w:rsidRPr="00E27790">
          <w:rPr>
            <w:rStyle w:val="Hyperlink"/>
            <w:i/>
            <w:noProof/>
            <w:szCs w:val="22"/>
          </w:rPr>
          <w:t>ER</w:t>
        </w:r>
        <w:r w:rsidR="005E6568" w:rsidRPr="00E27790">
          <w:rPr>
            <w:rStyle w:val="Hyperlink"/>
            <w:i/>
            <w:noProof/>
            <w:szCs w:val="22"/>
            <w:vertAlign w:val="subscript"/>
          </w:rPr>
          <w:t>1</w:t>
        </w:r>
        <w:r w:rsidR="005E6568" w:rsidRPr="00E27790">
          <w:rPr>
            <w:rStyle w:val="Hyperlink"/>
            <w:i/>
            <w:noProof/>
            <w:szCs w:val="22"/>
          </w:rPr>
          <w:t>)</w:t>
        </w:r>
        <w:r w:rsidR="005E6568" w:rsidRPr="00E27790">
          <w:rPr>
            <w:rStyle w:val="Hyperlink"/>
            <w:noProof/>
            <w:szCs w:val="22"/>
            <w:lang w:val="en-CA"/>
          </w:rPr>
          <w:t xml:space="preserve"> of binder blends with rhyolite aggregate</w:t>
        </w:r>
        <w:r w:rsidR="005E6568" w:rsidRPr="00E27790">
          <w:rPr>
            <w:noProof/>
            <w:webHidden/>
            <w:sz w:val="22"/>
            <w:szCs w:val="22"/>
          </w:rPr>
          <w:tab/>
        </w:r>
        <w:r w:rsidR="005E6568" w:rsidRPr="00E27790">
          <w:rPr>
            <w:noProof/>
            <w:webHidden/>
            <w:sz w:val="22"/>
            <w:szCs w:val="22"/>
          </w:rPr>
          <w:fldChar w:fldCharType="begin"/>
        </w:r>
        <w:r w:rsidR="005E6568" w:rsidRPr="00E27790">
          <w:rPr>
            <w:noProof/>
            <w:webHidden/>
            <w:sz w:val="22"/>
            <w:szCs w:val="22"/>
          </w:rPr>
          <w:instrText xml:space="preserve"> PAGEREF _Toc71334109 \h </w:instrText>
        </w:r>
        <w:r w:rsidR="005E6568" w:rsidRPr="00E27790">
          <w:rPr>
            <w:noProof/>
            <w:webHidden/>
            <w:sz w:val="22"/>
            <w:szCs w:val="22"/>
          </w:rPr>
        </w:r>
        <w:r w:rsidR="005E6568" w:rsidRPr="00E27790">
          <w:rPr>
            <w:noProof/>
            <w:webHidden/>
            <w:sz w:val="22"/>
            <w:szCs w:val="22"/>
          </w:rPr>
          <w:fldChar w:fldCharType="separate"/>
        </w:r>
        <w:r w:rsidR="005050F0">
          <w:rPr>
            <w:noProof/>
            <w:webHidden/>
            <w:sz w:val="22"/>
            <w:szCs w:val="22"/>
          </w:rPr>
          <w:t>178</w:t>
        </w:r>
        <w:r w:rsidR="005E6568" w:rsidRPr="00E27790">
          <w:rPr>
            <w:noProof/>
            <w:webHidden/>
            <w:sz w:val="22"/>
            <w:szCs w:val="22"/>
          </w:rPr>
          <w:fldChar w:fldCharType="end"/>
        </w:r>
      </w:hyperlink>
    </w:p>
    <w:p w14:paraId="514D7156" w14:textId="399C071E" w:rsidR="005E6568" w:rsidRDefault="007F7885" w:rsidP="003D0490">
      <w:pPr>
        <w:pStyle w:val="TableofFigures"/>
        <w:tabs>
          <w:tab w:val="right" w:leader="dot" w:pos="8460"/>
        </w:tabs>
        <w:spacing w:line="360" w:lineRule="auto"/>
        <w:ind w:left="1080" w:right="846" w:hanging="1080"/>
        <w:rPr>
          <w:rFonts w:asciiTheme="minorHAnsi" w:eastAsiaTheme="minorEastAsia" w:hAnsiTheme="minorHAnsi" w:cstheme="minorBidi"/>
          <w:noProof/>
          <w:sz w:val="22"/>
          <w:szCs w:val="22"/>
          <w:lang w:bidi="ar-SA"/>
        </w:rPr>
      </w:pPr>
      <w:hyperlink w:anchor="_Toc71334110" w:history="1">
        <w:r w:rsidR="005E6568" w:rsidRPr="00E27790">
          <w:rPr>
            <w:rStyle w:val="Hyperlink"/>
            <w:noProof/>
            <w:szCs w:val="22"/>
          </w:rPr>
          <w:t>Figure 5.6</w:t>
        </w:r>
        <w:r w:rsidR="005E6568" w:rsidRPr="00E27790">
          <w:rPr>
            <w:rStyle w:val="Hyperlink"/>
            <w:noProof/>
            <w:szCs w:val="22"/>
            <w:lang w:val="en-CA"/>
          </w:rPr>
          <w:t xml:space="preserve"> Comparison of different laboratory performance parameters with SFE parameter; (a) </w:t>
        </w:r>
        <w:r w:rsidR="005E6568" w:rsidRPr="00E27790">
          <w:rPr>
            <w:rStyle w:val="Hyperlink"/>
            <w:i/>
            <w:iCs/>
            <w:noProof/>
            <w:szCs w:val="22"/>
            <w:lang w:val="en-CA"/>
          </w:rPr>
          <w:t>SIP vs ER</w:t>
        </w:r>
        <w:r w:rsidR="005E6568" w:rsidRPr="00E27790">
          <w:rPr>
            <w:rStyle w:val="Hyperlink"/>
            <w:i/>
            <w:iCs/>
            <w:noProof/>
            <w:szCs w:val="22"/>
            <w:vertAlign w:val="subscript"/>
            <w:lang w:val="en-CA"/>
          </w:rPr>
          <w:t>1</w:t>
        </w:r>
        <w:r w:rsidR="005E6568" w:rsidRPr="00E27790">
          <w:rPr>
            <w:rStyle w:val="Hyperlink"/>
            <w:noProof/>
            <w:szCs w:val="22"/>
            <w:lang w:val="en-CA"/>
          </w:rPr>
          <w:t xml:space="preserve">, (b) </w:t>
        </w:r>
        <w:r w:rsidR="005E6568" w:rsidRPr="00E27790">
          <w:rPr>
            <w:rStyle w:val="Hyperlink"/>
            <w:i/>
            <w:iCs/>
            <w:noProof/>
            <w:szCs w:val="22"/>
            <w:lang w:val="en-CA"/>
          </w:rPr>
          <w:t>LC</w:t>
        </w:r>
        <w:r w:rsidR="005E6568" w:rsidRPr="00E27790">
          <w:rPr>
            <w:rStyle w:val="Hyperlink"/>
            <w:i/>
            <w:iCs/>
            <w:noProof/>
            <w:szCs w:val="22"/>
            <w:vertAlign w:val="subscript"/>
            <w:lang w:val="en-CA"/>
          </w:rPr>
          <w:t>SN</w:t>
        </w:r>
        <w:r w:rsidR="005E6568" w:rsidRPr="00E27790">
          <w:rPr>
            <w:rStyle w:val="Hyperlink"/>
            <w:i/>
            <w:iCs/>
            <w:noProof/>
            <w:szCs w:val="22"/>
            <w:lang w:val="en-CA"/>
          </w:rPr>
          <w:t xml:space="preserve"> vs ER</w:t>
        </w:r>
        <w:r w:rsidR="005E6568" w:rsidRPr="00E27790">
          <w:rPr>
            <w:rStyle w:val="Hyperlink"/>
            <w:i/>
            <w:iCs/>
            <w:noProof/>
            <w:szCs w:val="22"/>
            <w:vertAlign w:val="subscript"/>
            <w:lang w:val="en-CA"/>
          </w:rPr>
          <w:t>1</w:t>
        </w:r>
        <w:r w:rsidR="005E6568" w:rsidRPr="00E27790">
          <w:rPr>
            <w:rStyle w:val="Hyperlink"/>
            <w:noProof/>
            <w:szCs w:val="22"/>
            <w:lang w:val="en-CA"/>
          </w:rPr>
          <w:t>; (c)</w:t>
        </w:r>
        <w:r w:rsidR="005E6568" w:rsidRPr="00E27790">
          <w:rPr>
            <w:rStyle w:val="Hyperlink"/>
            <w:i/>
            <w:iCs/>
            <w:noProof/>
            <w:szCs w:val="22"/>
            <w:lang w:val="en-CA"/>
          </w:rPr>
          <w:t>TSR vs ER</w:t>
        </w:r>
        <w:r w:rsidR="005E6568" w:rsidRPr="00E27790">
          <w:rPr>
            <w:rStyle w:val="Hyperlink"/>
            <w:i/>
            <w:iCs/>
            <w:noProof/>
            <w:szCs w:val="22"/>
            <w:vertAlign w:val="subscript"/>
            <w:lang w:val="en-CA"/>
          </w:rPr>
          <w:t>1</w:t>
        </w:r>
        <w:r w:rsidR="005E6568" w:rsidRPr="00E27790">
          <w:rPr>
            <w:rStyle w:val="Hyperlink"/>
            <w:noProof/>
            <w:szCs w:val="22"/>
            <w:lang w:val="en-CA"/>
          </w:rPr>
          <w:t xml:space="preserve">; (d) </w:t>
        </w:r>
        <w:r w:rsidR="005E6568" w:rsidRPr="00E27790">
          <w:rPr>
            <w:rStyle w:val="Hyperlink"/>
            <w:i/>
            <w:iCs/>
            <w:noProof/>
            <w:szCs w:val="22"/>
            <w:lang w:val="en-CA"/>
          </w:rPr>
          <w:t>TI ratio vs ER</w:t>
        </w:r>
        <w:r w:rsidR="005E6568" w:rsidRPr="00E27790">
          <w:rPr>
            <w:rStyle w:val="Hyperlink"/>
            <w:i/>
            <w:iCs/>
            <w:noProof/>
            <w:szCs w:val="22"/>
            <w:vertAlign w:val="subscript"/>
            <w:lang w:val="en-CA"/>
          </w:rPr>
          <w:t>1</w:t>
        </w:r>
        <w:r w:rsidR="005E6568" w:rsidRPr="00E27790">
          <w:rPr>
            <w:rStyle w:val="Hyperlink"/>
            <w:noProof/>
            <w:szCs w:val="22"/>
            <w:lang w:val="en-CA"/>
          </w:rPr>
          <w:t xml:space="preserve"> and (e) </w:t>
        </w:r>
        <w:r w:rsidR="005E6568" w:rsidRPr="00E27790">
          <w:rPr>
            <w:rStyle w:val="Hyperlink"/>
            <w:i/>
            <w:iCs/>
            <w:noProof/>
            <w:szCs w:val="22"/>
            <w:lang w:val="en-CA"/>
          </w:rPr>
          <w:t>J</w:t>
        </w:r>
        <w:r w:rsidR="005E6568" w:rsidRPr="00E27790">
          <w:rPr>
            <w:rStyle w:val="Hyperlink"/>
            <w:i/>
            <w:iCs/>
            <w:noProof/>
            <w:szCs w:val="22"/>
            <w:vertAlign w:val="subscript"/>
            <w:lang w:val="en-CA"/>
          </w:rPr>
          <w:t>c</w:t>
        </w:r>
        <w:r w:rsidR="005E6568" w:rsidRPr="00E27790">
          <w:rPr>
            <w:rStyle w:val="Hyperlink"/>
            <w:i/>
            <w:iCs/>
            <w:noProof/>
            <w:szCs w:val="22"/>
            <w:lang w:val="en-CA"/>
          </w:rPr>
          <w:t xml:space="preserve"> ratio vs ER</w:t>
        </w:r>
        <w:r w:rsidR="005E6568" w:rsidRPr="00E27790">
          <w:rPr>
            <w:rStyle w:val="Hyperlink"/>
            <w:i/>
            <w:iCs/>
            <w:noProof/>
            <w:szCs w:val="22"/>
            <w:vertAlign w:val="subscript"/>
            <w:lang w:val="en-CA"/>
          </w:rPr>
          <w:t>1</w:t>
        </w:r>
        <w:r w:rsidR="005E6568" w:rsidRPr="00E27790">
          <w:rPr>
            <w:noProof/>
            <w:webHidden/>
            <w:sz w:val="22"/>
            <w:szCs w:val="22"/>
          </w:rPr>
          <w:tab/>
        </w:r>
        <w:r w:rsidR="005E6568" w:rsidRPr="00E27790">
          <w:rPr>
            <w:noProof/>
            <w:webHidden/>
            <w:sz w:val="22"/>
            <w:szCs w:val="22"/>
          </w:rPr>
          <w:fldChar w:fldCharType="begin"/>
        </w:r>
        <w:r w:rsidR="005E6568" w:rsidRPr="00E27790">
          <w:rPr>
            <w:noProof/>
            <w:webHidden/>
            <w:sz w:val="22"/>
            <w:szCs w:val="22"/>
          </w:rPr>
          <w:instrText xml:space="preserve"> PAGEREF _Toc71334110 \h </w:instrText>
        </w:r>
        <w:r w:rsidR="005E6568" w:rsidRPr="00E27790">
          <w:rPr>
            <w:noProof/>
            <w:webHidden/>
            <w:sz w:val="22"/>
            <w:szCs w:val="22"/>
          </w:rPr>
        </w:r>
        <w:r w:rsidR="005E6568" w:rsidRPr="00E27790">
          <w:rPr>
            <w:noProof/>
            <w:webHidden/>
            <w:sz w:val="22"/>
            <w:szCs w:val="22"/>
          </w:rPr>
          <w:fldChar w:fldCharType="separate"/>
        </w:r>
        <w:r w:rsidR="005050F0">
          <w:rPr>
            <w:noProof/>
            <w:webHidden/>
            <w:sz w:val="22"/>
            <w:szCs w:val="22"/>
          </w:rPr>
          <w:t>179</w:t>
        </w:r>
        <w:r w:rsidR="005E6568" w:rsidRPr="00E27790">
          <w:rPr>
            <w:noProof/>
            <w:webHidden/>
            <w:sz w:val="22"/>
            <w:szCs w:val="22"/>
          </w:rPr>
          <w:fldChar w:fldCharType="end"/>
        </w:r>
      </w:hyperlink>
    </w:p>
    <w:p w14:paraId="6ECE5F45" w14:textId="2301D40C" w:rsidR="000247E7" w:rsidRPr="000247E7" w:rsidRDefault="000247E7" w:rsidP="00206F78">
      <w:pPr>
        <w:spacing w:line="276" w:lineRule="auto"/>
        <w:rPr>
          <w:lang w:bidi="en-US"/>
        </w:rPr>
      </w:pPr>
      <w:r w:rsidRPr="00206F78">
        <w:rPr>
          <w:lang w:bidi="en-US"/>
        </w:rPr>
        <w:fldChar w:fldCharType="end"/>
      </w:r>
    </w:p>
    <w:p w14:paraId="7EBC2388" w14:textId="1EFC399A" w:rsidR="00B555D8" w:rsidRPr="0053004B" w:rsidRDefault="00D1424D" w:rsidP="005670AB">
      <w:pPr>
        <w:pStyle w:val="Chapter"/>
      </w:pPr>
      <w:r>
        <w:br w:type="page"/>
      </w:r>
      <w:bookmarkStart w:id="11" w:name="_Toc310579467"/>
      <w:bookmarkStart w:id="12" w:name="_Toc469234902"/>
      <w:bookmarkStart w:id="13" w:name="_Toc71728401"/>
      <w:r w:rsidR="00B555D8" w:rsidRPr="00B555D8">
        <w:lastRenderedPageBreak/>
        <w:t>Abstract</w:t>
      </w:r>
      <w:bookmarkEnd w:id="11"/>
      <w:bookmarkEnd w:id="12"/>
      <w:bookmarkEnd w:id="13"/>
    </w:p>
    <w:p w14:paraId="2E39B3EA" w14:textId="1CBB065D" w:rsidR="00A1145C" w:rsidRDefault="00792CE4" w:rsidP="00792CE4">
      <w:pPr>
        <w:ind w:firstLine="720"/>
        <w:rPr>
          <w:rFonts w:cs="Times New Roman"/>
          <w:bCs/>
          <w:color w:val="000000"/>
          <w:szCs w:val="24"/>
        </w:rPr>
      </w:pPr>
      <w:r w:rsidRPr="00BF2E7B">
        <w:rPr>
          <w:rFonts w:cs="Times New Roman"/>
          <w:bCs/>
          <w:color w:val="000000"/>
          <w:szCs w:val="24"/>
        </w:rPr>
        <w:t xml:space="preserve">Moisture-induced damage is one of the major distresses which leads to </w:t>
      </w:r>
      <w:r>
        <w:rPr>
          <w:rFonts w:cs="Times New Roman"/>
          <w:bCs/>
          <w:color w:val="000000"/>
          <w:szCs w:val="24"/>
        </w:rPr>
        <w:t xml:space="preserve">the </w:t>
      </w:r>
      <w:r w:rsidRPr="00BF2E7B">
        <w:rPr>
          <w:rFonts w:cs="Times New Roman"/>
          <w:bCs/>
          <w:color w:val="000000"/>
          <w:szCs w:val="24"/>
        </w:rPr>
        <w:t xml:space="preserve">deterioration of mechanical properties of asphalt mixes and failure of </w:t>
      </w:r>
      <w:r>
        <w:rPr>
          <w:rFonts w:cs="Times New Roman"/>
          <w:bCs/>
          <w:color w:val="000000"/>
          <w:szCs w:val="24"/>
        </w:rPr>
        <w:t>asphalt</w:t>
      </w:r>
      <w:r w:rsidRPr="00BF2E7B">
        <w:rPr>
          <w:rFonts w:cs="Times New Roman"/>
          <w:bCs/>
          <w:color w:val="000000"/>
          <w:szCs w:val="24"/>
        </w:rPr>
        <w:t xml:space="preserve"> pavement</w:t>
      </w:r>
      <w:r>
        <w:rPr>
          <w:rFonts w:cs="Times New Roman"/>
          <w:bCs/>
          <w:color w:val="000000"/>
          <w:szCs w:val="24"/>
        </w:rPr>
        <w:t>s</w:t>
      </w:r>
      <w:r w:rsidRPr="00BF2E7B">
        <w:rPr>
          <w:rFonts w:cs="Times New Roman"/>
          <w:bCs/>
          <w:color w:val="000000"/>
          <w:szCs w:val="24"/>
        </w:rPr>
        <w:t xml:space="preserve">. Evaluation of the moisture-induced damage potential is a challenging task </w:t>
      </w:r>
      <w:r w:rsidR="00A1145C">
        <w:rPr>
          <w:rFonts w:cs="Times New Roman"/>
          <w:bCs/>
          <w:color w:val="000000"/>
          <w:szCs w:val="24"/>
        </w:rPr>
        <w:t>because</w:t>
      </w:r>
      <w:r w:rsidRPr="00BF2E7B">
        <w:rPr>
          <w:rFonts w:cs="Times New Roman"/>
          <w:bCs/>
          <w:color w:val="000000"/>
          <w:szCs w:val="24"/>
        </w:rPr>
        <w:t xml:space="preserve"> a number of factors </w:t>
      </w:r>
      <w:r w:rsidR="001A626E">
        <w:rPr>
          <w:rFonts w:cs="Times New Roman"/>
          <w:bCs/>
          <w:color w:val="000000"/>
          <w:szCs w:val="24"/>
        </w:rPr>
        <w:t xml:space="preserve">including </w:t>
      </w:r>
      <w:r w:rsidRPr="00BF2E7B">
        <w:rPr>
          <w:rFonts w:cs="Times New Roman"/>
          <w:bCs/>
          <w:color w:val="000000"/>
          <w:szCs w:val="24"/>
        </w:rPr>
        <w:t>physical and chemical properties of aggregates and binders, aging, additives/polymers and other environmental and traffic conditions can significantly influence the adhes</w:t>
      </w:r>
      <w:r>
        <w:rPr>
          <w:rFonts w:cs="Times New Roman"/>
          <w:bCs/>
          <w:color w:val="000000"/>
          <w:szCs w:val="24"/>
        </w:rPr>
        <w:t>ion</w:t>
      </w:r>
      <w:r w:rsidRPr="00BF2E7B">
        <w:rPr>
          <w:rFonts w:cs="Times New Roman"/>
          <w:bCs/>
          <w:color w:val="000000"/>
          <w:szCs w:val="24"/>
        </w:rPr>
        <w:t xml:space="preserve"> and</w:t>
      </w:r>
      <w:r>
        <w:rPr>
          <w:rFonts w:cs="Times New Roman"/>
          <w:bCs/>
          <w:color w:val="000000"/>
          <w:szCs w:val="24"/>
        </w:rPr>
        <w:t>/or</w:t>
      </w:r>
      <w:r w:rsidRPr="00BF2E7B">
        <w:rPr>
          <w:rFonts w:cs="Times New Roman"/>
          <w:bCs/>
          <w:color w:val="000000"/>
          <w:szCs w:val="24"/>
        </w:rPr>
        <w:t xml:space="preserve"> cohesi</w:t>
      </w:r>
      <w:r>
        <w:rPr>
          <w:rFonts w:cs="Times New Roman"/>
          <w:bCs/>
          <w:color w:val="000000"/>
          <w:szCs w:val="24"/>
        </w:rPr>
        <w:t>on</w:t>
      </w:r>
      <w:r w:rsidRPr="00BF2E7B">
        <w:rPr>
          <w:rFonts w:cs="Times New Roman"/>
          <w:bCs/>
          <w:color w:val="000000"/>
          <w:szCs w:val="24"/>
        </w:rPr>
        <w:t xml:space="preserve"> </w:t>
      </w:r>
      <w:r>
        <w:rPr>
          <w:rFonts w:cs="Times New Roman"/>
          <w:bCs/>
          <w:color w:val="000000"/>
          <w:szCs w:val="24"/>
        </w:rPr>
        <w:t>mechanisms</w:t>
      </w:r>
      <w:r w:rsidRPr="00BF2E7B">
        <w:rPr>
          <w:rFonts w:cs="Times New Roman"/>
          <w:bCs/>
          <w:color w:val="000000"/>
          <w:szCs w:val="24"/>
        </w:rPr>
        <w:t xml:space="preserve"> of an asphalt mix. Previous studies </w:t>
      </w:r>
      <w:r w:rsidR="00A1145C">
        <w:rPr>
          <w:rFonts w:cs="Times New Roman"/>
          <w:bCs/>
          <w:color w:val="000000"/>
          <w:szCs w:val="24"/>
        </w:rPr>
        <w:t xml:space="preserve">have </w:t>
      </w:r>
      <w:r w:rsidRPr="00BF2E7B">
        <w:rPr>
          <w:rFonts w:cs="Times New Roman"/>
          <w:bCs/>
          <w:color w:val="000000"/>
          <w:szCs w:val="24"/>
        </w:rPr>
        <w:t>reported inadequacies of</w:t>
      </w:r>
      <w:r w:rsidRPr="00BF2E7B">
        <w:rPr>
          <w:rFonts w:cs="Times New Roman"/>
          <w:szCs w:val="24"/>
        </w:rPr>
        <w:t xml:space="preserve"> the current moisture-induced damage evaluation methods </w:t>
      </w:r>
      <w:r w:rsidR="00A1145C">
        <w:rPr>
          <w:rFonts w:cs="Times New Roman"/>
          <w:szCs w:val="24"/>
        </w:rPr>
        <w:t xml:space="preserve">on their ability </w:t>
      </w:r>
      <w:r w:rsidRPr="00BF2E7B">
        <w:rPr>
          <w:rFonts w:cs="Times New Roman"/>
          <w:bCs/>
          <w:color w:val="000000"/>
          <w:szCs w:val="24"/>
        </w:rPr>
        <w:t>to address mechanism</w:t>
      </w:r>
      <w:r w:rsidR="00A1145C">
        <w:rPr>
          <w:rFonts w:cs="Times New Roman"/>
          <w:bCs/>
          <w:color w:val="000000"/>
          <w:szCs w:val="24"/>
        </w:rPr>
        <w:t>s</w:t>
      </w:r>
      <w:r w:rsidRPr="00BF2E7B">
        <w:rPr>
          <w:rFonts w:cs="Times New Roman"/>
          <w:bCs/>
          <w:color w:val="000000"/>
          <w:szCs w:val="24"/>
        </w:rPr>
        <w:t xml:space="preserve"> </w:t>
      </w:r>
      <w:r w:rsidR="00A1145C">
        <w:rPr>
          <w:rFonts w:cs="Times New Roman"/>
          <w:bCs/>
          <w:color w:val="000000"/>
          <w:szCs w:val="24"/>
        </w:rPr>
        <w:t xml:space="preserve">that </w:t>
      </w:r>
      <w:r w:rsidRPr="00BF2E7B">
        <w:rPr>
          <w:rFonts w:cs="Times New Roman"/>
          <w:bCs/>
          <w:color w:val="000000"/>
          <w:szCs w:val="24"/>
        </w:rPr>
        <w:t>lead to failure of asphalt pavements.</w:t>
      </w:r>
      <w:r w:rsidR="00013BC1">
        <w:rPr>
          <w:rFonts w:cs="Times New Roman"/>
          <w:bCs/>
          <w:color w:val="000000"/>
          <w:szCs w:val="24"/>
        </w:rPr>
        <w:t xml:space="preserve"> T</w:t>
      </w:r>
      <w:r w:rsidRPr="00BF2E7B">
        <w:rPr>
          <w:rFonts w:cs="Times New Roman"/>
          <w:bCs/>
          <w:color w:val="000000"/>
          <w:szCs w:val="24"/>
        </w:rPr>
        <w:t xml:space="preserve">here is a need to identify relatively simple, reliable, and mechanistic methods for evaluating moisture-induced damage potential of asphalt mixes. </w:t>
      </w:r>
    </w:p>
    <w:p w14:paraId="0BC8073C" w14:textId="2705999E" w:rsidR="00792CE4" w:rsidRPr="00BF2E7B" w:rsidRDefault="00792CE4" w:rsidP="00792CE4">
      <w:pPr>
        <w:ind w:firstLine="720"/>
        <w:rPr>
          <w:rFonts w:cs="Times New Roman"/>
          <w:szCs w:val="24"/>
        </w:rPr>
      </w:pPr>
      <w:r w:rsidRPr="00BF2E7B">
        <w:rPr>
          <w:rFonts w:cs="Times New Roman"/>
          <w:bCs/>
          <w:color w:val="000000"/>
          <w:szCs w:val="24"/>
        </w:rPr>
        <w:t xml:space="preserve">In this study, </w:t>
      </w:r>
      <w:r w:rsidR="00A1145C">
        <w:rPr>
          <w:rFonts w:cs="Times New Roman"/>
          <w:bCs/>
          <w:color w:val="000000"/>
          <w:szCs w:val="24"/>
        </w:rPr>
        <w:t>mechanistic approaches based on</w:t>
      </w:r>
      <w:r w:rsidRPr="00BF2E7B">
        <w:rPr>
          <w:rFonts w:cs="Times New Roman"/>
          <w:bCs/>
          <w:color w:val="000000"/>
          <w:szCs w:val="24"/>
        </w:rPr>
        <w:t xml:space="preserve"> </w:t>
      </w:r>
      <w:r w:rsidR="00F354EC">
        <w:rPr>
          <w:rFonts w:cs="Times New Roman"/>
          <w:bCs/>
          <w:color w:val="000000"/>
          <w:szCs w:val="24"/>
        </w:rPr>
        <w:t xml:space="preserve">the </w:t>
      </w:r>
      <w:r w:rsidRPr="00BF2E7B">
        <w:rPr>
          <w:rFonts w:cs="Times New Roman"/>
          <w:bCs/>
          <w:color w:val="000000"/>
          <w:szCs w:val="24"/>
        </w:rPr>
        <w:t xml:space="preserve">thermodynamic </w:t>
      </w:r>
      <w:r w:rsidR="001B27DD">
        <w:rPr>
          <w:rFonts w:cs="Times New Roman"/>
          <w:bCs/>
          <w:color w:val="000000"/>
          <w:szCs w:val="24"/>
        </w:rPr>
        <w:t>theory</w:t>
      </w:r>
      <w:r w:rsidRPr="00BF2E7B">
        <w:rPr>
          <w:rFonts w:cs="Times New Roman"/>
          <w:bCs/>
          <w:color w:val="000000"/>
          <w:szCs w:val="24"/>
        </w:rPr>
        <w:t xml:space="preserve">, chemical characterization and laboratory-based performance tests </w:t>
      </w:r>
      <w:r w:rsidR="00A1145C">
        <w:rPr>
          <w:rFonts w:cs="Times New Roman"/>
          <w:bCs/>
          <w:color w:val="000000"/>
          <w:szCs w:val="24"/>
        </w:rPr>
        <w:t xml:space="preserve">were used </w:t>
      </w:r>
      <w:r w:rsidRPr="00BF2E7B">
        <w:rPr>
          <w:rFonts w:cs="Times New Roman"/>
          <w:bCs/>
          <w:color w:val="000000"/>
          <w:szCs w:val="24"/>
        </w:rPr>
        <w:t>to investigate the effect</w:t>
      </w:r>
      <w:r w:rsidR="00A1145C">
        <w:rPr>
          <w:rFonts w:cs="Times New Roman"/>
          <w:bCs/>
          <w:color w:val="000000"/>
          <w:szCs w:val="24"/>
        </w:rPr>
        <w:t>s</w:t>
      </w:r>
      <w:r w:rsidRPr="00BF2E7B">
        <w:rPr>
          <w:rFonts w:cs="Times New Roman"/>
          <w:bCs/>
          <w:color w:val="000000"/>
          <w:szCs w:val="24"/>
        </w:rPr>
        <w:t xml:space="preserve"> of different factors on the moisture-induced damage potential of asphalt mixes.</w:t>
      </w:r>
      <w:r w:rsidRPr="00BF2E7B">
        <w:rPr>
          <w:rFonts w:cs="Times New Roman"/>
          <w:szCs w:val="24"/>
        </w:rPr>
        <w:t xml:space="preserve"> </w:t>
      </w:r>
      <w:r w:rsidR="00A1145C">
        <w:rPr>
          <w:rFonts w:cs="Times New Roman"/>
          <w:szCs w:val="24"/>
        </w:rPr>
        <w:t>Specifically, t</w:t>
      </w:r>
      <w:r w:rsidRPr="00BF2E7B">
        <w:rPr>
          <w:rFonts w:cs="Times New Roman"/>
          <w:szCs w:val="24"/>
        </w:rPr>
        <w:t xml:space="preserve">he </w:t>
      </w:r>
      <w:r w:rsidRPr="00BF2E7B">
        <w:rPr>
          <w:rFonts w:cs="Times New Roman"/>
          <w:bCs/>
          <w:color w:val="000000"/>
          <w:szCs w:val="24"/>
        </w:rPr>
        <w:t>thermodynamic theory using surface free energy (SFE) of constituent materials w</w:t>
      </w:r>
      <w:r w:rsidR="00A1145C">
        <w:rPr>
          <w:rFonts w:cs="Times New Roman"/>
          <w:bCs/>
          <w:color w:val="000000"/>
          <w:szCs w:val="24"/>
        </w:rPr>
        <w:t>as</w:t>
      </w:r>
      <w:r w:rsidRPr="00BF2E7B">
        <w:rPr>
          <w:rFonts w:cs="Times New Roman"/>
          <w:bCs/>
          <w:color w:val="000000"/>
          <w:szCs w:val="24"/>
        </w:rPr>
        <w:t xml:space="preserve"> used to mechanistically quantify </w:t>
      </w:r>
      <w:r>
        <w:rPr>
          <w:rFonts w:cs="Times New Roman"/>
          <w:bCs/>
          <w:color w:val="000000"/>
          <w:szCs w:val="24"/>
        </w:rPr>
        <w:t xml:space="preserve">the </w:t>
      </w:r>
      <w:r w:rsidRPr="00BF2E7B">
        <w:rPr>
          <w:rFonts w:cs="Times New Roman"/>
          <w:bCs/>
          <w:color w:val="000000"/>
          <w:szCs w:val="24"/>
        </w:rPr>
        <w:t xml:space="preserve">bonding strength of binder-aggregate systems. </w:t>
      </w:r>
      <w:r w:rsidRPr="00BF2E7B">
        <w:rPr>
          <w:rFonts w:cs="Times New Roman"/>
          <w:szCs w:val="24"/>
        </w:rPr>
        <w:t xml:space="preserve">Attempts were made to </w:t>
      </w:r>
      <w:r w:rsidR="00A1145C">
        <w:rPr>
          <w:rFonts w:cs="Times New Roman"/>
          <w:szCs w:val="24"/>
        </w:rPr>
        <w:t>study</w:t>
      </w:r>
      <w:r w:rsidRPr="00BF2E7B">
        <w:rPr>
          <w:rFonts w:cs="Times New Roman"/>
          <w:szCs w:val="24"/>
        </w:rPr>
        <w:t xml:space="preserve"> the effect of probe liquid sets and </w:t>
      </w:r>
      <w:r>
        <w:rPr>
          <w:rFonts w:cs="Times New Roman"/>
          <w:szCs w:val="24"/>
        </w:rPr>
        <w:t xml:space="preserve">different </w:t>
      </w:r>
      <w:r w:rsidRPr="00BF2E7B">
        <w:rPr>
          <w:rFonts w:cs="Times New Roman"/>
          <w:szCs w:val="24"/>
        </w:rPr>
        <w:t>SFE estimation methods on the calculation of moisture-induced damage of binder-aggregate system</w:t>
      </w:r>
      <w:r>
        <w:rPr>
          <w:rFonts w:cs="Times New Roman"/>
          <w:szCs w:val="24"/>
        </w:rPr>
        <w:t>s</w:t>
      </w:r>
      <w:r w:rsidRPr="00BF2E7B">
        <w:rPr>
          <w:rFonts w:cs="Times New Roman"/>
          <w:szCs w:val="24"/>
        </w:rPr>
        <w:t xml:space="preserve">. Suitable probe liquid sets to produce accurate and consistent energy parameters for binder-aggregate systems were identified. The changes in the bonding characteristics of </w:t>
      </w:r>
      <w:r w:rsidRPr="00BF2E7B">
        <w:rPr>
          <w:rFonts w:cs="Times New Roman"/>
          <w:bCs/>
          <w:color w:val="000000"/>
          <w:szCs w:val="24"/>
        </w:rPr>
        <w:t>an</w:t>
      </w:r>
      <w:r w:rsidRPr="00BF2E7B">
        <w:rPr>
          <w:rFonts w:cs="Times New Roman"/>
          <w:szCs w:val="24"/>
        </w:rPr>
        <w:t xml:space="preserve"> </w:t>
      </w:r>
      <w:r w:rsidRPr="00BF2E7B">
        <w:rPr>
          <w:rFonts w:cs="Times New Roman"/>
          <w:bCs/>
          <w:color w:val="000000"/>
          <w:szCs w:val="24"/>
        </w:rPr>
        <w:t xml:space="preserve">unmodified PG 64-22 and a polymer-modified PG 76-28 binders </w:t>
      </w:r>
      <w:r w:rsidRPr="00BF2E7B">
        <w:rPr>
          <w:rFonts w:cs="Times New Roman"/>
          <w:szCs w:val="24"/>
        </w:rPr>
        <w:t xml:space="preserve">with the addition of different additives, namely </w:t>
      </w:r>
      <w:r w:rsidRPr="00BF2E7B">
        <w:rPr>
          <w:rFonts w:cs="Times New Roman"/>
          <w:bCs/>
          <w:color w:val="000000"/>
          <w:szCs w:val="24"/>
        </w:rPr>
        <w:t xml:space="preserve">warm mix asphalt (WMA) additive, anti-stripping agent (ASA), polyphosphoric acid (PPA) and reclaimed asphalt </w:t>
      </w:r>
      <w:r w:rsidRPr="00BF2E7B">
        <w:rPr>
          <w:rFonts w:cs="Times New Roman"/>
          <w:bCs/>
          <w:color w:val="000000"/>
          <w:szCs w:val="24"/>
        </w:rPr>
        <w:lastRenderedPageBreak/>
        <w:t xml:space="preserve">pavement (RAP) were determined using the SFE method. Also, the compatibility of these binders with </w:t>
      </w:r>
      <w:r w:rsidRPr="00BF2E7B">
        <w:rPr>
          <w:rFonts w:cs="Times New Roman"/>
          <w:szCs w:val="24"/>
        </w:rPr>
        <w:t>commonly available aggregates</w:t>
      </w:r>
      <w:r w:rsidRPr="00BF2E7B">
        <w:rPr>
          <w:rFonts w:cs="Times New Roman"/>
          <w:bCs/>
          <w:color w:val="000000"/>
          <w:szCs w:val="24"/>
        </w:rPr>
        <w:t xml:space="preserve"> under different aging conditions w</w:t>
      </w:r>
      <w:r w:rsidR="00A1145C">
        <w:rPr>
          <w:rFonts w:cs="Times New Roman"/>
          <w:bCs/>
          <w:color w:val="000000"/>
          <w:szCs w:val="24"/>
        </w:rPr>
        <w:t>as</w:t>
      </w:r>
      <w:r w:rsidRPr="00BF2E7B">
        <w:rPr>
          <w:rFonts w:cs="Times New Roman"/>
          <w:bCs/>
          <w:color w:val="000000"/>
          <w:szCs w:val="24"/>
        </w:rPr>
        <w:t xml:space="preserve"> investigated. Fourier transform infrared (FTIR) spectroscopy and X-ray fluorescence (XRF) </w:t>
      </w:r>
      <w:r w:rsidR="00A1145C">
        <w:rPr>
          <w:rFonts w:cs="Times New Roman"/>
          <w:bCs/>
          <w:color w:val="000000"/>
          <w:szCs w:val="24"/>
        </w:rPr>
        <w:t xml:space="preserve">tests </w:t>
      </w:r>
      <w:r w:rsidRPr="00BF2E7B">
        <w:rPr>
          <w:rFonts w:cs="Times New Roman"/>
          <w:bCs/>
          <w:color w:val="000000"/>
          <w:szCs w:val="24"/>
        </w:rPr>
        <w:t xml:space="preserve">were conducted on the binders to </w:t>
      </w:r>
      <w:r w:rsidR="00795E5B">
        <w:rPr>
          <w:rFonts w:cs="Times New Roman"/>
          <w:bCs/>
          <w:color w:val="000000"/>
          <w:szCs w:val="24"/>
        </w:rPr>
        <w:t>examine</w:t>
      </w:r>
      <w:r w:rsidRPr="00BF2E7B">
        <w:rPr>
          <w:rFonts w:cs="Times New Roman"/>
          <w:bCs/>
          <w:color w:val="000000"/>
          <w:szCs w:val="24"/>
        </w:rPr>
        <w:t xml:space="preserve"> the effects of chemical compositions on the moisture-induced damage potential of asphalt mixes. </w:t>
      </w:r>
      <w:r w:rsidRPr="00BF2E7B">
        <w:rPr>
          <w:rFonts w:cs="Times New Roman"/>
          <w:szCs w:val="24"/>
        </w:rPr>
        <w:t xml:space="preserve">The elemental compositions of aggregates were determined using </w:t>
      </w:r>
      <w:r>
        <w:rPr>
          <w:rFonts w:cs="Times New Roman"/>
          <w:szCs w:val="24"/>
        </w:rPr>
        <w:t xml:space="preserve">the </w:t>
      </w:r>
      <w:r w:rsidRPr="00BF2E7B">
        <w:rPr>
          <w:rFonts w:cs="Times New Roman"/>
          <w:szCs w:val="24"/>
        </w:rPr>
        <w:t>XRF</w:t>
      </w:r>
      <w:r w:rsidR="00795E5B">
        <w:rPr>
          <w:rFonts w:cs="Times New Roman"/>
          <w:szCs w:val="24"/>
        </w:rPr>
        <w:t xml:space="preserve"> results</w:t>
      </w:r>
      <w:r w:rsidRPr="00BF2E7B">
        <w:rPr>
          <w:rFonts w:cs="Times New Roman"/>
          <w:szCs w:val="24"/>
        </w:rPr>
        <w:t xml:space="preserve">. </w:t>
      </w:r>
      <w:r w:rsidRPr="00BF2E7B">
        <w:rPr>
          <w:rFonts w:cs="Times New Roman"/>
          <w:bCs/>
          <w:color w:val="000000"/>
          <w:szCs w:val="24"/>
        </w:rPr>
        <w:t xml:space="preserve">Asphalt mixes containing different additives were produced in the laboratory for </w:t>
      </w:r>
      <w:r w:rsidR="00F354EC">
        <w:rPr>
          <w:rFonts w:cs="Times New Roman"/>
          <w:bCs/>
          <w:color w:val="000000"/>
          <w:szCs w:val="24"/>
        </w:rPr>
        <w:t xml:space="preserve">the evaluation of </w:t>
      </w:r>
      <w:r w:rsidRPr="00BF2E7B">
        <w:rPr>
          <w:rFonts w:cs="Times New Roman"/>
          <w:bCs/>
          <w:color w:val="000000"/>
          <w:szCs w:val="24"/>
        </w:rPr>
        <w:t>moisture-induced damage using Hamburg wheel tracking (HWT), indirect tensile strength (ITS) and two different semi-circular bend (SCB) tests, namely Louisiana SCB (LA-SCB) and Illinois SCB (IL-SCB) tests. Correlations between different laboratory-based moisture-induced damage parameters and the SFE parameters were investigated. The results of the SFE parameters and chemical analys</w:t>
      </w:r>
      <w:r w:rsidR="00795E5B">
        <w:rPr>
          <w:rFonts w:cs="Times New Roman"/>
          <w:bCs/>
          <w:color w:val="000000"/>
          <w:szCs w:val="24"/>
        </w:rPr>
        <w:t>e</w:t>
      </w:r>
      <w:r w:rsidRPr="00BF2E7B">
        <w:rPr>
          <w:rFonts w:cs="Times New Roman"/>
          <w:bCs/>
          <w:color w:val="000000"/>
          <w:szCs w:val="24"/>
        </w:rPr>
        <w:t xml:space="preserve">s indicated that the properties of aggregates have significantly higher influence on the moisture-induced damage potential of a mix than the properties of binder. Also, asphalt mixes, in general, were found to become more prone to moisture-induced damage with in-service aging. The presence of amine group in both WMA and ASA </w:t>
      </w:r>
      <w:r>
        <w:rPr>
          <w:rFonts w:cs="Times New Roman"/>
          <w:bCs/>
          <w:color w:val="000000"/>
          <w:szCs w:val="24"/>
        </w:rPr>
        <w:t>w</w:t>
      </w:r>
      <w:r w:rsidR="00795E5B">
        <w:rPr>
          <w:rFonts w:cs="Times New Roman"/>
          <w:bCs/>
          <w:color w:val="000000"/>
          <w:szCs w:val="24"/>
        </w:rPr>
        <w:t>as</w:t>
      </w:r>
      <w:r>
        <w:rPr>
          <w:rFonts w:cs="Times New Roman"/>
          <w:bCs/>
          <w:color w:val="000000"/>
          <w:szCs w:val="24"/>
        </w:rPr>
        <w:t xml:space="preserve"> </w:t>
      </w:r>
      <w:r w:rsidR="00F354EC">
        <w:rPr>
          <w:rFonts w:cs="Times New Roman"/>
          <w:bCs/>
          <w:color w:val="000000"/>
          <w:szCs w:val="24"/>
        </w:rPr>
        <w:t>found</w:t>
      </w:r>
      <w:r>
        <w:rPr>
          <w:rFonts w:cs="Times New Roman"/>
          <w:bCs/>
          <w:color w:val="000000"/>
          <w:szCs w:val="24"/>
        </w:rPr>
        <w:t xml:space="preserve"> to </w:t>
      </w:r>
      <w:r w:rsidRPr="00BF2E7B">
        <w:rPr>
          <w:rFonts w:cs="Times New Roman"/>
          <w:bCs/>
          <w:color w:val="000000"/>
          <w:szCs w:val="24"/>
        </w:rPr>
        <w:t xml:space="preserve">reduce the moisture susceptibility of asphalt mixes. </w:t>
      </w:r>
      <w:r>
        <w:rPr>
          <w:rFonts w:cs="Times New Roman"/>
          <w:bCs/>
          <w:color w:val="000000"/>
          <w:szCs w:val="24"/>
        </w:rPr>
        <w:t>However, t</w:t>
      </w:r>
      <w:r w:rsidRPr="00BF2E7B">
        <w:rPr>
          <w:rFonts w:cs="Times New Roman"/>
          <w:bCs/>
          <w:color w:val="000000"/>
          <w:szCs w:val="24"/>
        </w:rPr>
        <w:t xml:space="preserve">he modification of binder with PPA </w:t>
      </w:r>
      <w:r>
        <w:rPr>
          <w:rFonts w:cs="Times New Roman"/>
          <w:bCs/>
          <w:color w:val="000000"/>
          <w:szCs w:val="24"/>
        </w:rPr>
        <w:t xml:space="preserve">is expected to </w:t>
      </w:r>
      <w:r w:rsidRPr="00BF2E7B">
        <w:rPr>
          <w:rFonts w:cs="Times New Roman"/>
          <w:bCs/>
          <w:color w:val="000000"/>
          <w:szCs w:val="24"/>
        </w:rPr>
        <w:t xml:space="preserve">increase the moisture-induced damage potential </w:t>
      </w:r>
      <w:r>
        <w:rPr>
          <w:rFonts w:cs="Times New Roman"/>
          <w:bCs/>
          <w:color w:val="000000"/>
          <w:szCs w:val="24"/>
        </w:rPr>
        <w:t>of a mix</w:t>
      </w:r>
      <w:r w:rsidRPr="00BF2E7B">
        <w:rPr>
          <w:rFonts w:cs="Times New Roman"/>
          <w:bCs/>
          <w:color w:val="000000"/>
          <w:szCs w:val="24"/>
        </w:rPr>
        <w:t xml:space="preserve">. Unconventional laboratory-based parameters from conventional tests, </w:t>
      </w:r>
      <w:r w:rsidR="00795E5B">
        <w:rPr>
          <w:rFonts w:cs="Times New Roman"/>
          <w:bCs/>
          <w:color w:val="000000"/>
          <w:szCs w:val="24"/>
        </w:rPr>
        <w:t>namely</w:t>
      </w:r>
      <w:r w:rsidRPr="00BF2E7B">
        <w:rPr>
          <w:rFonts w:cs="Times New Roman"/>
          <w:bCs/>
          <w:color w:val="000000"/>
          <w:szCs w:val="24"/>
        </w:rPr>
        <w:t xml:space="preserve"> </w:t>
      </w:r>
      <w:r w:rsidRPr="00BF2E7B">
        <w:rPr>
          <w:rFonts w:cs="Times New Roman"/>
          <w:szCs w:val="24"/>
        </w:rPr>
        <w:t>stripping number</w:t>
      </w:r>
      <w:r w:rsidRPr="00BF2E7B">
        <w:rPr>
          <w:rFonts w:cs="Times New Roman"/>
          <w:bCs/>
          <w:color w:val="000000"/>
          <w:szCs w:val="24"/>
        </w:rPr>
        <w:t xml:space="preserve"> (</w:t>
      </w:r>
      <w:r w:rsidR="008753B3" w:rsidRPr="008753B3">
        <w:rPr>
          <w:rFonts w:cs="Times New Roman"/>
          <w:bCs/>
          <w:i/>
          <w:iCs/>
          <w:color w:val="000000"/>
          <w:szCs w:val="24"/>
        </w:rPr>
        <w:t>LC</w:t>
      </w:r>
      <w:r w:rsidRPr="008753B3">
        <w:rPr>
          <w:rFonts w:cs="Times New Roman"/>
          <w:bCs/>
          <w:i/>
          <w:iCs/>
          <w:color w:val="000000"/>
          <w:szCs w:val="24"/>
          <w:vertAlign w:val="subscript"/>
        </w:rPr>
        <w:t>SN</w:t>
      </w:r>
      <w:r w:rsidRPr="00BF2E7B">
        <w:rPr>
          <w:rFonts w:cs="Times New Roman"/>
          <w:bCs/>
          <w:color w:val="000000"/>
          <w:szCs w:val="24"/>
        </w:rPr>
        <w:t>) from HWT test and toughness index ratio (</w:t>
      </w:r>
      <w:r w:rsidRPr="00BF2E7B">
        <w:rPr>
          <w:rFonts w:cs="Times New Roman"/>
          <w:i/>
          <w:iCs/>
          <w:szCs w:val="24"/>
          <w:lang w:val="en-CA"/>
        </w:rPr>
        <w:t>TI ratio)</w:t>
      </w:r>
      <w:r w:rsidRPr="00BF2E7B">
        <w:rPr>
          <w:rFonts w:cs="Times New Roman"/>
          <w:szCs w:val="24"/>
          <w:lang w:val="en-CA"/>
        </w:rPr>
        <w:t xml:space="preserve"> from ITS test exhibited potential </w:t>
      </w:r>
      <w:r>
        <w:rPr>
          <w:rFonts w:cs="Times New Roman"/>
          <w:szCs w:val="24"/>
          <w:lang w:val="en-CA"/>
        </w:rPr>
        <w:t>to</w:t>
      </w:r>
      <w:r w:rsidRPr="00BF2E7B">
        <w:rPr>
          <w:rFonts w:cs="Times New Roman"/>
          <w:szCs w:val="24"/>
          <w:lang w:val="en-CA"/>
        </w:rPr>
        <w:t xml:space="preserve"> adequately characterize mixes for moisture-induced damage. Also, SCB test</w:t>
      </w:r>
      <w:r w:rsidR="00F354EC">
        <w:rPr>
          <w:rFonts w:cs="Times New Roman"/>
          <w:szCs w:val="24"/>
          <w:lang w:val="en-CA"/>
        </w:rPr>
        <w:t>-</w:t>
      </w:r>
      <w:r w:rsidRPr="00BF2E7B">
        <w:rPr>
          <w:rFonts w:cs="Times New Roman"/>
          <w:szCs w:val="24"/>
          <w:lang w:val="en-CA"/>
        </w:rPr>
        <w:t>based parameters, namely J-integral ratio (</w:t>
      </w:r>
      <w:r w:rsidRPr="00BF2E7B">
        <w:rPr>
          <w:rFonts w:cs="Times New Roman"/>
          <w:i/>
          <w:iCs/>
          <w:szCs w:val="24"/>
          <w:lang w:val="en-CA"/>
        </w:rPr>
        <w:t>J</w:t>
      </w:r>
      <w:r w:rsidRPr="00BF2E7B">
        <w:rPr>
          <w:rFonts w:cs="Times New Roman"/>
          <w:i/>
          <w:iCs/>
          <w:szCs w:val="24"/>
          <w:vertAlign w:val="subscript"/>
          <w:lang w:val="en-CA"/>
        </w:rPr>
        <w:t>c</w:t>
      </w:r>
      <w:r w:rsidRPr="00BF2E7B">
        <w:rPr>
          <w:rFonts w:cs="Times New Roman"/>
          <w:i/>
          <w:iCs/>
          <w:szCs w:val="24"/>
          <w:lang w:val="en-CA"/>
        </w:rPr>
        <w:t xml:space="preserve"> ratio</w:t>
      </w:r>
      <w:r w:rsidRPr="00BF2E7B">
        <w:rPr>
          <w:rFonts w:cs="Times New Roman"/>
          <w:szCs w:val="24"/>
          <w:lang w:val="en-CA"/>
        </w:rPr>
        <w:t>) from LA-SCB and fracture energy ratio (</w:t>
      </w:r>
      <w:r w:rsidRPr="00BF2E7B">
        <w:rPr>
          <w:rFonts w:cs="Times New Roman"/>
          <w:i/>
          <w:iCs/>
          <w:szCs w:val="24"/>
        </w:rPr>
        <w:t>G</w:t>
      </w:r>
      <w:r w:rsidRPr="00BF2E7B">
        <w:rPr>
          <w:rFonts w:cs="Times New Roman"/>
          <w:i/>
          <w:iCs/>
          <w:szCs w:val="24"/>
          <w:vertAlign w:val="subscript"/>
        </w:rPr>
        <w:t>f</w:t>
      </w:r>
      <w:r w:rsidRPr="00BF2E7B">
        <w:rPr>
          <w:rFonts w:cs="Times New Roman"/>
          <w:i/>
          <w:iCs/>
          <w:szCs w:val="24"/>
        </w:rPr>
        <w:t xml:space="preserve"> </w:t>
      </w:r>
      <w:r w:rsidRPr="00BF2E7B">
        <w:rPr>
          <w:rFonts w:cs="Times New Roman"/>
          <w:i/>
          <w:iCs/>
          <w:szCs w:val="24"/>
        </w:rPr>
        <w:lastRenderedPageBreak/>
        <w:t>ratio</w:t>
      </w:r>
      <w:r w:rsidRPr="00BF2E7B">
        <w:rPr>
          <w:rFonts w:cs="Times New Roman"/>
          <w:szCs w:val="24"/>
        </w:rPr>
        <w:t xml:space="preserve">) from Illinois-SCB showed promises </w:t>
      </w:r>
      <w:r w:rsidR="00F354EC">
        <w:rPr>
          <w:rFonts w:cs="Times New Roman"/>
          <w:szCs w:val="24"/>
        </w:rPr>
        <w:t>for</w:t>
      </w:r>
      <w:r w:rsidRPr="00BF2E7B">
        <w:rPr>
          <w:rFonts w:cs="Times New Roman"/>
          <w:szCs w:val="24"/>
        </w:rPr>
        <w:t xml:space="preserve"> use as alternate moisture-induced damage parameters for asphalt mixes. </w:t>
      </w:r>
    </w:p>
    <w:p w14:paraId="7AD71F5E" w14:textId="3F927380" w:rsidR="00382053" w:rsidRPr="00B555D8" w:rsidRDefault="00382053" w:rsidP="00B555D8">
      <w:pPr>
        <w:rPr>
          <w:rFonts w:eastAsia="Times New Roman" w:cs="Times New Roman"/>
          <w:color w:val="FF0000"/>
          <w:szCs w:val="24"/>
          <w:lang w:bidi="en-US"/>
        </w:rPr>
        <w:sectPr w:rsidR="00382053" w:rsidRPr="00B555D8" w:rsidSect="00C608E5">
          <w:footerReference w:type="default" r:id="rId10"/>
          <w:pgSz w:w="12240" w:h="15840" w:code="1"/>
          <w:pgMar w:top="1440" w:right="1440" w:bottom="1440" w:left="2304" w:header="720" w:footer="720" w:gutter="0"/>
          <w:pgNumType w:fmt="lowerRoman" w:start="5"/>
          <w:cols w:space="720"/>
        </w:sectPr>
      </w:pPr>
    </w:p>
    <w:p w14:paraId="23853557" w14:textId="5F30AE5A" w:rsidR="00567C0D" w:rsidRPr="002C7331" w:rsidRDefault="00567C0D" w:rsidP="0044605A">
      <w:pPr>
        <w:spacing w:line="240" w:lineRule="auto"/>
        <w:rPr>
          <w:rFonts w:ascii="Mongolian Baiti" w:hAnsi="Mongolian Baiti" w:cs="Mongolian Baiti"/>
          <w:b/>
          <w:bCs/>
        </w:rPr>
      </w:pPr>
      <w:bookmarkStart w:id="14" w:name="_Toc310579468"/>
      <w:bookmarkStart w:id="15" w:name="_Toc469234903"/>
      <w:r w:rsidRPr="002C7331">
        <w:rPr>
          <w:rFonts w:ascii="Mongolian Baiti" w:hAnsi="Mongolian Baiti" w:cs="Mongolian Baiti"/>
          <w:b/>
          <w:bCs/>
        </w:rPr>
        <w:lastRenderedPageBreak/>
        <w:t>CHAPTER</w:t>
      </w:r>
    </w:p>
    <w:p w14:paraId="699DA0EA" w14:textId="10E8C0D5" w:rsidR="00567C0D" w:rsidRPr="002C7331" w:rsidRDefault="007F6589" w:rsidP="0044605A">
      <w:pPr>
        <w:pBdr>
          <w:bottom w:val="double" w:sz="4" w:space="1" w:color="auto"/>
        </w:pBdr>
        <w:spacing w:line="240" w:lineRule="auto"/>
        <w:rPr>
          <w:rFonts w:ascii="Mongolian Baiti" w:hAnsi="Mongolian Baiti" w:cs="Mongolian Baiti"/>
          <w:b/>
          <w:bCs/>
          <w:i/>
          <w:iCs/>
          <w:sz w:val="110"/>
          <w:szCs w:val="108"/>
        </w:rPr>
      </w:pPr>
      <w:r w:rsidRPr="002C7331">
        <w:rPr>
          <w:rFonts w:ascii="Mongolian Baiti" w:hAnsi="Mongolian Baiti" w:cs="Mongolian Baiti"/>
          <w:b/>
          <w:bCs/>
          <w:i/>
          <w:iCs/>
          <w:sz w:val="110"/>
          <w:szCs w:val="108"/>
        </w:rPr>
        <w:t>1</w:t>
      </w:r>
    </w:p>
    <w:p w14:paraId="29DB56F4" w14:textId="7360A9EE" w:rsidR="00B555D8" w:rsidRPr="00EB5ABA" w:rsidRDefault="00B555D8" w:rsidP="00E44786">
      <w:pPr>
        <w:pStyle w:val="Heading1"/>
      </w:pPr>
      <w:bookmarkStart w:id="16" w:name="_Toc71728402"/>
      <w:r w:rsidRPr="00EB5ABA">
        <w:t>INTRODUCTION</w:t>
      </w:r>
      <w:bookmarkEnd w:id="14"/>
      <w:bookmarkEnd w:id="15"/>
      <w:bookmarkEnd w:id="16"/>
    </w:p>
    <w:p w14:paraId="0837B147" w14:textId="5142EA0C" w:rsidR="00313BA2" w:rsidRPr="00313BA2" w:rsidRDefault="008B0B4E" w:rsidP="00E57694">
      <w:pPr>
        <w:pStyle w:val="Heading2"/>
      </w:pPr>
      <w:bookmarkStart w:id="17" w:name="_Toc6529098"/>
      <w:bookmarkStart w:id="18" w:name="_Toc71728403"/>
      <w:r w:rsidRPr="00313BA2">
        <w:t>BACKGROUND</w:t>
      </w:r>
      <w:bookmarkEnd w:id="17"/>
      <w:bookmarkEnd w:id="18"/>
    </w:p>
    <w:p w14:paraId="5B9896C8" w14:textId="2C53F99A" w:rsidR="00313BA2" w:rsidRPr="00313BA2" w:rsidRDefault="00313BA2" w:rsidP="00313BA2">
      <w:pPr>
        <w:ind w:firstLine="720"/>
        <w:rPr>
          <w:rFonts w:cs="Times New Roman"/>
          <w:szCs w:val="24"/>
        </w:rPr>
      </w:pPr>
      <w:bookmarkStart w:id="19" w:name="_Toc6529099"/>
      <w:r w:rsidRPr="00313BA2">
        <w:rPr>
          <w:rFonts w:cs="Times New Roman"/>
          <w:szCs w:val="24"/>
        </w:rPr>
        <w:t xml:space="preserve">The loss of strength and durability of asphalt mixes in presence of moisture is defined as the moisture-induced damage of asphalt pavement </w:t>
      </w:r>
      <w:r w:rsidRPr="00313BA2">
        <w:rPr>
          <w:rFonts w:cs="Times New Roman"/>
          <w:szCs w:val="24"/>
        </w:rPr>
        <w:fldChar w:fldCharType="begin">
          <w:fldData xml:space="preserve">PEVuZE5vdGU+PENpdGU+PEF1dGhvcj5NYXNhZDwvQXV0aG9yPjxZZWFyPjIwMDY8L1llYXI+PFJl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=
</w:fldData>
        </w:fldChar>
      </w:r>
      <w:r w:rsidR="00282238">
        <w:rPr>
          <w:rFonts w:cs="Times New Roman"/>
          <w:szCs w:val="24"/>
        </w:rPr>
        <w:instrText xml:space="preserve"> ADDIN EN.CITE </w:instrText>
      </w:r>
      <w:r w:rsidR="00282238">
        <w:rPr>
          <w:rFonts w:cs="Times New Roman"/>
          <w:szCs w:val="24"/>
        </w:rPr>
        <w:fldChar w:fldCharType="begin">
          <w:fldData xml:space="preserve">PEVuZE5vdGU+PENpdGU+PEF1dGhvcj5NYXNhZDwvQXV0aG9yPjxZZWFyPjIwMDY8L1llYXI+PFJl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=
</w:fldData>
        </w:fldChar>
      </w:r>
      <w:r w:rsidR="00282238">
        <w:rPr>
          <w:rFonts w:cs="Times New Roman"/>
          <w:szCs w:val="24"/>
        </w:rPr>
        <w:instrText xml:space="preserve"> ADDIN EN.CITE.DATA </w:instrText>
      </w:r>
      <w:r w:rsidR="00282238">
        <w:rPr>
          <w:rFonts w:cs="Times New Roman"/>
          <w:szCs w:val="24"/>
        </w:rPr>
      </w:r>
      <w:r w:rsidR="00282238">
        <w:rPr>
          <w:rFonts w:cs="Times New Roman"/>
          <w:szCs w:val="24"/>
        </w:rPr>
        <w:fldChar w:fldCharType="end"/>
      </w:r>
      <w:r w:rsidRPr="00313BA2">
        <w:rPr>
          <w:rFonts w:cs="Times New Roman"/>
          <w:szCs w:val="24"/>
        </w:rPr>
      </w:r>
      <w:r w:rsidRPr="00313BA2">
        <w:rPr>
          <w:rFonts w:cs="Times New Roman"/>
          <w:szCs w:val="24"/>
        </w:rPr>
        <w:fldChar w:fldCharType="separate"/>
      </w:r>
      <w:r w:rsidR="00282238">
        <w:rPr>
          <w:rFonts w:cs="Times New Roman"/>
          <w:noProof/>
          <w:szCs w:val="24"/>
        </w:rPr>
        <w:t>(Harvey and Lu, 2005; Masad et al., 2006; Bhasin et al., 2007b)</w:t>
      </w:r>
      <w:r w:rsidRPr="00313BA2">
        <w:rPr>
          <w:rFonts w:cs="Times New Roman"/>
          <w:szCs w:val="24"/>
        </w:rPr>
        <w:fldChar w:fldCharType="end"/>
      </w:r>
      <w:r w:rsidRPr="00313BA2">
        <w:rPr>
          <w:rFonts w:cs="Times New Roman"/>
          <w:szCs w:val="24"/>
        </w:rPr>
        <w:t xml:space="preserve">. The moisture-induced damage phenomena for asphalt pavements was first recognized in the early 1930s. </w:t>
      </w:r>
      <w:r w:rsidR="00795E5B">
        <w:rPr>
          <w:rFonts w:cs="Times New Roman"/>
          <w:szCs w:val="24"/>
          <w:lang w:val="en-CA"/>
        </w:rPr>
        <w:t>O</w:t>
      </w:r>
      <w:r w:rsidRPr="00313BA2">
        <w:rPr>
          <w:rFonts w:cs="Times New Roman"/>
          <w:szCs w:val="24"/>
          <w:lang w:val="en-CA"/>
        </w:rPr>
        <w:t xml:space="preserve">ne of the earlier efforts to evaluate moisture-induced damage was reported in the late 1960s through visual inspection </w:t>
      </w:r>
      <w:r w:rsidRPr="00313BA2">
        <w:rPr>
          <w:rFonts w:cs="Times New Roman"/>
          <w:szCs w:val="24"/>
          <w:lang w:val="en-CA"/>
        </w:rPr>
        <w:fldChar w:fldCharType="begin"/>
      </w:r>
      <w:r w:rsidR="00282238">
        <w:rPr>
          <w:rFonts w:cs="Times New Roman"/>
          <w:szCs w:val="24"/>
          <w:lang w:val="en-CA"/>
        </w:rPr>
        <w:instrText xml:space="preserve"> ADDIN EN.CITE &lt;EndNote&gt;&lt;Cite&gt;&lt;Author&gt;Caro&lt;/Author&gt;&lt;Year&gt;2008&lt;/Year&gt;&lt;RecNum&gt;81&lt;/RecNum&gt;&lt;DisplayText&gt;(Caro et al., 2008a; Abuawad et al., 2015)&lt;/DisplayText&gt;&lt;record&gt;&lt;rec-number&gt;81&lt;/rec-number&gt;&lt;foreign-keys&gt;&lt;key app="EN" db-id="d55vzfpwawdafteedfoxsf0lv0v0wp5va2aa" timestamp="1519484635"&gt;81&lt;/key&gt;&lt;/foreign-keys&gt;&lt;ref-type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1: Mechanisms&lt;/title&gt;&lt;secondary-title&gt;International Journal of Pavement Engineering&lt;/secondary-title&gt;&lt;/titles&gt;&lt;periodical&gt;&lt;full-title&gt;International Journal of Pavement Engineering&lt;/full-title&gt;&lt;/periodical&gt;&lt;pages&gt;81-98&lt;/pages&gt;&lt;volume&gt;9&lt;/volume&gt;&lt;number&gt;2&lt;/number&gt;&lt;dates&gt;&lt;year&gt;2008&lt;/year&gt;&lt;/dates&gt;&lt;isbn&gt;1029-8436&lt;/isbn&gt;&lt;urls&gt;&lt;/urls&gt;&lt;/record&gt;&lt;/Cite&gt;&lt;Cite&gt;&lt;Author&gt;Abuawad&lt;/Author&gt;&lt;Year&gt;2015&lt;/Year&gt;&lt;RecNum&gt;80&lt;/RecNum&gt;&lt;record&gt;&lt;rec-number&gt;80&lt;/rec-number&gt;&lt;foreign-keys&gt;&lt;key app="EN" db-id="d55vzfpwawdafteedfoxsf0lv0v0wp5va2aa" timestamp="1519483651"&gt;80&lt;/key&gt;&lt;/foreign-keys&gt;&lt;ref-type name="Journal Article"&gt;17&lt;/ref-type&gt;&lt;contributors&gt;&lt;authors&gt;&lt;author&gt;Abuawad, Ibrahim MA&lt;/author&gt;&lt;author&gt;Al-Qadi, Imad L&lt;/author&gt;&lt;author&gt;Trepanier, James S&lt;/author&gt;&lt;/authors&gt;&lt;/contributors&gt;&lt;titles&gt;&lt;title&gt;Mitigation of Moisture Damage in Asphalt Concrete: Testing Techniques and Additives/Modifiers Effectiveness&lt;/title&gt;&lt;secondary-title&gt;Construction and Building Materials&lt;/secondary-title&gt;&lt;/titles&gt;&lt;periodical&gt;&lt;full-title&gt;Construction and Building Materials&lt;/full-title&gt;&lt;/periodical&gt;&lt;pages&gt;437-443&lt;/pages&gt;&lt;volume&gt;84&lt;/volume&gt;&lt;dates&gt;&lt;year&gt;2015&lt;/year&gt;&lt;/dates&gt;&lt;isbn&gt;0950-0618&lt;/isbn&gt;&lt;urls&gt;&lt;/urls&gt;&lt;/record&gt;&lt;/Cite&gt;&lt;/EndNote&gt;</w:instrText>
      </w:r>
      <w:r w:rsidRPr="00313BA2">
        <w:rPr>
          <w:rFonts w:cs="Times New Roman"/>
          <w:szCs w:val="24"/>
          <w:lang w:val="en-CA"/>
        </w:rPr>
        <w:fldChar w:fldCharType="separate"/>
      </w:r>
      <w:r w:rsidR="00282238">
        <w:rPr>
          <w:rFonts w:cs="Times New Roman"/>
          <w:noProof/>
          <w:szCs w:val="24"/>
          <w:lang w:val="en-CA"/>
        </w:rPr>
        <w:t>(Caro et al., 2008a; Abuawad et al., 2015)</w:t>
      </w:r>
      <w:r w:rsidRPr="00313BA2">
        <w:rPr>
          <w:rFonts w:cs="Times New Roman"/>
          <w:szCs w:val="24"/>
          <w:lang w:val="en-CA"/>
        </w:rPr>
        <w:fldChar w:fldCharType="end"/>
      </w:r>
      <w:r w:rsidRPr="00313BA2">
        <w:rPr>
          <w:rFonts w:cs="Times New Roman"/>
          <w:szCs w:val="24"/>
          <w:lang w:val="en-CA"/>
        </w:rPr>
        <w:t xml:space="preserve">. </w:t>
      </w:r>
      <w:r w:rsidRPr="00313BA2">
        <w:rPr>
          <w:rFonts w:cs="Times New Roman"/>
          <w:szCs w:val="24"/>
        </w:rPr>
        <w:t>Although, moisture-induced damage is not a failure mode by itself, it can lead to other distresses such as rutting and cracking, particle degradation and disintegration, potholes</w:t>
      </w:r>
      <w:r w:rsidR="00795E5B">
        <w:rPr>
          <w:rFonts w:cs="Times New Roman"/>
          <w:szCs w:val="24"/>
        </w:rPr>
        <w:t>,</w:t>
      </w:r>
      <w:r w:rsidRPr="00313BA2">
        <w:rPr>
          <w:rFonts w:cs="Times New Roman"/>
          <w:szCs w:val="24"/>
        </w:rPr>
        <w:t xml:space="preserve"> and shoving </w:t>
      </w:r>
      <w:r w:rsidRPr="00313BA2">
        <w:rPr>
          <w:rFonts w:cs="Times New Roman"/>
          <w:szCs w:val="24"/>
        </w:rPr>
        <w:fldChar w:fldCharType="begin"/>
      </w:r>
      <w:r w:rsidR="00282238">
        <w:rPr>
          <w:rFonts w:cs="Times New Roman"/>
          <w:szCs w:val="24"/>
        </w:rPr>
        <w:instrText xml:space="preserve"> ADDIN EN.CITE &lt;EndNote&gt;&lt;Cite&gt;&lt;Author&gt;Wasiuddin&lt;/Author&gt;&lt;Year&gt;2007&lt;/Year&gt;&lt;RecNum&gt;82&lt;/RecNum&gt;&lt;DisplayText&gt;(Wasiuddin et al., 2007c; Caro et al., 2008b)&lt;/DisplayText&gt;&lt;record&gt;&lt;rec-number&gt;82&lt;/rec-number&gt;&lt;foreign-keys&gt;&lt;key app="EN" db-id="d55vzfpwawdafteedfoxsf0lv0v0wp5va2aa" timestamp="1519487395"&gt;82&lt;/key&gt;&lt;/foreign-keys&gt;&lt;ref-type name="Journal Article"&gt;17&lt;/ref-type&gt;&lt;contributors&gt;&lt;authors&gt;&lt;author&gt;Wasiuddin, Nazimuddin M&lt;/author&gt;&lt;author&gt;Fogle, Chris M&lt;/author&gt;&lt;author&gt;Zaman, Musharraf M&lt;/author&gt;&lt;author&gt;O’Rear, Edgar A&lt;/author&gt;&lt;/authors&gt;&lt;/contributors&gt;&lt;titles&gt;&lt;title&gt;Effect of Antistrip Additives on Surface Free Energy Characteristics of Asphalt Binders for Moisture-Induced Damage Potential&lt;/title&gt;&lt;secondary-title&gt;Journal of Testing and Evaluation&lt;/secondary-title&gt;&lt;/titles&gt;&lt;periodical&gt;&lt;full-title&gt;Journal of Testing and Evaluation&lt;/full-title&gt;&lt;/periodical&gt;&lt;volume&gt;35&lt;/volume&gt;&lt;number&gt;1&lt;/number&gt;&lt;dates&gt;&lt;year&gt;2007&lt;/year&gt;&lt;/dates&gt;&lt;urls&gt;&lt;/urls&gt;&lt;/record&gt;&lt;/Cite&gt;&lt;Cite&gt;&lt;Author&gt;Caro&lt;/Author&gt;&lt;Year&gt;2008&lt;/Year&gt;&lt;RecNum&gt;83&lt;/RecNum&gt;&lt;record&gt;&lt;rec-number&gt;83&lt;/rec-number&gt;&lt;foreign-keys&gt;&lt;key app="EN" db-id="d55vzfpwawdafteedfoxsf0lv0v0wp5va2aa" timestamp="1519492929"&gt;83&lt;/key&gt;&lt;/foreign-keys&gt;&lt;ref-type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2: Characterisation and Modelling&lt;/title&gt;&lt;secondary-title&gt;International Journal of Pavement Engineering&lt;/secondary-title&gt;&lt;/titles&gt;&lt;periodical&gt;&lt;full-title&gt;International Journal of Pavement Engineering&lt;/full-title&gt;&lt;/periodical&gt;&lt;pages&gt;99-114&lt;/pages&gt;&lt;volume&gt;9&lt;/volume&gt;&lt;number&gt;2&lt;/number&gt;&lt;dates&gt;&lt;year&gt;2008&lt;/year&gt;&lt;/dates&gt;&lt;isbn&gt;1029-8436&lt;/isbn&gt;&lt;urls&gt;&lt;/urls&gt;&lt;/record&gt;&lt;/Cite&gt;&lt;/EndNote&gt;</w:instrText>
      </w:r>
      <w:r w:rsidRPr="00313BA2">
        <w:rPr>
          <w:rFonts w:cs="Times New Roman"/>
          <w:szCs w:val="24"/>
        </w:rPr>
        <w:fldChar w:fldCharType="separate"/>
      </w:r>
      <w:r w:rsidR="00282238">
        <w:rPr>
          <w:rFonts w:cs="Times New Roman"/>
          <w:noProof/>
          <w:szCs w:val="24"/>
        </w:rPr>
        <w:t>(Wasiuddin et al., 2007c; Caro et al., 2008b)</w:t>
      </w:r>
      <w:r w:rsidRPr="00313BA2">
        <w:rPr>
          <w:rFonts w:cs="Times New Roman"/>
          <w:szCs w:val="24"/>
        </w:rPr>
        <w:fldChar w:fldCharType="end"/>
      </w:r>
      <w:r w:rsidRPr="00313BA2">
        <w:rPr>
          <w:rFonts w:cs="Times New Roman"/>
          <w:szCs w:val="24"/>
        </w:rPr>
        <w:t xml:space="preserve">. A large portion of the state’s pavement maintenance cost and vehicle user cost is directly related to the pavement damage related to moisture-induced damage </w:t>
      </w:r>
      <w:r w:rsidRPr="00313BA2">
        <w:rPr>
          <w:rFonts w:cs="Times New Roman"/>
          <w:szCs w:val="24"/>
        </w:rPr>
        <w:fldChar w:fldCharType="begin"/>
      </w:r>
      <w:r w:rsidR="00282238">
        <w:rPr>
          <w:rFonts w:cs="Times New Roman"/>
          <w:szCs w:val="24"/>
        </w:rPr>
        <w:instrText xml:space="preserve"> ADDIN EN.CITE &lt;EndNote&gt;&lt;Cite&gt;&lt;Author&gt;Caro&lt;/Author&gt;&lt;Year&gt;2008&lt;/Year&gt;&lt;RecNum&gt;81&lt;/RecNum&gt;&lt;DisplayText&gt;(Caro et al., 2008a)&lt;/DisplayText&gt;&lt;record&gt;&lt;rec-number&gt;81&lt;/rec-number&gt;&lt;foreign-keys&gt;&lt;key app="EN" db-id="d55vzfpwawdafteedfoxsf0lv0v0wp5va2aa" timestamp="1519484635"&gt;81&lt;/key&gt;&lt;/foreign-keys&gt;&lt;ref-type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1: Mechanisms&lt;/title&gt;&lt;secondary-title&gt;International Journal of Pavement Engineering&lt;/secondary-title&gt;&lt;/titles&gt;&lt;periodical&gt;&lt;full-title&gt;International Journal of Pavement Engineering&lt;/full-title&gt;&lt;/periodical&gt;&lt;pages&gt;81-98&lt;/pages&gt;&lt;volume&gt;9&lt;/volume&gt;&lt;number&gt;2&lt;/number&gt;&lt;dates&gt;&lt;year&gt;2008&lt;/year&gt;&lt;/dates&gt;&lt;isbn&gt;1029-8436&lt;/isbn&gt;&lt;urls&gt;&lt;/urls&gt;&lt;/record&gt;&lt;/Cite&gt;&lt;/EndNote&gt;</w:instrText>
      </w:r>
      <w:r w:rsidRPr="00313BA2">
        <w:rPr>
          <w:rFonts w:cs="Times New Roman"/>
          <w:szCs w:val="24"/>
        </w:rPr>
        <w:fldChar w:fldCharType="separate"/>
      </w:r>
      <w:r w:rsidR="00282238">
        <w:rPr>
          <w:rFonts w:cs="Times New Roman"/>
          <w:noProof/>
          <w:szCs w:val="24"/>
        </w:rPr>
        <w:t>(Caro et al., 2008a)</w:t>
      </w:r>
      <w:r w:rsidRPr="00313BA2">
        <w:rPr>
          <w:rFonts w:cs="Times New Roman"/>
          <w:szCs w:val="24"/>
        </w:rPr>
        <w:fldChar w:fldCharType="end"/>
      </w:r>
      <w:r w:rsidRPr="00313BA2">
        <w:rPr>
          <w:rFonts w:cs="Times New Roman"/>
          <w:szCs w:val="24"/>
        </w:rPr>
        <w:t xml:space="preserve">. </w:t>
      </w:r>
    </w:p>
    <w:p w14:paraId="07DD5405" w14:textId="4EC0690E" w:rsidR="00313BA2" w:rsidRPr="00313BA2" w:rsidRDefault="00313BA2" w:rsidP="00313BA2">
      <w:pPr>
        <w:ind w:firstLine="720"/>
        <w:rPr>
          <w:rFonts w:cs="Times New Roman"/>
          <w:szCs w:val="24"/>
        </w:rPr>
      </w:pPr>
      <w:r w:rsidRPr="00313BA2">
        <w:rPr>
          <w:rFonts w:cs="Times New Roman"/>
          <w:szCs w:val="24"/>
        </w:rPr>
        <w:t xml:space="preserve">Evaluation of moisture-induced damage is a challenging task for transportation agencies </w:t>
      </w:r>
      <w:r w:rsidRPr="00313BA2">
        <w:rPr>
          <w:rFonts w:cs="Times New Roman"/>
          <w:szCs w:val="24"/>
        </w:rPr>
        <w:fldChar w:fldCharType="begin"/>
      </w:r>
      <w:r w:rsidR="00282238">
        <w:rPr>
          <w:rFonts w:cs="Times New Roman"/>
          <w:szCs w:val="24"/>
        </w:rPr>
        <w:instrText xml:space="preserve"> ADDIN EN.CITE &lt;EndNote&gt;&lt;Cite&gt;&lt;Author&gt;Wasiuddin&lt;/Author&gt;&lt;Year&gt;2007&lt;/Year&gt;&lt;RecNum&gt;82&lt;/RecNum&gt;&lt;DisplayText&gt;(Wasiuddin et al., 2007c; Abuawad et al., 2015)&lt;/DisplayText&gt;&lt;record&gt;&lt;rec-number&gt;82&lt;/rec-number&gt;&lt;foreign-keys&gt;&lt;key app="EN" db-id="d55vzfpwawdafteedfoxsf0lv0v0wp5va2aa" timestamp="1519487395"&gt;82&lt;/key&gt;&lt;/foreign-keys&gt;&lt;ref-type name="Journal Article"&gt;17&lt;/ref-type&gt;&lt;contributors&gt;&lt;authors&gt;&lt;author&gt;Wasiuddin, Nazimuddin M&lt;/author&gt;&lt;author&gt;Fogle, Chris M&lt;/author&gt;&lt;author&gt;Zaman, Musharraf M&lt;/author&gt;&lt;author&gt;O’Rear, Edgar A&lt;/author&gt;&lt;/authors&gt;&lt;/contributors&gt;&lt;titles&gt;&lt;title&gt;Effect of Antistrip Additives on Surface Free Energy Characteristics of Asphalt Binders for Moisture-Induced Damage Potential&lt;/title&gt;&lt;secondary-title&gt;Journal of Testing and Evaluation&lt;/secondary-title&gt;&lt;/titles&gt;&lt;periodical&gt;&lt;full-title&gt;Journal of Testing and Evaluation&lt;/full-title&gt;&lt;/periodical&gt;&lt;volume&gt;35&lt;/volume&gt;&lt;number&gt;1&lt;/number&gt;&lt;dates&gt;&lt;year&gt;2007&lt;/year&gt;&lt;/dates&gt;&lt;urls&gt;&lt;/urls&gt;&lt;/record&gt;&lt;/Cite&gt;&lt;Cite&gt;&lt;Author&gt;Abuawad&lt;/Author&gt;&lt;Year&gt;2015&lt;/Year&gt;&lt;RecNum&gt;80&lt;/RecNum&gt;&lt;record&gt;&lt;rec-number&gt;80&lt;/rec-number&gt;&lt;foreign-keys&gt;&lt;key app="EN" db-id="d55vzfpwawdafteedfoxsf0lv0v0wp5va2aa" timestamp="1519483651"&gt;80&lt;/key&gt;&lt;/foreign-keys&gt;&lt;ref-type name="Journal Article"&gt;17&lt;/ref-type&gt;&lt;contributors&gt;&lt;authors&gt;&lt;author&gt;Abuawad, Ibrahim MA&lt;/author&gt;&lt;author&gt;Al-Qadi, Imad L&lt;/author&gt;&lt;author&gt;Trepanier, James S&lt;/author&gt;&lt;/authors&gt;&lt;/contributors&gt;&lt;titles&gt;&lt;title&gt;Mitigation of Moisture Damage in Asphalt Concrete: Testing Techniques and Additives/Modifiers Effectiveness&lt;/title&gt;&lt;secondary-title&gt;Construction and Building Materials&lt;/secondary-title&gt;&lt;/titles&gt;&lt;periodical&gt;&lt;full-title&gt;Construction and Building Materials&lt;/full-title&gt;&lt;/periodical&gt;&lt;pages&gt;437-443&lt;/pages&gt;&lt;volume&gt;84&lt;/volume&gt;&lt;dates&gt;&lt;year&gt;2015&lt;/year&gt;&lt;/dates&gt;&lt;isbn&gt;0950-0618&lt;/isbn&gt;&lt;urls&gt;&lt;/urls&gt;&lt;/record&gt;&lt;/Cite&gt;&lt;/EndNote&gt;</w:instrText>
      </w:r>
      <w:r w:rsidRPr="00313BA2">
        <w:rPr>
          <w:rFonts w:cs="Times New Roman"/>
          <w:szCs w:val="24"/>
        </w:rPr>
        <w:fldChar w:fldCharType="separate"/>
      </w:r>
      <w:r w:rsidR="00282238">
        <w:rPr>
          <w:rFonts w:cs="Times New Roman"/>
          <w:noProof/>
          <w:szCs w:val="24"/>
        </w:rPr>
        <w:t>(Wasiuddin et al., 2007c; Abuawad et al., 2015)</w:t>
      </w:r>
      <w:r w:rsidRPr="00313BA2">
        <w:rPr>
          <w:rFonts w:cs="Times New Roman"/>
          <w:szCs w:val="24"/>
        </w:rPr>
        <w:fldChar w:fldCharType="end"/>
      </w:r>
      <w:r w:rsidRPr="00313BA2">
        <w:rPr>
          <w:rFonts w:cs="Times New Roman"/>
          <w:szCs w:val="24"/>
        </w:rPr>
        <w:t xml:space="preserve">. This phenomenon starts with the transport of moisture into the pavement which subsequently leads to pavement deterioration </w:t>
      </w:r>
      <w:r w:rsidRPr="00313BA2">
        <w:rPr>
          <w:rFonts w:cs="Times New Roman"/>
          <w:szCs w:val="24"/>
        </w:rPr>
        <w:fldChar w:fldCharType="begin"/>
      </w:r>
      <w:r w:rsidR="00282238">
        <w:rPr>
          <w:rFonts w:cs="Times New Roman"/>
          <w:szCs w:val="24"/>
        </w:rPr>
        <w:instrText xml:space="preserve"> ADDIN EN.CITE &lt;EndNote&gt;&lt;Cite&gt;&lt;Author&gt;Caro&lt;/Author&gt;&lt;Year&gt;2008&lt;/Year&gt;&lt;RecNum&gt;83&lt;/RecNum&gt;&lt;DisplayText&gt;(Wasiuddin et al., 2007c; Caro et al., 2008b)&lt;/DisplayText&gt;&lt;record&gt;&lt;rec-number&gt;83&lt;/rec-number&gt;&lt;foreign-keys&gt;&lt;key app="EN" db-id="d55vzfpwawdafteedfoxsf0lv0v0wp5va2aa" timestamp="1519492929"&gt;83&lt;/key&gt;&lt;/foreign-keys&gt;&lt;ref-type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2: Characterisation and Modelling&lt;/title&gt;&lt;secondary-title&gt;International Journal of Pavement Engineering&lt;/secondary-title&gt;&lt;/titles&gt;&lt;periodical&gt;&lt;full-title&gt;International Journal of Pavement Engineering&lt;/full-title&gt;&lt;/periodical&gt;&lt;pages&gt;99-114&lt;/pages&gt;&lt;volume&gt;9&lt;/volume&gt;&lt;number&gt;2&lt;/number&gt;&lt;dates&gt;&lt;year&gt;2008&lt;/year&gt;&lt;/dates&gt;&lt;isbn&gt;1029-8436&lt;/isbn&gt;&lt;urls&gt;&lt;/urls&gt;&lt;/record&gt;&lt;/Cite&gt;&lt;Cite&gt;&lt;Author&gt;Wasiuddin&lt;/Author&gt;&lt;Year&gt;2007&lt;/Year&gt;&lt;RecNum&gt;82&lt;/RecNum&gt;&lt;record&gt;&lt;rec-number&gt;82&lt;/rec-number&gt;&lt;foreign-keys&gt;&lt;key app="EN" db-id="d55vzfpwawdafteedfoxsf0lv0v0wp5va2aa" timestamp="1519487395"&gt;82&lt;/key&gt;&lt;/foreign-keys&gt;&lt;ref-type name="Journal Article"&gt;17&lt;/ref-type&gt;&lt;contributors&gt;&lt;authors&gt;&lt;author&gt;Wasiuddin, Nazimuddin M&lt;/author&gt;&lt;author&gt;Fogle, Chris M&lt;/author&gt;&lt;author&gt;Zaman, Musharraf M&lt;/author&gt;&lt;author&gt;O’Rear, Edgar A&lt;/author&gt;&lt;/authors&gt;&lt;/contributors&gt;&lt;titles&gt;&lt;title&gt;Effect of Antistrip Additives on Surface Free Energy Characteristics of Asphalt Binders for Moisture-Induced Damage Potential&lt;/title&gt;&lt;secondary-title&gt;Journal of Testing and Evaluation&lt;/secondary-title&gt;&lt;/titles&gt;&lt;periodical&gt;&lt;full-title&gt;Journal of Testing and Evaluation&lt;/full-title&gt;&lt;/periodical&gt;&lt;volume&gt;35&lt;/volume&gt;&lt;number&gt;1&lt;/number&gt;&lt;dates&gt;&lt;year&gt;2007&lt;/year&gt;&lt;/dates&gt;&lt;urls&gt;&lt;/urls&gt;&lt;/record&gt;&lt;/Cite&gt;&lt;/EndNote&gt;</w:instrText>
      </w:r>
      <w:r w:rsidRPr="00313BA2">
        <w:rPr>
          <w:rFonts w:cs="Times New Roman"/>
          <w:szCs w:val="24"/>
        </w:rPr>
        <w:fldChar w:fldCharType="separate"/>
      </w:r>
      <w:r w:rsidR="00282238">
        <w:rPr>
          <w:rFonts w:cs="Times New Roman"/>
          <w:noProof/>
          <w:szCs w:val="24"/>
        </w:rPr>
        <w:t>(Wasiuddin et al., 2007c; Caro et al., 2008b)</w:t>
      </w:r>
      <w:r w:rsidRPr="00313BA2">
        <w:rPr>
          <w:rFonts w:cs="Times New Roman"/>
          <w:szCs w:val="24"/>
        </w:rPr>
        <w:fldChar w:fldCharType="end"/>
      </w:r>
      <w:r w:rsidRPr="00313BA2">
        <w:rPr>
          <w:rFonts w:cs="Times New Roman"/>
          <w:szCs w:val="24"/>
        </w:rPr>
        <w:t xml:space="preserve">. Typically, two types of failure can be associated with moisture intrusion in asphalt pavements: adhesive failure between binder and aggregate, and cohesive failure within the binder </w:t>
      </w:r>
      <w:r w:rsidRPr="00313BA2">
        <w:rPr>
          <w:rFonts w:cs="Times New Roman"/>
          <w:szCs w:val="24"/>
        </w:rPr>
        <w:fldChar w:fldCharType="begin">
          <w:fldData xml:space="preserve">PEVuZE5vdGU+PENpdGU+PEF1dGhvcj5Db3BlbGFuZDwvQXV0aG9yPjxZZWFyPjIwMDc8L1llYXI+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=
</w:fldData>
        </w:fldChar>
      </w:r>
      <w:r w:rsidR="00282238">
        <w:rPr>
          <w:rFonts w:cs="Times New Roman"/>
          <w:szCs w:val="24"/>
        </w:rPr>
        <w:instrText xml:space="preserve"> ADDIN EN.CITE </w:instrText>
      </w:r>
      <w:r w:rsidR="00282238">
        <w:rPr>
          <w:rFonts w:cs="Times New Roman"/>
          <w:szCs w:val="24"/>
        </w:rPr>
        <w:fldChar w:fldCharType="begin">
          <w:fldData xml:space="preserve">PEVuZE5vdGU+PENpdGU+PEF1dGhvcj5Db3BlbGFuZDwvQXV0aG9yPjxZZWFyPjIwMDc8L1llYXI+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=
</w:fldData>
        </w:fldChar>
      </w:r>
      <w:r w:rsidR="00282238">
        <w:rPr>
          <w:rFonts w:cs="Times New Roman"/>
          <w:szCs w:val="24"/>
        </w:rPr>
        <w:instrText xml:space="preserve"> ADDIN EN.CITE.DATA </w:instrText>
      </w:r>
      <w:r w:rsidR="00282238">
        <w:rPr>
          <w:rFonts w:cs="Times New Roman"/>
          <w:szCs w:val="24"/>
        </w:rPr>
      </w:r>
      <w:r w:rsidR="00282238">
        <w:rPr>
          <w:rFonts w:cs="Times New Roman"/>
          <w:szCs w:val="24"/>
        </w:rPr>
        <w:fldChar w:fldCharType="end"/>
      </w:r>
      <w:r w:rsidRPr="00313BA2">
        <w:rPr>
          <w:rFonts w:cs="Times New Roman"/>
          <w:szCs w:val="24"/>
        </w:rPr>
      </w:r>
      <w:r w:rsidRPr="00313BA2">
        <w:rPr>
          <w:rFonts w:cs="Times New Roman"/>
          <w:szCs w:val="24"/>
        </w:rPr>
        <w:fldChar w:fldCharType="separate"/>
      </w:r>
      <w:r w:rsidR="00282238">
        <w:rPr>
          <w:rFonts w:cs="Times New Roman"/>
          <w:noProof/>
          <w:szCs w:val="24"/>
        </w:rPr>
        <w:t>(Bhasin, 2007; Copeland et al., 2007; Wasiuddin et al., 2007c; Ghabchi, 2014)</w:t>
      </w:r>
      <w:r w:rsidRPr="00313BA2">
        <w:rPr>
          <w:rFonts w:cs="Times New Roman"/>
          <w:szCs w:val="24"/>
        </w:rPr>
        <w:fldChar w:fldCharType="end"/>
      </w:r>
      <w:r w:rsidRPr="00313BA2">
        <w:rPr>
          <w:rFonts w:cs="Times New Roman"/>
          <w:szCs w:val="24"/>
        </w:rPr>
        <w:t xml:space="preserve">. Therefore, the </w:t>
      </w:r>
      <w:r w:rsidRPr="00313BA2">
        <w:rPr>
          <w:rFonts w:cs="Times New Roman"/>
          <w:szCs w:val="24"/>
        </w:rPr>
        <w:lastRenderedPageBreak/>
        <w:t xml:space="preserve">evaluation of the bond strength between binder and aggregate is necessary to access moisture-induced damage potential of a mix </w:t>
      </w:r>
      <w:r w:rsidRPr="00313BA2">
        <w:rPr>
          <w:rFonts w:cs="Times New Roman"/>
          <w:szCs w:val="24"/>
        </w:rPr>
        <w:fldChar w:fldCharType="begin"/>
      </w:r>
      <w:r w:rsidR="00282238">
        <w:rPr>
          <w:rFonts w:cs="Times New Roman"/>
          <w:szCs w:val="24"/>
        </w:rPr>
        <w:instrText xml:space="preserve"> ADDIN EN.CITE &lt;EndNote&gt;&lt;Cite&gt;&lt;Author&gt;Masad&lt;/Author&gt;&lt;Year&gt;2006&lt;/Year&gt;&lt;RecNum&gt;78&lt;/RecNum&gt;&lt;DisplayText&gt;(Harvey and Lu, 2005; Masad et al., 2006)&lt;/DisplayText&gt;&lt;record&gt;&lt;rec-number&gt;78&lt;/rec-number&gt;&lt;foreign-keys&gt;&lt;key app="EN" db-id="d55vzfpwawdafteedfoxsf0lv0v0wp5va2aa" timestamp="1519480482"&gt;78&lt;/key&gt;&lt;/foreign-keys&gt;&lt;ref-type name="Journal Article"&gt;17&lt;/ref-type&gt;&lt;contributors&gt;&lt;authors&gt;&lt;author&gt;Masad, Eyad A&lt;/author&gt;&lt;author&gt;Zollinger, Corey&lt;/author&gt;&lt;author&gt;Bulut, Rifat&lt;/author&gt;&lt;author&gt;Little, Dallas N&lt;/author&gt;&lt;author&gt;Lytton, Robert L&lt;/author&gt;&lt;/authors&gt;&lt;/contributors&gt;&lt;titles&gt;&lt;title&gt;Characterization of HMA Moisture Damage Using Surface Energy and Fracture Properties (with Discussion)&lt;/title&gt;&lt;secondary-title&gt;Journal of the association of asphalt paving technologists&lt;/secondary-title&gt;&lt;/titles&gt;&lt;periodical&gt;&lt;full-title&gt;Journal of the Association of Asphalt Paving Technologists&lt;/full-title&gt;&lt;/periodical&gt;&lt;volume&gt;75&lt;/volume&gt;&lt;dates&gt;&lt;year&gt;2006&lt;/year&gt;&lt;/dates&gt;&lt;isbn&gt;0270-2932&lt;/isbn&gt;&lt;urls&gt;&lt;/urls&gt;&lt;/record&gt;&lt;/Cite&gt;&lt;Cite&gt;&lt;Author&gt;Harvey&lt;/Author&gt;&lt;Year&gt;2005&lt;/Year&gt;&lt;RecNum&gt;79&lt;/RecNum&gt;&lt;record&gt;&lt;rec-number&gt;79&lt;/rec-number&gt;&lt;foreign-keys&gt;&lt;key app="EN" db-id="d55vzfpwawdafteedfoxsf0lv0v0wp5va2aa" timestamp="1519481836"&gt;79&lt;/key&gt;&lt;/foreign-keys&gt;&lt;ref-type name="Journal Article"&gt;17&lt;/ref-type&gt;&lt;contributors&gt;&lt;authors&gt;&lt;author&gt;Harvey, John T&lt;/author&gt;&lt;author&gt;Lu, Qing&lt;/author&gt;&lt;/authors&gt;&lt;/contributors&gt;&lt;titles&gt;&lt;title&gt;Investigation of Conditions for Moisture Damage in Asphalt Concrete and Appropriate Laboratory Test Methods&lt;/title&gt;&lt;/titles&gt;&lt;dates&gt;&lt;year&gt;2005&lt;/year&gt;&lt;/dates&gt;&lt;urls&gt;&lt;/urls&gt;&lt;/record&gt;&lt;/Cite&gt;&lt;/EndNote&gt;</w:instrText>
      </w:r>
      <w:r w:rsidRPr="00313BA2">
        <w:rPr>
          <w:rFonts w:cs="Times New Roman"/>
          <w:szCs w:val="24"/>
        </w:rPr>
        <w:fldChar w:fldCharType="separate"/>
      </w:r>
      <w:r w:rsidR="00282238">
        <w:rPr>
          <w:rFonts w:cs="Times New Roman"/>
          <w:noProof/>
          <w:szCs w:val="24"/>
        </w:rPr>
        <w:t>(Harvey and Lu, 2005; Masad et al., 2006)</w:t>
      </w:r>
      <w:r w:rsidRPr="00313BA2">
        <w:rPr>
          <w:rFonts w:cs="Times New Roman"/>
          <w:szCs w:val="24"/>
        </w:rPr>
        <w:fldChar w:fldCharType="end"/>
      </w:r>
      <w:r w:rsidRPr="00313BA2">
        <w:rPr>
          <w:rFonts w:cs="Times New Roman"/>
          <w:szCs w:val="24"/>
        </w:rPr>
        <w:t>.</w:t>
      </w:r>
    </w:p>
    <w:p w14:paraId="50ED03BB" w14:textId="5B03B0FC" w:rsidR="00313BA2" w:rsidRPr="00313BA2" w:rsidRDefault="00313BA2" w:rsidP="00313BA2">
      <w:pPr>
        <w:ind w:firstLine="720"/>
        <w:rPr>
          <w:rFonts w:cs="Times New Roman"/>
          <w:szCs w:val="24"/>
        </w:rPr>
      </w:pPr>
      <w:r w:rsidRPr="00313BA2">
        <w:rPr>
          <w:rFonts w:cs="Times New Roman"/>
          <w:szCs w:val="24"/>
        </w:rPr>
        <w:t xml:space="preserve">Several empirical test methods have been developed over the past few decades to evaluate moisture-induced damage potential of asphalt mixes </w:t>
      </w:r>
      <w:r w:rsidRPr="00313BA2">
        <w:rPr>
          <w:rFonts w:cs="Times New Roman"/>
          <w:szCs w:val="24"/>
        </w:rPr>
        <w:fldChar w:fldCharType="begin">
          <w:fldData xml:space="preserve">PEVuZE5vdGU+PENpdGU+PEF1dGhvcj5DYXJvPC9BdXRob3I+PFllYXI+MjAwODwvWWVhcj48UmVj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</w:fldData>
        </w:fldChar>
      </w:r>
      <w:r w:rsidR="00282238">
        <w:rPr>
          <w:rFonts w:cs="Times New Roman"/>
          <w:szCs w:val="24"/>
        </w:rPr>
        <w:instrText xml:space="preserve"> ADDIN EN.CITE </w:instrText>
      </w:r>
      <w:r w:rsidR="00282238">
        <w:rPr>
          <w:rFonts w:cs="Times New Roman"/>
          <w:szCs w:val="24"/>
        </w:rPr>
        <w:fldChar w:fldCharType="begin">
          <w:fldData xml:space="preserve">PEVuZE5vdGU+PENpdGU+PEF1dGhvcj5DYXJvPC9BdXRob3I+PFllYXI+MjAwODwvWWVhcj48UmVj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</w:fldData>
        </w:fldChar>
      </w:r>
      <w:r w:rsidR="00282238">
        <w:rPr>
          <w:rFonts w:cs="Times New Roman"/>
          <w:szCs w:val="24"/>
        </w:rPr>
        <w:instrText xml:space="preserve"> ADDIN EN.CITE.DATA </w:instrText>
      </w:r>
      <w:r w:rsidR="00282238">
        <w:rPr>
          <w:rFonts w:cs="Times New Roman"/>
          <w:szCs w:val="24"/>
        </w:rPr>
      </w:r>
      <w:r w:rsidR="00282238">
        <w:rPr>
          <w:rFonts w:cs="Times New Roman"/>
          <w:szCs w:val="24"/>
        </w:rPr>
        <w:fldChar w:fldCharType="end"/>
      </w:r>
      <w:r w:rsidRPr="00313BA2">
        <w:rPr>
          <w:rFonts w:cs="Times New Roman"/>
          <w:szCs w:val="24"/>
        </w:rPr>
      </w:r>
      <w:r w:rsidRPr="00313BA2">
        <w:rPr>
          <w:rFonts w:cs="Times New Roman"/>
          <w:szCs w:val="24"/>
        </w:rPr>
        <w:fldChar w:fldCharType="separate"/>
      </w:r>
      <w:r w:rsidR="00282238">
        <w:rPr>
          <w:rFonts w:cs="Times New Roman"/>
          <w:noProof/>
          <w:szCs w:val="24"/>
        </w:rPr>
        <w:t>(Kanitpong and Bahia, 2005; Caro et al., 2008a; Caro et al., 2008b)</w:t>
      </w:r>
      <w:r w:rsidRPr="00313BA2">
        <w:rPr>
          <w:rFonts w:cs="Times New Roman"/>
          <w:szCs w:val="24"/>
        </w:rPr>
        <w:fldChar w:fldCharType="end"/>
      </w:r>
      <w:r w:rsidRPr="00313BA2">
        <w:rPr>
          <w:rFonts w:cs="Times New Roman"/>
          <w:szCs w:val="24"/>
        </w:rPr>
        <w:t xml:space="preserve">. Researchers have used indirect tensile strength ratio (TSR), resilient modulus ratio, Marshall stability ratio, stripping inflection point (SIP) from Hamburg wheel tracking (HWT) test and fracture energy ratio for evaluating the moisture-induced damage potential of asphalt mixes </w:t>
      </w:r>
      <w:r w:rsidRPr="00313BA2">
        <w:rPr>
          <w:rFonts w:cs="Times New Roman"/>
          <w:szCs w:val="24"/>
        </w:rPr>
        <w:fldChar w:fldCharType="begin">
          <w:fldData xml:space="preserve">PEVuZE5vdGU+PENpdGU+PEF1dGhvcj5CYWdhbXBhZGRlPC9BdXRob3I+PFllYXI+MjAwNjwvWWVh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</w:fldData>
        </w:fldChar>
      </w:r>
      <w:r w:rsidR="00282238">
        <w:rPr>
          <w:rFonts w:cs="Times New Roman"/>
          <w:szCs w:val="24"/>
        </w:rPr>
        <w:instrText xml:space="preserve"> ADDIN EN.CITE </w:instrText>
      </w:r>
      <w:r w:rsidR="00282238">
        <w:rPr>
          <w:rFonts w:cs="Times New Roman"/>
          <w:szCs w:val="24"/>
        </w:rPr>
        <w:fldChar w:fldCharType="begin">
          <w:fldData xml:space="preserve">PEVuZE5vdGU+PENpdGU+PEF1dGhvcj5CYWdhbXBhZGRlPC9BdXRob3I+PFllYXI+MjAwNjwvWWVh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</w:fldData>
        </w:fldChar>
      </w:r>
      <w:r w:rsidR="00282238">
        <w:rPr>
          <w:rFonts w:cs="Times New Roman"/>
          <w:szCs w:val="24"/>
        </w:rPr>
        <w:instrText xml:space="preserve"> ADDIN EN.CITE.DATA </w:instrText>
      </w:r>
      <w:r w:rsidR="00282238">
        <w:rPr>
          <w:rFonts w:cs="Times New Roman"/>
          <w:szCs w:val="24"/>
        </w:rPr>
      </w:r>
      <w:r w:rsidR="00282238">
        <w:rPr>
          <w:rFonts w:cs="Times New Roman"/>
          <w:szCs w:val="24"/>
        </w:rPr>
        <w:fldChar w:fldCharType="end"/>
      </w:r>
      <w:r w:rsidRPr="00313BA2">
        <w:rPr>
          <w:rFonts w:cs="Times New Roman"/>
          <w:szCs w:val="24"/>
        </w:rPr>
      </w:r>
      <w:r w:rsidRPr="00313BA2">
        <w:rPr>
          <w:rFonts w:cs="Times New Roman"/>
          <w:szCs w:val="24"/>
        </w:rPr>
        <w:fldChar w:fldCharType="separate"/>
      </w:r>
      <w:r w:rsidR="00282238">
        <w:rPr>
          <w:rFonts w:cs="Times New Roman"/>
          <w:noProof/>
          <w:szCs w:val="24"/>
        </w:rPr>
        <w:t>(Bagampadde et al., 2006; Gorkem and Sengoz, 2009; Ghabchi et al., 2015; Mirzababaei, 2016)</w:t>
      </w:r>
      <w:r w:rsidRPr="00313BA2">
        <w:rPr>
          <w:rFonts w:cs="Times New Roman"/>
          <w:szCs w:val="24"/>
        </w:rPr>
        <w:fldChar w:fldCharType="end"/>
      </w:r>
      <w:r w:rsidRPr="00313BA2">
        <w:rPr>
          <w:rFonts w:cs="Times New Roman"/>
          <w:szCs w:val="24"/>
        </w:rPr>
        <w:t xml:space="preserve">. However, none of these test methods appeared to address the failure mechanisms governing the moisture-induced damage of asphalt pavements nor do these tests correlate well with field performance </w:t>
      </w:r>
      <w:r w:rsidRPr="00313BA2">
        <w:rPr>
          <w:rFonts w:cs="Times New Roman"/>
          <w:szCs w:val="24"/>
        </w:rPr>
        <w:fldChar w:fldCharType="begin"/>
      </w:r>
      <w:r w:rsidR="00282238">
        <w:rPr>
          <w:rFonts w:cs="Times New Roman"/>
          <w:szCs w:val="24"/>
        </w:rPr>
        <w:instrText xml:space="preserve"> ADDIN EN.CITE &lt;EndNote&gt;&lt;Cite&gt;&lt;Author&gt;Caro&lt;/Author&gt;&lt;Year&gt;2008&lt;/Year&gt;&lt;RecNum&gt;83&lt;/RecNum&gt;&lt;DisplayText&gt;(Caro et al., 2008b)&lt;/DisplayText&gt;&lt;record&gt;&lt;rec-number&gt;83&lt;/rec-number&gt;&lt;foreign-keys&gt;&lt;key app="EN" db-id="d55vzfpwawdafteedfoxsf0lv0v0wp5va2aa" timestamp="1519492929"&gt;83&lt;/key&gt;&lt;/foreign-keys&gt;&lt;ref-type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2: Characterisation and Modelling&lt;/title&gt;&lt;secondary-title&gt;International Journal of Pavement Engineering&lt;/secondary-title&gt;&lt;/titles&gt;&lt;periodical&gt;&lt;full-title&gt;International Journal of Pavement Engineering&lt;/full-title&gt;&lt;/periodical&gt;&lt;pages&gt;99-114&lt;/pages&gt;&lt;volume&gt;9&lt;/volume&gt;&lt;number&gt;2&lt;/number&gt;&lt;dates&gt;&lt;year&gt;2008&lt;/year&gt;&lt;/dates&gt;&lt;isbn&gt;1029-8436&lt;/isbn&gt;&lt;urls&gt;&lt;/urls&gt;&lt;/record&gt;&lt;/Cite&gt;&lt;/EndNote&gt;</w:instrText>
      </w:r>
      <w:r w:rsidRPr="00313BA2">
        <w:rPr>
          <w:rFonts w:cs="Times New Roman"/>
          <w:szCs w:val="24"/>
        </w:rPr>
        <w:fldChar w:fldCharType="separate"/>
      </w:r>
      <w:r w:rsidR="00282238">
        <w:rPr>
          <w:rFonts w:cs="Times New Roman"/>
          <w:noProof/>
          <w:szCs w:val="24"/>
        </w:rPr>
        <w:t>(Caro et al., 2008b)</w:t>
      </w:r>
      <w:r w:rsidRPr="00313BA2">
        <w:rPr>
          <w:rFonts w:cs="Times New Roman"/>
          <w:szCs w:val="24"/>
        </w:rPr>
        <w:fldChar w:fldCharType="end"/>
      </w:r>
      <w:r w:rsidRPr="00313BA2">
        <w:rPr>
          <w:rFonts w:cs="Times New Roman"/>
          <w:szCs w:val="24"/>
        </w:rPr>
        <w:t xml:space="preserve">. Also, there is no general agreement on a single test method among </w:t>
      </w:r>
      <w:r w:rsidR="00795E5B">
        <w:rPr>
          <w:rFonts w:cs="Times New Roman"/>
          <w:szCs w:val="24"/>
        </w:rPr>
        <w:t xml:space="preserve">the </w:t>
      </w:r>
      <w:r w:rsidRPr="00313BA2">
        <w:rPr>
          <w:rFonts w:cs="Times New Roman"/>
          <w:szCs w:val="24"/>
        </w:rPr>
        <w:t xml:space="preserve">state DOTs and </w:t>
      </w:r>
      <w:r w:rsidR="00795E5B">
        <w:rPr>
          <w:rFonts w:cs="Times New Roman"/>
          <w:szCs w:val="24"/>
        </w:rPr>
        <w:t xml:space="preserve">the </w:t>
      </w:r>
      <w:r w:rsidRPr="00313BA2">
        <w:rPr>
          <w:rFonts w:cs="Times New Roman"/>
          <w:szCs w:val="24"/>
        </w:rPr>
        <w:t>asphalt industr</w:t>
      </w:r>
      <w:r w:rsidR="00795E5B">
        <w:rPr>
          <w:rFonts w:cs="Times New Roman"/>
          <w:szCs w:val="24"/>
        </w:rPr>
        <w:t>y</w:t>
      </w:r>
      <w:r w:rsidRPr="00313BA2">
        <w:rPr>
          <w:rFonts w:cs="Times New Roman"/>
          <w:szCs w:val="24"/>
        </w:rPr>
        <w:t xml:space="preserve"> for evaluating moisture-induced damage. Recently, many DOTs are considering adopting a fatigue evaluation procedure using semi-circular bend (SCB) geometry in mix evaluation process </w:t>
      </w:r>
      <w:r w:rsidRPr="00313BA2">
        <w:rPr>
          <w:rFonts w:cs="Times New Roman"/>
          <w:szCs w:val="24"/>
        </w:rPr>
        <w:fldChar w:fldCharType="begin">
          <w:fldData xml:space="preserve">PEVuZE5vdGU+PENpdGU+PEF1dGhvcj5BbC1RYWRpPC9BdXRob3I+PFllYXI+MjAxNTwvWWVhcj48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</w:fldData>
        </w:fldChar>
      </w:r>
      <w:r w:rsidR="00282238">
        <w:rPr>
          <w:rFonts w:cs="Times New Roman"/>
          <w:szCs w:val="24"/>
        </w:rPr>
        <w:instrText xml:space="preserve"> ADDIN EN.CITE </w:instrText>
      </w:r>
      <w:r w:rsidR="00282238">
        <w:rPr>
          <w:rFonts w:cs="Times New Roman"/>
          <w:szCs w:val="24"/>
        </w:rPr>
        <w:fldChar w:fldCharType="begin">
          <w:fldData xml:space="preserve">PEVuZE5vdGU+PENpdGU+PEF1dGhvcj5BbC1RYWRpPC9BdXRob3I+PFllYXI+MjAxNTwvWWVhcj48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</w:fldData>
        </w:fldChar>
      </w:r>
      <w:r w:rsidR="00282238">
        <w:rPr>
          <w:rFonts w:cs="Times New Roman"/>
          <w:szCs w:val="24"/>
        </w:rPr>
        <w:instrText xml:space="preserve"> ADDIN EN.CITE.DATA </w:instrText>
      </w:r>
      <w:r w:rsidR="00282238">
        <w:rPr>
          <w:rFonts w:cs="Times New Roman"/>
          <w:szCs w:val="24"/>
        </w:rPr>
      </w:r>
      <w:r w:rsidR="00282238">
        <w:rPr>
          <w:rFonts w:cs="Times New Roman"/>
          <w:szCs w:val="24"/>
        </w:rPr>
        <w:fldChar w:fldCharType="end"/>
      </w:r>
      <w:r w:rsidRPr="00313BA2">
        <w:rPr>
          <w:rFonts w:cs="Times New Roman"/>
          <w:szCs w:val="24"/>
        </w:rPr>
      </w:r>
      <w:r w:rsidRPr="00313BA2">
        <w:rPr>
          <w:rFonts w:cs="Times New Roman"/>
          <w:szCs w:val="24"/>
        </w:rPr>
        <w:fldChar w:fldCharType="separate"/>
      </w:r>
      <w:r w:rsidR="00282238">
        <w:rPr>
          <w:rFonts w:cs="Times New Roman"/>
          <w:noProof/>
          <w:szCs w:val="24"/>
        </w:rPr>
        <w:t>(Kim et al., 2012; Al-Qadi et al., 2015; Mohammad et al., 2016; Ozer et al., 2016a; Ozer et al., 2016b)</w:t>
      </w:r>
      <w:r w:rsidRPr="00313BA2">
        <w:rPr>
          <w:rFonts w:cs="Times New Roman"/>
          <w:szCs w:val="24"/>
        </w:rPr>
        <w:fldChar w:fldCharType="end"/>
      </w:r>
      <w:r w:rsidRPr="00313BA2">
        <w:rPr>
          <w:rFonts w:cs="Times New Roman"/>
          <w:szCs w:val="24"/>
        </w:rPr>
        <w:t>. As the fatigue damage and healing in asphalt mixes are directly related to the cohesive and adhesive bonding of the binder-aggregate system, the incorporation of fracture mechanics through SCB test can better explain the mechanisms responsible for the moisture-induced damage phenomenon.</w:t>
      </w:r>
    </w:p>
    <w:p w14:paraId="2FB4F473" w14:textId="762024EA" w:rsidR="00313BA2" w:rsidRPr="00313BA2" w:rsidRDefault="00313BA2" w:rsidP="00313BA2">
      <w:pPr>
        <w:ind w:firstLine="720"/>
        <w:rPr>
          <w:rFonts w:cs="Times New Roman"/>
          <w:szCs w:val="24"/>
        </w:rPr>
      </w:pPr>
      <w:r w:rsidRPr="00313BA2">
        <w:rPr>
          <w:rFonts w:cs="Times New Roman"/>
          <w:szCs w:val="24"/>
        </w:rPr>
        <w:t>The thermodynamic adhesion theory ha</w:t>
      </w:r>
      <w:r w:rsidR="00AB21C7">
        <w:rPr>
          <w:rFonts w:cs="Times New Roman"/>
          <w:szCs w:val="24"/>
        </w:rPr>
        <w:t>s</w:t>
      </w:r>
      <w:r w:rsidRPr="00313BA2">
        <w:rPr>
          <w:rFonts w:cs="Times New Roman"/>
          <w:szCs w:val="24"/>
        </w:rPr>
        <w:t xml:space="preserve"> been successfully used by a number </w:t>
      </w:r>
      <w:r w:rsidR="0019547A">
        <w:rPr>
          <w:rFonts w:cs="Times New Roman"/>
          <w:szCs w:val="24"/>
        </w:rPr>
        <w:t xml:space="preserve">of </w:t>
      </w:r>
      <w:r w:rsidRPr="00313BA2">
        <w:rPr>
          <w:rFonts w:cs="Times New Roman"/>
          <w:szCs w:val="24"/>
        </w:rPr>
        <w:t xml:space="preserve">studies to quantify the adhesive strength of a binder-aggregate system </w:t>
      </w:r>
      <w:r w:rsidRPr="00313BA2">
        <w:rPr>
          <w:rFonts w:cs="Times New Roman"/>
          <w:szCs w:val="24"/>
        </w:rPr>
        <w:fldChar w:fldCharType="begin">
          <w:fldData xml:space="preserve">PEVuZE5vdGU+PENpdGU+PEF1dGhvcj5CaGFzaW48L0F1dGhvcj48WWVhcj4yMDA2PC9ZZWFyPjxS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</w:fldData>
        </w:fldChar>
      </w:r>
      <w:r w:rsidR="00282238">
        <w:rPr>
          <w:rFonts w:cs="Times New Roman"/>
          <w:szCs w:val="24"/>
        </w:rPr>
        <w:instrText xml:space="preserve"> ADDIN EN.CITE </w:instrText>
      </w:r>
      <w:r w:rsidR="00282238">
        <w:rPr>
          <w:rFonts w:cs="Times New Roman"/>
          <w:szCs w:val="24"/>
        </w:rPr>
        <w:fldChar w:fldCharType="begin">
          <w:fldData xml:space="preserve">PEVuZE5vdGU+PENpdGU+PEF1dGhvcj5CaGFzaW48L0F1dGhvcj48WWVhcj4yMDA2PC9ZZWFyPjxS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</w:fldData>
        </w:fldChar>
      </w:r>
      <w:r w:rsidR="00282238">
        <w:rPr>
          <w:rFonts w:cs="Times New Roman"/>
          <w:szCs w:val="24"/>
        </w:rPr>
        <w:instrText xml:space="preserve"> ADDIN EN.CITE.DATA </w:instrText>
      </w:r>
      <w:r w:rsidR="00282238">
        <w:rPr>
          <w:rFonts w:cs="Times New Roman"/>
          <w:szCs w:val="24"/>
        </w:rPr>
      </w:r>
      <w:r w:rsidR="00282238">
        <w:rPr>
          <w:rFonts w:cs="Times New Roman"/>
          <w:szCs w:val="24"/>
        </w:rPr>
        <w:fldChar w:fldCharType="end"/>
      </w:r>
      <w:r w:rsidRPr="00313BA2">
        <w:rPr>
          <w:rFonts w:cs="Times New Roman"/>
          <w:szCs w:val="24"/>
        </w:rPr>
      </w:r>
      <w:r w:rsidRPr="00313BA2">
        <w:rPr>
          <w:rFonts w:cs="Times New Roman"/>
          <w:szCs w:val="24"/>
        </w:rPr>
        <w:fldChar w:fldCharType="separate"/>
      </w:r>
      <w:r w:rsidR="00282238">
        <w:rPr>
          <w:rFonts w:cs="Times New Roman"/>
          <w:noProof/>
          <w:szCs w:val="24"/>
        </w:rPr>
        <w:t xml:space="preserve">(Bhasin and Little, 2006; Bhasin et al., 2006; Hefer et al., 2006; Bhasin, 2007; Bhasin et al., 2007a; </w:t>
      </w:r>
      <w:r w:rsidR="00282238">
        <w:rPr>
          <w:rFonts w:cs="Times New Roman"/>
          <w:noProof/>
          <w:szCs w:val="24"/>
        </w:rPr>
        <w:lastRenderedPageBreak/>
        <w:t>Bhasin et al., 2007b; Wasiuddin et al., 2007c; Wasiuddin et al., 2008; Buddhala et al., 2011; Ghabchi et al., 2013; Esmaeili et al., 2019; Hossain et al., 2019)</w:t>
      </w:r>
      <w:r w:rsidRPr="00313BA2">
        <w:rPr>
          <w:rFonts w:cs="Times New Roman"/>
          <w:szCs w:val="24"/>
        </w:rPr>
        <w:fldChar w:fldCharType="end"/>
      </w:r>
      <w:r w:rsidRPr="00313BA2">
        <w:rPr>
          <w:rFonts w:cs="Times New Roman"/>
          <w:szCs w:val="24"/>
        </w:rPr>
        <w:t xml:space="preserve">. The thermodynamic quantities such as surface free energies of binder and aggregates were used </w:t>
      </w:r>
      <w:r w:rsidR="00AB21C7">
        <w:rPr>
          <w:rFonts w:cs="Times New Roman"/>
          <w:szCs w:val="24"/>
        </w:rPr>
        <w:t xml:space="preserve">to </w:t>
      </w:r>
      <w:r w:rsidRPr="00313BA2">
        <w:rPr>
          <w:rFonts w:cs="Times New Roman"/>
          <w:szCs w:val="24"/>
        </w:rPr>
        <w:t xml:space="preserve">identify the compatible binder-aggregate combinations to reduce the potential of moisture-induced damage </w:t>
      </w:r>
      <w:r w:rsidRPr="00313BA2">
        <w:rPr>
          <w:rFonts w:cs="Times New Roman"/>
          <w:szCs w:val="24"/>
        </w:rPr>
        <w:fldChar w:fldCharType="begin">
          <w:fldData xml:space="preserve">PEVuZE5vdGU+PENpdGU+PEF1dGhvcj5XYXNpdWRkaW48L0F1dGhvcj48WWVhcj4yMDA3PC9ZZWFy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</w:fldData>
        </w:fldChar>
      </w:r>
      <w:r w:rsidR="00282238">
        <w:rPr>
          <w:rFonts w:cs="Times New Roman"/>
          <w:szCs w:val="24"/>
        </w:rPr>
        <w:instrText xml:space="preserve"> ADDIN EN.CITE </w:instrText>
      </w:r>
      <w:r w:rsidR="00282238">
        <w:rPr>
          <w:rFonts w:cs="Times New Roman"/>
          <w:szCs w:val="24"/>
        </w:rPr>
        <w:fldChar w:fldCharType="begin">
          <w:fldData xml:space="preserve">PEVuZE5vdGU+PENpdGU+PEF1dGhvcj5XYXNpdWRkaW48L0F1dGhvcj48WWVhcj4yMDA3PC9ZZWFy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</w:fldData>
        </w:fldChar>
      </w:r>
      <w:r w:rsidR="00282238">
        <w:rPr>
          <w:rFonts w:cs="Times New Roman"/>
          <w:szCs w:val="24"/>
        </w:rPr>
        <w:instrText xml:space="preserve"> ADDIN EN.CITE.DATA </w:instrText>
      </w:r>
      <w:r w:rsidR="00282238">
        <w:rPr>
          <w:rFonts w:cs="Times New Roman"/>
          <w:szCs w:val="24"/>
        </w:rPr>
      </w:r>
      <w:r w:rsidR="00282238">
        <w:rPr>
          <w:rFonts w:cs="Times New Roman"/>
          <w:szCs w:val="24"/>
        </w:rPr>
        <w:fldChar w:fldCharType="end"/>
      </w:r>
      <w:r w:rsidRPr="00313BA2">
        <w:rPr>
          <w:rFonts w:cs="Times New Roman"/>
          <w:szCs w:val="24"/>
        </w:rPr>
      </w:r>
      <w:r w:rsidRPr="00313BA2">
        <w:rPr>
          <w:rFonts w:cs="Times New Roman"/>
          <w:szCs w:val="24"/>
        </w:rPr>
        <w:fldChar w:fldCharType="separate"/>
      </w:r>
      <w:r w:rsidR="00282238">
        <w:rPr>
          <w:rFonts w:cs="Times New Roman"/>
          <w:noProof/>
          <w:szCs w:val="24"/>
        </w:rPr>
        <w:t>(Bhasin et al., 2006; Wasiuddin et al., 2007c; Moghadas Nejad et al., 2012; Arabani and Hamedi, 2014)</w:t>
      </w:r>
      <w:r w:rsidRPr="00313BA2">
        <w:rPr>
          <w:rFonts w:cs="Times New Roman"/>
          <w:szCs w:val="24"/>
        </w:rPr>
        <w:fldChar w:fldCharType="end"/>
      </w:r>
      <w:r w:rsidRPr="00313BA2">
        <w:rPr>
          <w:rFonts w:cs="Times New Roman"/>
          <w:szCs w:val="24"/>
        </w:rPr>
        <w:t xml:space="preserve">. A number of SFE estimation methods proposed by </w:t>
      </w:r>
      <w:r w:rsidRPr="00313BA2">
        <w:rPr>
          <w:rFonts w:cs="Times New Roman"/>
          <w:szCs w:val="24"/>
        </w:rPr>
        <w:fldChar w:fldCharType="begin"/>
      </w:r>
      <w:r w:rsidRPr="00313BA2">
        <w:rPr>
          <w:rFonts w:cs="Times New Roman"/>
          <w:szCs w:val="24"/>
        </w:rPr>
        <w:instrText xml:space="preserve"> ADDIN EN.CITE &lt;EndNote&gt;&lt;Cite AuthorYear="1"&gt;&lt;Author&gt;Fowkes&lt;/Author&gt;&lt;Year&gt;1964&lt;/Year&gt;&lt;RecNum&gt;246&lt;/RecNum&gt;&lt;DisplayText&gt;Fowkes (1964)&lt;/DisplayText&gt;&lt;record&gt;&lt;rec-number&gt;246&lt;/rec-number&gt;&lt;foreign-keys&gt;&lt;key app="EN" db-id="tfx2va9ropw5p7evdr2pf5rw2vszzx9t0xzs" timestamp="1601699923"&gt;246&lt;/key&gt;&lt;/foreign-keys&gt;&lt;ref-type name="Journal Article"&gt;17&lt;/ref-type&gt;&lt;contributors&gt;&lt;authors&gt;&lt;author&gt;Fowkes, FM&lt;/author&gt;&lt;/authors&gt;&lt;/contributors&gt;&lt;titles&gt;&lt;title&gt;Attractive Forces at Interfaces, Ind. Eng. Chem. 56 (12), 40-52&lt;/title&gt;&lt;/titles&gt;&lt;dates&gt;&lt;year&gt;1964&lt;/year&gt;&lt;/dates&gt;&lt;urls&gt;&lt;/urls&gt;&lt;/record&gt;&lt;/Cite&gt;&lt;/EndNote&gt;</w:instrText>
      </w:r>
      <w:r w:rsidRPr="00313BA2">
        <w:rPr>
          <w:rFonts w:cs="Times New Roman"/>
          <w:szCs w:val="24"/>
        </w:rPr>
        <w:fldChar w:fldCharType="separate"/>
      </w:r>
      <w:r w:rsidRPr="00313BA2">
        <w:rPr>
          <w:rFonts w:cs="Times New Roman"/>
          <w:noProof/>
          <w:szCs w:val="24"/>
        </w:rPr>
        <w:t>Fowkes (1964)</w:t>
      </w:r>
      <w:r w:rsidRPr="00313BA2">
        <w:rPr>
          <w:rFonts w:cs="Times New Roman"/>
          <w:szCs w:val="24"/>
        </w:rPr>
        <w:fldChar w:fldCharType="end"/>
      </w:r>
      <w:r w:rsidRPr="00313BA2">
        <w:rPr>
          <w:rFonts w:cs="Times New Roman"/>
          <w:szCs w:val="24"/>
        </w:rPr>
        <w:t xml:space="preserve">, </w:t>
      </w:r>
      <w:r w:rsidRPr="00313BA2">
        <w:rPr>
          <w:rFonts w:cs="Times New Roman"/>
          <w:szCs w:val="24"/>
        </w:rPr>
        <w:fldChar w:fldCharType="begin"/>
      </w:r>
      <w:r w:rsidRPr="00313BA2">
        <w:rPr>
          <w:rFonts w:cs="Times New Roman"/>
          <w:szCs w:val="24"/>
        </w:rPr>
        <w:instrText xml:space="preserve"> ADDIN EN.CITE &lt;EndNote&gt;&lt;Cite AuthorYear="1"&gt;&lt;Author&gt;Owens&lt;/Author&gt;&lt;Year&gt;1969&lt;/Year&gt;&lt;RecNum&gt;247&lt;/RecNum&gt;&lt;DisplayText&gt;Owens and Wendt (1969)&lt;/DisplayText&gt;&lt;record&gt;&lt;rec-number&gt;247&lt;/rec-number&gt;&lt;foreign-keys&gt;&lt;key app="EN" db-id="tfx2va9ropw5p7evdr2pf5rw2vszzx9t0xzs" timestamp="1601700045"&gt;247&lt;/key&gt;&lt;/foreign-keys&gt;&lt;ref-type name="Journal Article"&gt;17&lt;/ref-type&gt;&lt;contributors&gt;&lt;authors&gt;&lt;author&gt;Owens, Daniel K&lt;/author&gt;&lt;author&gt;Wendt, RC&lt;/author&gt;&lt;/authors&gt;&lt;/contributors&gt;&lt;titles&gt;&lt;title&gt;Estimation of the surface free energy of polymers&lt;/title&gt;&lt;secondary-title&gt;Journal of applied polymer science&lt;/secondary-title&gt;&lt;/titles&gt;&lt;periodical&gt;&lt;full-title&gt;Journal of applied polymer science&lt;/full-title&gt;&lt;/periodical&gt;&lt;pages&gt;1741-1747&lt;/pages&gt;&lt;volume&gt;13&lt;/volume&gt;&lt;number&gt;8&lt;/number&gt;&lt;dates&gt;&lt;year&gt;1969&lt;/year&gt;&lt;/dates&gt;&lt;isbn&gt;0021-8995&lt;/isbn&gt;&lt;urls&gt;&lt;/urls&gt;&lt;/record&gt;&lt;/Cite&gt;&lt;/EndNote&gt;</w:instrText>
      </w:r>
      <w:r w:rsidRPr="00313BA2">
        <w:rPr>
          <w:rFonts w:cs="Times New Roman"/>
          <w:szCs w:val="24"/>
        </w:rPr>
        <w:fldChar w:fldCharType="separate"/>
      </w:r>
      <w:r w:rsidRPr="00313BA2">
        <w:rPr>
          <w:rFonts w:cs="Times New Roman"/>
          <w:noProof/>
          <w:szCs w:val="24"/>
        </w:rPr>
        <w:t>Owens and Wendt (1969)</w:t>
      </w:r>
      <w:r w:rsidRPr="00313BA2">
        <w:rPr>
          <w:rFonts w:cs="Times New Roman"/>
          <w:szCs w:val="24"/>
        </w:rPr>
        <w:fldChar w:fldCharType="end"/>
      </w:r>
      <w:r w:rsidRPr="00313BA2">
        <w:rPr>
          <w:rFonts w:cs="Times New Roman"/>
          <w:szCs w:val="24"/>
        </w:rPr>
        <w:t xml:space="preserve">, Wu </w:t>
      </w:r>
      <w:r w:rsidRPr="00313BA2">
        <w:rPr>
          <w:rFonts w:cs="Times New Roman"/>
          <w:szCs w:val="24"/>
        </w:rPr>
        <w:fldChar w:fldCharType="begin"/>
      </w:r>
      <w:r w:rsidR="00282238">
        <w:rPr>
          <w:rFonts w:cs="Times New Roman"/>
          <w:szCs w:val="24"/>
        </w:rPr>
        <w:instrText xml:space="preserve"> ADDIN EN.CITE &lt;EndNote&gt;&lt;Cite&gt;&lt;Author&gt;Wu&lt;/Author&gt;&lt;Year&gt;1971&lt;/Year&gt;&lt;RecNum&gt;255&lt;/RecNum&gt;&lt;DisplayText&gt;(Wu, 1971; Wu, 1973)&lt;/DisplayText&gt;&lt;record&gt;&lt;rec-number&gt;255&lt;/rec-number&gt;&lt;foreign-keys&gt;&lt;key app="EN" db-id="tfx2va9ropw5p7evdr2pf5rw2vszzx9t0xzs" timestamp="1601709543"&gt;255&lt;/key&gt;&lt;/foreign-keys&gt;&lt;ref-type name="Conference Proceedings"&gt;10&lt;/ref-type&gt;&lt;contributors&gt;&lt;authors&gt;&lt;author&gt;Wu, Souheng&lt;/author&gt;&lt;/authors&gt;&lt;/contributors&gt;&lt;titles&gt;&lt;title&gt;Calculation of interfacial tension in polymer systems&lt;/title&gt;&lt;secondary-title&gt;Journal of Polymer Science Part C: Polymer Symposia&lt;/secondary-title&gt;&lt;/titles&gt;&lt;pages&gt;19-30&lt;/pages&gt;&lt;volume&gt;34&lt;/volume&gt;&lt;number&gt;1&lt;/number&gt;&lt;dates&gt;&lt;year&gt;1971&lt;/year&gt;&lt;/dates&gt;&lt;publisher&gt;Wiley Online Library&lt;/publisher&gt;&lt;isbn&gt;0449-2994&lt;/isbn&gt;&lt;urls&gt;&lt;/urls&gt;&lt;/record&gt;&lt;/Cite&gt;&lt;Cite&gt;&lt;Author&gt;Wu&lt;/Author&gt;&lt;Year&gt;1973&lt;/Year&gt;&lt;RecNum&gt;256&lt;/RecNum&gt;&lt;record&gt;&lt;rec-number&gt;256&lt;/rec-number&gt;&lt;foreign-keys&gt;&lt;key app="EN" db-id="tfx2va9ropw5p7evdr2pf5rw2vszzx9t0xzs" timestamp="1601709590"&gt;256&lt;/key&gt;&lt;/foreign-keys&gt;&lt;ref-type name="Journal Article"&gt;17&lt;/ref-type&gt;&lt;contributors&gt;&lt;authors&gt;&lt;author&gt;Wu, Souheng&lt;/author&gt;&lt;/authors&gt;&lt;/contributors&gt;&lt;titles&gt;&lt;title&gt;Polar and nonpolar interactions in adhesion&lt;/title&gt;&lt;secondary-title&gt;The Journal of Adhesion&lt;/secondary-title&gt;&lt;/titles&gt;&lt;periodical&gt;&lt;full-title&gt;The Journal of Adhesion&lt;/full-title&gt;&lt;/periodical&gt;&lt;pages&gt;39-55&lt;/pages&gt;&lt;volume&gt;5&lt;/volume&gt;&lt;number&gt;1&lt;/number&gt;&lt;dates&gt;&lt;year&gt;1973&lt;/year&gt;&lt;/dates&gt;&lt;isbn&gt;0021-8464&lt;/isbn&gt;&lt;urls&gt;&lt;/urls&gt;&lt;/record&gt;&lt;/Cite&gt;&lt;/EndNote&gt;</w:instrText>
      </w:r>
      <w:r w:rsidRPr="00313BA2">
        <w:rPr>
          <w:rFonts w:cs="Times New Roman"/>
          <w:szCs w:val="24"/>
        </w:rPr>
        <w:fldChar w:fldCharType="separate"/>
      </w:r>
      <w:r w:rsidR="00282238">
        <w:rPr>
          <w:rFonts w:cs="Times New Roman"/>
          <w:noProof/>
          <w:szCs w:val="24"/>
        </w:rPr>
        <w:t>(Wu, 1971; Wu, 1973)</w:t>
      </w:r>
      <w:r w:rsidRPr="00313BA2">
        <w:rPr>
          <w:rFonts w:cs="Times New Roman"/>
          <w:szCs w:val="24"/>
        </w:rPr>
        <w:fldChar w:fldCharType="end"/>
      </w:r>
      <w:r w:rsidRPr="00313BA2">
        <w:rPr>
          <w:rFonts w:cs="Times New Roman"/>
          <w:szCs w:val="24"/>
        </w:rPr>
        <w:t xml:space="preserve">, </w:t>
      </w:r>
      <w:r w:rsidRPr="00313BA2">
        <w:rPr>
          <w:rFonts w:cs="Times New Roman"/>
          <w:szCs w:val="24"/>
        </w:rPr>
        <w:fldChar w:fldCharType="begin"/>
      </w:r>
      <w:r w:rsidRPr="00313BA2">
        <w:rPr>
          <w:rFonts w:cs="Times New Roman"/>
          <w:szCs w:val="24"/>
        </w:rPr>
        <w:instrText xml:space="preserve"> ADDIN EN.CITE &lt;EndNote&gt;&lt;Cite AuthorYear="1"&gt;&lt;Author&gt;Van Oss&lt;/Author&gt;&lt;Year&gt;1988&lt;/Year&gt;&lt;RecNum&gt;31&lt;/RecNum&gt;&lt;DisplayText&gt;Van Oss et al. (1988)&lt;/DisplayText&gt;&lt;record&gt;&lt;rec-number&gt;31&lt;/rec-number&gt;&lt;foreign-keys&gt;&lt;key app="EN" db-id="d55vzfpwawdafteedfoxsf0lv0v0wp5va2aa" timestamp="1509901250"&gt;31&lt;/key&gt;&lt;/foreign-keys&gt;&lt;ref-type name="Journal Article"&gt;17&lt;/ref-type&gt;&lt;contributors&gt;&lt;authors&gt;&lt;author&gt;Van Oss, Carel J&lt;/author&gt;&lt;author&gt;Chaudhury, Manoj K&lt;/author&gt;&lt;author&gt;Good, Robert J&lt;/author&gt;&lt;/authors&gt;&lt;/contributors&gt;&lt;titles&gt;&lt;title&gt;Interfacial Lifshitz-Van Der Waals and Polar Interactions in Macroscopic Systems&lt;/title&gt;&lt;secondary-title&gt;Chemical Reviews&lt;/secondary-title&gt;&lt;/titles&gt;&lt;periodical&gt;&lt;full-title&gt;Chemical Reviews&lt;/full-title&gt;&lt;/periodical&gt;&lt;pages&gt;927-941&lt;/pages&gt;&lt;volume&gt;88&lt;/volume&gt;&lt;number&gt;6&lt;/number&gt;&lt;dates&gt;&lt;year&gt;1988&lt;/year&gt;&lt;/dates&gt;&lt;isbn&gt;0009-2665&lt;/isbn&gt;&lt;urls&gt;&lt;/urls&gt;&lt;/record&gt;&lt;/Cite&gt;&lt;/EndNote&gt;</w:instrText>
      </w:r>
      <w:r w:rsidRPr="00313BA2">
        <w:rPr>
          <w:rFonts w:cs="Times New Roman"/>
          <w:szCs w:val="24"/>
        </w:rPr>
        <w:fldChar w:fldCharType="separate"/>
      </w:r>
      <w:r w:rsidRPr="00313BA2">
        <w:rPr>
          <w:rFonts w:cs="Times New Roman"/>
          <w:noProof/>
          <w:szCs w:val="24"/>
        </w:rPr>
        <w:t>Van Oss et al. (1988)</w:t>
      </w:r>
      <w:r w:rsidRPr="00313BA2">
        <w:rPr>
          <w:rFonts w:cs="Times New Roman"/>
          <w:szCs w:val="24"/>
        </w:rPr>
        <w:fldChar w:fldCharType="end"/>
      </w:r>
      <w:r w:rsidRPr="00313BA2">
        <w:rPr>
          <w:rFonts w:cs="Times New Roman"/>
          <w:szCs w:val="24"/>
        </w:rPr>
        <w:t xml:space="preserve"> and Ne</w:t>
      </w:r>
      <w:r w:rsidR="007353A9">
        <w:rPr>
          <w:rFonts w:cs="Times New Roman"/>
          <w:szCs w:val="24"/>
        </w:rPr>
        <w:t>u</w:t>
      </w:r>
      <w:r w:rsidRPr="00313BA2">
        <w:rPr>
          <w:rFonts w:cs="Times New Roman"/>
          <w:szCs w:val="24"/>
        </w:rPr>
        <w:t>man</w:t>
      </w:r>
      <w:r w:rsidR="007353A9">
        <w:rPr>
          <w:rFonts w:cs="Times New Roman"/>
          <w:szCs w:val="24"/>
        </w:rPr>
        <w:t>n</w:t>
      </w:r>
      <w:r w:rsidRPr="00313BA2">
        <w:rPr>
          <w:rFonts w:cs="Times New Roman"/>
          <w:szCs w:val="24"/>
        </w:rPr>
        <w:t xml:space="preserve"> </w:t>
      </w:r>
      <w:r w:rsidRPr="00313BA2">
        <w:rPr>
          <w:rFonts w:cs="Times New Roman"/>
          <w:szCs w:val="24"/>
        </w:rPr>
        <w:fldChar w:fldCharType="begin">
          <w:fldData xml:space="preserve">PEVuZE5vdGU+PENpdGU+PEF1dGhvcj5OZXVtYW5uPC9BdXRob3I+PFllYXI+MTk3NDwvWWVhcj48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</w:fldData>
        </w:fldChar>
      </w:r>
      <w:r w:rsidR="00282238">
        <w:rPr>
          <w:rFonts w:cs="Times New Roman"/>
          <w:szCs w:val="24"/>
        </w:rPr>
        <w:instrText xml:space="preserve"> ADDIN EN.CITE </w:instrText>
      </w:r>
      <w:r w:rsidR="00282238">
        <w:rPr>
          <w:rFonts w:cs="Times New Roman"/>
          <w:szCs w:val="24"/>
        </w:rPr>
        <w:fldChar w:fldCharType="begin">
          <w:fldData xml:space="preserve">PEVuZE5vdGU+PENpdGU+PEF1dGhvcj5OZXVtYW5uPC9BdXRob3I+PFllYXI+MTk3NDwvWWVhcj48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</w:fldData>
        </w:fldChar>
      </w:r>
      <w:r w:rsidR="00282238">
        <w:rPr>
          <w:rFonts w:cs="Times New Roman"/>
          <w:szCs w:val="24"/>
        </w:rPr>
        <w:instrText xml:space="preserve"> ADDIN EN.CITE.DATA </w:instrText>
      </w:r>
      <w:r w:rsidR="00282238">
        <w:rPr>
          <w:rFonts w:cs="Times New Roman"/>
          <w:szCs w:val="24"/>
        </w:rPr>
      </w:r>
      <w:r w:rsidR="00282238">
        <w:rPr>
          <w:rFonts w:cs="Times New Roman"/>
          <w:szCs w:val="24"/>
        </w:rPr>
        <w:fldChar w:fldCharType="end"/>
      </w:r>
      <w:r w:rsidRPr="00313BA2">
        <w:rPr>
          <w:rFonts w:cs="Times New Roman"/>
          <w:szCs w:val="24"/>
        </w:rPr>
      </w:r>
      <w:r w:rsidRPr="00313BA2">
        <w:rPr>
          <w:rFonts w:cs="Times New Roman"/>
          <w:szCs w:val="24"/>
        </w:rPr>
        <w:fldChar w:fldCharType="separate"/>
      </w:r>
      <w:r w:rsidR="00282238">
        <w:rPr>
          <w:rFonts w:cs="Times New Roman"/>
          <w:noProof/>
          <w:szCs w:val="24"/>
        </w:rPr>
        <w:t>(Neumann et al., 1974; Li and Neumann, 1990; Li and Neumann, 1992)</w:t>
      </w:r>
      <w:r w:rsidRPr="00313BA2">
        <w:rPr>
          <w:rFonts w:cs="Times New Roman"/>
          <w:szCs w:val="24"/>
        </w:rPr>
        <w:fldChar w:fldCharType="end"/>
      </w:r>
      <w:r w:rsidRPr="00313BA2">
        <w:rPr>
          <w:rFonts w:cs="Times New Roman"/>
          <w:szCs w:val="24"/>
        </w:rPr>
        <w:t xml:space="preserve"> are currently available to calculate the SFE of a solid from contact angle measurements. However, differences in assumptions and mathematical formulations used by these methods are expected to influence the calculated values of the SFE. Also, the selection of probe liquids can affect the calculated SFE values of the binders which subsequently result in inaccuracies in bond energy calculations.</w:t>
      </w:r>
    </w:p>
    <w:p w14:paraId="4C12BF9C" w14:textId="74A776ED" w:rsidR="00313BA2" w:rsidRPr="00313BA2" w:rsidRDefault="00AB21C7" w:rsidP="00AA2665">
      <w:pPr>
        <w:ind w:firstLine="720"/>
        <w:rPr>
          <w:rFonts w:cs="Times New Roman"/>
          <w:szCs w:val="24"/>
        </w:rPr>
      </w:pPr>
      <w:r>
        <w:rPr>
          <w:rStyle w:val="fontstyle01"/>
          <w:sz w:val="24"/>
          <w:szCs w:val="24"/>
        </w:rPr>
        <w:t>Previous s</w:t>
      </w:r>
      <w:r w:rsidR="00313BA2" w:rsidRPr="00313BA2">
        <w:rPr>
          <w:rStyle w:val="fontstyle01"/>
          <w:sz w:val="24"/>
          <w:szCs w:val="24"/>
        </w:rPr>
        <w:t xml:space="preserve">tudies </w:t>
      </w:r>
      <w:r>
        <w:rPr>
          <w:rStyle w:val="fontstyle01"/>
          <w:sz w:val="24"/>
          <w:szCs w:val="24"/>
        </w:rPr>
        <w:t xml:space="preserve">have </w:t>
      </w:r>
      <w:r w:rsidR="00313BA2" w:rsidRPr="00313BA2">
        <w:rPr>
          <w:rStyle w:val="fontstyle01"/>
          <w:sz w:val="24"/>
          <w:szCs w:val="24"/>
        </w:rPr>
        <w:t>reported several factors that can influence the moisture-induced damage potential of asphalt mix</w:t>
      </w:r>
      <w:r>
        <w:rPr>
          <w:rStyle w:val="fontstyle01"/>
          <w:sz w:val="24"/>
          <w:szCs w:val="24"/>
        </w:rPr>
        <w:t>es</w:t>
      </w:r>
      <w:r w:rsidR="00313BA2" w:rsidRPr="00313BA2">
        <w:rPr>
          <w:rStyle w:val="fontstyle01"/>
          <w:sz w:val="24"/>
          <w:szCs w:val="24"/>
        </w:rPr>
        <w:t xml:space="preserve"> </w:t>
      </w:r>
      <w:r w:rsidR="00313BA2" w:rsidRPr="00313BA2">
        <w:rPr>
          <w:rStyle w:val="fontstyle01"/>
          <w:sz w:val="24"/>
          <w:szCs w:val="24"/>
        </w:rPr>
        <w:fldChar w:fldCharType="begin">
          <w:fldData xml:space="preserve">PEVuZE5vdGU+PENpdGU+PEF1dGhvcj5Ub25nPC9BdXRob3I+PFllYXI+MjAxNTwvWWVhcj48UmVj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</w:fldData>
        </w:fldChar>
      </w:r>
      <w:r w:rsidR="00282238">
        <w:rPr>
          <w:rStyle w:val="fontstyle01"/>
          <w:sz w:val="24"/>
          <w:szCs w:val="24"/>
        </w:rPr>
        <w:instrText xml:space="preserve"> ADDIN EN.CITE </w:instrText>
      </w:r>
      <w:r w:rsidR="00282238">
        <w:rPr>
          <w:rStyle w:val="fontstyle01"/>
          <w:sz w:val="24"/>
          <w:szCs w:val="24"/>
        </w:rPr>
        <w:fldChar w:fldCharType="begin">
          <w:fldData xml:space="preserve">PEVuZE5vdGU+PENpdGU+PEF1dGhvcj5Ub25nPC9BdXRob3I+PFllYXI+MjAxNTwvWWVhcj48UmVj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</w:fldData>
        </w:fldChar>
      </w:r>
      <w:r w:rsidR="00282238">
        <w:rPr>
          <w:rStyle w:val="fontstyle01"/>
          <w:sz w:val="24"/>
          <w:szCs w:val="24"/>
        </w:rPr>
        <w:instrText xml:space="preserve"> ADDIN EN.CITE.DATA </w:instrText>
      </w:r>
      <w:r w:rsidR="00282238">
        <w:rPr>
          <w:rStyle w:val="fontstyle01"/>
          <w:sz w:val="24"/>
          <w:szCs w:val="24"/>
        </w:rPr>
      </w:r>
      <w:r w:rsidR="00282238">
        <w:rPr>
          <w:rStyle w:val="fontstyle01"/>
          <w:sz w:val="24"/>
          <w:szCs w:val="24"/>
        </w:rPr>
        <w:fldChar w:fldCharType="end"/>
      </w:r>
      <w:r w:rsidR="00313BA2" w:rsidRPr="00313BA2">
        <w:rPr>
          <w:rStyle w:val="fontstyle01"/>
          <w:sz w:val="24"/>
          <w:szCs w:val="24"/>
        </w:rPr>
      </w:r>
      <w:r w:rsidR="00313BA2" w:rsidRPr="00313BA2">
        <w:rPr>
          <w:rStyle w:val="fontstyle01"/>
          <w:sz w:val="24"/>
          <w:szCs w:val="24"/>
        </w:rPr>
        <w:fldChar w:fldCharType="separate"/>
      </w:r>
      <w:r w:rsidR="00282238">
        <w:rPr>
          <w:rStyle w:val="fontstyle01"/>
          <w:noProof/>
          <w:sz w:val="24"/>
          <w:szCs w:val="24"/>
        </w:rPr>
        <w:t>(Shu et al., 2012; Doyle and Howard, 2013; Tong et al., 2015)</w:t>
      </w:r>
      <w:r w:rsidR="00313BA2" w:rsidRPr="00313BA2">
        <w:rPr>
          <w:rStyle w:val="fontstyle01"/>
          <w:sz w:val="24"/>
          <w:szCs w:val="24"/>
        </w:rPr>
        <w:fldChar w:fldCharType="end"/>
      </w:r>
      <w:r w:rsidR="00313BA2" w:rsidRPr="00313BA2">
        <w:rPr>
          <w:rStyle w:val="fontstyle01"/>
          <w:sz w:val="24"/>
          <w:szCs w:val="24"/>
        </w:rPr>
        <w:t>. Among those, t</w:t>
      </w:r>
      <w:r w:rsidR="00313BA2" w:rsidRPr="00313BA2">
        <w:rPr>
          <w:rFonts w:cs="Times New Roman"/>
          <w:szCs w:val="24"/>
        </w:rPr>
        <w:t xml:space="preserve">he physical and chemical characteristics of the binder and aggregate </w:t>
      </w:r>
      <w:r>
        <w:rPr>
          <w:rFonts w:cs="Times New Roman"/>
          <w:szCs w:val="24"/>
        </w:rPr>
        <w:t xml:space="preserve">have been found to </w:t>
      </w:r>
      <w:r w:rsidR="00313BA2" w:rsidRPr="00313BA2">
        <w:rPr>
          <w:rFonts w:cs="Times New Roman"/>
          <w:szCs w:val="24"/>
        </w:rPr>
        <w:t>exhibit significant influence on the adhesive bond strength of asphalt mix</w:t>
      </w:r>
      <w:r>
        <w:rPr>
          <w:rFonts w:cs="Times New Roman"/>
          <w:szCs w:val="24"/>
        </w:rPr>
        <w:t>es</w:t>
      </w:r>
      <w:r w:rsidR="00313BA2" w:rsidRPr="00313BA2">
        <w:rPr>
          <w:rStyle w:val="fontstyle01"/>
          <w:sz w:val="24"/>
          <w:szCs w:val="24"/>
        </w:rPr>
        <w:t xml:space="preserve"> </w:t>
      </w:r>
      <w:r w:rsidR="00313BA2" w:rsidRPr="00313BA2">
        <w:rPr>
          <w:rStyle w:val="fontstyle01"/>
          <w:sz w:val="24"/>
          <w:szCs w:val="24"/>
        </w:rPr>
        <w:fldChar w:fldCharType="begin">
          <w:fldData xml:space="preserve">PEVuZE5vdGU+PENpdGU+PEF1dGhvcj5Ub25nPC9BdXRob3I+PFllYXI+MjAxNTwvWWVhcj48UmVj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</w:fldData>
        </w:fldChar>
      </w:r>
      <w:r w:rsidR="00282238">
        <w:rPr>
          <w:rStyle w:val="fontstyle01"/>
          <w:sz w:val="24"/>
          <w:szCs w:val="24"/>
        </w:rPr>
        <w:instrText xml:space="preserve"> ADDIN EN.CITE </w:instrText>
      </w:r>
      <w:r w:rsidR="00282238">
        <w:rPr>
          <w:rStyle w:val="fontstyle01"/>
          <w:sz w:val="24"/>
          <w:szCs w:val="24"/>
        </w:rPr>
        <w:fldChar w:fldCharType="begin">
          <w:fldData xml:space="preserve">PEVuZE5vdGU+PENpdGU+PEF1dGhvcj5Ub25nPC9BdXRob3I+PFllYXI+MjAxNTwvWWVhcj48UmVj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</w:fldData>
        </w:fldChar>
      </w:r>
      <w:r w:rsidR="00282238">
        <w:rPr>
          <w:rStyle w:val="fontstyle01"/>
          <w:sz w:val="24"/>
          <w:szCs w:val="24"/>
        </w:rPr>
        <w:instrText xml:space="preserve"> ADDIN EN.CITE.DATA </w:instrText>
      </w:r>
      <w:r w:rsidR="00282238">
        <w:rPr>
          <w:rStyle w:val="fontstyle01"/>
          <w:sz w:val="24"/>
          <w:szCs w:val="24"/>
        </w:rPr>
      </w:r>
      <w:r w:rsidR="00282238">
        <w:rPr>
          <w:rStyle w:val="fontstyle01"/>
          <w:sz w:val="24"/>
          <w:szCs w:val="24"/>
        </w:rPr>
        <w:fldChar w:fldCharType="end"/>
      </w:r>
      <w:r w:rsidR="00313BA2" w:rsidRPr="00313BA2">
        <w:rPr>
          <w:rStyle w:val="fontstyle01"/>
          <w:sz w:val="24"/>
          <w:szCs w:val="24"/>
        </w:rPr>
      </w:r>
      <w:r w:rsidR="00313BA2" w:rsidRPr="00313BA2">
        <w:rPr>
          <w:rStyle w:val="fontstyle01"/>
          <w:sz w:val="24"/>
          <w:szCs w:val="24"/>
        </w:rPr>
        <w:fldChar w:fldCharType="separate"/>
      </w:r>
      <w:r w:rsidR="00282238">
        <w:rPr>
          <w:rStyle w:val="fontstyle01"/>
          <w:noProof/>
          <w:sz w:val="24"/>
          <w:szCs w:val="24"/>
        </w:rPr>
        <w:t>(Shu et al., 2012; Doyle and Howard, 2013; Tong et al., 2015)</w:t>
      </w:r>
      <w:r w:rsidR="00313BA2" w:rsidRPr="00313BA2">
        <w:rPr>
          <w:rStyle w:val="fontstyle01"/>
          <w:sz w:val="24"/>
          <w:szCs w:val="24"/>
        </w:rPr>
        <w:fldChar w:fldCharType="end"/>
      </w:r>
      <w:r w:rsidR="00313BA2" w:rsidRPr="00313BA2">
        <w:rPr>
          <w:rStyle w:val="fontstyle01"/>
          <w:sz w:val="24"/>
          <w:szCs w:val="24"/>
        </w:rPr>
        <w:t xml:space="preserve">. Also, </w:t>
      </w:r>
      <w:r>
        <w:rPr>
          <w:rFonts w:cs="Times New Roman"/>
          <w:szCs w:val="24"/>
        </w:rPr>
        <w:t>with</w:t>
      </w:r>
      <w:r w:rsidR="00313BA2" w:rsidRPr="00313BA2">
        <w:rPr>
          <w:rFonts w:cs="Times New Roman"/>
          <w:szCs w:val="24"/>
        </w:rPr>
        <w:t xml:space="preserve"> </w:t>
      </w:r>
      <w:r>
        <w:rPr>
          <w:rFonts w:cs="Times New Roman"/>
          <w:szCs w:val="24"/>
        </w:rPr>
        <w:t xml:space="preserve">increasing </w:t>
      </w:r>
      <w:r w:rsidR="00313BA2" w:rsidRPr="00313BA2">
        <w:rPr>
          <w:rFonts w:cs="Times New Roman"/>
          <w:szCs w:val="24"/>
        </w:rPr>
        <w:t xml:space="preserve">use of different chemical additives and materials such as warm mix asphalt (WMA) additives, poly-phosphoric acid (PPA), anti-stripping agents (ASA) and reclaimed asphalt pavement (RAP) in asphalt mixes, the mechanistic evaluation of the moisture-induced damage potential becomes even more important. The interactions of the binder constituents and additives were found important in </w:t>
      </w:r>
      <w:r w:rsidR="00313BA2" w:rsidRPr="00313BA2">
        <w:rPr>
          <w:rFonts w:cs="Times New Roman"/>
          <w:szCs w:val="24"/>
        </w:rPr>
        <w:lastRenderedPageBreak/>
        <w:t xml:space="preserve">determining the strength of the binder-aggregate interface </w:t>
      </w:r>
      <w:r w:rsidR="00313BA2" w:rsidRPr="00313BA2">
        <w:rPr>
          <w:rFonts w:cs="Times New Roman"/>
          <w:szCs w:val="24"/>
        </w:rPr>
        <w:fldChar w:fldCharType="begin"/>
      </w:r>
      <w:r w:rsidR="00282238">
        <w:rPr>
          <w:rFonts w:cs="Times New Roman"/>
          <w:szCs w:val="24"/>
        </w:rPr>
        <w:instrText xml:space="preserve"> ADDIN EN.CITE &lt;EndNote&gt;&lt;Cite&gt;&lt;Author&gt;Hossain&lt;/Author&gt;&lt;Year&gt;2012&lt;/Year&gt;&lt;RecNum&gt;92&lt;/RecNum&gt;&lt;DisplayText&gt;(Hossain et al., 2012)&lt;/DisplayText&gt;&lt;record&gt;&lt;rec-number&gt;92&lt;/rec-number&gt;&lt;foreign-keys&gt;&lt;key app="EN" db-id="d55vzfpwawdafteedfoxsf0lv0v0wp5va2aa" timestamp="1519498736"&gt;92&lt;/key&gt;&lt;/foreign-keys&gt;&lt;ref-type name="Journal Article"&gt;17&lt;/ref-type&gt;&lt;contributors&gt;&lt;authors&gt;&lt;author&gt;Hossain, Zahid&lt;/author&gt;&lt;author&gt;Lewis, Sharon&lt;/author&gt;&lt;author&gt;Zaman, Musharraf&lt;/author&gt;&lt;author&gt;Buddhala, Aravinda&lt;/author&gt;&lt;author&gt;O’Rear, Edgar&lt;/author&gt;&lt;/authors&gt;&lt;/contributors&gt;&lt;titles&gt;&lt;title&gt;Evaluation for warm-mix additive-modified asphalt binders using spectroscopy techniques&lt;/title&gt;&lt;secondary-title&gt;Journal of Materials in Civil Engineering&lt;/secondary-title&gt;&lt;/titles&gt;&lt;periodical&gt;&lt;full-title&gt;Journal of Materials in Civil Engineering&lt;/full-title&gt;&lt;/periodical&gt;&lt;pages&gt;149-159&lt;/pages&gt;&lt;volume&gt;25&lt;/volume&gt;&lt;number&gt;2&lt;/number&gt;&lt;dates&gt;&lt;year&gt;2012&lt;/year&gt;&lt;/dates&gt;&lt;isbn&gt;0899-1561&lt;/isbn&gt;&lt;urls&gt;&lt;/urls&gt;&lt;/record&gt;&lt;/Cite&gt;&lt;/EndNote&gt;</w:instrText>
      </w:r>
      <w:r w:rsidR="00313BA2" w:rsidRPr="00313BA2">
        <w:rPr>
          <w:rFonts w:cs="Times New Roman"/>
          <w:szCs w:val="24"/>
        </w:rPr>
        <w:fldChar w:fldCharType="separate"/>
      </w:r>
      <w:r w:rsidR="00282238">
        <w:rPr>
          <w:rFonts w:cs="Times New Roman"/>
          <w:noProof/>
          <w:szCs w:val="24"/>
        </w:rPr>
        <w:t>(Hossain et al., 2012)</w:t>
      </w:r>
      <w:r w:rsidR="00313BA2" w:rsidRPr="00313BA2">
        <w:rPr>
          <w:rFonts w:cs="Times New Roman"/>
          <w:szCs w:val="24"/>
        </w:rPr>
        <w:fldChar w:fldCharType="end"/>
      </w:r>
      <w:r w:rsidR="00313BA2" w:rsidRPr="00313BA2">
        <w:rPr>
          <w:rFonts w:cs="Times New Roman"/>
          <w:szCs w:val="24"/>
        </w:rPr>
        <w:t xml:space="preserve">. The effectiveness of these additives under in-service aging conditions and with different aggregate types needs to be evaluated as well. Therefore, in addition to laboratory-based performance test and thermodynamic approaches, chemical interactions at the binder-aggregate interface need to be studied to </w:t>
      </w:r>
      <w:r>
        <w:rPr>
          <w:rFonts w:cs="Times New Roman"/>
          <w:szCs w:val="24"/>
        </w:rPr>
        <w:t xml:space="preserve">better </w:t>
      </w:r>
      <w:r w:rsidR="00313BA2" w:rsidRPr="00313BA2">
        <w:rPr>
          <w:rFonts w:cs="Times New Roman"/>
          <w:szCs w:val="24"/>
        </w:rPr>
        <w:t>understand the moisture-induced damage phenomena of asphalt mix</w:t>
      </w:r>
      <w:r>
        <w:rPr>
          <w:rFonts w:cs="Times New Roman"/>
          <w:szCs w:val="24"/>
        </w:rPr>
        <w:t>es</w:t>
      </w:r>
      <w:r w:rsidR="00313BA2" w:rsidRPr="00313BA2">
        <w:rPr>
          <w:rFonts w:cs="Times New Roman"/>
          <w:szCs w:val="24"/>
        </w:rPr>
        <w:t xml:space="preserve">. Several chemical analysis techniques are currently available </w:t>
      </w:r>
      <w:r>
        <w:rPr>
          <w:rFonts w:cs="Times New Roman"/>
          <w:szCs w:val="24"/>
        </w:rPr>
        <w:t>that</w:t>
      </w:r>
      <w:r w:rsidR="00313BA2" w:rsidRPr="00313BA2">
        <w:rPr>
          <w:rFonts w:cs="Times New Roman"/>
          <w:szCs w:val="24"/>
        </w:rPr>
        <w:t xml:space="preserve"> can provide important and useful information about the chemical properties of asphalt binder and aggregates in a relatively short period of time </w:t>
      </w:r>
      <w:r w:rsidR="00313BA2" w:rsidRPr="00313BA2">
        <w:rPr>
          <w:rFonts w:cs="Times New Roman"/>
          <w:szCs w:val="24"/>
        </w:rPr>
        <w:fldChar w:fldCharType="begin">
          <w:fldData xml:space="preserve">PEVuZE5vdGU+PENpdGU+PEF1dGhvcj5MZSBHdWVybjwvQXV0aG9yPjxZZWFyPjIwMTA8L1llYXI+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</w:fldData>
        </w:fldChar>
      </w:r>
      <w:r w:rsidR="00282238">
        <w:rPr>
          <w:rFonts w:cs="Times New Roman"/>
          <w:szCs w:val="24"/>
        </w:rPr>
        <w:instrText xml:space="preserve"> ADDIN EN.CITE </w:instrText>
      </w:r>
      <w:r w:rsidR="00282238">
        <w:rPr>
          <w:rFonts w:cs="Times New Roman"/>
          <w:szCs w:val="24"/>
        </w:rPr>
        <w:fldChar w:fldCharType="begin">
          <w:fldData xml:space="preserve">PEVuZE5vdGU+PENpdGU+PEF1dGhvcj5MZSBHdWVybjwvQXV0aG9yPjxZZWFyPjIwMTA8L1llYXI+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</w:fldData>
        </w:fldChar>
      </w:r>
      <w:r w:rsidR="00282238">
        <w:rPr>
          <w:rFonts w:cs="Times New Roman"/>
          <w:szCs w:val="24"/>
        </w:rPr>
        <w:instrText xml:space="preserve"> ADDIN EN.CITE.DATA </w:instrText>
      </w:r>
      <w:r w:rsidR="00282238">
        <w:rPr>
          <w:rFonts w:cs="Times New Roman"/>
          <w:szCs w:val="24"/>
        </w:rPr>
      </w:r>
      <w:r w:rsidR="00282238">
        <w:rPr>
          <w:rFonts w:cs="Times New Roman"/>
          <w:szCs w:val="24"/>
        </w:rPr>
        <w:fldChar w:fldCharType="end"/>
      </w:r>
      <w:r w:rsidR="00313BA2" w:rsidRPr="00313BA2">
        <w:rPr>
          <w:rFonts w:cs="Times New Roman"/>
          <w:szCs w:val="24"/>
        </w:rPr>
      </w:r>
      <w:r w:rsidR="00313BA2" w:rsidRPr="00313BA2">
        <w:rPr>
          <w:rFonts w:cs="Times New Roman"/>
          <w:szCs w:val="24"/>
        </w:rPr>
        <w:fldChar w:fldCharType="separate"/>
      </w:r>
      <w:r w:rsidR="00282238">
        <w:rPr>
          <w:rFonts w:cs="Times New Roman"/>
          <w:noProof/>
          <w:szCs w:val="24"/>
        </w:rPr>
        <w:t>(Le Guern et al., 2010; Hossain et al., 2012; Hesp and Shurvell, 2013; Hofko et al., 2018; Ge et al., 2019)</w:t>
      </w:r>
      <w:r w:rsidR="00313BA2" w:rsidRPr="00313BA2">
        <w:rPr>
          <w:rFonts w:cs="Times New Roman"/>
          <w:szCs w:val="24"/>
        </w:rPr>
        <w:fldChar w:fldCharType="end"/>
      </w:r>
      <w:r w:rsidR="00313BA2" w:rsidRPr="00313BA2">
        <w:rPr>
          <w:rFonts w:cs="Times New Roman"/>
          <w:szCs w:val="24"/>
        </w:rPr>
        <w:t>.</w:t>
      </w:r>
    </w:p>
    <w:p w14:paraId="064DA9BA" w14:textId="6B0B70CB" w:rsidR="00313BA2" w:rsidRPr="00313BA2" w:rsidRDefault="008A289A" w:rsidP="00E57694">
      <w:pPr>
        <w:pStyle w:val="Heading2"/>
      </w:pPr>
      <w:bookmarkStart w:id="20" w:name="_Toc71728404"/>
      <w:r w:rsidRPr="00313BA2">
        <w:t>OBJECTIVES</w:t>
      </w:r>
      <w:bookmarkEnd w:id="19"/>
      <w:bookmarkEnd w:id="20"/>
    </w:p>
    <w:p w14:paraId="6C75072E" w14:textId="1F519816" w:rsidR="00313BA2" w:rsidRPr="00313BA2" w:rsidRDefault="00313BA2" w:rsidP="00017270">
      <w:pPr>
        <w:ind w:firstLine="720"/>
        <w:rPr>
          <w:rFonts w:cs="Times New Roman"/>
          <w:szCs w:val="24"/>
        </w:rPr>
      </w:pPr>
      <w:bookmarkStart w:id="21" w:name="_Toc6529100"/>
      <w:r w:rsidRPr="00313BA2">
        <w:rPr>
          <w:rFonts w:cs="Times New Roman"/>
          <w:szCs w:val="24"/>
        </w:rPr>
        <w:t xml:space="preserve">In this study, the effects </w:t>
      </w:r>
      <w:r w:rsidR="00870EF7">
        <w:rPr>
          <w:rFonts w:cs="Times New Roman"/>
          <w:szCs w:val="24"/>
        </w:rPr>
        <w:t xml:space="preserve">of </w:t>
      </w:r>
      <w:r w:rsidRPr="00313BA2">
        <w:rPr>
          <w:rFonts w:cs="Times New Roman"/>
          <w:szCs w:val="24"/>
        </w:rPr>
        <w:t>additives (WMA, ASA, RAP and PPA), aggregate types and aging (unaged, short-term and long-term) on the moisture-induced damage potential of asphalt mixes were studied by using the thermodynamic approach</w:t>
      </w:r>
      <w:r w:rsidR="00870EF7">
        <w:rPr>
          <w:rFonts w:cs="Times New Roman"/>
          <w:szCs w:val="24"/>
        </w:rPr>
        <w:t>es</w:t>
      </w:r>
      <w:r w:rsidRPr="00313BA2">
        <w:rPr>
          <w:rFonts w:cs="Times New Roman"/>
          <w:szCs w:val="24"/>
        </w:rPr>
        <w:t>, chemical analys</w:t>
      </w:r>
      <w:r w:rsidR="00870EF7">
        <w:rPr>
          <w:rFonts w:cs="Times New Roman"/>
          <w:szCs w:val="24"/>
        </w:rPr>
        <w:t>e</w:t>
      </w:r>
      <w:r w:rsidRPr="00313BA2">
        <w:rPr>
          <w:rFonts w:cs="Times New Roman"/>
          <w:szCs w:val="24"/>
        </w:rPr>
        <w:t xml:space="preserve">s and laboratory-based performance tests. Attempts were made to identify suitable probe liquid sets for different SFE estimation methods. Compatible binder-aggregate combinations to obtain optimum </w:t>
      </w:r>
      <w:r w:rsidR="00870EF7">
        <w:rPr>
          <w:rFonts w:cs="Times New Roman"/>
          <w:szCs w:val="24"/>
        </w:rPr>
        <w:t xml:space="preserve">resistance to </w:t>
      </w:r>
      <w:r w:rsidRPr="00313BA2">
        <w:rPr>
          <w:rFonts w:cs="Times New Roman"/>
          <w:szCs w:val="24"/>
        </w:rPr>
        <w:t xml:space="preserve">moisture-induced damage were identified using </w:t>
      </w:r>
      <w:r w:rsidR="00870EF7">
        <w:rPr>
          <w:rFonts w:cs="Times New Roman"/>
          <w:szCs w:val="24"/>
        </w:rPr>
        <w:t xml:space="preserve">the </w:t>
      </w:r>
      <w:r w:rsidRPr="00313BA2">
        <w:rPr>
          <w:rFonts w:cs="Times New Roman"/>
          <w:szCs w:val="24"/>
        </w:rPr>
        <w:t>SFE technique and chemical analys</w:t>
      </w:r>
      <w:r w:rsidR="00870EF7">
        <w:rPr>
          <w:rFonts w:cs="Times New Roman"/>
          <w:szCs w:val="24"/>
        </w:rPr>
        <w:t>e</w:t>
      </w:r>
      <w:r w:rsidRPr="00313BA2">
        <w:rPr>
          <w:rFonts w:cs="Times New Roman"/>
          <w:szCs w:val="24"/>
        </w:rPr>
        <w:t xml:space="preserve">s. The effect of the addition of different additives on the moisture-induced damage potential of asphalt mixes were investigated using conventional and unconventional laboratory-based performance parameters. Also, the </w:t>
      </w:r>
      <w:r w:rsidRPr="00313BA2">
        <w:rPr>
          <w:rFonts w:cs="Times New Roman"/>
          <w:szCs w:val="24"/>
          <w:lang w:val="en-CA"/>
        </w:rPr>
        <w:t>moisture-induced damage</w:t>
      </w:r>
      <w:r w:rsidRPr="00313BA2">
        <w:rPr>
          <w:rFonts w:cs="Times New Roman"/>
          <w:szCs w:val="24"/>
        </w:rPr>
        <w:t xml:space="preserve"> </w:t>
      </w:r>
      <w:r w:rsidRPr="00313BA2">
        <w:rPr>
          <w:rFonts w:cs="Times New Roman"/>
          <w:szCs w:val="24"/>
          <w:lang w:val="en-CA"/>
        </w:rPr>
        <w:t xml:space="preserve">parameters from different methods </w:t>
      </w:r>
      <w:r w:rsidRPr="00313BA2">
        <w:rPr>
          <w:rFonts w:cs="Times New Roman"/>
          <w:szCs w:val="24"/>
        </w:rPr>
        <w:t xml:space="preserve">were compared to better understand the evaluation mechanisms used by the corresponding test methods. The overall objectives of this study </w:t>
      </w:r>
      <w:r w:rsidR="00870EF7">
        <w:rPr>
          <w:rFonts w:cs="Times New Roman"/>
          <w:szCs w:val="24"/>
        </w:rPr>
        <w:t>are listed below</w:t>
      </w:r>
      <w:r w:rsidRPr="00313BA2">
        <w:rPr>
          <w:rFonts w:cs="Times New Roman"/>
          <w:szCs w:val="24"/>
        </w:rPr>
        <w:t>:</w:t>
      </w:r>
    </w:p>
    <w:p w14:paraId="60A15BE8" w14:textId="77777777" w:rsidR="00313BA2" w:rsidRPr="008B0B4E" w:rsidRDefault="00313BA2" w:rsidP="008B0B4E">
      <w:pPr>
        <w:pStyle w:val="ListParagraph"/>
        <w:numPr>
          <w:ilvl w:val="0"/>
          <w:numId w:val="40"/>
        </w:numPr>
      </w:pPr>
      <w:r w:rsidRPr="008B0B4E">
        <w:lastRenderedPageBreak/>
        <w:t>To identify suitable probe liquid sets to obtain consistent energy parameters for different SFE estimation methods.</w:t>
      </w:r>
    </w:p>
    <w:p w14:paraId="294FB836" w14:textId="77777777" w:rsidR="00313BA2" w:rsidRPr="008B0B4E" w:rsidRDefault="00313BA2" w:rsidP="008B0B4E">
      <w:pPr>
        <w:pStyle w:val="ListParagraph"/>
        <w:numPr>
          <w:ilvl w:val="0"/>
          <w:numId w:val="40"/>
        </w:numPr>
      </w:pPr>
      <w:r w:rsidRPr="008B0B4E">
        <w:t>To investigate the differences between different SFE estimation methods by comparing energy parameters of binder-aggregate systems.</w:t>
      </w:r>
    </w:p>
    <w:p w14:paraId="725ABCCA" w14:textId="77777777" w:rsidR="00313BA2" w:rsidRPr="008B0B4E" w:rsidRDefault="00313BA2" w:rsidP="008B0B4E">
      <w:pPr>
        <w:pStyle w:val="ListParagraph"/>
        <w:numPr>
          <w:ilvl w:val="0"/>
          <w:numId w:val="40"/>
        </w:numPr>
      </w:pPr>
      <w:r w:rsidRPr="008B0B4E">
        <w:t>To evaluate the effects of different additives, namely WMA, ASA, RAP binder and PPA on the SFE components of commonly used unmodified and polymer-modified asphalt binders in Oklahoma. Also, evaluate the effect of aging on the moisture-induced damage potential of binder-aggregate system using the SFE method.</w:t>
      </w:r>
    </w:p>
    <w:p w14:paraId="1E099509" w14:textId="184443AF" w:rsidR="00313BA2" w:rsidRPr="008B0B4E" w:rsidRDefault="00313BA2" w:rsidP="008B0B4E">
      <w:pPr>
        <w:pStyle w:val="ListParagraph"/>
        <w:numPr>
          <w:ilvl w:val="0"/>
          <w:numId w:val="40"/>
        </w:numPr>
        <w:rPr>
          <w:rStyle w:val="fontstyle01"/>
          <w:sz w:val="24"/>
          <w:szCs w:val="24"/>
        </w:rPr>
      </w:pPr>
      <w:r w:rsidRPr="008B0B4E">
        <w:rPr>
          <w:rStyle w:val="fontstyle01"/>
          <w:sz w:val="24"/>
          <w:szCs w:val="24"/>
        </w:rPr>
        <w:t xml:space="preserve">To assess the effect of additives and aging on the chemical composition of binders using chemical analysis tools, </w:t>
      </w:r>
      <w:r w:rsidR="00870EF7">
        <w:rPr>
          <w:rStyle w:val="fontstyle01"/>
          <w:sz w:val="24"/>
          <w:szCs w:val="24"/>
        </w:rPr>
        <w:t>namely</w:t>
      </w:r>
      <w:r w:rsidRPr="008B0B4E">
        <w:rPr>
          <w:rStyle w:val="fontstyle01"/>
          <w:sz w:val="24"/>
          <w:szCs w:val="24"/>
        </w:rPr>
        <w:t xml:space="preserve"> XRF and FTIR spectroscopy. Also, </w:t>
      </w:r>
      <w:r w:rsidRPr="008B0B4E">
        <w:t xml:space="preserve">determine the effects of the changes in </w:t>
      </w:r>
      <w:r w:rsidRPr="008B0B4E">
        <w:rPr>
          <w:rStyle w:val="fontstyle01"/>
          <w:sz w:val="24"/>
          <w:szCs w:val="24"/>
        </w:rPr>
        <w:t xml:space="preserve">chemical composition of binders on the </w:t>
      </w:r>
      <w:r w:rsidRPr="008B0B4E">
        <w:t>moisture-induced damage potential binder-aggregate systems.</w:t>
      </w:r>
    </w:p>
    <w:p w14:paraId="70A7334A" w14:textId="77777777" w:rsidR="00313BA2" w:rsidRPr="008B0B4E" w:rsidRDefault="00313BA2" w:rsidP="008B0B4E">
      <w:pPr>
        <w:pStyle w:val="ListParagraph"/>
        <w:numPr>
          <w:ilvl w:val="0"/>
          <w:numId w:val="40"/>
        </w:numPr>
      </w:pPr>
      <w:r w:rsidRPr="008B0B4E">
        <w:t>To investigate the contributions of the SFE components and elemental compositions of aggregates on the moisture susceptibility of a binder-aggregate system.</w:t>
      </w:r>
    </w:p>
    <w:p w14:paraId="5967807D" w14:textId="31B51E46" w:rsidR="00313BA2" w:rsidRPr="008B0B4E" w:rsidRDefault="00870EF7" w:rsidP="008B0B4E">
      <w:pPr>
        <w:pStyle w:val="ListParagraph"/>
        <w:numPr>
          <w:ilvl w:val="0"/>
          <w:numId w:val="40"/>
        </w:numPr>
      </w:pPr>
      <w:r>
        <w:rPr>
          <w:lang w:val="en-CA"/>
        </w:rPr>
        <w:t>To</w:t>
      </w:r>
      <w:r w:rsidR="00313BA2" w:rsidRPr="008B0B4E">
        <w:rPr>
          <w:lang w:val="en-CA"/>
        </w:rPr>
        <w:t xml:space="preserve"> assess the effects of aging and additives on the moisture-induced damage potential of asphalt mixes</w:t>
      </w:r>
      <w:r>
        <w:rPr>
          <w:lang w:val="en-CA"/>
        </w:rPr>
        <w:t xml:space="preserve"> using laboratory-based performance tests</w:t>
      </w:r>
      <w:r w:rsidR="00313BA2" w:rsidRPr="008B0B4E">
        <w:rPr>
          <w:lang w:val="en-CA"/>
        </w:rPr>
        <w:t>.</w:t>
      </w:r>
      <w:r w:rsidR="00313BA2" w:rsidRPr="008B0B4E">
        <w:t xml:space="preserve"> </w:t>
      </w:r>
    </w:p>
    <w:p w14:paraId="72B916BF" w14:textId="471C4C24" w:rsidR="00313BA2" w:rsidRPr="008B0B4E" w:rsidRDefault="00313BA2" w:rsidP="008B0B4E">
      <w:pPr>
        <w:pStyle w:val="ListParagraph"/>
        <w:numPr>
          <w:ilvl w:val="0"/>
          <w:numId w:val="40"/>
        </w:numPr>
      </w:pPr>
      <w:r w:rsidRPr="008B0B4E">
        <w:rPr>
          <w:lang w:val="en-CA"/>
        </w:rPr>
        <w:t xml:space="preserve">To evaluate and compare the conventional and unconventional methods for analysis of HWT, ITS and SCB test results for characterizing moisture-induced damage potential of asphalt mixes </w:t>
      </w:r>
      <w:r w:rsidR="00870EF7">
        <w:rPr>
          <w:lang w:val="en-CA"/>
        </w:rPr>
        <w:t>And</w:t>
      </w:r>
      <w:r w:rsidR="007A1913">
        <w:rPr>
          <w:lang w:val="en-CA"/>
        </w:rPr>
        <w:t>,</w:t>
      </w:r>
      <w:r w:rsidR="00870EF7">
        <w:rPr>
          <w:lang w:val="en-CA"/>
        </w:rPr>
        <w:t xml:space="preserve"> to i</w:t>
      </w:r>
      <w:r w:rsidRPr="008B0B4E">
        <w:rPr>
          <w:lang w:val="en-CA"/>
        </w:rPr>
        <w:t>nvestigat</w:t>
      </w:r>
      <w:r w:rsidR="00870EF7">
        <w:rPr>
          <w:lang w:val="en-CA"/>
        </w:rPr>
        <w:t>e</w:t>
      </w:r>
      <w:r w:rsidRPr="008B0B4E">
        <w:rPr>
          <w:lang w:val="en-CA"/>
        </w:rPr>
        <w:t xml:space="preserve"> the differences in mechanisms used to address moisture-induced damage by these laboratory-based parameters.</w:t>
      </w:r>
    </w:p>
    <w:p w14:paraId="41AA8756" w14:textId="77777777" w:rsidR="00313BA2" w:rsidRPr="008B0B4E" w:rsidRDefault="00313BA2" w:rsidP="008B0B4E">
      <w:pPr>
        <w:pStyle w:val="ListParagraph"/>
        <w:numPr>
          <w:ilvl w:val="0"/>
          <w:numId w:val="40"/>
        </w:numPr>
        <w:rPr>
          <w:lang w:val="en-CA"/>
        </w:rPr>
      </w:pPr>
      <w:r w:rsidRPr="008B0B4E">
        <w:rPr>
          <w:lang w:val="en-CA"/>
        </w:rPr>
        <w:lastRenderedPageBreak/>
        <w:t>To determine relationships between different laboratory-based moisture-induced damage parameters and the SFE parameters.</w:t>
      </w:r>
    </w:p>
    <w:p w14:paraId="4616C216" w14:textId="1FA56809" w:rsidR="00313BA2" w:rsidRPr="00313BA2" w:rsidRDefault="008A289A" w:rsidP="00E57694">
      <w:pPr>
        <w:pStyle w:val="Heading2"/>
      </w:pPr>
      <w:bookmarkStart w:id="22" w:name="_Toc71728405"/>
      <w:bookmarkEnd w:id="21"/>
      <w:r w:rsidRPr="00313BA2">
        <w:t>OVERVIEW OF CURRENT LITERATURE</w:t>
      </w:r>
      <w:bookmarkEnd w:id="22"/>
    </w:p>
    <w:p w14:paraId="7220A9A5" w14:textId="77777777" w:rsidR="00313BA2" w:rsidRPr="00313BA2" w:rsidRDefault="00313BA2" w:rsidP="00985A4A">
      <w:pPr>
        <w:pStyle w:val="Heading3"/>
      </w:pPr>
      <w:bookmarkStart w:id="23" w:name="_Toc6529102"/>
      <w:bookmarkStart w:id="24" w:name="_Toc71728406"/>
      <w:r w:rsidRPr="00313BA2">
        <w:t>Theories Related to Moisture-induced Damage of Asphalt Pavements</w:t>
      </w:r>
      <w:bookmarkEnd w:id="23"/>
      <w:bookmarkEnd w:id="24"/>
    </w:p>
    <w:p w14:paraId="6A190F1B" w14:textId="35F91BE0" w:rsidR="00313BA2" w:rsidRPr="00313BA2" w:rsidRDefault="00313BA2" w:rsidP="008A289A">
      <w:pPr>
        <w:ind w:firstLine="720"/>
        <w:rPr>
          <w:rFonts w:cs="Times New Roman"/>
          <w:szCs w:val="24"/>
        </w:rPr>
      </w:pPr>
      <w:r w:rsidRPr="00313BA2">
        <w:rPr>
          <w:rFonts w:cs="Times New Roman"/>
          <w:szCs w:val="24"/>
        </w:rPr>
        <w:t xml:space="preserve">The deterioration of mechanical properties of asphalt mixes in presence of moisture is known as moisture-induced damage </w:t>
      </w:r>
      <w:r w:rsidRPr="00313BA2">
        <w:rPr>
          <w:rFonts w:cs="Times New Roman"/>
          <w:szCs w:val="24"/>
        </w:rPr>
        <w:fldChar w:fldCharType="begin"/>
      </w:r>
      <w:r w:rsidR="00282238">
        <w:rPr>
          <w:rFonts w:cs="Times New Roman"/>
          <w:szCs w:val="24"/>
        </w:rPr>
        <w:instrText xml:space="preserve"> ADDIN EN.CITE &lt;EndNote&gt;&lt;Cite&gt;&lt;Author&gt;Caro&lt;/Author&gt;&lt;Year&gt;2008&lt;/Year&gt;&lt;RecNum&gt;81&lt;/RecNum&gt;&lt;DisplayText&gt;(Caro et al., 2008a)&lt;/DisplayText&gt;&lt;record&gt;&lt;rec-number&gt;81&lt;/rec-number&gt;&lt;foreign-keys&gt;&lt;key app="EN" db-id="d55vzfpwawdafteedfoxsf0lv0v0wp5va2aa" timestamp="1519484635"&gt;81&lt;/key&gt;&lt;/foreign-keys&gt;&lt;ref-type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1: Mechanisms&lt;/title&gt;&lt;secondary-title&gt;International Journal of Pavement Engineering&lt;/secondary-title&gt;&lt;/titles&gt;&lt;periodical&gt;&lt;full-title&gt;International Journal of Pavement Engineering&lt;/full-title&gt;&lt;/periodical&gt;&lt;pages&gt;81-98&lt;/pages&gt;&lt;volume&gt;9&lt;/volume&gt;&lt;number&gt;2&lt;/number&gt;&lt;dates&gt;&lt;year&gt;2008&lt;/year&gt;&lt;/dates&gt;&lt;isbn&gt;1029-8436&lt;/isbn&gt;&lt;urls&gt;&lt;/urls&gt;&lt;/record&gt;&lt;/Cite&gt;&lt;/EndNote&gt;</w:instrText>
      </w:r>
      <w:r w:rsidRPr="00313BA2">
        <w:rPr>
          <w:rFonts w:cs="Times New Roman"/>
          <w:szCs w:val="24"/>
        </w:rPr>
        <w:fldChar w:fldCharType="separate"/>
      </w:r>
      <w:r w:rsidR="00282238">
        <w:rPr>
          <w:rFonts w:cs="Times New Roman"/>
          <w:noProof/>
          <w:szCs w:val="24"/>
        </w:rPr>
        <w:t>(Caro et al., 2008a)</w:t>
      </w:r>
      <w:r w:rsidRPr="00313BA2">
        <w:rPr>
          <w:rFonts w:cs="Times New Roman"/>
          <w:szCs w:val="24"/>
        </w:rPr>
        <w:fldChar w:fldCharType="end"/>
      </w:r>
      <w:r w:rsidRPr="00313BA2">
        <w:rPr>
          <w:rFonts w:cs="Times New Roman"/>
          <w:szCs w:val="24"/>
        </w:rPr>
        <w:t xml:space="preserve">. </w:t>
      </w:r>
      <w:r w:rsidRPr="00313BA2">
        <w:rPr>
          <w:rFonts w:cs="Times New Roman"/>
          <w:iCs/>
          <w:szCs w:val="24"/>
        </w:rPr>
        <w:t xml:space="preserve">According to </w:t>
      </w:r>
      <w:r w:rsidRPr="00313BA2">
        <w:rPr>
          <w:rFonts w:cs="Times New Roman"/>
          <w:iCs/>
          <w:szCs w:val="24"/>
        </w:rPr>
        <w:fldChar w:fldCharType="begin"/>
      </w:r>
      <w:r w:rsidR="00DB3733">
        <w:rPr>
          <w:rFonts w:cs="Times New Roman"/>
          <w:iCs/>
          <w:szCs w:val="24"/>
        </w:rPr>
        <w:instrText xml:space="preserve"> ADDIN EN.CITE &lt;EndNote&gt;&lt;Cite AuthorYear="1"&gt;&lt;Author&gt;Caro&lt;/Author&gt;&lt;Year&gt;2008&lt;/Year&gt;&lt;RecNum&gt;81&lt;/RecNum&gt;&lt;DisplayText&gt;Caro et al. (2008a)&lt;/DisplayText&gt;&lt;record&gt;&lt;rec-number&gt;81&lt;/rec-number&gt;&lt;foreign-keys&gt;&lt;key app="EN" db-id="d55vzfpwawdafteedfoxsf0lv0v0wp5va2aa" timestamp="1519484635"&gt;81&lt;/key&gt;&lt;/foreign-keys&gt;&lt;ref-type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1: Mechanisms&lt;/title&gt;&lt;secondary-title&gt;International Journal of Pavement Engineering&lt;/secondary-title&gt;&lt;/titles&gt;&lt;periodical&gt;&lt;full-title&gt;International Journal of Pavement Engineering&lt;/full-title&gt;&lt;/periodical&gt;&lt;pages&gt;81-98&lt;/pages&gt;&lt;volume&gt;9&lt;/volume&gt;&lt;number&gt;2&lt;/number&gt;&lt;dates&gt;&lt;year&gt;2008&lt;/year&gt;&lt;/dates&gt;&lt;isbn&gt;1029-8436&lt;/isbn&gt;&lt;urls&gt;&lt;/urls&gt;&lt;/record&gt;&lt;/Cite&gt;&lt;/EndNote&gt;</w:instrText>
      </w:r>
      <w:r w:rsidRPr="00313BA2">
        <w:rPr>
          <w:rFonts w:cs="Times New Roman"/>
          <w:iCs/>
          <w:szCs w:val="24"/>
        </w:rPr>
        <w:fldChar w:fldCharType="separate"/>
      </w:r>
      <w:r w:rsidRPr="00313BA2">
        <w:rPr>
          <w:rFonts w:cs="Times New Roman"/>
          <w:iCs/>
          <w:noProof/>
          <w:szCs w:val="24"/>
        </w:rPr>
        <w:t>Caro et al. (2008a)</w:t>
      </w:r>
      <w:r w:rsidRPr="00313BA2">
        <w:rPr>
          <w:rFonts w:cs="Times New Roman"/>
          <w:iCs/>
          <w:szCs w:val="24"/>
        </w:rPr>
        <w:fldChar w:fldCharType="end"/>
      </w:r>
      <w:r w:rsidRPr="00313BA2">
        <w:rPr>
          <w:rFonts w:cs="Times New Roman"/>
          <w:iCs/>
          <w:szCs w:val="24"/>
        </w:rPr>
        <w:t>, moisture-induced damage is a two-step mechanism. First, the moisture (in liquid or vapor state) infiltrate</w:t>
      </w:r>
      <w:r w:rsidR="00610AAD">
        <w:rPr>
          <w:rFonts w:cs="Times New Roman"/>
          <w:iCs/>
          <w:szCs w:val="24"/>
        </w:rPr>
        <w:t>s</w:t>
      </w:r>
      <w:r w:rsidRPr="00313BA2">
        <w:rPr>
          <w:rFonts w:cs="Times New Roman"/>
          <w:iCs/>
          <w:szCs w:val="24"/>
        </w:rPr>
        <w:t xml:space="preserve"> into </w:t>
      </w:r>
      <w:r w:rsidRPr="003E20F0">
        <w:rPr>
          <w:rFonts w:cs="Times New Roman"/>
          <w:iCs/>
          <w:szCs w:val="24"/>
        </w:rPr>
        <w:t xml:space="preserve">the binder-aggregate interface. Then the system responds to the infiltrated moisture either as adhesive and/or cohesive failures. </w:t>
      </w:r>
      <w:r w:rsidR="005213CA" w:rsidRPr="003E20F0">
        <w:rPr>
          <w:rFonts w:cs="Times New Roman"/>
          <w:iCs/>
          <w:szCs w:val="24"/>
        </w:rPr>
        <w:t>Previous s</w:t>
      </w:r>
      <w:r w:rsidRPr="003E20F0">
        <w:rPr>
          <w:rFonts w:cs="Times New Roman"/>
          <w:iCs/>
          <w:szCs w:val="24"/>
        </w:rPr>
        <w:t xml:space="preserve">tudies </w:t>
      </w:r>
      <w:r w:rsidR="005213CA" w:rsidRPr="003E20F0">
        <w:rPr>
          <w:rFonts w:cs="Times New Roman"/>
          <w:iCs/>
          <w:szCs w:val="24"/>
        </w:rPr>
        <w:t xml:space="preserve">have </w:t>
      </w:r>
      <w:r w:rsidRPr="003E20F0">
        <w:rPr>
          <w:rFonts w:cs="Times New Roman"/>
          <w:iCs/>
          <w:szCs w:val="24"/>
        </w:rPr>
        <w:t xml:space="preserve">reported three primary ways of transporting moisture into asphalt pavement, namely infiltration of surface water, capillary </w:t>
      </w:r>
      <w:r w:rsidR="00832E99" w:rsidRPr="003E20F0">
        <w:rPr>
          <w:rFonts w:cs="Times New Roman"/>
          <w:iCs/>
          <w:szCs w:val="24"/>
        </w:rPr>
        <w:t>action</w:t>
      </w:r>
      <w:r w:rsidRPr="003E20F0">
        <w:rPr>
          <w:rFonts w:cs="Times New Roman"/>
          <w:iCs/>
          <w:szCs w:val="24"/>
        </w:rPr>
        <w:t xml:space="preserve"> of subsurface water and permeation or diffusion of water vapor </w:t>
      </w:r>
      <w:r w:rsidRPr="003E20F0">
        <w:rPr>
          <w:rFonts w:cs="Times New Roman"/>
          <w:iCs/>
          <w:szCs w:val="24"/>
        </w:rPr>
        <w:fldChar w:fldCharType="begin"/>
      </w:r>
      <w:r w:rsidR="00282238" w:rsidRPr="003E20F0">
        <w:rPr>
          <w:rFonts w:cs="Times New Roman"/>
          <w:iCs/>
          <w:szCs w:val="24"/>
        </w:rPr>
        <w:instrText xml:space="preserve"> ADDIN EN.CITE &lt;EndNote&gt;&lt;Cite&gt;&lt;Author&gt;Masad&lt;/Author&gt;&lt;Year&gt;2007&lt;/Year&gt;&lt;RecNum&gt;96&lt;/RecNum&gt;&lt;DisplayText&gt;(Masad et al., 2007; Caro et al., 2008a)&lt;/DisplayText&gt;&lt;record&gt;&lt;rec-number&gt;96&lt;/rec-number&gt;&lt;foreign-keys&gt;&lt;key app="EN" db-id="d55vzfpwawdafteedfoxsf0lv0v0wp5va2aa" timestamp="1521113887"&gt;96&lt;/key&gt;&lt;/foreign-keys&gt;&lt;ref-type name="Journal Article"&gt;17&lt;/ref-type&gt;&lt;contributors&gt;&lt;authors&gt;&lt;author&gt;Masad, Eyad&lt;/author&gt;&lt;author&gt;Arambula, Edit&lt;/author&gt;&lt;author&gt;Ketcham, Richard&lt;/author&gt;&lt;author&gt;Abbas, Ala&lt;/author&gt;&lt;author&gt;Martin, Amy Epps&lt;/author&gt;&lt;/authors&gt;&lt;/contributors&gt;&lt;titles&gt;&lt;title&gt;Nondestructive measurements of moisture transport in asphalt mixtures&lt;/title&gt;&lt;secondary-title&gt;Asphalt Paving Technology-Proceedings&lt;/secondary-title&gt;&lt;/titles&gt;&lt;periodical&gt;&lt;full-title&gt;Asphalt Paving Technology-Proceedings&lt;/full-title&gt;&lt;/periodical&gt;&lt;pages&gt;919&lt;/pages&gt;&lt;volume&gt;76&lt;/volume&gt;&lt;dates&gt;&lt;year&gt;2007&lt;/year&gt;&lt;/dates&gt;&lt;isbn&gt;0270-2932&lt;/isbn&gt;&lt;urls&gt;&lt;/urls&gt;&lt;/record&gt;&lt;/Cite&gt;&lt;Cite&gt;&lt;Author&gt;Caro&lt;/Author&gt;&lt;Year&gt;2008&lt;/Year&gt;&lt;RecNum&gt;81&lt;/RecNum&gt;&lt;record&gt;&lt;rec-number&gt;81&lt;/rec-number&gt;&lt;foreign-keys&gt;&lt;key app="EN" db-id="d55vzfpwawdafteedfoxsf0lv0v0wp5va2aa" timestamp="1519484635"&gt;81&lt;/key&gt;&lt;/foreign-keys&gt;&lt;ref-type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1: Mechanisms&lt;/title&gt;&lt;secondary-title&gt;International Journal of Pavement Engineering&lt;/secondary-title&gt;&lt;/titles&gt;&lt;periodical&gt;&lt;full-title&gt;International Journal of Pavement Engineering&lt;/full-title&gt;&lt;/periodical&gt;&lt;pages&gt;81-98&lt;/pages&gt;&lt;volume&gt;9&lt;/volume&gt;&lt;number&gt;2&lt;/number&gt;&lt;dates&gt;&lt;year&gt;2008&lt;/year&gt;&lt;/dates&gt;&lt;isbn&gt;1029-8436&lt;/isbn&gt;&lt;urls&gt;&lt;/urls&gt;&lt;/record&gt;&lt;/Cite&gt;&lt;/EndNote&gt;</w:instrText>
      </w:r>
      <w:r w:rsidRPr="003E20F0">
        <w:rPr>
          <w:rFonts w:cs="Times New Roman"/>
          <w:iCs/>
          <w:szCs w:val="24"/>
        </w:rPr>
        <w:fldChar w:fldCharType="separate"/>
      </w:r>
      <w:r w:rsidR="00282238" w:rsidRPr="003E20F0">
        <w:rPr>
          <w:rFonts w:cs="Times New Roman"/>
          <w:iCs/>
          <w:noProof/>
          <w:szCs w:val="24"/>
        </w:rPr>
        <w:t>(Masad et al., 2007; Caro et al., 2008a)</w:t>
      </w:r>
      <w:r w:rsidRPr="003E20F0">
        <w:rPr>
          <w:rFonts w:cs="Times New Roman"/>
          <w:iCs/>
          <w:szCs w:val="24"/>
        </w:rPr>
        <w:fldChar w:fldCharType="end"/>
      </w:r>
      <w:r w:rsidRPr="003E20F0">
        <w:rPr>
          <w:rFonts w:cs="Times New Roman"/>
          <w:iCs/>
          <w:szCs w:val="24"/>
        </w:rPr>
        <w:t>. Till now, f</w:t>
      </w:r>
      <w:r w:rsidRPr="003E20F0">
        <w:rPr>
          <w:rFonts w:cs="Times New Roman"/>
          <w:szCs w:val="24"/>
        </w:rPr>
        <w:t>ive different adhesion theories have been proposed by different studies to quantify the bonding strength of a binder-aggregate system. These theories are</w:t>
      </w:r>
      <w:r w:rsidR="005213CA" w:rsidRPr="003E20F0">
        <w:rPr>
          <w:rFonts w:cs="Times New Roman"/>
          <w:szCs w:val="24"/>
        </w:rPr>
        <w:t>:</w:t>
      </w:r>
      <w:r w:rsidRPr="003E20F0">
        <w:rPr>
          <w:rFonts w:cs="Times New Roman"/>
          <w:szCs w:val="24"/>
        </w:rPr>
        <w:t xml:space="preserve"> weak boundary layer theory, electrostatic theory, chemical bonding theory, mechanical bonding theory, and thermodynamic theory </w:t>
      </w:r>
      <w:r w:rsidRPr="003E20F0">
        <w:rPr>
          <w:rFonts w:cs="Times New Roman"/>
          <w:szCs w:val="24"/>
        </w:rPr>
        <w:fldChar w:fldCharType="begin"/>
      </w:r>
      <w:r w:rsidR="00282238" w:rsidRPr="003E20F0">
        <w:rPr>
          <w:rFonts w:cs="Times New Roman"/>
          <w:szCs w:val="24"/>
        </w:rPr>
        <w:instrText xml:space="preserve"> ADDIN EN.CITE &lt;EndNote&gt;&lt;Cite&gt;&lt;Author&gt;Hefer&lt;/Author&gt;&lt;Year&gt;2005&lt;/Year&gt;&lt;RecNum&gt;87&lt;/RecNum&gt;&lt;DisplayText&gt;(Hefer et al., 2005; Caro et al., 2008a)&lt;/DisplayText&gt;&lt;record&gt;&lt;rec-number&gt;87&lt;/rec-number&gt;&lt;foreign-keys&gt;&lt;key app="EN" db-id="d55vzfpwawdafteedfoxsf0lv0v0wp5va2aa" timestamp="1519496321"&gt;87&lt;/key&gt;&lt;/foreign-keys&gt;&lt;ref-type name="Journal Article"&gt;17&lt;/ref-type&gt;&lt;contributors&gt;&lt;authors&gt;&lt;author&gt;Hefer, Arno W&lt;/author&gt;&lt;author&gt;Little, Dallas N&lt;/author&gt;&lt;author&gt;Lytton, Robert L&lt;/author&gt;&lt;/authors&gt;&lt;/contributors&gt;&lt;titles&gt;&lt;title&gt;A Synthesis of Theories and Mechanisms of Bitumen-Aggregate Adhesion Including Recent Advances in Quantifying the Effects of Water&lt;/title&gt;&lt;secondary-title&gt;Journal of the association of asphalt paving technologists&lt;/secondary-title&gt;&lt;/titles&gt;&lt;periodical&gt;&lt;full-title&gt;Journal of the Association of Asphalt Paving Technologists&lt;/full-title&gt;&lt;/periodical&gt;&lt;pages&gt;139-196&lt;/pages&gt;&lt;volume&gt;74&lt;/volume&gt;&lt;dates&gt;&lt;year&gt;2005&lt;/year&gt;&lt;/dates&gt;&lt;urls&gt;&lt;/urls&gt;&lt;/record&gt;&lt;/Cite&gt;&lt;Cite&gt;&lt;Author&gt;Caro&lt;/Author&gt;&lt;Year&gt;2008&lt;/Year&gt;&lt;RecNum&gt;81&lt;/RecNum&gt;&lt;record&gt;&lt;rec-number&gt;81&lt;/rec-number&gt;&lt;foreign-keys&gt;&lt;key app="EN" db-id="d55vzfpwawdafteedfoxsf0lv0v0wp5va2aa" timestamp="1519484635"&gt;81&lt;/key&gt;&lt;/foreign-keys&gt;&lt;ref-type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1: Mechanisms&lt;/title&gt;&lt;secondary-title&gt;International Journal of Pavement Engineering&lt;/secondary-title&gt;&lt;/titles&gt;&lt;periodical&gt;&lt;full-title&gt;International Journal of Pavement Engineering&lt;/full-title&gt;&lt;/periodical&gt;&lt;pages&gt;81-98&lt;/pages&gt;&lt;volume&gt;9&lt;/volume&gt;&lt;number&gt;2&lt;/number&gt;&lt;dates&gt;&lt;year&gt;2008&lt;/year&gt;&lt;/dates&gt;&lt;isbn&gt;1029-8436&lt;/isbn&gt;&lt;urls&gt;&lt;/urls&gt;&lt;/record&gt;&lt;/Cite&gt;&lt;/EndNote&gt;</w:instrText>
      </w:r>
      <w:r w:rsidRPr="003E20F0">
        <w:rPr>
          <w:rFonts w:cs="Times New Roman"/>
          <w:szCs w:val="24"/>
        </w:rPr>
        <w:fldChar w:fldCharType="separate"/>
      </w:r>
      <w:r w:rsidR="00282238" w:rsidRPr="003E20F0">
        <w:rPr>
          <w:rFonts w:cs="Times New Roman"/>
          <w:noProof/>
          <w:szCs w:val="24"/>
        </w:rPr>
        <w:t>(Hefer et al., 2005; Caro et al., 2008a)</w:t>
      </w:r>
      <w:r w:rsidRPr="003E20F0">
        <w:rPr>
          <w:rFonts w:cs="Times New Roman"/>
          <w:szCs w:val="24"/>
        </w:rPr>
        <w:fldChar w:fldCharType="end"/>
      </w:r>
      <w:r w:rsidRPr="003E20F0">
        <w:rPr>
          <w:rFonts w:cs="Times New Roman"/>
          <w:szCs w:val="24"/>
        </w:rPr>
        <w:t xml:space="preserve">. The details of these theories can be found in literature </w:t>
      </w:r>
      <w:r w:rsidRPr="003E20F0">
        <w:rPr>
          <w:rFonts w:cs="Times New Roman"/>
          <w:szCs w:val="24"/>
        </w:rPr>
        <w:fldChar w:fldCharType="begin">
          <w:fldData xml:space="preserve">PEVuZE5vdGU+PENpdGU+PEF1dGhvcj5IZWZlcjwvQXV0aG9yPjxZZWFyPjIwMDU8L1llYXI+PFJl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</w:fldData>
        </w:fldChar>
      </w:r>
      <w:r w:rsidR="00282238" w:rsidRPr="003E20F0">
        <w:rPr>
          <w:rFonts w:cs="Times New Roman"/>
          <w:szCs w:val="24"/>
        </w:rPr>
        <w:instrText xml:space="preserve"> ADDIN EN.CITE </w:instrText>
      </w:r>
      <w:r w:rsidR="00282238" w:rsidRPr="003E20F0">
        <w:rPr>
          <w:rFonts w:cs="Times New Roman"/>
          <w:szCs w:val="24"/>
        </w:rPr>
        <w:fldChar w:fldCharType="begin">
          <w:fldData xml:space="preserve">PEVuZE5vdGU+PENpdGU+PEF1dGhvcj5IZWZlcjwvQXV0aG9yPjxZZWFyPjIwMDU8L1llYXI+PFJl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</w:fldData>
        </w:fldChar>
      </w:r>
      <w:r w:rsidR="00282238" w:rsidRPr="003E20F0">
        <w:rPr>
          <w:rFonts w:cs="Times New Roman"/>
          <w:szCs w:val="24"/>
        </w:rPr>
        <w:instrText xml:space="preserve"> ADDIN EN.CITE.DATA </w:instrText>
      </w:r>
      <w:r w:rsidR="00282238" w:rsidRPr="003E20F0">
        <w:rPr>
          <w:rFonts w:cs="Times New Roman"/>
          <w:szCs w:val="24"/>
        </w:rPr>
      </w:r>
      <w:r w:rsidR="00282238" w:rsidRPr="003E20F0">
        <w:rPr>
          <w:rFonts w:cs="Times New Roman"/>
          <w:szCs w:val="24"/>
        </w:rPr>
        <w:fldChar w:fldCharType="end"/>
      </w:r>
      <w:r w:rsidRPr="003E20F0">
        <w:rPr>
          <w:rFonts w:cs="Times New Roman"/>
          <w:szCs w:val="24"/>
        </w:rPr>
      </w:r>
      <w:r w:rsidRPr="003E20F0">
        <w:rPr>
          <w:rFonts w:cs="Times New Roman"/>
          <w:szCs w:val="24"/>
        </w:rPr>
        <w:fldChar w:fldCharType="separate"/>
      </w:r>
      <w:r w:rsidR="00282238" w:rsidRPr="003E20F0">
        <w:rPr>
          <w:rFonts w:cs="Times New Roman"/>
          <w:noProof/>
          <w:szCs w:val="24"/>
        </w:rPr>
        <w:t>(Hefer et al., 2005; Caro et al., 2008a; Guo et al., 2020)</w:t>
      </w:r>
      <w:r w:rsidRPr="003E20F0">
        <w:rPr>
          <w:rFonts w:cs="Times New Roman"/>
          <w:szCs w:val="24"/>
        </w:rPr>
        <w:fldChar w:fldCharType="end"/>
      </w:r>
      <w:r w:rsidRPr="003E20F0">
        <w:rPr>
          <w:rFonts w:cs="Times New Roman"/>
          <w:iCs/>
          <w:szCs w:val="24"/>
        </w:rPr>
        <w:t xml:space="preserve">. Adhesive failure in weak boundary layer theory is assumed to be associated with the presence of an interface of low cohesive strength. The presence of dust in the aggregate surface and/or dissolution of surface complexes in the presence of water are assumed to be responsible for the formation of this weak interface layer. According to the electrostatic theory, the presence of a liquid medium </w:t>
      </w:r>
      <w:r w:rsidR="00EA2127" w:rsidRPr="003E20F0">
        <w:rPr>
          <w:rFonts w:cs="Times New Roman"/>
          <w:iCs/>
          <w:szCs w:val="24"/>
        </w:rPr>
        <w:t xml:space="preserve">can </w:t>
      </w:r>
      <w:r w:rsidRPr="003E20F0">
        <w:rPr>
          <w:rFonts w:cs="Times New Roman"/>
          <w:iCs/>
          <w:szCs w:val="24"/>
        </w:rPr>
        <w:t>result in the formation of an electric double layer at the interface. The interactions between</w:t>
      </w:r>
      <w:r w:rsidRPr="00313BA2">
        <w:rPr>
          <w:rFonts w:cs="Times New Roman"/>
          <w:iCs/>
          <w:szCs w:val="24"/>
        </w:rPr>
        <w:t xml:space="preserve"> </w:t>
      </w:r>
      <w:r w:rsidRPr="00313BA2">
        <w:rPr>
          <w:rFonts w:cs="Times New Roman"/>
          <w:iCs/>
          <w:szCs w:val="24"/>
        </w:rPr>
        <w:lastRenderedPageBreak/>
        <w:t>aggregate surface and the liquid media with dissolved ions were reported to be important to explain moisture-induced damage.</w:t>
      </w:r>
      <w:r w:rsidRPr="00313BA2">
        <w:rPr>
          <w:rFonts w:cs="Times New Roman"/>
          <w:szCs w:val="24"/>
        </w:rPr>
        <w:t xml:space="preserve"> According to this theory, t</w:t>
      </w:r>
      <w:r w:rsidRPr="00313BA2">
        <w:rPr>
          <w:rFonts w:cs="Times New Roman"/>
          <w:iCs/>
          <w:szCs w:val="24"/>
        </w:rPr>
        <w:t xml:space="preserve">he adhesive strength of an asphalt mix can be calculated using the coulombic forces at the binder and aggregate interface. </w:t>
      </w:r>
      <w:r w:rsidRPr="00313BA2">
        <w:rPr>
          <w:rFonts w:cs="Times New Roman"/>
          <w:szCs w:val="24"/>
        </w:rPr>
        <w:t>The chemical bonding theory assumes that</w:t>
      </w:r>
      <w:r w:rsidRPr="00313BA2">
        <w:rPr>
          <w:rFonts w:cs="Times New Roman"/>
          <w:iCs/>
          <w:szCs w:val="24"/>
        </w:rPr>
        <w:t xml:space="preserve"> chemical reactions take place between alkalinity components in aggregate and carboxylic acid components in asphalt binder. T</w:t>
      </w:r>
      <w:r w:rsidRPr="00313BA2">
        <w:rPr>
          <w:rFonts w:cs="Times New Roman"/>
          <w:szCs w:val="24"/>
        </w:rPr>
        <w:t xml:space="preserve">he adhesive bonding can be quantified by considering these chemical reactions at the binder-aggregate interface. The mechanical bonding theory assumes that the asphalt binder will penetrate into the cavities, pores and asperities of the surface of the aggregate, resulting in a physical interlock between asphalt binder and aggregate. Aggregates with a rough and porous surface are expected to be more suitable for good interlock. </w:t>
      </w:r>
      <w:r w:rsidRPr="00313BA2">
        <w:rPr>
          <w:rFonts w:cs="Times New Roman"/>
          <w:iCs/>
          <w:szCs w:val="24"/>
        </w:rPr>
        <w:t xml:space="preserve">According to </w:t>
      </w:r>
      <w:r w:rsidRPr="00313BA2">
        <w:rPr>
          <w:rFonts w:cs="Times New Roman"/>
          <w:iCs/>
          <w:szCs w:val="24"/>
        </w:rPr>
        <w:fldChar w:fldCharType="begin"/>
      </w:r>
      <w:r w:rsidR="00DB3733">
        <w:rPr>
          <w:rFonts w:cs="Times New Roman"/>
          <w:iCs/>
          <w:szCs w:val="24"/>
        </w:rPr>
        <w:instrText xml:space="preserve"> ADDIN EN.CITE &lt;EndNote&gt;&lt;Cite AuthorYear="1"&gt;&lt;Author&gt;Caro&lt;/Author&gt;&lt;Year&gt;2008&lt;/Year&gt;&lt;RecNum&gt;81&lt;/RecNum&gt;&lt;DisplayText&gt;Caro et al. (2008a)&lt;/DisplayText&gt;&lt;record&gt;&lt;rec-number&gt;81&lt;/rec-number&gt;&lt;foreign-keys&gt;&lt;key app="EN" db-id="d55vzfpwawdafteedfoxsf0lv0v0wp5va2aa" timestamp="1519484635"&gt;81&lt;/key&gt;&lt;/foreign-keys&gt;&lt;ref-type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1: Mechanisms&lt;/title&gt;&lt;secondary-title&gt;International Journal of Pavement Engineering&lt;/secondary-title&gt;&lt;/titles&gt;&lt;periodical&gt;&lt;full-title&gt;International Journal of Pavement Engineering&lt;/full-title&gt;&lt;/periodical&gt;&lt;pages&gt;81-98&lt;/pages&gt;&lt;volume&gt;9&lt;/volume&gt;&lt;number&gt;2&lt;/number&gt;&lt;dates&gt;&lt;year&gt;2008&lt;/year&gt;&lt;/dates&gt;&lt;isbn&gt;1029-8436&lt;/isbn&gt;&lt;urls&gt;&lt;/urls&gt;&lt;/record&gt;&lt;/Cite&gt;&lt;/EndNote&gt;</w:instrText>
      </w:r>
      <w:r w:rsidRPr="00313BA2">
        <w:rPr>
          <w:rFonts w:cs="Times New Roman"/>
          <w:iCs/>
          <w:szCs w:val="24"/>
        </w:rPr>
        <w:fldChar w:fldCharType="separate"/>
      </w:r>
      <w:r w:rsidRPr="00313BA2">
        <w:rPr>
          <w:rFonts w:cs="Times New Roman"/>
          <w:iCs/>
          <w:noProof/>
          <w:szCs w:val="24"/>
        </w:rPr>
        <w:t>Caro et al. (2008a)</w:t>
      </w:r>
      <w:r w:rsidRPr="00313BA2">
        <w:rPr>
          <w:rFonts w:cs="Times New Roman"/>
          <w:iCs/>
          <w:szCs w:val="24"/>
        </w:rPr>
        <w:fldChar w:fldCharType="end"/>
      </w:r>
      <w:r w:rsidRPr="00313BA2">
        <w:rPr>
          <w:rFonts w:cs="Times New Roman"/>
          <w:iCs/>
          <w:szCs w:val="24"/>
        </w:rPr>
        <w:t xml:space="preserve">, all these theories </w:t>
      </w:r>
      <w:r w:rsidR="005213CA">
        <w:rPr>
          <w:rFonts w:cs="Times New Roman"/>
          <w:iCs/>
          <w:szCs w:val="24"/>
        </w:rPr>
        <w:t>should</w:t>
      </w:r>
      <w:r w:rsidRPr="00313BA2">
        <w:rPr>
          <w:rFonts w:cs="Times New Roman"/>
          <w:iCs/>
          <w:szCs w:val="24"/>
        </w:rPr>
        <w:t xml:space="preserve"> be considered during modelling and characterizing moisture-induced damage of asphalt mixes. However, t</w:t>
      </w:r>
      <w:r w:rsidRPr="00313BA2">
        <w:rPr>
          <w:rFonts w:cs="Times New Roman"/>
          <w:szCs w:val="24"/>
        </w:rPr>
        <w:t xml:space="preserve">he thermodynamic theory using the surface free energy concept was reported to have the potential to quantify the adhesion of a binder-aggregate system </w:t>
      </w:r>
      <w:r w:rsidRPr="00313BA2">
        <w:rPr>
          <w:rFonts w:cs="Times New Roman"/>
          <w:szCs w:val="24"/>
        </w:rPr>
        <w:fldChar w:fldCharType="begin"/>
      </w:r>
      <w:r w:rsidR="00282238">
        <w:rPr>
          <w:rFonts w:cs="Times New Roman"/>
          <w:szCs w:val="24"/>
        </w:rPr>
        <w:instrText xml:space="preserve"> ADDIN EN.CITE &lt;EndNote&gt;&lt;Cite&gt;&lt;Author&gt;Caro&lt;/Author&gt;&lt;Year&gt;2008&lt;/Year&gt;&lt;RecNum&gt;81&lt;/RecNum&gt;&lt;DisplayText&gt;(Bhasin et al., 2007b; Caro et al., 2008a)&lt;/DisplayText&gt;&lt;record&gt;&lt;rec-number&gt;81&lt;/rec-number&gt;&lt;foreign-keys&gt;&lt;key app="EN" db-id="d55vzfpwawdafteedfoxsf0lv0v0wp5va2aa" timestamp="1519484635"&gt;81&lt;/key&gt;&lt;/foreign-keys&gt;&lt;ref-type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1: Mechanisms&lt;/title&gt;&lt;secondary-title&gt;International Journal of Pavement Engineering&lt;/secondary-title&gt;&lt;/titles&gt;&lt;periodical&gt;&lt;full-title&gt;International Journal of Pavement Engineering&lt;/full-title&gt;&lt;/periodical&gt;&lt;pages&gt;81-98&lt;/pages&gt;&lt;volume&gt;9&lt;/volume&gt;&lt;number&gt;2&lt;/number&gt;&lt;dates&gt;&lt;year&gt;2008&lt;/year&gt;&lt;/dates&gt;&lt;isbn&gt;1029-8436&lt;/isbn&gt;&lt;urls&gt;&lt;/urls&gt;&lt;/record&gt;&lt;/Cite&gt;&lt;Cite&gt;&lt;Author&gt;Bhasin&lt;/Author&gt;&lt;Year&gt;2007&lt;/Year&gt;&lt;RecNum&gt;26&lt;/RecNum&gt;&lt;record&gt;&lt;rec-number&gt;26&lt;/rec-number&gt;&lt;foreign-keys&gt;&lt;key app="EN" db-id="d55vzfpwawdafteedfoxsf0lv0v0wp5va2aa" timestamp="1509901161"&gt;26&lt;/key&gt;&lt;/foreign-keys&gt;&lt;ref-type name="Journal Article"&gt;17&lt;/ref-type&gt;&lt;contributors&gt;&lt;authors&gt;&lt;author&gt;Bhasin, Amit&lt;/author&gt;&lt;author&gt;Little, Dallas&lt;/author&gt;&lt;author&gt;Vasconcelos, Kamilla&lt;/author&gt;&lt;author&gt;Masad, Eyad&lt;/author&gt;&lt;/authors&gt;&lt;/contributors&gt;&lt;titles&gt;&lt;title&gt;Surface Free Energy to Identify Moisture Sensitivity of Materials for Asphalt Mixes&lt;/title&gt;&lt;secondary-title&gt;Transportation Research Record: Journal of the Transportation Research Board&lt;/secondary-title&gt;&lt;/titles&gt;&lt;periodical&gt;&lt;full-title&gt;Transportation Research Record: Journal of the Transportation Research Board&lt;/full-title&gt;&lt;/periodical&gt;&lt;pages&gt;37-45&lt;/pages&gt;&lt;number&gt;2001&lt;/number&gt;&lt;dates&gt;&lt;year&gt;2007&lt;/year&gt;&lt;/dates&gt;&lt;isbn&gt;0361-1981&lt;/isbn&gt;&lt;urls&gt;&lt;/urls&gt;&lt;/record&gt;&lt;/Cite&gt;&lt;/EndNote&gt;</w:instrText>
      </w:r>
      <w:r w:rsidRPr="00313BA2">
        <w:rPr>
          <w:rFonts w:cs="Times New Roman"/>
          <w:szCs w:val="24"/>
        </w:rPr>
        <w:fldChar w:fldCharType="separate"/>
      </w:r>
      <w:r w:rsidR="00282238">
        <w:rPr>
          <w:rFonts w:cs="Times New Roman"/>
          <w:noProof/>
          <w:szCs w:val="24"/>
        </w:rPr>
        <w:t>(Bhasin et al., 2007b; Caro et al., 2008a)</w:t>
      </w:r>
      <w:r w:rsidRPr="00313BA2">
        <w:rPr>
          <w:rFonts w:cs="Times New Roman"/>
          <w:szCs w:val="24"/>
        </w:rPr>
        <w:fldChar w:fldCharType="end"/>
      </w:r>
      <w:r w:rsidRPr="00313BA2">
        <w:rPr>
          <w:rFonts w:cs="Times New Roman"/>
          <w:szCs w:val="24"/>
        </w:rPr>
        <w:t xml:space="preserve">. </w:t>
      </w:r>
    </w:p>
    <w:p w14:paraId="5E657BDD" w14:textId="77777777" w:rsidR="00313BA2" w:rsidRPr="00313BA2" w:rsidRDefault="00313BA2" w:rsidP="00985A4A">
      <w:pPr>
        <w:pStyle w:val="Heading3"/>
      </w:pPr>
      <w:bookmarkStart w:id="25" w:name="_Toc6529103"/>
      <w:bookmarkStart w:id="26" w:name="_Toc71728407"/>
      <w:r w:rsidRPr="00313BA2">
        <w:t>Current Practices of Evaluating Moisture-induced Damage</w:t>
      </w:r>
      <w:bookmarkEnd w:id="25"/>
      <w:bookmarkEnd w:id="26"/>
    </w:p>
    <w:p w14:paraId="764DAD31" w14:textId="5C45B6A4" w:rsidR="00313BA2" w:rsidRPr="003E20F0" w:rsidRDefault="00313BA2" w:rsidP="008A289A">
      <w:pPr>
        <w:ind w:firstLine="720"/>
        <w:rPr>
          <w:rFonts w:cs="Times New Roman"/>
          <w:szCs w:val="24"/>
        </w:rPr>
      </w:pPr>
      <w:r w:rsidRPr="00313BA2">
        <w:rPr>
          <w:rFonts w:cs="Times New Roman"/>
          <w:szCs w:val="24"/>
        </w:rPr>
        <w:t xml:space="preserve">Moisture-induced damage is a complex phenomenon and its evaluation is a challenging task for </w:t>
      </w:r>
      <w:r w:rsidR="005213CA">
        <w:rPr>
          <w:rFonts w:cs="Times New Roman"/>
          <w:szCs w:val="24"/>
        </w:rPr>
        <w:t xml:space="preserve">the </w:t>
      </w:r>
      <w:r w:rsidRPr="00313BA2">
        <w:rPr>
          <w:rFonts w:cs="Times New Roman"/>
          <w:szCs w:val="24"/>
        </w:rPr>
        <w:t xml:space="preserve">transportation agencies </w:t>
      </w:r>
      <w:r w:rsidRPr="00313BA2">
        <w:rPr>
          <w:rFonts w:cs="Times New Roman"/>
          <w:szCs w:val="24"/>
        </w:rPr>
        <w:fldChar w:fldCharType="begin"/>
      </w:r>
      <w:r w:rsidR="00282238">
        <w:rPr>
          <w:rFonts w:cs="Times New Roman"/>
          <w:szCs w:val="24"/>
        </w:rPr>
        <w:instrText xml:space="preserve"> ADDIN EN.CITE &lt;EndNote&gt;&lt;Cite&gt;&lt;Author&gt;Abuawad&lt;/Author&gt;&lt;Year&gt;2015&lt;/Year&gt;&lt;RecNum&gt;80&lt;/RecNum&gt;&lt;DisplayText&gt;(Abuawad et al., 2015)&lt;/DisplayText&gt;&lt;record&gt;&lt;rec-number&gt;80&lt;/rec-number&gt;&lt;foreign-keys&gt;&lt;key app="EN" db-id="d55vzfpwawdafteedfoxsf0lv0v0wp5va2aa" timestamp="1519483651"&gt;80&lt;/key&gt;&lt;/foreign-keys&gt;&lt;ref-type name="Journal Article"&gt;17&lt;/ref-type&gt;&lt;contributors&gt;&lt;authors&gt;&lt;author&gt;Abuawad, Ibrahim MA&lt;/author&gt;&lt;author&gt;Al-Qadi, Imad L&lt;/author&gt;&lt;author&gt;Trepanier, James S&lt;/author&gt;&lt;/authors&gt;&lt;/contributors&gt;&lt;titles&gt;&lt;title&gt;Mitigation of Moisture Damage in Asphalt Concrete: Testing Techniques and Additives/Modifiers Effectiveness&lt;/title&gt;&lt;secondary-title&gt;Construction and Building Materials&lt;/secondary-title&gt;&lt;/titles&gt;&lt;periodical&gt;&lt;full-title&gt;Construction and Building Materials&lt;/full-title&gt;&lt;/periodical&gt;&lt;pages&gt;437-443&lt;/pages&gt;&lt;volume&gt;84&lt;/volume&gt;&lt;dates&gt;&lt;year&gt;2015&lt;/year&gt;&lt;/dates&gt;&lt;isbn&gt;0950-0618&lt;/isbn&gt;&lt;urls&gt;&lt;/urls&gt;&lt;/record&gt;&lt;/Cite&gt;&lt;/EndNote&gt;</w:instrText>
      </w:r>
      <w:r w:rsidRPr="00313BA2">
        <w:rPr>
          <w:rFonts w:cs="Times New Roman"/>
          <w:szCs w:val="24"/>
        </w:rPr>
        <w:fldChar w:fldCharType="separate"/>
      </w:r>
      <w:r w:rsidR="00282238">
        <w:rPr>
          <w:rFonts w:cs="Times New Roman"/>
          <w:noProof/>
          <w:szCs w:val="24"/>
        </w:rPr>
        <w:t>(Abuawad et al., 2015)</w:t>
      </w:r>
      <w:r w:rsidRPr="00313BA2">
        <w:rPr>
          <w:rFonts w:cs="Times New Roman"/>
          <w:szCs w:val="24"/>
        </w:rPr>
        <w:fldChar w:fldCharType="end"/>
      </w:r>
      <w:r w:rsidRPr="00313BA2">
        <w:rPr>
          <w:rFonts w:cs="Times New Roman"/>
          <w:szCs w:val="24"/>
        </w:rPr>
        <w:t xml:space="preserve">. </w:t>
      </w:r>
      <w:r w:rsidR="005213CA">
        <w:rPr>
          <w:rFonts w:cs="Times New Roman"/>
          <w:szCs w:val="24"/>
        </w:rPr>
        <w:t>Several</w:t>
      </w:r>
      <w:r w:rsidRPr="00313BA2">
        <w:rPr>
          <w:rFonts w:cs="Times New Roman"/>
          <w:szCs w:val="24"/>
        </w:rPr>
        <w:t xml:space="preserve"> test methods have been developed by different researchers to evaluate the moisture-induced damage potential of asphalt mixes </w:t>
      </w:r>
      <w:r w:rsidRPr="00313BA2">
        <w:rPr>
          <w:rFonts w:cs="Times New Roman"/>
          <w:szCs w:val="24"/>
        </w:rPr>
        <w:fldChar w:fldCharType="begin"/>
      </w:r>
      <w:r w:rsidR="00282238">
        <w:rPr>
          <w:rFonts w:cs="Times New Roman"/>
          <w:szCs w:val="24"/>
        </w:rPr>
        <w:instrText xml:space="preserve"> ADDIN EN.CITE &lt;EndNote&gt;&lt;Cite&gt;&lt;Author&gt;Caro&lt;/Author&gt;&lt;Year&gt;2008&lt;/Year&gt;&lt;RecNum&gt;81&lt;/RecNum&gt;&lt;DisplayText&gt;(Caro et al., 2008a; Caro et al., 2008b)&lt;/DisplayText&gt;&lt;record&gt;&lt;rec-number&gt;81&lt;/rec-number&gt;&lt;foreign-keys&gt;&lt;key app="EN" db-id="d55vzfpwawdafteedfoxsf0lv0v0wp5va2aa" timestamp="1519484635"&gt;81&lt;/key&gt;&lt;/foreign-keys&gt;&lt;ref-type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1: Mechanisms&lt;/title&gt;&lt;secondary-title&gt;International Journal of Pavement Engineering&lt;/secondary-title&gt;&lt;/titles&gt;&lt;periodical&gt;&lt;full-title&gt;International Journal of Pavement Engineering&lt;/full-title&gt;&lt;/periodical&gt;&lt;pages&gt;81-98&lt;/pages&gt;&lt;volume&gt;9&lt;/volume&gt;&lt;number&gt;2&lt;/number&gt;&lt;dates&gt;&lt;year&gt;2008&lt;/year&gt;&lt;/dates&gt;&lt;isbn&gt;1029-8436&lt;/isbn&gt;&lt;urls&gt;&lt;/urls&gt;&lt;/record&gt;&lt;/Cite&gt;&lt;Cite&gt;&lt;Author&gt;Caro&lt;/Author&gt;&lt;Year&gt;2008&lt;/Year&gt;&lt;RecNum&gt;83&lt;/RecNum&gt;&lt;record&gt;&lt;rec-number&gt;83&lt;/rec-number&gt;&lt;foreign-keys&gt;&lt;key app="EN" db-id="d55vzfpwawdafteedfoxsf0lv0v0wp5va2aa" timestamp="1519492929"&gt;83&lt;/key&gt;&lt;/foreign-keys&gt;&lt;ref-type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2: Characterisation and Modelling&lt;/title&gt;&lt;secondary-title&gt;International Journal of Pavement Engineering&lt;/secondary-title&gt;&lt;/titles&gt;&lt;periodical&gt;&lt;full-title&gt;International Journal of Pavement Engineering&lt;/full-title&gt;&lt;/periodical&gt;&lt;pages&gt;99-114&lt;/pages&gt;&lt;volume&gt;9&lt;/volume&gt;&lt;number&gt;2&lt;/number&gt;&lt;dates&gt;&lt;year&gt;2008&lt;/year&gt;&lt;/dates&gt;&lt;isbn&gt;1029-8436&lt;/isbn&gt;&lt;urls&gt;&lt;/urls&gt;&lt;/record&gt;&lt;/Cite&gt;&lt;/EndNote&gt;</w:instrText>
      </w:r>
      <w:r w:rsidRPr="00313BA2">
        <w:rPr>
          <w:rFonts w:cs="Times New Roman"/>
          <w:szCs w:val="24"/>
        </w:rPr>
        <w:fldChar w:fldCharType="separate"/>
      </w:r>
      <w:r w:rsidR="00282238">
        <w:rPr>
          <w:rFonts w:cs="Times New Roman"/>
          <w:noProof/>
          <w:szCs w:val="24"/>
        </w:rPr>
        <w:t>(Caro et al., 2008a; Caro et al., 2008b)</w:t>
      </w:r>
      <w:r w:rsidRPr="00313BA2">
        <w:rPr>
          <w:rFonts w:cs="Times New Roman"/>
          <w:szCs w:val="24"/>
        </w:rPr>
        <w:fldChar w:fldCharType="end"/>
      </w:r>
      <w:r w:rsidRPr="00313BA2">
        <w:rPr>
          <w:rFonts w:cs="Times New Roman"/>
          <w:szCs w:val="24"/>
        </w:rPr>
        <w:t>. However, inability to simulate field condition, dependency on moisture conditioning process, and poor correlation</w:t>
      </w:r>
      <w:r w:rsidR="005213CA">
        <w:rPr>
          <w:rFonts w:cs="Times New Roman"/>
          <w:szCs w:val="24"/>
        </w:rPr>
        <w:t>s</w:t>
      </w:r>
      <w:r w:rsidRPr="00313BA2">
        <w:rPr>
          <w:rFonts w:cs="Times New Roman"/>
          <w:szCs w:val="24"/>
        </w:rPr>
        <w:t xml:space="preserve"> with field performance raise concerns about these methods </w:t>
      </w:r>
      <w:r w:rsidRPr="00313BA2">
        <w:rPr>
          <w:rFonts w:cs="Times New Roman"/>
          <w:szCs w:val="24"/>
        </w:rPr>
        <w:fldChar w:fldCharType="begin"/>
      </w:r>
      <w:r w:rsidR="00282238">
        <w:rPr>
          <w:rFonts w:cs="Times New Roman"/>
          <w:szCs w:val="24"/>
        </w:rPr>
        <w:instrText xml:space="preserve"> ADDIN EN.CITE &lt;EndNote&gt;&lt;Cite&gt;&lt;Author&gt;Abuawad&lt;/Author&gt;&lt;Year&gt;2015&lt;/Year&gt;&lt;RecNum&gt;80&lt;/RecNum&gt;&lt;DisplayText&gt;(Caro et al., 2008b; Abuawad et al., 2015)&lt;/DisplayText&gt;&lt;record&gt;&lt;rec-number&gt;80&lt;/rec-number&gt;&lt;foreign-keys&gt;&lt;key app="EN" db-id="d55vzfpwawdafteedfoxsf0lv0v0wp5va2aa" timestamp="1519483651"&gt;80&lt;/key&gt;&lt;/foreign-keys&gt;&lt;ref-type name="Journal Article"&gt;17&lt;/ref-type&gt;&lt;contributors&gt;&lt;authors&gt;&lt;author&gt;Abuawad, Ibrahim MA&lt;/author&gt;&lt;author&gt;Al-Qadi, Imad L&lt;/author&gt;&lt;author&gt;Trepanier, James S&lt;/author&gt;&lt;/authors&gt;&lt;/contributors&gt;&lt;titles&gt;&lt;title&gt;Mitigation of Moisture Damage in Asphalt Concrete: Testing Techniques and Additives/Modifiers Effectiveness&lt;/title&gt;&lt;secondary-title&gt;Construction and Building Materials&lt;/secondary-title&gt;&lt;/titles&gt;&lt;periodical&gt;&lt;full-title&gt;Construction and Building Materials&lt;/full-title&gt;&lt;/periodical&gt;&lt;pages&gt;437-443&lt;/pages&gt;&lt;volume&gt;84&lt;/volume&gt;&lt;dates&gt;&lt;year&gt;2015&lt;/year&gt;&lt;/dates&gt;&lt;isbn&gt;0950-0618&lt;/isbn&gt;&lt;urls&gt;&lt;/urls&gt;&lt;/record&gt;&lt;/Cite&gt;&lt;Cite&gt;&lt;Author&gt;Caro&lt;/Author&gt;&lt;Year&gt;2008&lt;/Year&gt;&lt;RecNum&gt;83&lt;/RecNum&gt;&lt;record&gt;&lt;rec-number&gt;83&lt;/rec-number&gt;&lt;foreign-keys&gt;&lt;key app="EN" db-id="d55vzfpwawdafteedfoxsf0lv0v0wp5va2aa" timestamp="1519492929"&gt;83&lt;/key&gt;&lt;/foreign-keys&gt;&lt;ref-type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2: Characterisation and Modelling&lt;/title&gt;&lt;secondary-title&gt;International Journal of Pavement Engineering&lt;/secondary-title&gt;&lt;/titles&gt;&lt;periodical&gt;&lt;full-title&gt;International Journal of Pavement Engineering&lt;/full-title&gt;&lt;/periodical&gt;&lt;pages&gt;99-114&lt;/pages&gt;&lt;volume&gt;9&lt;/volume&gt;&lt;number&gt;2&lt;/number&gt;&lt;dates&gt;&lt;year&gt;2008&lt;/year&gt;&lt;/dates&gt;&lt;isbn&gt;1029-8436&lt;/isbn&gt;&lt;urls&gt;&lt;/urls&gt;&lt;/record&gt;&lt;/Cite&gt;&lt;/EndNote&gt;</w:instrText>
      </w:r>
      <w:r w:rsidRPr="00313BA2">
        <w:rPr>
          <w:rFonts w:cs="Times New Roman"/>
          <w:szCs w:val="24"/>
        </w:rPr>
        <w:fldChar w:fldCharType="separate"/>
      </w:r>
      <w:r w:rsidR="00282238">
        <w:rPr>
          <w:rFonts w:cs="Times New Roman"/>
          <w:noProof/>
          <w:szCs w:val="24"/>
        </w:rPr>
        <w:t>(Caro et al., 2008b; Abuawad et al., 2015)</w:t>
      </w:r>
      <w:r w:rsidRPr="00313BA2">
        <w:rPr>
          <w:rFonts w:cs="Times New Roman"/>
          <w:szCs w:val="24"/>
        </w:rPr>
        <w:fldChar w:fldCharType="end"/>
      </w:r>
      <w:r w:rsidRPr="00313BA2">
        <w:rPr>
          <w:rFonts w:cs="Times New Roman"/>
          <w:szCs w:val="24"/>
        </w:rPr>
        <w:t xml:space="preserve">. </w:t>
      </w:r>
      <w:r w:rsidRPr="00313BA2">
        <w:rPr>
          <w:rFonts w:cs="Times New Roman"/>
          <w:szCs w:val="24"/>
        </w:rPr>
        <w:fldChar w:fldCharType="begin"/>
      </w:r>
      <w:r w:rsidR="00DB3733">
        <w:rPr>
          <w:rFonts w:cs="Times New Roman"/>
          <w:szCs w:val="24"/>
        </w:rPr>
        <w:instrText xml:space="preserve"> ADDIN EN.CITE &lt;EndNote&gt;&lt;Cite AuthorYear="1"&gt;&lt;Author&gt;Caro&lt;/Author&gt;&lt;Year&gt;2008&lt;/Year&gt;&lt;RecNum&gt;83&lt;/RecNum&gt;&lt;DisplayText&gt;Caro et al. (2008b)&lt;/DisplayText&gt;&lt;record&gt;&lt;rec-number&gt;83&lt;/rec-number&gt;&lt;foreign-keys&gt;&lt;key app="EN" db-id="d55vzfpwawdafteedfoxsf0lv0v0wp5va2aa" timestamp="1519492929"&gt;83&lt;/key&gt;&lt;/foreign-keys&gt;&lt;ref-type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2: Characterisation and Modelling&lt;/title&gt;&lt;secondary-title&gt;International Journal of Pavement Engineering&lt;/secondary-title&gt;&lt;/titles&gt;&lt;periodical&gt;&lt;full-title&gt;International Journal of Pavement Engineering&lt;/full-title&gt;&lt;/periodical&gt;&lt;pages&gt;99-114&lt;/pages&gt;&lt;volume&gt;9&lt;/volume&gt;&lt;number&gt;2&lt;/number&gt;&lt;dates&gt;&lt;year&gt;2008&lt;/year&gt;&lt;/dates&gt;&lt;isbn&gt;1029-8436&lt;/isbn&gt;&lt;urls&gt;&lt;/urls&gt;&lt;/record&gt;&lt;/Cite&gt;&lt;/EndNote&gt;</w:instrText>
      </w:r>
      <w:r w:rsidRPr="00313BA2">
        <w:rPr>
          <w:rFonts w:cs="Times New Roman"/>
          <w:szCs w:val="24"/>
        </w:rPr>
        <w:fldChar w:fldCharType="separate"/>
      </w:r>
      <w:r w:rsidRPr="00313BA2">
        <w:rPr>
          <w:rFonts w:cs="Times New Roman"/>
          <w:noProof/>
          <w:szCs w:val="24"/>
        </w:rPr>
        <w:t>Caro et al. (2008b)</w:t>
      </w:r>
      <w:r w:rsidRPr="00313BA2">
        <w:rPr>
          <w:rFonts w:cs="Times New Roman"/>
          <w:szCs w:val="24"/>
        </w:rPr>
        <w:fldChar w:fldCharType="end"/>
      </w:r>
      <w:r w:rsidRPr="00313BA2">
        <w:rPr>
          <w:rFonts w:cs="Times New Roman"/>
          <w:szCs w:val="24"/>
        </w:rPr>
        <w:t xml:space="preserve"> divided the moisture-induced </w:t>
      </w:r>
      <w:r w:rsidRPr="00313BA2">
        <w:rPr>
          <w:rFonts w:cs="Times New Roman"/>
          <w:szCs w:val="24"/>
        </w:rPr>
        <w:lastRenderedPageBreak/>
        <w:t xml:space="preserve">damage evaluation methods into three classes, namely subjective quantification, quantification using performance index, and ratio of a parameter for dry and moisture-conditioned </w:t>
      </w:r>
      <w:r w:rsidRPr="003E20F0">
        <w:rPr>
          <w:rFonts w:cs="Times New Roman"/>
          <w:szCs w:val="24"/>
        </w:rPr>
        <w:t xml:space="preserve">specimens. </w:t>
      </w:r>
      <w:r w:rsidR="005213CA" w:rsidRPr="003E20F0">
        <w:rPr>
          <w:rFonts w:cs="Times New Roman"/>
          <w:szCs w:val="24"/>
        </w:rPr>
        <w:t>Most</w:t>
      </w:r>
      <w:r w:rsidRPr="003E20F0">
        <w:rPr>
          <w:rFonts w:cs="Times New Roman"/>
          <w:szCs w:val="24"/>
        </w:rPr>
        <w:t xml:space="preserve"> state DOTs primarily use parametric ratio-based test method</w:t>
      </w:r>
      <w:r w:rsidR="005213CA" w:rsidRPr="003E20F0">
        <w:rPr>
          <w:rFonts w:cs="Times New Roman"/>
          <w:szCs w:val="24"/>
        </w:rPr>
        <w:t>s</w:t>
      </w:r>
      <w:r w:rsidRPr="003E20F0">
        <w:rPr>
          <w:rFonts w:cs="Times New Roman"/>
          <w:szCs w:val="24"/>
        </w:rPr>
        <w:t xml:space="preserve"> to characterize moisture-induced damage of asphalt mixes. Laboratory</w:t>
      </w:r>
      <w:r w:rsidR="005213CA" w:rsidRPr="003E20F0">
        <w:rPr>
          <w:rFonts w:cs="Times New Roman"/>
          <w:szCs w:val="24"/>
        </w:rPr>
        <w:t>-</w:t>
      </w:r>
      <w:r w:rsidRPr="003E20F0">
        <w:rPr>
          <w:rFonts w:cs="Times New Roman"/>
          <w:szCs w:val="24"/>
        </w:rPr>
        <w:t xml:space="preserve">based moisture conditioning process is an inherent part of this type of testing to simulate the environment and moisture effect similar to </w:t>
      </w:r>
      <w:r w:rsidR="005213CA" w:rsidRPr="003E20F0">
        <w:rPr>
          <w:rFonts w:cs="Times New Roman"/>
          <w:szCs w:val="24"/>
        </w:rPr>
        <w:t xml:space="preserve">that in </w:t>
      </w:r>
      <w:r w:rsidRPr="003E20F0">
        <w:rPr>
          <w:rFonts w:cs="Times New Roman"/>
          <w:szCs w:val="24"/>
        </w:rPr>
        <w:t>the field.</w:t>
      </w:r>
    </w:p>
    <w:p w14:paraId="1CFA1DD3" w14:textId="00DA2121" w:rsidR="00313BA2" w:rsidRPr="00313BA2" w:rsidRDefault="00313BA2" w:rsidP="008A289A">
      <w:pPr>
        <w:ind w:firstLine="720"/>
        <w:rPr>
          <w:rFonts w:cs="Times New Roman"/>
          <w:szCs w:val="24"/>
        </w:rPr>
      </w:pPr>
      <w:r w:rsidRPr="003E20F0">
        <w:rPr>
          <w:rFonts w:cs="Times New Roman"/>
          <w:szCs w:val="24"/>
        </w:rPr>
        <w:t xml:space="preserve">Among all the moisture-induced damage evaluation methods, the </w:t>
      </w:r>
      <w:r w:rsidR="005213CA" w:rsidRPr="003E20F0">
        <w:rPr>
          <w:rFonts w:cs="Times New Roman"/>
          <w:szCs w:val="24"/>
        </w:rPr>
        <w:t>tensile strength ratio (</w:t>
      </w:r>
      <w:r w:rsidRPr="003E20F0">
        <w:rPr>
          <w:rFonts w:cs="Times New Roman"/>
          <w:szCs w:val="24"/>
        </w:rPr>
        <w:t>TSR</w:t>
      </w:r>
      <w:r w:rsidR="005213CA" w:rsidRPr="003E20F0">
        <w:rPr>
          <w:rFonts w:cs="Times New Roman"/>
          <w:szCs w:val="24"/>
        </w:rPr>
        <w:t>)</w:t>
      </w:r>
      <w:r w:rsidRPr="003E20F0">
        <w:rPr>
          <w:rFonts w:cs="Times New Roman"/>
          <w:szCs w:val="24"/>
        </w:rPr>
        <w:t xml:space="preserve"> test using the AASHTO T 283 and HWT test under submerged condition are the most commonly used by </w:t>
      </w:r>
      <w:r w:rsidR="005213CA" w:rsidRPr="003E20F0">
        <w:rPr>
          <w:rFonts w:cs="Times New Roman"/>
          <w:szCs w:val="24"/>
        </w:rPr>
        <w:t xml:space="preserve">the </w:t>
      </w:r>
      <w:r w:rsidRPr="003E20F0">
        <w:rPr>
          <w:rFonts w:cs="Times New Roman"/>
          <w:szCs w:val="24"/>
        </w:rPr>
        <w:t xml:space="preserve">state DOTs </w:t>
      </w:r>
      <w:r w:rsidRPr="003E20F0">
        <w:rPr>
          <w:rFonts w:cs="Times New Roman"/>
          <w:szCs w:val="24"/>
        </w:rPr>
        <w:fldChar w:fldCharType="begin"/>
      </w:r>
      <w:r w:rsidR="00282238" w:rsidRPr="003E20F0">
        <w:rPr>
          <w:rFonts w:cs="Times New Roman"/>
          <w:szCs w:val="24"/>
        </w:rPr>
        <w:instrText xml:space="preserve"> ADDIN EN.CITE &lt;EndNote&gt;&lt;Cite&gt;&lt;Author&gt;Abuawad&lt;/Author&gt;&lt;Year&gt;2015&lt;/Year&gt;&lt;RecNum&gt;80&lt;/RecNum&gt;&lt;DisplayText&gt;(Abuawad et al., 2015)&lt;/DisplayText&gt;&lt;record&gt;&lt;rec-number&gt;80&lt;/rec-number&gt;&lt;foreign-keys&gt;&lt;key app="EN" db-id="d55vzfpwawdafteedfoxsf0lv0v0wp5va2aa" timestamp="1519483651"&gt;80&lt;/key&gt;&lt;/foreign-keys&gt;&lt;ref-type name="Journal Article"&gt;17&lt;/ref-type&gt;&lt;contributors&gt;&lt;authors&gt;&lt;author&gt;Abuawad, Ibrahim MA&lt;/author&gt;&lt;author&gt;Al-Qadi, Imad L&lt;/author&gt;&lt;author&gt;Trepanier, James S&lt;/author&gt;&lt;/authors&gt;&lt;/contributors&gt;&lt;titles&gt;&lt;title&gt;Mitigation of Moisture Damage in Asphalt Concrete: Testing Techniques and Additives/Modifiers Effectiveness&lt;/title&gt;&lt;secondary-title&gt;Construction and Building Materials&lt;/secondary-title&gt;&lt;/titles&gt;&lt;periodical&gt;&lt;full-title&gt;Construction and Building Materials&lt;/full-title&gt;&lt;/periodical&gt;&lt;pages&gt;437-443&lt;/pages&gt;&lt;volume&gt;84&lt;/volume&gt;&lt;dates&gt;&lt;year&gt;2015&lt;/year&gt;&lt;/dates&gt;&lt;isbn&gt;0950-0618&lt;/isbn&gt;&lt;urls&gt;&lt;/urls&gt;&lt;/record&gt;&lt;/Cite&gt;&lt;/EndNote&gt;</w:instrText>
      </w:r>
      <w:r w:rsidRPr="003E20F0">
        <w:rPr>
          <w:rFonts w:cs="Times New Roman"/>
          <w:szCs w:val="24"/>
        </w:rPr>
        <w:fldChar w:fldCharType="separate"/>
      </w:r>
      <w:r w:rsidR="00282238" w:rsidRPr="003E20F0">
        <w:rPr>
          <w:rFonts w:cs="Times New Roman"/>
          <w:noProof/>
          <w:szCs w:val="24"/>
        </w:rPr>
        <w:t>(Abuawad et al., 2015)</w:t>
      </w:r>
      <w:r w:rsidRPr="003E20F0">
        <w:rPr>
          <w:rFonts w:cs="Times New Roman"/>
          <w:szCs w:val="24"/>
        </w:rPr>
        <w:fldChar w:fldCharType="end"/>
      </w:r>
      <w:r w:rsidRPr="003E20F0">
        <w:rPr>
          <w:rFonts w:cs="Times New Roman"/>
          <w:szCs w:val="24"/>
        </w:rPr>
        <w:t>. The TSR of an asphalt mix is calculated by comparing the average tensile strength of dry specimens to that of moisture-conditioned specimens from an indirect tensile strength (ITS) test. In this method (AASHTO T 283 test method), single freeze-</w:t>
      </w:r>
      <w:r w:rsidRPr="00313BA2">
        <w:rPr>
          <w:rFonts w:cs="Times New Roman"/>
          <w:szCs w:val="24"/>
        </w:rPr>
        <w:t xml:space="preserve">thaw cycle is used for the moisture conditioning of asphalt specimens. For this purpose, a compacted asphalt mix specimen is first saturated </w:t>
      </w:r>
      <w:r w:rsidR="0067252F">
        <w:rPr>
          <w:rFonts w:cs="Times New Roman"/>
          <w:szCs w:val="24"/>
        </w:rPr>
        <w:t xml:space="preserve">with water with the level of saturation </w:t>
      </w:r>
      <w:r w:rsidRPr="00313BA2">
        <w:rPr>
          <w:rFonts w:cs="Times New Roman"/>
          <w:szCs w:val="24"/>
        </w:rPr>
        <w:t>between 70% to 80%. The specimen is then kept at -18 °C for 16 hours followed by a thawing cycle by keeping it at 60 °C for 24 hours to simulate moisture conditioning. Generally, an asphalt mix with a TSR of 0.8 or above is expected to exhibit good moisture-induced damage resistance in the field.</w:t>
      </w:r>
    </w:p>
    <w:p w14:paraId="4256E638" w14:textId="7DF1BB13" w:rsidR="00313BA2" w:rsidRPr="00313BA2" w:rsidRDefault="00313BA2" w:rsidP="008A289A">
      <w:pPr>
        <w:ind w:firstLine="720"/>
        <w:rPr>
          <w:rFonts w:cs="Times New Roman"/>
          <w:szCs w:val="24"/>
        </w:rPr>
      </w:pPr>
      <w:r w:rsidRPr="00313BA2">
        <w:rPr>
          <w:rFonts w:cs="Times New Roman"/>
          <w:szCs w:val="24"/>
        </w:rPr>
        <w:t xml:space="preserve">Stripping inflection point (SIP) </w:t>
      </w:r>
      <w:r w:rsidRPr="00313BA2">
        <w:rPr>
          <w:rFonts w:eastAsia="Times New Roman" w:cs="Times New Roman"/>
          <w:iCs/>
          <w:szCs w:val="24"/>
        </w:rPr>
        <w:t xml:space="preserve">from HWT test </w:t>
      </w:r>
      <w:r w:rsidRPr="00313BA2">
        <w:rPr>
          <w:rFonts w:cs="Times New Roman"/>
          <w:szCs w:val="24"/>
        </w:rPr>
        <w:t xml:space="preserve">is also commonly used for evaluating moisture-induced damage </w:t>
      </w:r>
      <w:r w:rsidRPr="00313BA2">
        <w:rPr>
          <w:rFonts w:cs="Times New Roman"/>
          <w:szCs w:val="24"/>
        </w:rPr>
        <w:fldChar w:fldCharType="begin"/>
      </w:r>
      <w:r w:rsidR="00282238">
        <w:rPr>
          <w:rFonts w:cs="Times New Roman"/>
          <w:szCs w:val="24"/>
        </w:rPr>
        <w:instrText xml:space="preserve"> ADDIN EN.CITE &lt;EndNote&gt;&lt;Cite&gt;&lt;Author&gt;Yin&lt;/Author&gt;&lt;Year&gt;2014&lt;/Year&gt;&lt;RecNum&gt;95&lt;/RecNum&gt;&lt;DisplayText&gt;(Yin et al., 2014)&lt;/DisplayText&gt;&lt;record&gt;&lt;rec-number&gt;95&lt;/rec-number&gt;&lt;foreign-keys&gt;&lt;key app="EN" db-id="d55vzfpwawdafteedfoxsf0lv0v0wp5va2aa" timestamp="1520694429"&gt;95&lt;/key&gt;&lt;/foreign-keys&gt;&lt;ref-type name="Journal Article"&gt;17&lt;/ref-type&gt;&lt;contributors&gt;&lt;authors&gt;&lt;author&gt;Yin, Fan&lt;/author&gt;&lt;author&gt;Arambula, Edith&lt;/author&gt;&lt;author&gt;Lytton, Robert&lt;/author&gt;&lt;author&gt;Martin, Amy&lt;/author&gt;&lt;author&gt;Cucalon, Lorena&lt;/author&gt;&lt;/authors&gt;&lt;/contributors&gt;&lt;titles&gt;&lt;title&gt;Novel method for moisture susceptibility and rutting evaluation using Hamburg wheel tracking test&lt;/title&gt;&lt;secondary-title&gt;Transportation Research Record: Journal of the Transportation Research Board&lt;/secondary-title&gt;&lt;/titles&gt;&lt;periodical&gt;&lt;full-title&gt;Transportation Research Record: Journal of the Transportation Research Board&lt;/full-title&gt;&lt;/periodical&gt;&lt;pages&gt;1-7&lt;/pages&gt;&lt;number&gt;2446&lt;/number&gt;&lt;dates&gt;&lt;year&gt;2014&lt;/year&gt;&lt;/dates&gt;&lt;isbn&gt;0361-1981&lt;/isbn&gt;&lt;urls&gt;&lt;/urls&gt;&lt;/record&gt;&lt;/Cite&gt;&lt;/EndNote&gt;</w:instrText>
      </w:r>
      <w:r w:rsidRPr="00313BA2">
        <w:rPr>
          <w:rFonts w:cs="Times New Roman"/>
          <w:szCs w:val="24"/>
        </w:rPr>
        <w:fldChar w:fldCharType="separate"/>
      </w:r>
      <w:r w:rsidR="00282238">
        <w:rPr>
          <w:rFonts w:cs="Times New Roman"/>
          <w:noProof/>
          <w:szCs w:val="24"/>
        </w:rPr>
        <w:t>(Yin et al., 2014)</w:t>
      </w:r>
      <w:r w:rsidRPr="00313BA2">
        <w:rPr>
          <w:rFonts w:cs="Times New Roman"/>
          <w:szCs w:val="24"/>
        </w:rPr>
        <w:fldChar w:fldCharType="end"/>
      </w:r>
      <w:r w:rsidRPr="00313BA2">
        <w:rPr>
          <w:rFonts w:cs="Times New Roman"/>
          <w:szCs w:val="24"/>
        </w:rPr>
        <w:t>. The SIP represents the number of wheel passes on the rutting curve after which a significant increase in rut depth occurs due to the presence of water. A higher value of SIP for a mix corresponds to a lower moisture-induced damage potential and vice versa.</w:t>
      </w:r>
    </w:p>
    <w:p w14:paraId="1ACABF86" w14:textId="34CF24FC" w:rsidR="00313BA2" w:rsidRPr="00E64D15" w:rsidRDefault="0067252F" w:rsidP="008A289A">
      <w:pPr>
        <w:ind w:firstLine="720"/>
        <w:rPr>
          <w:rFonts w:eastAsia="Times New Roman" w:cs="Times New Roman"/>
          <w:iCs/>
          <w:szCs w:val="24"/>
        </w:rPr>
      </w:pPr>
      <w:r>
        <w:rPr>
          <w:rFonts w:cs="Times New Roman"/>
          <w:szCs w:val="24"/>
        </w:rPr>
        <w:lastRenderedPageBreak/>
        <w:t>Previous s</w:t>
      </w:r>
      <w:r w:rsidR="00313BA2" w:rsidRPr="00313BA2">
        <w:rPr>
          <w:rFonts w:cs="Times New Roman"/>
          <w:szCs w:val="24"/>
        </w:rPr>
        <w:t xml:space="preserve">tudies have reported a number of other test procedures for evaluating moisture-induced damage of asphalt mixes </w:t>
      </w:r>
      <w:r w:rsidR="00313BA2" w:rsidRPr="00313BA2">
        <w:rPr>
          <w:rFonts w:cs="Times New Roman"/>
          <w:szCs w:val="24"/>
        </w:rPr>
        <w:fldChar w:fldCharType="begin">
          <w:fldData xml:space="preserve">PEVuZE5vdGU+PENpdGU+PEF1dGhvcj5MaXU8L0F1dGhvcj48WWVhcj4yMDE0PC9ZZWFyPjxSZWNO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</w:fldData>
        </w:fldChar>
      </w:r>
      <w:r w:rsidR="00282238">
        <w:rPr>
          <w:rFonts w:cs="Times New Roman"/>
          <w:szCs w:val="24"/>
        </w:rPr>
        <w:instrText xml:space="preserve"> ADDIN EN.CITE </w:instrText>
      </w:r>
      <w:r w:rsidR="00282238">
        <w:rPr>
          <w:rFonts w:cs="Times New Roman"/>
          <w:szCs w:val="24"/>
        </w:rPr>
        <w:fldChar w:fldCharType="begin">
          <w:fldData xml:space="preserve">PEVuZE5vdGU+PENpdGU+PEF1dGhvcj5MaXU8L0F1dGhvcj48WWVhcj4yMDE0PC9ZZWFyPjxSZWNO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</w:fldData>
        </w:fldChar>
      </w:r>
      <w:r w:rsidR="00282238">
        <w:rPr>
          <w:rFonts w:cs="Times New Roman"/>
          <w:szCs w:val="24"/>
        </w:rPr>
        <w:instrText xml:space="preserve"> ADDIN EN.CITE.DATA </w:instrText>
      </w:r>
      <w:r w:rsidR="00282238">
        <w:rPr>
          <w:rFonts w:cs="Times New Roman"/>
          <w:szCs w:val="24"/>
        </w:rPr>
      </w:r>
      <w:r w:rsidR="00282238">
        <w:rPr>
          <w:rFonts w:cs="Times New Roman"/>
          <w:szCs w:val="24"/>
        </w:rPr>
        <w:fldChar w:fldCharType="end"/>
      </w:r>
      <w:r w:rsidR="00313BA2" w:rsidRPr="00313BA2">
        <w:rPr>
          <w:rFonts w:cs="Times New Roman"/>
          <w:szCs w:val="24"/>
        </w:rPr>
      </w:r>
      <w:r w:rsidR="00313BA2" w:rsidRPr="00313BA2">
        <w:rPr>
          <w:rFonts w:cs="Times New Roman"/>
          <w:szCs w:val="24"/>
        </w:rPr>
        <w:fldChar w:fldCharType="separate"/>
      </w:r>
      <w:r w:rsidR="00282238">
        <w:rPr>
          <w:rFonts w:cs="Times New Roman"/>
          <w:noProof/>
          <w:szCs w:val="24"/>
        </w:rPr>
        <w:t>(Gorkem and Sengoz, 2009; Liu et al., 2014; Tarefder and Ahmad, 2014; LaCroix et al., 2016)</w:t>
      </w:r>
      <w:r w:rsidR="00313BA2" w:rsidRPr="00313BA2">
        <w:rPr>
          <w:rFonts w:cs="Times New Roman"/>
          <w:szCs w:val="24"/>
        </w:rPr>
        <w:fldChar w:fldCharType="end"/>
      </w:r>
      <w:r w:rsidR="00313BA2" w:rsidRPr="00313BA2">
        <w:rPr>
          <w:rFonts w:cs="Times New Roman"/>
          <w:szCs w:val="24"/>
        </w:rPr>
        <w:t>. For example, t</w:t>
      </w:r>
      <w:r w:rsidR="00313BA2" w:rsidRPr="00313BA2">
        <w:rPr>
          <w:rFonts w:eastAsia="Times New Roman" w:cs="Times New Roman"/>
          <w:iCs/>
          <w:szCs w:val="24"/>
        </w:rPr>
        <w:t>he Nicholson stripping test and the modified Lottman test w</w:t>
      </w:r>
      <w:r>
        <w:rPr>
          <w:rFonts w:eastAsia="Times New Roman" w:cs="Times New Roman"/>
          <w:iCs/>
          <w:szCs w:val="24"/>
        </w:rPr>
        <w:t>ere</w:t>
      </w:r>
      <w:r w:rsidR="00313BA2" w:rsidRPr="00313BA2">
        <w:rPr>
          <w:rFonts w:eastAsia="Times New Roman" w:cs="Times New Roman"/>
          <w:iCs/>
          <w:szCs w:val="24"/>
        </w:rPr>
        <w:t xml:space="preserve"> used by </w:t>
      </w:r>
      <w:r w:rsidR="00313BA2" w:rsidRPr="00313BA2">
        <w:rPr>
          <w:rFonts w:cs="Times New Roman"/>
          <w:szCs w:val="24"/>
        </w:rPr>
        <w:fldChar w:fldCharType="begin"/>
      </w:r>
      <w:r w:rsidR="00DB3733">
        <w:rPr>
          <w:rFonts w:cs="Times New Roman"/>
          <w:szCs w:val="24"/>
        </w:rPr>
        <w:instrText xml:space="preserve"> ADDIN EN.CITE &lt;EndNote&gt;&lt;Cite AuthorYear="1"&gt;&lt;Author&gt;Gorkem&lt;/Author&gt;&lt;Year&gt;2009&lt;/Year&gt;&lt;RecNum&gt;84&lt;/RecNum&gt;&lt;DisplayText&gt;Gorkem and Sengoz (2009)&lt;/DisplayText&gt;&lt;record&gt;&lt;rec-number&gt;84&lt;/rec-number&gt;&lt;foreign-keys&gt;&lt;key app="EN" db-id="d55vzfpwawdafteedfoxsf0lv0v0wp5va2aa" timestamp="1519495442"&gt;84&lt;/key&gt;&lt;/foreign-keys&gt;&lt;ref-type name="Journal Article"&gt;17&lt;/ref-type&gt;&lt;contributors&gt;&lt;authors&gt;&lt;author&gt;Gorkem, Cagri&lt;/author&gt;&lt;author&gt;Sengoz, Burak&lt;/author&gt;&lt;/authors&gt;&lt;/contributors&gt;&lt;titles&gt;&lt;title&gt;Predicting Stripping and Moisture Induced Damage of Asphalt Concrete Prepared with Polymer Modified Bitumen and Hydrated Lime&lt;/title&gt;&lt;secondary-title&gt;Construction and Building Materials&lt;/secondary-title&gt;&lt;/titles&gt;&lt;periodical&gt;&lt;full-title&gt;Construction and Building Materials&lt;/full-title&gt;&lt;/periodical&gt;&lt;pages&gt;2227-2236&lt;/pages&gt;&lt;volume&gt;23&lt;/volume&gt;&lt;number&gt;6&lt;/number&gt;&lt;dates&gt;&lt;year&gt;2009&lt;/year&gt;&lt;/dates&gt;&lt;isbn&gt;0950-0618&lt;/isbn&gt;&lt;urls&gt;&lt;/urls&gt;&lt;/record&gt;&lt;/Cite&gt;&lt;/EndNote&gt;</w:instrText>
      </w:r>
      <w:r w:rsidR="00313BA2" w:rsidRPr="00313BA2">
        <w:rPr>
          <w:rFonts w:cs="Times New Roman"/>
          <w:szCs w:val="24"/>
        </w:rPr>
        <w:fldChar w:fldCharType="separate"/>
      </w:r>
      <w:r w:rsidR="00313BA2" w:rsidRPr="00313BA2">
        <w:rPr>
          <w:rFonts w:cs="Times New Roman"/>
          <w:noProof/>
          <w:szCs w:val="24"/>
        </w:rPr>
        <w:t>Gorkem and Sengoz (2009)</w:t>
      </w:r>
      <w:r w:rsidR="00313BA2" w:rsidRPr="00313BA2">
        <w:rPr>
          <w:rFonts w:cs="Times New Roman"/>
          <w:szCs w:val="24"/>
        </w:rPr>
        <w:fldChar w:fldCharType="end"/>
      </w:r>
      <w:r w:rsidR="00313BA2" w:rsidRPr="00313BA2">
        <w:rPr>
          <w:rFonts w:cs="Times New Roman"/>
          <w:szCs w:val="24"/>
        </w:rPr>
        <w:t xml:space="preserve"> </w:t>
      </w:r>
      <w:r w:rsidR="00313BA2" w:rsidRPr="00313BA2">
        <w:rPr>
          <w:rFonts w:eastAsia="Times New Roman" w:cs="Times New Roman"/>
          <w:iCs/>
          <w:szCs w:val="24"/>
        </w:rPr>
        <w:t xml:space="preserve">to evaluate the effect of the addition of hydrated lime and polymers on the moisture-induced damage potential of loose and compacted asphalt mixes, respectively. </w:t>
      </w:r>
      <w:r w:rsidR="00313BA2" w:rsidRPr="00313BA2">
        <w:rPr>
          <w:rFonts w:eastAsia="Times New Roman" w:cs="Times New Roman"/>
          <w:iCs/>
          <w:szCs w:val="24"/>
        </w:rPr>
        <w:fldChar w:fldCharType="begin"/>
      </w:r>
      <w:r w:rsidR="00313BA2" w:rsidRPr="00313BA2">
        <w:rPr>
          <w:rFonts w:eastAsia="Times New Roman" w:cs="Times New Roman"/>
          <w:iCs/>
          <w:szCs w:val="24"/>
        </w:rPr>
        <w:instrText xml:space="preserve"> ADDIN EN.CITE &lt;EndNote&gt;&lt;Cite AuthorYear="1"&gt;&lt;Author&gt;Liu&lt;/Author&gt;&lt;Year&gt;2014&lt;/Year&gt;&lt;RecNum&gt;52&lt;/RecNum&gt;&lt;DisplayText&gt;Liu et al. (2014)&lt;/DisplayText&gt;&lt;record&gt;&lt;rec-number&gt;52&lt;/rec-number&gt;&lt;foreign-keys&gt;&lt;key app="EN" db-id="d55vzfpwawdafteedfoxsf0lv0v0wp5va2aa" timestamp="1514343579"&gt;52&lt;/key&gt;&lt;/foreign-keys&gt;&lt;ref-type name="Journal Article"&gt;17&lt;/ref-type&gt;&lt;contributors&gt;&lt;authors&gt;&lt;author&gt;Liu, Yawen&lt;/author&gt;&lt;author&gt;Apeagyei, Alex&lt;/author&gt;&lt;author&gt;Ahmad, Naveed&lt;/author&gt;&lt;author&gt;Grenfell, James&lt;/author&gt;&lt;author&gt;Airey, Gordon&lt;/author&gt;&lt;/authors&gt;&lt;/contributors&gt;&lt;titles&gt;&lt;title&gt;Examination of moisture sensitivity of aggregate–bitumen bonding strength using loose asphalt mixture and physico-chemical surface energy property tests&lt;/title&gt;&lt;secondary-title&gt;International Journal of Pavement Engineering&lt;/secondary-title&gt;&lt;/titles&gt;&lt;periodical&gt;&lt;full-title&gt;International Journal of Pavement Engineering&lt;/full-title&gt;&lt;/periodical&gt;&lt;pages&gt;657-670&lt;/pages&gt;&lt;volume&gt;15&lt;/volume&gt;&lt;number&gt;7&lt;/number&gt;&lt;dates&gt;&lt;year&gt;2014&lt;/year&gt;&lt;/dates&gt;&lt;isbn&gt;1029-8436&lt;/isbn&gt;&lt;urls&gt;&lt;/urls&gt;&lt;/record&gt;&lt;/Cite&gt;&lt;/EndNote&gt;</w:instrText>
      </w:r>
      <w:r w:rsidR="00313BA2" w:rsidRPr="00313BA2">
        <w:rPr>
          <w:rFonts w:eastAsia="Times New Roman" w:cs="Times New Roman"/>
          <w:iCs/>
          <w:szCs w:val="24"/>
        </w:rPr>
        <w:fldChar w:fldCharType="separate"/>
      </w:r>
      <w:r w:rsidR="00313BA2" w:rsidRPr="00313BA2">
        <w:rPr>
          <w:rFonts w:eastAsia="Times New Roman" w:cs="Times New Roman"/>
          <w:iCs/>
          <w:noProof/>
          <w:szCs w:val="24"/>
        </w:rPr>
        <w:t>Liu et al. (2014)</w:t>
      </w:r>
      <w:r w:rsidR="00313BA2" w:rsidRPr="00313BA2">
        <w:rPr>
          <w:rFonts w:eastAsia="Times New Roman" w:cs="Times New Roman"/>
          <w:iCs/>
          <w:szCs w:val="24"/>
        </w:rPr>
        <w:fldChar w:fldCharType="end"/>
      </w:r>
      <w:r w:rsidR="00313BA2" w:rsidRPr="00313BA2">
        <w:rPr>
          <w:rFonts w:eastAsia="Times New Roman" w:cs="Times New Roman"/>
          <w:iCs/>
          <w:szCs w:val="24"/>
        </w:rPr>
        <w:t xml:space="preserve"> used the static immersion test, rolling bottle test, boiling water test, total water immersion test, and the ultrasonic method to evaluate the moisture-induced damage potential of aggregates and binders. The rolling bottle test and the boiling water test were observed to be the most sensitive to moisture-induced damage among the test methods. The</w:t>
      </w:r>
      <w:r w:rsidR="00313BA2" w:rsidRPr="00313BA2">
        <w:rPr>
          <w:rFonts w:cs="Times New Roman"/>
          <w:szCs w:val="24"/>
        </w:rPr>
        <w:t xml:space="preserve"> AASHTO T 283 </w:t>
      </w:r>
      <w:r w:rsidR="00313BA2" w:rsidRPr="00313BA2">
        <w:rPr>
          <w:rFonts w:cs="Times New Roman"/>
          <w:szCs w:val="24"/>
        </w:rPr>
        <w:fldChar w:fldCharType="begin"/>
      </w:r>
      <w:r w:rsidR="00282238">
        <w:rPr>
          <w:rFonts w:cs="Times New Roman"/>
          <w:szCs w:val="24"/>
        </w:rPr>
        <w:instrText xml:space="preserve"> ADDIN EN.CITE &lt;EndNote&gt;&lt;Cite&gt;&lt;Author&gt;AASHTO&lt;/Author&gt;&lt;Year&gt;2014&lt;/Year&gt;&lt;RecNum&gt;233&lt;/RecNum&gt;&lt;DisplayText&gt;(AASHTO, 2014a)&lt;/DisplayText&gt;&lt;record&gt;&lt;rec-number&gt;233&lt;/rec-number&gt;&lt;foreign-keys&gt;&lt;key app="EN" db-id="tfx2va9ropw5p7evdr2pf5rw2vszzx9t0xzs" timestamp="1593606818"&gt;233&lt;/key&gt;&lt;/foreign-keys&gt;&lt;ref-type name="Standard"&gt;58&lt;/ref-type&gt;&lt;contributors&gt;&lt;authors&gt;&lt;author&gt;AASHTO&lt;/author&gt;&lt;/authors&gt;&lt;/contributors&gt;&lt;titles&gt;&lt;title&gt;AASHTO T 283: Standard Method of Test for Resistance of Compacted Asphalt Mixtures to Moisture-induced Damage&lt;/title&gt;&lt;/titles&gt;&lt;dates&gt;&lt;year&gt;2014&lt;/year&gt;&lt;/dates&gt;&lt;pub-location&gt;Washington, DC&lt;/pub-location&gt;&lt;publisher&gt;American Association of State Highway and Transportation Officials&lt;/publisher&gt;&lt;urls&gt;&lt;/urls&gt;&lt;/record&gt;&lt;/Cite&gt;&lt;/EndNote&gt;</w:instrText>
      </w:r>
      <w:r w:rsidR="00313BA2" w:rsidRPr="00313BA2">
        <w:rPr>
          <w:rFonts w:cs="Times New Roman"/>
          <w:szCs w:val="24"/>
        </w:rPr>
        <w:fldChar w:fldCharType="separate"/>
      </w:r>
      <w:r w:rsidR="00282238">
        <w:rPr>
          <w:rFonts w:cs="Times New Roman"/>
          <w:noProof/>
          <w:szCs w:val="24"/>
        </w:rPr>
        <w:t>(AASHTO, 2014a)</w:t>
      </w:r>
      <w:r w:rsidR="00313BA2" w:rsidRPr="00313BA2">
        <w:rPr>
          <w:rFonts w:cs="Times New Roman"/>
          <w:szCs w:val="24"/>
        </w:rPr>
        <w:fldChar w:fldCharType="end"/>
      </w:r>
      <w:r w:rsidR="00313BA2" w:rsidRPr="00313BA2">
        <w:rPr>
          <w:rFonts w:cs="Times New Roman"/>
          <w:szCs w:val="24"/>
        </w:rPr>
        <w:t xml:space="preserve">, resilient modulus ratio, Marshall stability ratio, fracture energy ratio and boiling water test were used by </w:t>
      </w:r>
      <w:r w:rsidR="00313BA2" w:rsidRPr="00313BA2">
        <w:rPr>
          <w:rFonts w:cs="Times New Roman"/>
          <w:szCs w:val="24"/>
        </w:rPr>
        <w:fldChar w:fldCharType="begin"/>
      </w:r>
      <w:r w:rsidR="00DB3733">
        <w:rPr>
          <w:rFonts w:cs="Times New Roman"/>
          <w:szCs w:val="24"/>
        </w:rPr>
        <w:instrText xml:space="preserve"> ADDIN EN.CITE &lt;EndNote&gt;&lt;Cite AuthorYear="1"&gt;&lt;Author&gt;Mirzababaei&lt;/Author&gt;&lt;Year&gt;2016&lt;/Year&gt;&lt;RecNum&gt;21&lt;/RecNum&gt;&lt;DisplayText&gt;Mirzababaei (2016)&lt;/DisplayText&gt;&lt;record&gt;&lt;rec-number&gt;21&lt;/rec-number&gt;&lt;foreign-keys&gt;&lt;key app="EN" db-id="d55vzfpwawdafteedfoxsf0lv0v0wp5va2aa" timestamp="1509901062"&gt;21&lt;/key&gt;&lt;/foreign-keys&gt;&lt;ref-type name="Journal Article"&gt;17&lt;/ref-type&gt;&lt;contributors&gt;&lt;authors&gt;&lt;author&gt;Mirzababaei, Peyman&lt;/author&gt;&lt;/authors&gt;&lt;/contributors&gt;&lt;titles&gt;&lt;title&gt;Effect of Zycotherm on Moisture Susceptibility of Warm Mix Asphalt Mixtures Prepared with Different Aggregate Types and Gradations&lt;/title&gt;&lt;secondary-title&gt;Construction and Building Materials&lt;/secondary-title&gt;&lt;/titles&gt;&lt;periodical&gt;&lt;full-title&gt;Construction and Building Materials&lt;/full-title&gt;&lt;/periodical&gt;&lt;pages&gt;403-412&lt;/pages&gt;&lt;volume&gt;116&lt;/volume&gt;&lt;dates&gt;&lt;year&gt;2016&lt;/year&gt;&lt;/dates&gt;&lt;isbn&gt;0950-0618&lt;/isbn&gt;&lt;urls&gt;&lt;/urls&gt;&lt;/record&gt;&lt;/Cite&gt;&lt;/EndNote&gt;</w:instrText>
      </w:r>
      <w:r w:rsidR="00313BA2" w:rsidRPr="00313BA2">
        <w:rPr>
          <w:rFonts w:cs="Times New Roman"/>
          <w:szCs w:val="24"/>
        </w:rPr>
        <w:fldChar w:fldCharType="separate"/>
      </w:r>
      <w:r w:rsidR="00313BA2" w:rsidRPr="00313BA2">
        <w:rPr>
          <w:rFonts w:cs="Times New Roman"/>
          <w:noProof/>
          <w:szCs w:val="24"/>
        </w:rPr>
        <w:t>Mirzababaei (2016)</w:t>
      </w:r>
      <w:r w:rsidR="00313BA2" w:rsidRPr="00313BA2">
        <w:rPr>
          <w:rFonts w:cs="Times New Roman"/>
          <w:szCs w:val="24"/>
        </w:rPr>
        <w:fldChar w:fldCharType="end"/>
      </w:r>
      <w:r w:rsidR="00313BA2" w:rsidRPr="00313BA2">
        <w:rPr>
          <w:rFonts w:cs="Times New Roman"/>
          <w:szCs w:val="24"/>
        </w:rPr>
        <w:t xml:space="preserve"> to determine the effect of zycotherm</w:t>
      </w:r>
      <w:r w:rsidR="00313BA2" w:rsidRPr="00313BA2">
        <w:rPr>
          <w:rFonts w:cs="Times New Roman"/>
          <w:szCs w:val="24"/>
          <w:vertAlign w:val="superscript"/>
        </w:rPr>
        <w:t>®</w:t>
      </w:r>
      <w:r w:rsidR="00313BA2" w:rsidRPr="00313BA2">
        <w:rPr>
          <w:rFonts w:cs="Times New Roman"/>
          <w:szCs w:val="24"/>
        </w:rPr>
        <w:t xml:space="preserve"> on the moisture-induced damage potential of asphalt mixes. In addition to test methods, </w:t>
      </w:r>
      <w:r>
        <w:rPr>
          <w:rFonts w:cs="Times New Roman"/>
          <w:szCs w:val="24"/>
        </w:rPr>
        <w:t xml:space="preserve">previous </w:t>
      </w:r>
      <w:r w:rsidR="00313BA2" w:rsidRPr="00313BA2">
        <w:rPr>
          <w:rFonts w:cs="Times New Roman"/>
          <w:szCs w:val="24"/>
        </w:rPr>
        <w:t xml:space="preserve">studies </w:t>
      </w:r>
      <w:r>
        <w:rPr>
          <w:rFonts w:cs="Times New Roman"/>
          <w:szCs w:val="24"/>
        </w:rPr>
        <w:t>have attempted</w:t>
      </w:r>
      <w:r w:rsidR="00313BA2" w:rsidRPr="00313BA2">
        <w:rPr>
          <w:rFonts w:cs="Times New Roman"/>
          <w:szCs w:val="24"/>
        </w:rPr>
        <w:t xml:space="preserve"> to develop moisture-conditioning processes that would represent field condition. </w:t>
      </w:r>
      <w:r>
        <w:rPr>
          <w:rFonts w:cs="Times New Roman"/>
          <w:szCs w:val="24"/>
        </w:rPr>
        <w:t xml:space="preserve">For example, </w:t>
      </w:r>
      <w:r w:rsidR="00313BA2" w:rsidRPr="00313BA2">
        <w:rPr>
          <w:rFonts w:eastAsia="Times New Roman" w:cs="Times New Roman"/>
          <w:iCs/>
          <w:szCs w:val="24"/>
        </w:rPr>
        <w:fldChar w:fldCharType="begin"/>
      </w:r>
      <w:r w:rsidR="00313BA2" w:rsidRPr="00313BA2">
        <w:rPr>
          <w:rFonts w:eastAsia="Times New Roman" w:cs="Times New Roman"/>
          <w:iCs/>
          <w:szCs w:val="24"/>
        </w:rPr>
        <w:instrText xml:space="preserve"> ADDIN EN.CITE &lt;EndNote&gt;&lt;Cite AuthorYear="1"&gt;&lt;Author&gt;Tarefder&lt;/Author&gt;&lt;Year&gt;2014&lt;/Year&gt;&lt;RecNum&gt;97&lt;/RecNum&gt;&lt;DisplayText&gt;Tarefder and Ahmad (2014)&lt;/DisplayText&gt;&lt;record&gt;&lt;rec-number&gt;97&lt;/rec-number&gt;&lt;foreign-keys&gt;&lt;key app="EN" db-id="d55vzfpwawdafteedfoxsf0lv0v0wp5va2aa" timestamp="1521262753"&gt;97&lt;/key&gt;&lt;/foreign-keys&gt;&lt;ref-type name="Journal Article"&gt;17&lt;/ref-type&gt;&lt;contributors&gt;&lt;authors&gt;&lt;author&gt;Tarefder, Rafiqul A&lt;/author&gt;&lt;author&gt;Ahmad, Mohiuddin&lt;/author&gt;&lt;/authors&gt;&lt;/contributors&gt;&lt;titles&gt;&lt;title&gt;Evaluating the relationship between permeability and moisture damage of asphalt concrete pavements&lt;/title&gt;&lt;secondary-title&gt;Journal of Materials in Civil Engineering&lt;/secondary-title&gt;&lt;/titles&gt;&lt;periodical&gt;&lt;full-title&gt;Journal of Materials in Civil Engineering&lt;/full-title&gt;&lt;/periodical&gt;&lt;pages&gt;04014172&lt;/pages&gt;&lt;volume&gt;27&lt;/volume&gt;&lt;number&gt;5&lt;/number&gt;&lt;dates&gt;&lt;year&gt;2014&lt;/year&gt;&lt;/dates&gt;&lt;isbn&gt;0899-1561&lt;/isbn&gt;&lt;urls&gt;&lt;/urls&gt;&lt;/record&gt;&lt;/Cite&gt;&lt;/EndNote&gt;</w:instrText>
      </w:r>
      <w:r w:rsidR="00313BA2" w:rsidRPr="00313BA2">
        <w:rPr>
          <w:rFonts w:eastAsia="Times New Roman" w:cs="Times New Roman"/>
          <w:iCs/>
          <w:szCs w:val="24"/>
        </w:rPr>
        <w:fldChar w:fldCharType="separate"/>
      </w:r>
      <w:r w:rsidR="00313BA2" w:rsidRPr="00313BA2">
        <w:rPr>
          <w:rFonts w:eastAsia="Times New Roman" w:cs="Times New Roman"/>
          <w:iCs/>
          <w:noProof/>
          <w:szCs w:val="24"/>
        </w:rPr>
        <w:t>Tarefder and Ahmad (2014)</w:t>
      </w:r>
      <w:r w:rsidR="00313BA2" w:rsidRPr="00313BA2">
        <w:rPr>
          <w:rFonts w:eastAsia="Times New Roman" w:cs="Times New Roman"/>
          <w:iCs/>
          <w:szCs w:val="24"/>
        </w:rPr>
        <w:fldChar w:fldCharType="end"/>
      </w:r>
      <w:r w:rsidR="00313BA2" w:rsidRPr="00313BA2">
        <w:rPr>
          <w:rFonts w:eastAsia="Times New Roman" w:cs="Times New Roman"/>
          <w:iCs/>
          <w:szCs w:val="24"/>
        </w:rPr>
        <w:t xml:space="preserve"> evaluated t</w:t>
      </w:r>
      <w:r w:rsidR="00313BA2" w:rsidRPr="00313BA2">
        <w:rPr>
          <w:rFonts w:eastAsia="Times New Roman" w:cs="Times New Roman"/>
          <w:szCs w:val="24"/>
        </w:rPr>
        <w:t xml:space="preserve">he moisture-induced damage potential of asphalt mixes using two different moisture conditioning processes, namely, moisture-induced sensitivity testing (MIST) and AASHTO T 283 </w:t>
      </w:r>
      <w:r w:rsidR="00313BA2" w:rsidRPr="00313BA2">
        <w:rPr>
          <w:rFonts w:cs="Times New Roman"/>
          <w:szCs w:val="24"/>
        </w:rPr>
        <w:fldChar w:fldCharType="begin"/>
      </w:r>
      <w:r w:rsidR="00282238">
        <w:rPr>
          <w:rFonts w:cs="Times New Roman"/>
          <w:szCs w:val="24"/>
        </w:rPr>
        <w:instrText xml:space="preserve"> ADDIN EN.CITE &lt;EndNote&gt;&lt;Cite&gt;&lt;Author&gt;AASHTO&lt;/Author&gt;&lt;Year&gt;2014&lt;/Year&gt;&lt;RecNum&gt;233&lt;/RecNum&gt;&lt;DisplayText&gt;(AASHTO, 2014a)&lt;/DisplayText&gt;&lt;record&gt;&lt;rec-number&gt;233&lt;/rec-number&gt;&lt;foreign-keys&gt;&lt;key app="EN" db-id="tfx2va9ropw5p7evdr2pf5rw2vszzx9t0xzs" timestamp="1593606818"&gt;233&lt;/key&gt;&lt;/foreign-keys&gt;&lt;ref-type name="Standard"&gt;58&lt;/ref-type&gt;&lt;contributors&gt;&lt;authors&gt;&lt;author&gt;AASHTO&lt;/author&gt;&lt;/authors&gt;&lt;/contributors&gt;&lt;titles&gt;&lt;title&gt;AASHTO T 283: Standard Method of Test for Resistance of Compacted Asphalt Mixtures to Moisture-induced Damage&lt;/title&gt;&lt;/titles&gt;&lt;dates&gt;&lt;year&gt;2014&lt;/year&gt;&lt;/dates&gt;&lt;pub-location&gt;Washington, DC&lt;/pub-location&gt;&lt;publisher&gt;American Association of State Highway and Transportation Officials&lt;/publisher&gt;&lt;urls&gt;&lt;/urls&gt;&lt;/record&gt;&lt;/Cite&gt;&lt;/EndNote&gt;</w:instrText>
      </w:r>
      <w:r w:rsidR="00313BA2" w:rsidRPr="00313BA2">
        <w:rPr>
          <w:rFonts w:cs="Times New Roman"/>
          <w:szCs w:val="24"/>
        </w:rPr>
        <w:fldChar w:fldCharType="separate"/>
      </w:r>
      <w:r w:rsidR="00282238">
        <w:rPr>
          <w:rFonts w:cs="Times New Roman"/>
          <w:noProof/>
          <w:szCs w:val="24"/>
        </w:rPr>
        <w:t>(AASHTO, 2014a)</w:t>
      </w:r>
      <w:r w:rsidR="00313BA2" w:rsidRPr="00313BA2">
        <w:rPr>
          <w:rFonts w:cs="Times New Roman"/>
          <w:szCs w:val="24"/>
        </w:rPr>
        <w:fldChar w:fldCharType="end"/>
      </w:r>
      <w:r w:rsidR="00313BA2" w:rsidRPr="00313BA2">
        <w:rPr>
          <w:rFonts w:eastAsia="Times New Roman" w:cs="Times New Roman"/>
          <w:szCs w:val="24"/>
        </w:rPr>
        <w:t xml:space="preserve"> method. </w:t>
      </w:r>
      <w:r>
        <w:rPr>
          <w:rFonts w:eastAsia="Times New Roman" w:cs="Times New Roman"/>
          <w:szCs w:val="24"/>
        </w:rPr>
        <w:t>Effects</w:t>
      </w:r>
      <w:r w:rsidR="00313BA2" w:rsidRPr="00313BA2">
        <w:rPr>
          <w:rFonts w:eastAsia="Times New Roman" w:cs="Times New Roman"/>
          <w:szCs w:val="24"/>
        </w:rPr>
        <w:t xml:space="preserve"> of these two processes </w:t>
      </w:r>
      <w:r>
        <w:rPr>
          <w:rFonts w:eastAsia="Times New Roman" w:cs="Times New Roman"/>
          <w:szCs w:val="24"/>
        </w:rPr>
        <w:t>on</w:t>
      </w:r>
      <w:r w:rsidR="00313BA2" w:rsidRPr="00313BA2">
        <w:rPr>
          <w:rFonts w:eastAsia="Times New Roman" w:cs="Times New Roman"/>
          <w:szCs w:val="24"/>
        </w:rPr>
        <w:t xml:space="preserve"> the permeability</w:t>
      </w:r>
      <w:r w:rsidR="00313BA2" w:rsidRPr="00313BA2">
        <w:rPr>
          <w:rFonts w:eastAsia="Times New Roman" w:cs="Times New Roman"/>
          <w:iCs/>
          <w:szCs w:val="24"/>
        </w:rPr>
        <w:t xml:space="preserve"> of asphalt mixes were </w:t>
      </w:r>
      <w:r w:rsidR="00313BA2" w:rsidRPr="00313BA2">
        <w:rPr>
          <w:rFonts w:eastAsia="Times New Roman" w:cs="Times New Roman"/>
          <w:szCs w:val="24"/>
        </w:rPr>
        <w:t>determined</w:t>
      </w:r>
      <w:r w:rsidR="00313BA2" w:rsidRPr="00313BA2">
        <w:rPr>
          <w:rFonts w:eastAsia="Times New Roman" w:cs="Times New Roman"/>
          <w:iCs/>
          <w:szCs w:val="24"/>
        </w:rPr>
        <w:t>. T</w:t>
      </w:r>
      <w:r w:rsidR="00313BA2" w:rsidRPr="00313BA2">
        <w:rPr>
          <w:rFonts w:eastAsia="Times New Roman" w:cs="Times New Roman"/>
          <w:szCs w:val="24"/>
        </w:rPr>
        <w:t xml:space="preserve">he TSR from the AASHTO T 283 </w:t>
      </w:r>
      <w:r w:rsidR="00313BA2" w:rsidRPr="00313BA2">
        <w:rPr>
          <w:rFonts w:cs="Times New Roman"/>
          <w:szCs w:val="24"/>
        </w:rPr>
        <w:fldChar w:fldCharType="begin"/>
      </w:r>
      <w:r w:rsidR="00282238">
        <w:rPr>
          <w:rFonts w:cs="Times New Roman"/>
          <w:szCs w:val="24"/>
        </w:rPr>
        <w:instrText xml:space="preserve"> ADDIN EN.CITE &lt;EndNote&gt;&lt;Cite&gt;&lt;Author&gt;AASHTO&lt;/Author&gt;&lt;Year&gt;2014&lt;/Year&gt;&lt;RecNum&gt;233&lt;/RecNum&gt;&lt;DisplayText&gt;(AASHTO, 2014a)&lt;/DisplayText&gt;&lt;record&gt;&lt;rec-number&gt;233&lt;/rec-number&gt;&lt;foreign-keys&gt;&lt;key app="EN" db-id="tfx2va9ropw5p7evdr2pf5rw2vszzx9t0xzs" timestamp="1593606818"&gt;233&lt;/key&gt;&lt;/foreign-keys&gt;&lt;ref-type name="Standard"&gt;58&lt;/ref-type&gt;&lt;contributors&gt;&lt;authors&gt;&lt;author&gt;AASHTO&lt;/author&gt;&lt;/authors&gt;&lt;/contributors&gt;&lt;titles&gt;&lt;title&gt;AASHTO T 283: Standard Method of Test for Resistance of Compacted Asphalt Mixtures to Moisture-induced Damage&lt;/title&gt;&lt;/titles&gt;&lt;dates&gt;&lt;year&gt;2014&lt;/year&gt;&lt;/dates&gt;&lt;pub-location&gt;Washington, DC&lt;/pub-location&gt;&lt;publisher&gt;American Association of State Highway and Transportation Officials&lt;/publisher&gt;&lt;urls&gt;&lt;/urls&gt;&lt;/record&gt;&lt;/Cite&gt;&lt;/EndNote&gt;</w:instrText>
      </w:r>
      <w:r w:rsidR="00313BA2" w:rsidRPr="00313BA2">
        <w:rPr>
          <w:rFonts w:cs="Times New Roman"/>
          <w:szCs w:val="24"/>
        </w:rPr>
        <w:fldChar w:fldCharType="separate"/>
      </w:r>
      <w:r w:rsidR="00282238">
        <w:rPr>
          <w:rFonts w:cs="Times New Roman"/>
          <w:noProof/>
          <w:szCs w:val="24"/>
        </w:rPr>
        <w:t>(AASHTO, 2014a)</w:t>
      </w:r>
      <w:r w:rsidR="00313BA2" w:rsidRPr="00313BA2">
        <w:rPr>
          <w:rFonts w:cs="Times New Roman"/>
          <w:szCs w:val="24"/>
        </w:rPr>
        <w:fldChar w:fldCharType="end"/>
      </w:r>
      <w:r w:rsidR="00313BA2" w:rsidRPr="00313BA2">
        <w:rPr>
          <w:rFonts w:eastAsia="Times New Roman" w:cs="Times New Roman"/>
          <w:szCs w:val="24"/>
        </w:rPr>
        <w:t xml:space="preserve"> method reduced with an increase in permeability, whereas the TSR from MIST conditioning were found to be unaffected by permeability. </w:t>
      </w:r>
      <w:r>
        <w:rPr>
          <w:rFonts w:eastAsia="Times New Roman" w:cs="Times New Roman"/>
          <w:szCs w:val="24"/>
        </w:rPr>
        <w:t xml:space="preserve">According to </w:t>
      </w:r>
      <w:r w:rsidR="00313BA2" w:rsidRPr="00313BA2">
        <w:rPr>
          <w:rFonts w:eastAsia="Times New Roman" w:cs="Times New Roman"/>
          <w:iCs/>
          <w:szCs w:val="24"/>
        </w:rPr>
        <w:fldChar w:fldCharType="begin"/>
      </w:r>
      <w:r w:rsidR="00313BA2" w:rsidRPr="00313BA2">
        <w:rPr>
          <w:rFonts w:eastAsia="Times New Roman" w:cs="Times New Roman"/>
          <w:iCs/>
          <w:szCs w:val="24"/>
        </w:rPr>
        <w:instrText xml:space="preserve"> ADDIN EN.CITE &lt;EndNote&gt;&lt;Cite AuthorYear="1"&gt;&lt;Author&gt;LaCroix&lt;/Author&gt;&lt;Year&gt;2016&lt;/Year&gt;&lt;RecNum&gt;41&lt;/RecNum&gt;&lt;DisplayText&gt;LaCroix et al. (2016)&lt;/DisplayText&gt;&lt;record&gt;&lt;rec-number&gt;41&lt;/rec-number&gt;&lt;foreign-keys&gt;&lt;key app="EN" db-id="d55vzfpwawdafteedfoxsf0lv0v0wp5va2aa" timestamp="1511286613"&gt;41&lt;/key&gt;&lt;/foreign-keys&gt;&lt;ref-type name="Journal Article"&gt;17&lt;/ref-type&gt;&lt;contributors&gt;&lt;authors&gt;&lt;author&gt;LaCroix, Andrew&lt;/author&gt;&lt;author&gt;Regimand, Ali&lt;/author&gt;&lt;author&gt;James, Lawrence&lt;/author&gt;&lt;/authors&gt;&lt;/contributors&gt;&lt;titles&gt;&lt;title&gt;Proposed Approach for Evaluation of Cohesive and Adhesive Properties of Asphalt Mixtures for Determination of Moisture Sensitivity&lt;/title&gt;&lt;secondary-title&gt;Transportation Research Record: Journal of the Transportation Research Board&lt;/secondary-title&gt;&lt;/titles&gt;&lt;periodical&gt;&lt;full-title&gt;Transportation Research Record: Journal of the Transportation Research Board&lt;/full-title&gt;&lt;/periodical&gt;&lt;pages&gt;61-69&lt;/pages&gt;&lt;number&gt;2575&lt;/number&gt;&lt;dates&gt;&lt;year&gt;2016&lt;/year&gt;&lt;/dates&gt;&lt;isbn&gt;0361-1981&lt;/isbn&gt;&lt;urls&gt;&lt;/urls&gt;&lt;/record&gt;&lt;/Cite&gt;&lt;/EndNote&gt;</w:instrText>
      </w:r>
      <w:r w:rsidR="00313BA2" w:rsidRPr="00313BA2">
        <w:rPr>
          <w:rFonts w:eastAsia="Times New Roman" w:cs="Times New Roman"/>
          <w:iCs/>
          <w:szCs w:val="24"/>
        </w:rPr>
        <w:fldChar w:fldCharType="separate"/>
      </w:r>
      <w:r w:rsidR="00313BA2" w:rsidRPr="00313BA2">
        <w:rPr>
          <w:rFonts w:eastAsia="Times New Roman" w:cs="Times New Roman"/>
          <w:iCs/>
          <w:noProof/>
          <w:szCs w:val="24"/>
        </w:rPr>
        <w:t>LaCroix et al. (2016)</w:t>
      </w:r>
      <w:r w:rsidR="00313BA2" w:rsidRPr="00313BA2">
        <w:rPr>
          <w:rFonts w:eastAsia="Times New Roman" w:cs="Times New Roman"/>
          <w:iCs/>
          <w:szCs w:val="24"/>
        </w:rPr>
        <w:fldChar w:fldCharType="end"/>
      </w:r>
      <w:r w:rsidR="00313BA2" w:rsidRPr="00313BA2">
        <w:rPr>
          <w:rFonts w:eastAsia="Times New Roman" w:cs="Times New Roman"/>
          <w:iCs/>
          <w:szCs w:val="24"/>
        </w:rPr>
        <w:t xml:space="preserve"> the current AASHTO T 283 </w:t>
      </w:r>
      <w:r w:rsidR="00313BA2" w:rsidRPr="00313BA2">
        <w:rPr>
          <w:rFonts w:cs="Times New Roman"/>
          <w:szCs w:val="24"/>
        </w:rPr>
        <w:fldChar w:fldCharType="begin"/>
      </w:r>
      <w:r w:rsidR="00282238">
        <w:rPr>
          <w:rFonts w:cs="Times New Roman"/>
          <w:szCs w:val="24"/>
        </w:rPr>
        <w:instrText xml:space="preserve"> ADDIN EN.CITE &lt;EndNote&gt;&lt;Cite&gt;&lt;Author&gt;AASHTO&lt;/Author&gt;&lt;Year&gt;2014&lt;/Year&gt;&lt;RecNum&gt;233&lt;/RecNum&gt;&lt;DisplayText&gt;(AASHTO, 2014a)&lt;/DisplayText&gt;&lt;record&gt;&lt;rec-number&gt;233&lt;/rec-number&gt;&lt;foreign-keys&gt;&lt;key app="EN" db-id="tfx2va9ropw5p7evdr2pf5rw2vszzx9t0xzs" timestamp="1593606818"&gt;233&lt;/key&gt;&lt;/foreign-keys&gt;&lt;ref-type name="Standard"&gt;58&lt;/ref-type&gt;&lt;contributors&gt;&lt;authors&gt;&lt;author&gt;AASHTO&lt;/author&gt;&lt;/authors&gt;&lt;/contributors&gt;&lt;titles&gt;&lt;title&gt;AASHTO T 283: Standard Method of Test for Resistance of Compacted Asphalt Mixtures to Moisture-induced Damage&lt;/title&gt;&lt;/titles&gt;&lt;dates&gt;&lt;year&gt;2014&lt;/year&gt;&lt;/dates&gt;&lt;pub-location&gt;Washington, DC&lt;/pub-location&gt;&lt;publisher&gt;American Association of State Highway and Transportation Officials&lt;/publisher&gt;&lt;urls&gt;&lt;/urls&gt;&lt;/record&gt;&lt;/Cite&gt;&lt;/EndNote&gt;</w:instrText>
      </w:r>
      <w:r w:rsidR="00313BA2" w:rsidRPr="00313BA2">
        <w:rPr>
          <w:rFonts w:cs="Times New Roman"/>
          <w:szCs w:val="24"/>
        </w:rPr>
        <w:fldChar w:fldCharType="separate"/>
      </w:r>
      <w:r w:rsidR="00282238">
        <w:rPr>
          <w:rFonts w:cs="Times New Roman"/>
          <w:noProof/>
          <w:szCs w:val="24"/>
        </w:rPr>
        <w:t>(AASHTO, 2014a)</w:t>
      </w:r>
      <w:r w:rsidR="00313BA2" w:rsidRPr="00313BA2">
        <w:rPr>
          <w:rFonts w:cs="Times New Roman"/>
          <w:szCs w:val="24"/>
        </w:rPr>
        <w:fldChar w:fldCharType="end"/>
      </w:r>
      <w:r w:rsidR="00313BA2" w:rsidRPr="00313BA2">
        <w:rPr>
          <w:rFonts w:eastAsia="Times New Roman" w:cs="Times New Roman"/>
          <w:iCs/>
          <w:szCs w:val="24"/>
        </w:rPr>
        <w:t xml:space="preserve"> method affects the adhesive strength, whereas the MIST affects </w:t>
      </w:r>
      <w:r>
        <w:rPr>
          <w:rFonts w:eastAsia="Times New Roman" w:cs="Times New Roman"/>
          <w:iCs/>
          <w:szCs w:val="24"/>
        </w:rPr>
        <w:lastRenderedPageBreak/>
        <w:t>the</w:t>
      </w:r>
      <w:r w:rsidR="00313BA2" w:rsidRPr="00313BA2">
        <w:rPr>
          <w:rFonts w:eastAsia="Times New Roman" w:cs="Times New Roman"/>
          <w:iCs/>
          <w:szCs w:val="24"/>
        </w:rPr>
        <w:t xml:space="preserve"> cohesive strength of a binder-</w:t>
      </w:r>
      <w:r w:rsidR="00313BA2" w:rsidRPr="00E64D15">
        <w:rPr>
          <w:rFonts w:eastAsia="Times New Roman" w:cs="Times New Roman"/>
          <w:iCs/>
          <w:szCs w:val="24"/>
        </w:rPr>
        <w:t xml:space="preserve">aggregate system. </w:t>
      </w:r>
      <w:r w:rsidR="00313BA2" w:rsidRPr="00E64D15">
        <w:rPr>
          <w:rFonts w:eastAsia="Times New Roman" w:cs="Times New Roman"/>
          <w:iCs/>
          <w:szCs w:val="24"/>
        </w:rPr>
        <w:fldChar w:fldCharType="begin"/>
      </w:r>
      <w:r w:rsidR="00313BA2" w:rsidRPr="00E64D15">
        <w:rPr>
          <w:rFonts w:eastAsia="Times New Roman" w:cs="Times New Roman"/>
          <w:iCs/>
          <w:szCs w:val="24"/>
        </w:rPr>
        <w:instrText xml:space="preserve"> ADDIN EN.CITE &lt;EndNote&gt;&lt;Cite AuthorYear="1"&gt;&lt;Author&gt;LaCroix&lt;/Author&gt;&lt;Year&gt;2016&lt;/Year&gt;&lt;RecNum&gt;41&lt;/RecNum&gt;&lt;DisplayText&gt;LaCroix et al. (2016)&lt;/DisplayText&gt;&lt;record&gt;&lt;rec-number&gt;41&lt;/rec-number&gt;&lt;foreign-keys&gt;&lt;key app="EN" db-id="d55vzfpwawdafteedfoxsf0lv0v0wp5va2aa" timestamp="1511286613"&gt;41&lt;/key&gt;&lt;/foreign-keys&gt;&lt;ref-type name="Journal Article"&gt;17&lt;/ref-type&gt;&lt;contributors&gt;&lt;authors&gt;&lt;author&gt;LaCroix, Andrew&lt;/author&gt;&lt;author&gt;Regimand, Ali&lt;/author&gt;&lt;author&gt;James, Lawrence&lt;/author&gt;&lt;/authors&gt;&lt;/contributors&gt;&lt;titles&gt;&lt;title&gt;Proposed Approach for Evaluation of Cohesive and Adhesive Properties of Asphalt Mixtures for Determination of Moisture Sensitivity&lt;/title&gt;&lt;secondary-title&gt;Transportation Research Record: Journal of the Transportation Research Board&lt;/secondary-title&gt;&lt;/titles&gt;&lt;periodical&gt;&lt;full-title&gt;Transportation Research Record: Journal of the Transportation Research Board&lt;/full-title&gt;&lt;/periodical&gt;&lt;pages&gt;61-69&lt;/pages&gt;&lt;number&gt;2575&lt;/number&gt;&lt;dates&gt;&lt;year&gt;2016&lt;/year&gt;&lt;/dates&gt;&lt;isbn&gt;0361-1981&lt;/isbn&gt;&lt;urls&gt;&lt;/urls&gt;&lt;/record&gt;&lt;/Cite&gt;&lt;/EndNote&gt;</w:instrText>
      </w:r>
      <w:r w:rsidR="00313BA2" w:rsidRPr="00E64D15">
        <w:rPr>
          <w:rFonts w:eastAsia="Times New Roman" w:cs="Times New Roman"/>
          <w:iCs/>
          <w:szCs w:val="24"/>
        </w:rPr>
        <w:fldChar w:fldCharType="separate"/>
      </w:r>
      <w:r w:rsidR="00313BA2" w:rsidRPr="00E64D15">
        <w:rPr>
          <w:rFonts w:eastAsia="Times New Roman" w:cs="Times New Roman"/>
          <w:iCs/>
          <w:noProof/>
          <w:szCs w:val="24"/>
        </w:rPr>
        <w:t>LaCroix et al. (2016)</w:t>
      </w:r>
      <w:r w:rsidR="00313BA2" w:rsidRPr="00E64D15">
        <w:rPr>
          <w:rFonts w:eastAsia="Times New Roman" w:cs="Times New Roman"/>
          <w:iCs/>
          <w:szCs w:val="24"/>
        </w:rPr>
        <w:fldChar w:fldCharType="end"/>
      </w:r>
      <w:r w:rsidR="00313BA2" w:rsidRPr="00E64D15">
        <w:rPr>
          <w:rFonts w:eastAsia="Times New Roman" w:cs="Times New Roman"/>
          <w:iCs/>
          <w:szCs w:val="24"/>
        </w:rPr>
        <w:t xml:space="preserve"> suggested to combine both </w:t>
      </w:r>
      <w:r w:rsidRPr="00E64D15">
        <w:rPr>
          <w:rFonts w:eastAsia="Times New Roman" w:cs="Times New Roman"/>
          <w:iCs/>
          <w:szCs w:val="24"/>
        </w:rPr>
        <w:t xml:space="preserve">of these </w:t>
      </w:r>
      <w:r w:rsidR="00313BA2" w:rsidRPr="00E64D15">
        <w:rPr>
          <w:rFonts w:eastAsia="Times New Roman" w:cs="Times New Roman"/>
          <w:iCs/>
          <w:szCs w:val="24"/>
        </w:rPr>
        <w:t xml:space="preserve">conditioning processes to ensure the evaluation of both adhesion and cohesion mechanisms of moisture-induced damage. A study conducted by </w:t>
      </w:r>
      <w:r w:rsidR="00313BA2" w:rsidRPr="00E64D15">
        <w:rPr>
          <w:rFonts w:eastAsia="Times New Roman" w:cs="Times New Roman"/>
          <w:iCs/>
          <w:szCs w:val="24"/>
        </w:rPr>
        <w:fldChar w:fldCharType="begin"/>
      </w:r>
      <w:r w:rsidR="00313BA2" w:rsidRPr="00E64D15">
        <w:rPr>
          <w:rFonts w:eastAsia="Times New Roman" w:cs="Times New Roman"/>
          <w:iCs/>
          <w:szCs w:val="24"/>
        </w:rPr>
        <w:instrText xml:space="preserve"> ADDIN EN.CITE &lt;EndNote&gt;&lt;Cite AuthorYear="1"&gt;&lt;Author&gt;Vargas-Nordcbeck&lt;/Author&gt;&lt;Year&gt;2016&lt;/Year&gt;&lt;RecNum&gt;42&lt;/RecNum&gt;&lt;DisplayText&gt;Vargas-Nordcbeck et al. (2016)&lt;/DisplayText&gt;&lt;record&gt;&lt;rec-number&gt;42&lt;/rec-number&gt;&lt;foreign-keys&gt;&lt;key app="EN" db-id="d55vzfpwawdafteedfoxsf0lv0v0wp5va2aa" timestamp="1511300558"&gt;42&lt;/key&gt;&lt;/foreign-keys&gt;&lt;ref-type name="Journal Article"&gt;17&lt;/ref-type&gt;&lt;contributors&gt;&lt;authors&gt;&lt;author&gt;Vargas-Nordcbeck, Adriana&lt;/author&gt;&lt;author&gt;Leiva-Villacorta, Fabricio&lt;/author&gt;&lt;author&gt;Aguiar-Moya, José Pablo&lt;/author&gt;&lt;author&gt;Loria-Salazar, Luis&lt;/author&gt;&lt;/authors&gt;&lt;/contributors&gt;&lt;titles&gt;&lt;title&gt;Evaluating moisture susceptibility of asphalt concrete mixtures through simple performance tests&lt;/title&gt;&lt;secondary-title&gt;Transportation Research Record: Journal of the Transportation Research Board&lt;/secondary-title&gt;&lt;/titles&gt;&lt;periodical&gt;&lt;full-title&gt;Transportation Research Record: Journal of the Transportation Research Board&lt;/full-title&gt;&lt;/periodical&gt;&lt;pages&gt;70-78&lt;/pages&gt;&lt;number&gt;2575&lt;/number&gt;&lt;dates&gt;&lt;year&gt;2016&lt;/year&gt;&lt;/dates&gt;&lt;isbn&gt;0361-1981&lt;/isbn&gt;&lt;urls&gt;&lt;/urls&gt;&lt;/record&gt;&lt;/Cite&gt;&lt;/EndNote&gt;</w:instrText>
      </w:r>
      <w:r w:rsidR="00313BA2" w:rsidRPr="00E64D15">
        <w:rPr>
          <w:rFonts w:eastAsia="Times New Roman" w:cs="Times New Roman"/>
          <w:iCs/>
          <w:szCs w:val="24"/>
        </w:rPr>
        <w:fldChar w:fldCharType="separate"/>
      </w:r>
      <w:r w:rsidR="00313BA2" w:rsidRPr="00E64D15">
        <w:rPr>
          <w:rFonts w:eastAsia="Times New Roman" w:cs="Times New Roman"/>
          <w:iCs/>
          <w:noProof/>
          <w:szCs w:val="24"/>
        </w:rPr>
        <w:t>Vargas-Nordcbeck et al. (2016)</w:t>
      </w:r>
      <w:r w:rsidR="00313BA2" w:rsidRPr="00E64D15">
        <w:rPr>
          <w:rFonts w:eastAsia="Times New Roman" w:cs="Times New Roman"/>
          <w:iCs/>
          <w:szCs w:val="24"/>
        </w:rPr>
        <w:fldChar w:fldCharType="end"/>
      </w:r>
      <w:r w:rsidR="00313BA2" w:rsidRPr="00E64D15">
        <w:rPr>
          <w:rFonts w:eastAsia="Times New Roman" w:cs="Times New Roman"/>
          <w:iCs/>
          <w:szCs w:val="24"/>
        </w:rPr>
        <w:t xml:space="preserve"> suggested </w:t>
      </w:r>
      <w:r w:rsidR="00AA5ACD" w:rsidRPr="00E64D15">
        <w:rPr>
          <w:rFonts w:eastAsia="Times New Roman" w:cs="Times New Roman"/>
          <w:iCs/>
          <w:szCs w:val="24"/>
        </w:rPr>
        <w:t xml:space="preserve">to increase </w:t>
      </w:r>
      <w:r w:rsidR="00313BA2" w:rsidRPr="00E64D15">
        <w:rPr>
          <w:rFonts w:eastAsia="Times New Roman" w:cs="Times New Roman"/>
          <w:iCs/>
          <w:szCs w:val="24"/>
        </w:rPr>
        <w:t xml:space="preserve">the number of conditioning cycles used in </w:t>
      </w:r>
      <w:r w:rsidRPr="00E64D15">
        <w:rPr>
          <w:rFonts w:eastAsia="Times New Roman" w:cs="Times New Roman"/>
          <w:iCs/>
          <w:szCs w:val="24"/>
        </w:rPr>
        <w:t xml:space="preserve">the </w:t>
      </w:r>
      <w:r w:rsidR="00313BA2" w:rsidRPr="00E64D15">
        <w:rPr>
          <w:rFonts w:eastAsia="Times New Roman" w:cs="Times New Roman"/>
          <w:iCs/>
          <w:szCs w:val="24"/>
        </w:rPr>
        <w:t xml:space="preserve">AASHTO T 283 </w:t>
      </w:r>
      <w:r w:rsidR="00313BA2" w:rsidRPr="00E64D15">
        <w:rPr>
          <w:rFonts w:cs="Times New Roman"/>
          <w:szCs w:val="24"/>
        </w:rPr>
        <w:fldChar w:fldCharType="begin"/>
      </w:r>
      <w:r w:rsidR="00282238" w:rsidRPr="00E64D15">
        <w:rPr>
          <w:rFonts w:cs="Times New Roman"/>
          <w:szCs w:val="24"/>
        </w:rPr>
        <w:instrText xml:space="preserve"> ADDIN EN.CITE &lt;EndNote&gt;&lt;Cite&gt;&lt;Author&gt;AASHTO&lt;/Author&gt;&lt;Year&gt;2014&lt;/Year&gt;&lt;RecNum&gt;233&lt;/RecNum&gt;&lt;DisplayText&gt;(AASHTO, 2014a)&lt;/DisplayText&gt;&lt;record&gt;&lt;rec-number&gt;233&lt;/rec-number&gt;&lt;foreign-keys&gt;&lt;key app="EN" db-id="tfx2va9ropw5p7evdr2pf5rw2vszzx9t0xzs" timestamp="1593606818"&gt;233&lt;/key&gt;&lt;/foreign-keys&gt;&lt;ref-type name="Standard"&gt;58&lt;/ref-type&gt;&lt;contributors&gt;&lt;authors&gt;&lt;author&gt;AASHTO&lt;/author&gt;&lt;/authors&gt;&lt;/contributors&gt;&lt;titles&gt;&lt;title&gt;AASHTO T 283: Standard Method of Test for Resistance of Compacted Asphalt Mixtures to Moisture-induced Damage&lt;/title&gt;&lt;/titles&gt;&lt;dates&gt;&lt;year&gt;2014&lt;/year&gt;&lt;/dates&gt;&lt;pub-location&gt;Washington, DC&lt;/pub-location&gt;&lt;publisher&gt;American Association of State Highway and Transportation Officials&lt;/publisher&gt;&lt;urls&gt;&lt;/urls&gt;&lt;/record&gt;&lt;/Cite&gt;&lt;/EndNote&gt;</w:instrText>
      </w:r>
      <w:r w:rsidR="00313BA2" w:rsidRPr="00E64D15">
        <w:rPr>
          <w:rFonts w:cs="Times New Roman"/>
          <w:szCs w:val="24"/>
        </w:rPr>
        <w:fldChar w:fldCharType="separate"/>
      </w:r>
      <w:r w:rsidR="00282238" w:rsidRPr="00E64D15">
        <w:rPr>
          <w:rFonts w:cs="Times New Roman"/>
          <w:noProof/>
          <w:szCs w:val="24"/>
        </w:rPr>
        <w:t>(AASHTO, 2014a)</w:t>
      </w:r>
      <w:r w:rsidR="00313BA2" w:rsidRPr="00E64D15">
        <w:rPr>
          <w:rFonts w:cs="Times New Roman"/>
          <w:szCs w:val="24"/>
        </w:rPr>
        <w:fldChar w:fldCharType="end"/>
      </w:r>
      <w:r w:rsidR="00313BA2" w:rsidRPr="00E64D15">
        <w:rPr>
          <w:rFonts w:cs="Times New Roman"/>
          <w:szCs w:val="24"/>
        </w:rPr>
        <w:t xml:space="preserve"> </w:t>
      </w:r>
      <w:r w:rsidR="00313BA2" w:rsidRPr="00E64D15">
        <w:rPr>
          <w:rFonts w:eastAsia="Times New Roman" w:cs="Times New Roman"/>
          <w:iCs/>
          <w:szCs w:val="24"/>
        </w:rPr>
        <w:t>procedure</w:t>
      </w:r>
      <w:r w:rsidR="0081626C" w:rsidRPr="00E64D15">
        <w:rPr>
          <w:rFonts w:eastAsia="Times New Roman" w:cs="Times New Roman"/>
          <w:iCs/>
          <w:szCs w:val="24"/>
        </w:rPr>
        <w:t xml:space="preserve"> to </w:t>
      </w:r>
      <w:r w:rsidR="00313BA2" w:rsidRPr="00E64D15">
        <w:rPr>
          <w:rFonts w:eastAsia="Times New Roman" w:cs="Times New Roman"/>
          <w:iCs/>
          <w:szCs w:val="24"/>
        </w:rPr>
        <w:t xml:space="preserve">accurately simulate field performance. </w:t>
      </w:r>
    </w:p>
    <w:p w14:paraId="60275AB8" w14:textId="03A580C1" w:rsidR="00222E2A" w:rsidRPr="00E64D15" w:rsidRDefault="0067252F" w:rsidP="008A289A">
      <w:pPr>
        <w:ind w:firstLine="720"/>
        <w:rPr>
          <w:rFonts w:cs="Times New Roman"/>
          <w:szCs w:val="24"/>
        </w:rPr>
      </w:pPr>
      <w:r w:rsidRPr="00E64D15">
        <w:rPr>
          <w:rFonts w:cs="Times New Roman"/>
          <w:szCs w:val="24"/>
        </w:rPr>
        <w:t>Until</w:t>
      </w:r>
      <w:r w:rsidR="00313BA2" w:rsidRPr="00E64D15">
        <w:rPr>
          <w:rFonts w:cs="Times New Roman"/>
          <w:szCs w:val="24"/>
        </w:rPr>
        <w:t xml:space="preserve"> now, no general agreement on a single test and moisture conditioning process exists among </w:t>
      </w:r>
      <w:r w:rsidRPr="00E64D15">
        <w:rPr>
          <w:rFonts w:cs="Times New Roman"/>
          <w:szCs w:val="24"/>
        </w:rPr>
        <w:t xml:space="preserve">the </w:t>
      </w:r>
      <w:r w:rsidR="00313BA2" w:rsidRPr="00E64D15">
        <w:rPr>
          <w:rFonts w:cs="Times New Roman"/>
          <w:szCs w:val="24"/>
        </w:rPr>
        <w:t xml:space="preserve">state DOTs and asphalt industries for evaluating moisture-induced damage. Therefore, </w:t>
      </w:r>
      <w:r w:rsidRPr="00E64D15">
        <w:rPr>
          <w:rFonts w:cs="Times New Roman"/>
          <w:szCs w:val="24"/>
        </w:rPr>
        <w:t>there is a need to</w:t>
      </w:r>
      <w:r w:rsidR="00313BA2" w:rsidRPr="00E64D15">
        <w:rPr>
          <w:rFonts w:cs="Times New Roman"/>
          <w:szCs w:val="24"/>
        </w:rPr>
        <w:t xml:space="preserve"> develop efficient tools to assess compatibility between aggregates and binders t</w:t>
      </w:r>
      <w:r w:rsidRPr="00E64D15">
        <w:rPr>
          <w:rFonts w:cs="Times New Roman"/>
          <w:szCs w:val="24"/>
        </w:rPr>
        <w:t>hat would</w:t>
      </w:r>
      <w:r w:rsidR="00313BA2" w:rsidRPr="00E64D15">
        <w:rPr>
          <w:rFonts w:cs="Times New Roman"/>
          <w:szCs w:val="24"/>
        </w:rPr>
        <w:t xml:space="preserve"> </w:t>
      </w:r>
      <w:r w:rsidRPr="00E64D15">
        <w:rPr>
          <w:rFonts w:cs="Times New Roman"/>
          <w:szCs w:val="24"/>
        </w:rPr>
        <w:t xml:space="preserve">help </w:t>
      </w:r>
      <w:r w:rsidR="00313BA2" w:rsidRPr="00E64D15">
        <w:rPr>
          <w:rFonts w:cs="Times New Roman"/>
          <w:szCs w:val="24"/>
        </w:rPr>
        <w:t xml:space="preserve">resist moisture-induced damage </w:t>
      </w:r>
      <w:r w:rsidR="00313BA2" w:rsidRPr="00E64D15">
        <w:rPr>
          <w:rFonts w:cs="Times New Roman"/>
          <w:szCs w:val="24"/>
        </w:rPr>
        <w:fldChar w:fldCharType="begin"/>
      </w:r>
      <w:r w:rsidR="00282238" w:rsidRPr="00E64D15">
        <w:rPr>
          <w:rFonts w:cs="Times New Roman"/>
          <w:szCs w:val="24"/>
        </w:rPr>
        <w:instrText xml:space="preserve"> ADDIN EN.CITE &lt;EndNote&gt;&lt;Cite&gt;&lt;Author&gt;Caro&lt;/Author&gt;&lt;Year&gt;2008&lt;/Year&gt;&lt;RecNum&gt;83&lt;/RecNum&gt;&lt;DisplayText&gt;(Bhasin, 2007; Caro et al., 2008b)&lt;/DisplayText&gt;&lt;record&gt;&lt;rec-number&gt;83&lt;/rec-number&gt;&lt;foreign-keys&gt;&lt;key app="EN" db-id="d55vzfpwawdafteedfoxsf0lv0v0wp5va2aa" timestamp="1519492929"&gt;83&lt;/key&gt;&lt;/foreign-keys&gt;&lt;ref-type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2: Characterisation and Modelling&lt;/title&gt;&lt;secondary-title&gt;International Journal of Pavement Engineering&lt;/secondary-title&gt;&lt;/titles&gt;&lt;periodical&gt;&lt;full-title&gt;International Journal of Pavement Engineering&lt;/full-title&gt;&lt;/periodical&gt;&lt;pages&gt;99-114&lt;/pages&gt;&lt;volume&gt;9&lt;/volume&gt;&lt;number&gt;2&lt;/number&gt;&lt;dates&gt;&lt;year&gt;2008&lt;/year&gt;&lt;/dates&gt;&lt;isbn&gt;1029-8436&lt;/isbn&gt;&lt;urls&gt;&lt;/urls&gt;&lt;/record&gt;&lt;/Cite&gt;&lt;Cite&gt;&lt;Author&gt;Bhasin&lt;/Author&gt;&lt;Year&gt;2007&lt;/Year&gt;&lt;RecNum&gt;7&lt;/RecNum&gt;&lt;record&gt;&lt;rec-number&gt;7&lt;/rec-number&gt;&lt;foreign-keys&gt;&lt;key app="EN" db-id="d55vzfpwawdafteedfoxsf0lv0v0wp5va2aa" timestamp="1509900362"&gt;7&lt;/key&gt;&lt;/foreign-keys&gt;&lt;ref-type name="Thesis"&gt;32&lt;/ref-type&gt;&lt;contributors&gt;&lt;authors&gt;&lt;author&gt;Bhasin, Amit&lt;/author&gt;&lt;/authors&gt;&lt;/contributors&gt;&lt;titles&gt;&lt;title&gt;Development of Methods to Quantify Bitumen-Aggregate Adhesion and Loss of Adhesion Due to Water&lt;/title&gt;&lt;/titles&gt;&lt;dates&gt;&lt;year&gt;2007&lt;/year&gt;&lt;/dates&gt;&lt;publisher&gt;Texas A&amp;amp;M University&lt;/publisher&gt;&lt;urls&gt;&lt;/urls&gt;&lt;/record&gt;&lt;/Cite&gt;&lt;/EndNote&gt;</w:instrText>
      </w:r>
      <w:r w:rsidR="00313BA2" w:rsidRPr="00E64D15">
        <w:rPr>
          <w:rFonts w:cs="Times New Roman"/>
          <w:szCs w:val="24"/>
        </w:rPr>
        <w:fldChar w:fldCharType="separate"/>
      </w:r>
      <w:r w:rsidR="00282238" w:rsidRPr="00E64D15">
        <w:rPr>
          <w:rFonts w:cs="Times New Roman"/>
          <w:noProof/>
          <w:szCs w:val="24"/>
        </w:rPr>
        <w:t>(Bhasin, 2007; Caro et al., 2008b)</w:t>
      </w:r>
      <w:r w:rsidR="00313BA2" w:rsidRPr="00E64D15">
        <w:rPr>
          <w:rFonts w:cs="Times New Roman"/>
          <w:szCs w:val="24"/>
        </w:rPr>
        <w:fldChar w:fldCharType="end"/>
      </w:r>
      <w:r w:rsidR="00313BA2" w:rsidRPr="00E64D15">
        <w:rPr>
          <w:rFonts w:cs="Times New Roman"/>
          <w:szCs w:val="24"/>
        </w:rPr>
        <w:t xml:space="preserve">. </w:t>
      </w:r>
    </w:p>
    <w:p w14:paraId="6F222E99" w14:textId="4A934124" w:rsidR="00313BA2" w:rsidRPr="00E64D15" w:rsidRDefault="00313BA2" w:rsidP="008A289A">
      <w:pPr>
        <w:ind w:firstLine="720"/>
        <w:rPr>
          <w:rFonts w:cs="Times New Roman"/>
          <w:szCs w:val="24"/>
        </w:rPr>
      </w:pPr>
      <w:r w:rsidRPr="00E64D15">
        <w:rPr>
          <w:rFonts w:cs="Times New Roman"/>
          <w:szCs w:val="24"/>
        </w:rPr>
        <w:t xml:space="preserve">A number of studies have used semi-circular bend (SCB) geometry to characterize fatigue and low temperature fracture resistance of asphalt mixes (Kim et al. 2012, Li and Marasteanu 2010, Mull et al. 2002, Ozer et al. 2016, Saeidi and Aghayan 2016, Wu et al. 2005, Mohammad et al. 2016). The SCB test is a reliable and relatively simple test method for assessment of cracking performance of asphalt mixes. Recently, two SCB test methods are gaining popularity among </w:t>
      </w:r>
      <w:r w:rsidR="008053AC" w:rsidRPr="00E64D15">
        <w:rPr>
          <w:rFonts w:cs="Times New Roman"/>
          <w:szCs w:val="24"/>
        </w:rPr>
        <w:t xml:space="preserve">the </w:t>
      </w:r>
      <w:r w:rsidRPr="00E64D15">
        <w:rPr>
          <w:rFonts w:cs="Times New Roman"/>
          <w:szCs w:val="24"/>
        </w:rPr>
        <w:t xml:space="preserve">transportation agencies. Louisiana </w:t>
      </w:r>
      <w:r w:rsidR="008053AC" w:rsidRPr="00E64D15">
        <w:rPr>
          <w:rFonts w:cs="Times New Roman"/>
          <w:szCs w:val="24"/>
        </w:rPr>
        <w:t>D</w:t>
      </w:r>
      <w:r w:rsidRPr="00E64D15">
        <w:rPr>
          <w:rFonts w:cs="Times New Roman"/>
          <w:szCs w:val="24"/>
        </w:rPr>
        <w:t xml:space="preserve">epartment of </w:t>
      </w:r>
      <w:r w:rsidR="008053AC" w:rsidRPr="00E64D15">
        <w:rPr>
          <w:rFonts w:cs="Times New Roman"/>
          <w:szCs w:val="24"/>
        </w:rPr>
        <w:t>T</w:t>
      </w:r>
      <w:r w:rsidRPr="00E64D15">
        <w:rPr>
          <w:rFonts w:cs="Times New Roman"/>
          <w:szCs w:val="24"/>
        </w:rPr>
        <w:t xml:space="preserve">ransportation and </w:t>
      </w:r>
      <w:r w:rsidR="008053AC" w:rsidRPr="00E64D15">
        <w:rPr>
          <w:rFonts w:cs="Times New Roman"/>
          <w:szCs w:val="24"/>
        </w:rPr>
        <w:t>D</w:t>
      </w:r>
      <w:r w:rsidRPr="00E64D15">
        <w:rPr>
          <w:rFonts w:cs="Times New Roman"/>
          <w:szCs w:val="24"/>
        </w:rPr>
        <w:t>evelopment has developed a version of the SCB test (LA-SCB), which uses the critical energy release rate or J-integral (</w:t>
      </w:r>
      <w:r w:rsidRPr="00E64D15">
        <w:rPr>
          <w:rFonts w:cs="Times New Roman"/>
          <w:i/>
          <w:iCs/>
          <w:szCs w:val="24"/>
        </w:rPr>
        <w:t>J</w:t>
      </w:r>
      <w:r w:rsidRPr="00E64D15">
        <w:rPr>
          <w:rFonts w:cs="Times New Roman"/>
          <w:i/>
          <w:iCs/>
          <w:szCs w:val="24"/>
          <w:vertAlign w:val="subscript"/>
        </w:rPr>
        <w:t>c</w:t>
      </w:r>
      <w:r w:rsidRPr="00E64D15">
        <w:rPr>
          <w:rFonts w:cs="Times New Roman"/>
          <w:szCs w:val="24"/>
        </w:rPr>
        <w:t xml:space="preserve">) to characterize cracking potential of mixes </w:t>
      </w:r>
      <w:r w:rsidRPr="00E64D15">
        <w:rPr>
          <w:rFonts w:cs="Times New Roman"/>
          <w:szCs w:val="24"/>
        </w:rPr>
        <w:fldChar w:fldCharType="begin"/>
      </w:r>
      <w:r w:rsidR="00282238" w:rsidRPr="00E64D15">
        <w:rPr>
          <w:rFonts w:cs="Times New Roman"/>
          <w:szCs w:val="24"/>
        </w:rPr>
        <w:instrText xml:space="preserve"> ADDIN EN.CITE &lt;EndNote&gt;&lt;Cite&gt;&lt;Author&gt;Cooper Jr&lt;/Author&gt;&lt;Year&gt;2016&lt;/Year&gt;&lt;RecNum&gt;37&lt;/RecNum&gt;&lt;DisplayText&gt;(Cooper Jr et al., 2016)&lt;/DisplayText&gt;&lt;record&gt;&lt;rec-number&gt;37&lt;/rec-number&gt;&lt;foreign-keys&gt;&lt;key app="EN" db-id="d55vzfpwawdafteedfoxsf0lv0v0wp5va2aa" timestamp="1510088110"&gt;37&lt;/key&gt;&lt;/foreign-keys&gt;&lt;ref-type name="Journal Article"&gt;17&lt;/ref-type&gt;&lt;contributors&gt;&lt;authors&gt;&lt;author&gt;Cooper Jr, Samuel B&lt;/author&gt;&lt;author&gt;Cooper III, Samuel B&lt;/author&gt;&lt;author&gt;Mohammad, Louay N&lt;/author&gt;&lt;author&gt;Elseifi, Mostafa A&lt;/author&gt;&lt;/authors&gt;&lt;/contributors&gt;&lt;titles&gt;&lt;title&gt;Development of a Predictive Model Based on an Artificial Neural Network for the Semicircular Bend Test&lt;/title&gt;&lt;secondary-title&gt;Transportation Research Record: Journal of the Transportation Research Board&lt;/secondary-title&gt;&lt;/titles&gt;&lt;periodical&gt;&lt;full-title&gt;Transportation Research Record: Journal of the Transportation Research Board&lt;/full-title&gt;&lt;/periodical&gt;&lt;pages&gt;83-90&lt;/pages&gt;&lt;number&gt;2576&lt;/number&gt;&lt;dates&gt;&lt;year&gt;2016&lt;/year&gt;&lt;/dates&gt;&lt;isbn&gt;0361-1981&lt;/isbn&gt;&lt;urls&gt;&lt;/urls&gt;&lt;/record&gt;&lt;/Cite&gt;&lt;/EndNote&gt;</w:instrText>
      </w:r>
      <w:r w:rsidRPr="00E64D15">
        <w:rPr>
          <w:rFonts w:cs="Times New Roman"/>
          <w:szCs w:val="24"/>
        </w:rPr>
        <w:fldChar w:fldCharType="separate"/>
      </w:r>
      <w:r w:rsidR="00282238" w:rsidRPr="00E64D15">
        <w:rPr>
          <w:rFonts w:cs="Times New Roman"/>
          <w:noProof/>
          <w:szCs w:val="24"/>
        </w:rPr>
        <w:t>(Cooper Jr et al., 2016)</w:t>
      </w:r>
      <w:r w:rsidRPr="00E64D15">
        <w:rPr>
          <w:rFonts w:cs="Times New Roman"/>
          <w:szCs w:val="24"/>
        </w:rPr>
        <w:fldChar w:fldCharType="end"/>
      </w:r>
      <w:r w:rsidRPr="00E64D15">
        <w:rPr>
          <w:rFonts w:cs="Times New Roman"/>
          <w:szCs w:val="24"/>
        </w:rPr>
        <w:t xml:space="preserve">. The Illinois SCB (IL-SCB), developed by </w:t>
      </w:r>
      <w:r w:rsidRPr="00E64D15">
        <w:rPr>
          <w:rFonts w:cs="Times New Roman"/>
          <w:szCs w:val="24"/>
        </w:rPr>
        <w:fldChar w:fldCharType="begin"/>
      </w:r>
      <w:r w:rsidRPr="00E64D15">
        <w:rPr>
          <w:rFonts w:cs="Times New Roman"/>
          <w:szCs w:val="24"/>
        </w:rPr>
        <w:instrText xml:space="preserve"> ADDIN EN.CITE &lt;EndNote&gt;&lt;Cite AuthorYear="1"&gt;&lt;Author&gt;Al-Qadi&lt;/Author&gt;&lt;Year&gt;2015&lt;/Year&gt;&lt;RecNum&gt;133&lt;/RecNum&gt;&lt;DisplayText&gt;Al-Qadi et al. (2015)&lt;/DisplayText&gt;&lt;record&gt;&lt;rec-number&gt;133&lt;/rec-number&gt;&lt;foreign-keys&gt;&lt;key app="EN" db-id="d55vzfpwawdafteedfoxsf0lv0v0wp5va2aa" timestamp="1531591834"&gt;133&lt;/key&gt;&lt;/foreign-keys&gt;&lt;ref-type name="Report"&gt;27&lt;/ref-type&gt;&lt;contributors&gt;&lt;authors&gt;&lt;author&gt;Al-Qadi, Imad L&lt;/author&gt;&lt;author&gt;Ozer, Hasan&lt;/author&gt;&lt;author&gt;Lambros, John&lt;/author&gt;&lt;author&gt;El Khatib, Ahmad&lt;/author&gt;&lt;author&gt;Singhvi, Punit&lt;/author&gt;&lt;author&gt;Khan, Tamim&lt;/author&gt;&lt;author&gt;Rivera-Perez, José&lt;/author&gt;&lt;author&gt;Doll, Berangere&lt;/author&gt;&lt;/authors&gt;&lt;/contributors&gt;&lt;titles&gt;&lt;title&gt;Testing Protocols to Ensure Performance of High Asphalt Binder Replacement Mixes Using RAP and RAS&lt;/title&gt;&lt;/titles&gt;&lt;dates&gt;&lt;year&gt;2015&lt;/year&gt;&lt;/dates&gt;&lt;publisher&gt;Illinois Center for Transportation/Illinois Department of Transportation&lt;/publisher&gt;&lt;isbn&gt;0197-9191&lt;/isbn&gt;&lt;urls&gt;&lt;/urls&gt;&lt;/record&gt;&lt;/Cite&gt;&lt;/EndNote&gt;</w:instrText>
      </w:r>
      <w:r w:rsidRPr="00E64D15">
        <w:rPr>
          <w:rFonts w:cs="Times New Roman"/>
          <w:szCs w:val="24"/>
        </w:rPr>
        <w:fldChar w:fldCharType="separate"/>
      </w:r>
      <w:r w:rsidRPr="00E64D15">
        <w:rPr>
          <w:rFonts w:cs="Times New Roman"/>
          <w:noProof/>
          <w:szCs w:val="24"/>
        </w:rPr>
        <w:t>Al-Qadi et al. (2015)</w:t>
      </w:r>
      <w:r w:rsidRPr="00E64D15">
        <w:rPr>
          <w:rFonts w:cs="Times New Roman"/>
          <w:szCs w:val="24"/>
        </w:rPr>
        <w:fldChar w:fldCharType="end"/>
      </w:r>
      <w:r w:rsidRPr="00E64D15">
        <w:rPr>
          <w:rFonts w:cs="Times New Roman"/>
          <w:szCs w:val="24"/>
        </w:rPr>
        <w:t>, uses flexibility index (</w:t>
      </w:r>
      <w:r w:rsidRPr="00E64D15">
        <w:rPr>
          <w:rFonts w:cs="Times New Roman"/>
          <w:i/>
          <w:iCs/>
          <w:szCs w:val="24"/>
        </w:rPr>
        <w:t>FI</w:t>
      </w:r>
      <w:r w:rsidRPr="00E64D15">
        <w:rPr>
          <w:rFonts w:cs="Times New Roman"/>
          <w:szCs w:val="24"/>
        </w:rPr>
        <w:t>) and fracture energy (</w:t>
      </w:r>
      <w:r w:rsidRPr="00E64D15">
        <w:rPr>
          <w:rFonts w:cs="Times New Roman"/>
          <w:i/>
          <w:iCs/>
          <w:szCs w:val="24"/>
        </w:rPr>
        <w:t>G</w:t>
      </w:r>
      <w:r w:rsidRPr="00E64D15">
        <w:rPr>
          <w:rFonts w:cs="Times New Roman"/>
          <w:i/>
          <w:iCs/>
          <w:szCs w:val="24"/>
          <w:vertAlign w:val="subscript"/>
        </w:rPr>
        <w:t>f</w:t>
      </w:r>
      <w:r w:rsidRPr="00E64D15">
        <w:rPr>
          <w:rFonts w:cs="Times New Roman"/>
          <w:szCs w:val="24"/>
        </w:rPr>
        <w:t xml:space="preserve">) to characterize the fracture properties of asphalt mixes. Evaluation of </w:t>
      </w:r>
      <w:r w:rsidRPr="00E64D15">
        <w:rPr>
          <w:rFonts w:cs="Times New Roman"/>
          <w:szCs w:val="24"/>
        </w:rPr>
        <w:lastRenderedPageBreak/>
        <w:t>fracture properties through SCB test is expected to help understand the moisture-induced damage phenomena of an asphalt mix.</w:t>
      </w:r>
    </w:p>
    <w:p w14:paraId="0D62A942" w14:textId="77777777" w:rsidR="00313BA2" w:rsidRPr="00E64D15" w:rsidRDefault="00313BA2" w:rsidP="00985A4A">
      <w:pPr>
        <w:pStyle w:val="Heading3"/>
      </w:pPr>
      <w:bookmarkStart w:id="27" w:name="_Toc24096068"/>
      <w:bookmarkStart w:id="28" w:name="_Toc71728408"/>
      <w:r w:rsidRPr="00E64D15">
        <w:t>Studies Related to Thermodynamic Approach</w:t>
      </w:r>
      <w:bookmarkEnd w:id="27"/>
      <w:bookmarkEnd w:id="28"/>
    </w:p>
    <w:p w14:paraId="1D03FE41" w14:textId="710E29D8" w:rsidR="00313BA2" w:rsidRPr="00313BA2" w:rsidRDefault="00313BA2" w:rsidP="00DF3EA7">
      <w:pPr>
        <w:ind w:firstLine="720"/>
        <w:rPr>
          <w:rFonts w:cs="Times New Roman"/>
          <w:szCs w:val="24"/>
        </w:rPr>
      </w:pPr>
      <w:r w:rsidRPr="00E64D15">
        <w:rPr>
          <w:rFonts w:cs="Times New Roman"/>
          <w:szCs w:val="24"/>
        </w:rPr>
        <w:t xml:space="preserve">Thermodynamic approach using surface free energy is widely used to define adhesion between two materials </w:t>
      </w:r>
      <w:r w:rsidRPr="00E64D15">
        <w:rPr>
          <w:rFonts w:cs="Times New Roman"/>
          <w:szCs w:val="24"/>
        </w:rPr>
        <w:fldChar w:fldCharType="begin"/>
      </w:r>
      <w:r w:rsidR="00282238" w:rsidRPr="00E64D15">
        <w:rPr>
          <w:rFonts w:cs="Times New Roman"/>
          <w:szCs w:val="24"/>
        </w:rPr>
        <w:instrText xml:space="preserve"> ADDIN EN.CITE &lt;EndNote&gt;&lt;Cite&gt;&lt;Author&gt;Hefer&lt;/Author&gt;&lt;Year&gt;2005&lt;/Year&gt;&lt;RecNum&gt;87&lt;/RecNum&gt;&lt;DisplayText&gt;(Hefer et al., 2005)&lt;/DisplayText&gt;&lt;record&gt;&lt;rec-number&gt;87&lt;/rec-number&gt;&lt;foreign-keys&gt;&lt;key app="EN" db-id="d55vzfpwawdafteedfoxsf0lv0v0wp5va2aa" timestamp="1519496321"&gt;87&lt;/key&gt;&lt;/foreign-keys&gt;&lt;ref-type name="Journal Article"&gt;17&lt;/ref-type&gt;&lt;contributors&gt;&lt;authors&gt;&lt;author&gt;Hefer, Arno W&lt;/author&gt;&lt;author&gt;Little, Dallas N&lt;/author&gt;&lt;author&gt;Lytton, Robert L&lt;/author&gt;&lt;/authors&gt;&lt;/contributors&gt;&lt;titles&gt;&lt;title&gt;A Synthesis of Theories and Mechanisms of Bitumen-Aggregate Adhesion Including Recent Advances in Quantifying the Effects of Water&lt;/title&gt;&lt;secondary-title&gt;Journal of the association of asphalt paving technologists&lt;/secondary-title&gt;&lt;/titles&gt;&lt;periodical&gt;&lt;full-title&gt;Journal of the Association of Asphalt Paving Technologists&lt;/full-title&gt;&lt;/periodical&gt;&lt;pages&gt;139-196&lt;/pages&gt;&lt;volume&gt;74&lt;/volume&gt;&lt;dates&gt;&lt;year&gt;2005&lt;/year&gt;&lt;/dates&gt;&lt;urls&gt;&lt;/urls&gt;&lt;/record&gt;&lt;/Cite&gt;&lt;/EndNote&gt;</w:instrText>
      </w:r>
      <w:r w:rsidRPr="00E64D15">
        <w:rPr>
          <w:rFonts w:cs="Times New Roman"/>
          <w:szCs w:val="24"/>
        </w:rPr>
        <w:fldChar w:fldCharType="separate"/>
      </w:r>
      <w:r w:rsidR="00282238" w:rsidRPr="00E64D15">
        <w:rPr>
          <w:rFonts w:cs="Times New Roman"/>
          <w:noProof/>
          <w:szCs w:val="24"/>
        </w:rPr>
        <w:t>(Hefer et al., 2005)</w:t>
      </w:r>
      <w:r w:rsidRPr="00E64D15">
        <w:rPr>
          <w:rFonts w:cs="Times New Roman"/>
          <w:szCs w:val="24"/>
        </w:rPr>
        <w:fldChar w:fldCharType="end"/>
      </w:r>
      <w:r w:rsidRPr="00E64D15">
        <w:rPr>
          <w:rFonts w:cs="Times New Roman"/>
          <w:szCs w:val="24"/>
        </w:rPr>
        <w:t>. According to this concept, the physio-chemical adhesion between two materials is a function of the surface free energies of those materials. Generally, molecules in bulk of a material are surrounded by other molecules</w:t>
      </w:r>
      <w:r w:rsidR="00C87790" w:rsidRPr="00E64D15">
        <w:rPr>
          <w:rFonts w:cs="Times New Roman"/>
          <w:szCs w:val="24"/>
        </w:rPr>
        <w:t>,</w:t>
      </w:r>
      <w:r w:rsidRPr="00E64D15">
        <w:rPr>
          <w:rFonts w:cs="Times New Roman"/>
          <w:szCs w:val="24"/>
        </w:rPr>
        <w:t xml:space="preserve"> </w:t>
      </w:r>
      <w:r w:rsidR="00DD3540" w:rsidRPr="00E64D15">
        <w:rPr>
          <w:rFonts w:cs="Times New Roman"/>
          <w:szCs w:val="24"/>
        </w:rPr>
        <w:t>whereas  molecules at the surface has fewer</w:t>
      </w:r>
      <w:r w:rsidR="00C87790" w:rsidRPr="00E64D15">
        <w:rPr>
          <w:rFonts w:cs="Times New Roman"/>
          <w:szCs w:val="24"/>
        </w:rPr>
        <w:t xml:space="preserve"> attractive molecular interactions.</w:t>
      </w:r>
      <w:r w:rsidRPr="00E64D15">
        <w:rPr>
          <w:rFonts w:cs="Times New Roman"/>
          <w:szCs w:val="24"/>
        </w:rPr>
        <w:t xml:space="preserve"> Therefore, work needs to be done to bring molecules from the bulk to surface, i.e., to create a new surface. The surface free energy (SFE) of a material is generally defined as the work required to increase the surface of a material by a unit area under vacuum </w:t>
      </w:r>
      <w:r w:rsidRPr="00E64D15">
        <w:rPr>
          <w:rFonts w:cs="Times New Roman"/>
          <w:szCs w:val="24"/>
        </w:rPr>
        <w:fldChar w:fldCharType="begin"/>
      </w:r>
      <w:r w:rsidR="00282238" w:rsidRPr="00E64D15">
        <w:rPr>
          <w:rFonts w:cs="Times New Roman"/>
          <w:szCs w:val="24"/>
        </w:rPr>
        <w:instrText xml:space="preserve"> ADDIN EN.CITE &lt;EndNote&gt;&lt;Cite&gt;&lt;Author&gt;Van Oss&lt;/Author&gt;&lt;Year&gt;1988&lt;/Year&gt;&lt;RecNum&gt;31&lt;/RecNum&gt;&lt;DisplayText&gt;(Van Oss et al., 1988)&lt;/DisplayText&gt;&lt;record&gt;&lt;rec-number&gt;31&lt;/rec-number&gt;&lt;foreign-keys&gt;&lt;key app="EN" db-id="d55vzfpwawdafteedfoxsf0lv0v0wp5va2aa" timestamp="1509901250"&gt;31&lt;/key&gt;&lt;/foreign-keys&gt;&lt;ref-type name="Journal Article"&gt;17&lt;/ref-type&gt;&lt;contributors&gt;&lt;authors&gt;&lt;author&gt;Van Oss, Carel J&lt;/author&gt;&lt;author&gt;Chaudhury, Manoj K&lt;/author&gt;&lt;author&gt;Good, Robert J&lt;/author&gt;&lt;/authors&gt;&lt;/contributors&gt;&lt;titles&gt;&lt;title&gt;Interfacial Lifshitz-Van Der Waals and Polar Interactions in Macroscopic Systems&lt;/title&gt;&lt;secondary-title&gt;Chemical Reviews&lt;/secondary-title&gt;&lt;/titles&gt;&lt;periodical&gt;&lt;full-title&gt;Chemical Reviews&lt;/full-title&gt;&lt;/periodical&gt;&lt;pages&gt;927-941&lt;/pages&gt;&lt;volume&gt;88&lt;/volume&gt;&lt;number&gt;6&lt;/number&gt;&lt;dates&gt;&lt;year&gt;1988&lt;/year&gt;&lt;/dates&gt;&lt;isbn&gt;0009-2665&lt;/isbn&gt;&lt;urls&gt;&lt;/urls&gt;&lt;/record&gt;&lt;/Cite&gt;&lt;/EndNote&gt;</w:instrText>
      </w:r>
      <w:r w:rsidRPr="00E64D15">
        <w:rPr>
          <w:rFonts w:cs="Times New Roman"/>
          <w:szCs w:val="24"/>
        </w:rPr>
        <w:fldChar w:fldCharType="separate"/>
      </w:r>
      <w:r w:rsidR="00282238" w:rsidRPr="00E64D15">
        <w:rPr>
          <w:rFonts w:cs="Times New Roman"/>
          <w:noProof/>
          <w:szCs w:val="24"/>
        </w:rPr>
        <w:t>(Van Oss et al., 1988)</w:t>
      </w:r>
      <w:r w:rsidRPr="00E64D15">
        <w:rPr>
          <w:rFonts w:cs="Times New Roman"/>
          <w:szCs w:val="24"/>
        </w:rPr>
        <w:fldChar w:fldCharType="end"/>
      </w:r>
      <w:r w:rsidRPr="00E64D15">
        <w:rPr>
          <w:rFonts w:cs="Times New Roman"/>
          <w:szCs w:val="24"/>
        </w:rPr>
        <w:t xml:space="preserve">. Several methods are currently available to estimate SFE of a solid surface from contact angle measurements. These methods generally fall under </w:t>
      </w:r>
      <w:r w:rsidR="008053AC" w:rsidRPr="00E64D15">
        <w:rPr>
          <w:rFonts w:cs="Times New Roman"/>
          <w:szCs w:val="24"/>
        </w:rPr>
        <w:t xml:space="preserve">the following </w:t>
      </w:r>
      <w:r w:rsidRPr="00E64D15">
        <w:rPr>
          <w:rFonts w:cs="Times New Roman"/>
          <w:szCs w:val="24"/>
        </w:rPr>
        <w:t>two categories</w:t>
      </w:r>
      <w:r w:rsidR="008053AC" w:rsidRPr="00E64D15">
        <w:rPr>
          <w:rFonts w:cs="Times New Roman"/>
          <w:szCs w:val="24"/>
        </w:rPr>
        <w:t>:</w:t>
      </w:r>
      <w:r w:rsidRPr="00E64D15">
        <w:rPr>
          <w:rFonts w:cs="Times New Roman"/>
          <w:szCs w:val="24"/>
        </w:rPr>
        <w:t xml:space="preserve"> component-based approach and equation of state approach. </w:t>
      </w:r>
      <w:r w:rsidRPr="00E64D15">
        <w:rPr>
          <w:rFonts w:cs="Times New Roman"/>
          <w:szCs w:val="24"/>
        </w:rPr>
        <w:fldChar w:fldCharType="begin"/>
      </w:r>
      <w:r w:rsidRPr="00E64D15">
        <w:rPr>
          <w:rFonts w:cs="Times New Roman"/>
          <w:szCs w:val="24"/>
        </w:rPr>
        <w:instrText xml:space="preserve"> ADDIN EN.CITE &lt;EndNote&gt;&lt;Cite AuthorYear="1"&gt;&lt;Author&gt;Fowkes&lt;/Author&gt;&lt;Year&gt;1964&lt;/Year&gt;&lt;RecNum&gt;246&lt;/RecNum&gt;&lt;DisplayText&gt;Fowkes (1964)&lt;/DisplayText&gt;&lt;record&gt;&lt;rec-number&gt;246&lt;/rec-number&gt;&lt;foreign-keys&gt;&lt;key app="EN" db-id="tfx2va9ropw5p7evdr2pf5rw2vszzx9t0xzs" timestamp="1601699923"&gt;246&lt;/key&gt;&lt;/foreign-keys&gt;&lt;ref-type name="Journal Article"&gt;17&lt;/ref-type&gt;&lt;contributors&gt;&lt;authors&gt;&lt;author&gt;Fowkes, FM&lt;/author&gt;&lt;/authors&gt;&lt;/contributors&gt;&lt;titles&gt;&lt;title&gt;Attractive Forces at Interfaces, Ind. Eng. Chem. 56 (12), 40-52&lt;/title&gt;&lt;/titles&gt;&lt;dates&gt;&lt;year&gt;1964&lt;/year&gt;&lt;/dates&gt;&lt;urls&gt;&lt;/urls&gt;&lt;/record&gt;&lt;/Cite&gt;&lt;/EndNote&gt;</w:instrText>
      </w:r>
      <w:r w:rsidRPr="00E64D15">
        <w:rPr>
          <w:rFonts w:cs="Times New Roman"/>
          <w:szCs w:val="24"/>
        </w:rPr>
        <w:fldChar w:fldCharType="separate"/>
      </w:r>
      <w:r w:rsidRPr="00E64D15">
        <w:rPr>
          <w:rFonts w:cs="Times New Roman"/>
          <w:noProof/>
          <w:szCs w:val="24"/>
        </w:rPr>
        <w:t>Fowkes (1964)</w:t>
      </w:r>
      <w:r w:rsidRPr="00E64D15">
        <w:rPr>
          <w:rFonts w:cs="Times New Roman"/>
          <w:szCs w:val="24"/>
        </w:rPr>
        <w:fldChar w:fldCharType="end"/>
      </w:r>
      <w:r w:rsidRPr="00E64D15">
        <w:rPr>
          <w:rFonts w:cs="Times New Roman"/>
          <w:szCs w:val="24"/>
        </w:rPr>
        <w:t xml:space="preserve">, </w:t>
      </w:r>
      <w:r w:rsidRPr="00E64D15">
        <w:rPr>
          <w:rFonts w:cs="Times New Roman"/>
          <w:szCs w:val="24"/>
        </w:rPr>
        <w:fldChar w:fldCharType="begin"/>
      </w:r>
      <w:r w:rsidRPr="00E64D15">
        <w:rPr>
          <w:rFonts w:cs="Times New Roman"/>
          <w:szCs w:val="24"/>
        </w:rPr>
        <w:instrText xml:space="preserve"> ADDIN EN.CITE &lt;EndNote&gt;&lt;Cite AuthorYear="1"&gt;&lt;Author&gt;Owens&lt;/Author&gt;&lt;Year&gt;1969&lt;/Year&gt;&lt;RecNum&gt;247&lt;/RecNum&gt;&lt;DisplayText&gt;Owens and Wendt (1969)&lt;/DisplayText&gt;&lt;record&gt;&lt;rec-number&gt;247&lt;/rec-number&gt;&lt;foreign-keys&gt;&lt;key app="EN" db-id="tfx2va9ropw5p7evdr2pf5rw2vszzx9t0xzs" timestamp="1601700045"&gt;247&lt;/key&gt;&lt;/foreign-keys&gt;&lt;ref-type name="Journal Article"&gt;17&lt;/ref-type&gt;&lt;contributors&gt;&lt;authors&gt;&lt;author&gt;Owens, Daniel K&lt;/author&gt;&lt;author&gt;Wendt, RC&lt;/author&gt;&lt;/authors&gt;&lt;/contributors&gt;&lt;titles&gt;&lt;title&gt;Estimation of the surface free energy of polymers&lt;/title&gt;&lt;secondary-title&gt;Journal of applied polymer science&lt;/secondary-title&gt;&lt;/titles&gt;&lt;periodical&gt;&lt;full-title&gt;Journal of applied polymer science&lt;/full-title&gt;&lt;/periodical&gt;&lt;pages&gt;1741-1747&lt;/pages&gt;&lt;volume&gt;13&lt;/volume&gt;&lt;number&gt;8&lt;/number&gt;&lt;dates&gt;&lt;year&gt;1969&lt;/year&gt;&lt;/dates&gt;&lt;isbn&gt;0021-8995&lt;/isbn&gt;&lt;urls&gt;&lt;/urls&gt;&lt;/record&gt;&lt;/Cite&gt;&lt;/EndNote&gt;</w:instrText>
      </w:r>
      <w:r w:rsidRPr="00E64D15">
        <w:rPr>
          <w:rFonts w:cs="Times New Roman"/>
          <w:szCs w:val="24"/>
        </w:rPr>
        <w:fldChar w:fldCharType="separate"/>
      </w:r>
      <w:r w:rsidRPr="00E64D15">
        <w:rPr>
          <w:rFonts w:cs="Times New Roman"/>
          <w:noProof/>
          <w:szCs w:val="24"/>
        </w:rPr>
        <w:t>Owens and Wendt (1969)</w:t>
      </w:r>
      <w:r w:rsidRPr="00E64D15">
        <w:rPr>
          <w:rFonts w:cs="Times New Roman"/>
          <w:szCs w:val="24"/>
        </w:rPr>
        <w:fldChar w:fldCharType="end"/>
      </w:r>
      <w:r w:rsidRPr="00E64D15">
        <w:rPr>
          <w:rFonts w:cs="Times New Roman"/>
          <w:szCs w:val="24"/>
        </w:rPr>
        <w:t xml:space="preserve">, Wu </w:t>
      </w:r>
      <w:r w:rsidRPr="00E64D15">
        <w:rPr>
          <w:rFonts w:cs="Times New Roman"/>
          <w:szCs w:val="24"/>
        </w:rPr>
        <w:fldChar w:fldCharType="begin"/>
      </w:r>
      <w:r w:rsidR="00282238" w:rsidRPr="00E64D15">
        <w:rPr>
          <w:rFonts w:cs="Times New Roman"/>
          <w:szCs w:val="24"/>
        </w:rPr>
        <w:instrText xml:space="preserve"> ADDIN EN.CITE &lt;EndNote&gt;&lt;Cite&gt;&lt;Author&gt;Wu&lt;/Author&gt;&lt;Year&gt;1971&lt;/Year&gt;&lt;RecNum&gt;255&lt;/RecNum&gt;&lt;DisplayText&gt;(Wu, 1971; Wu, 1973)&lt;/DisplayText&gt;&lt;record&gt;&lt;rec-number&gt;255&lt;/rec-number&gt;&lt;foreign-keys&gt;&lt;key app="EN" db-id="tfx2va9ropw5p7evdr2pf5rw2vszzx9t0xzs" timestamp="1601709543"&gt;255&lt;/key&gt;&lt;/foreign-keys&gt;&lt;ref-type name="Conference Proceedings"&gt;10&lt;/ref-type&gt;&lt;contributors&gt;&lt;authors&gt;&lt;author&gt;Wu, Souheng&lt;/author&gt;&lt;/authors&gt;&lt;/contributors&gt;&lt;titles&gt;&lt;title&gt;Calculation of interfacial tension in polymer systems&lt;/title&gt;&lt;secondary-title&gt;Journal of Polymer Science Part C: Polymer Symposia&lt;/secondary-title&gt;&lt;/titles&gt;&lt;pages&gt;19-30&lt;/pages&gt;&lt;volume&gt;34&lt;/volume&gt;&lt;number&gt;1&lt;/number&gt;&lt;dates&gt;&lt;year&gt;1971&lt;/year&gt;&lt;/dates&gt;&lt;publisher&gt;Wiley Online Library&lt;/publisher&gt;&lt;isbn&gt;0449-2994&lt;/isbn&gt;&lt;urls&gt;&lt;/urls&gt;&lt;/record&gt;&lt;/Cite&gt;&lt;Cite&gt;&lt;Author&gt;Wu&lt;/Author&gt;&lt;Year&gt;1973&lt;/Year&gt;&lt;RecNum&gt;256&lt;/RecNum&gt;&lt;record&gt;&lt;rec-number&gt;256&lt;/rec-number&gt;&lt;foreign-keys&gt;&lt;key app="EN" db-id="tfx2va9ropw5p7evdr2pf5rw2vszzx9t0xzs" timestamp="1601709590"&gt;256&lt;/key&gt;&lt;/foreign-keys&gt;&lt;ref-type name="Journal Article"&gt;17&lt;/ref-type&gt;&lt;contributors&gt;&lt;authors&gt;&lt;author&gt;Wu, Souheng&lt;/author&gt;&lt;/authors&gt;&lt;/contributors&gt;&lt;titles&gt;&lt;title&gt;Polar and nonpolar interactions in adhesion&lt;/title&gt;&lt;secondary-title&gt;The Journal of Adhesion&lt;/secondary-title&gt;&lt;/titles&gt;&lt;periodical&gt;&lt;full-title&gt;The Journal of Adhesion&lt;/full-title&gt;&lt;/periodical&gt;&lt;pages&gt;39-55&lt;/pages&gt;&lt;volume&gt;5&lt;/volume&gt;&lt;number&gt;1&lt;/number&gt;&lt;dates&gt;&lt;year&gt;1973&lt;/year&gt;&lt;/dates&gt;&lt;isbn&gt;0021-8464&lt;/isbn&gt;&lt;urls&gt;&lt;/urls&gt;&lt;/record&gt;&lt;/Cite&gt;&lt;/EndNote&gt;</w:instrText>
      </w:r>
      <w:r w:rsidRPr="00E64D15">
        <w:rPr>
          <w:rFonts w:cs="Times New Roman"/>
          <w:szCs w:val="24"/>
        </w:rPr>
        <w:fldChar w:fldCharType="separate"/>
      </w:r>
      <w:r w:rsidR="00282238" w:rsidRPr="00E64D15">
        <w:rPr>
          <w:rFonts w:cs="Times New Roman"/>
          <w:noProof/>
          <w:szCs w:val="24"/>
        </w:rPr>
        <w:t>(Wu, 1971; Wu, 1973)</w:t>
      </w:r>
      <w:r w:rsidRPr="00E64D15">
        <w:rPr>
          <w:rFonts w:cs="Times New Roman"/>
          <w:szCs w:val="24"/>
        </w:rPr>
        <w:fldChar w:fldCharType="end"/>
      </w:r>
      <w:r w:rsidRPr="00E64D15">
        <w:rPr>
          <w:rFonts w:cs="Times New Roman"/>
          <w:szCs w:val="24"/>
        </w:rPr>
        <w:t xml:space="preserve"> and </w:t>
      </w:r>
      <w:r w:rsidRPr="00E64D15">
        <w:rPr>
          <w:rFonts w:cs="Times New Roman"/>
          <w:szCs w:val="24"/>
        </w:rPr>
        <w:fldChar w:fldCharType="begin"/>
      </w:r>
      <w:r w:rsidRPr="00E64D15">
        <w:rPr>
          <w:rFonts w:cs="Times New Roman"/>
          <w:szCs w:val="24"/>
        </w:rPr>
        <w:instrText xml:space="preserve"> ADDIN EN.CITE &lt;EndNote&gt;&lt;Cite AuthorYear="1"&gt;&lt;Author&gt;Van Oss&lt;/Author&gt;&lt;Year&gt;1988&lt;/Year&gt;&lt;RecNum&gt;31&lt;/RecNum&gt;&lt;DisplayText&gt;Van Oss et al. (1988)&lt;/DisplayText&gt;&lt;record&gt;&lt;rec-number&gt;31&lt;/rec-number&gt;&lt;foreign-keys&gt;&lt;key app="EN" db-id="d55vzfpwawdafteedfoxsf0lv0v0wp5va2aa" timestamp="1509901250"&gt;31&lt;/key&gt;&lt;/foreign-keys&gt;&lt;ref-type name="Journal Article"&gt;17&lt;/ref-type&gt;&lt;contributors&gt;&lt;authors&gt;&lt;author&gt;Van Oss, Carel J&lt;/author&gt;&lt;author&gt;Chaudhury, Manoj K&lt;/author&gt;&lt;author&gt;Good, Robert J&lt;/author&gt;&lt;/authors&gt;&lt;/contributors&gt;&lt;titles&gt;&lt;title&gt;Interfacial Lifshitz-Van Der Waals and Polar Interactions in Macroscopic Systems&lt;/title&gt;&lt;secondary-title&gt;Chemical Reviews&lt;/secondary-title&gt;&lt;/titles&gt;&lt;periodical&gt;&lt;full-title&gt;Chemical Reviews&lt;/full-title&gt;&lt;/periodical&gt;&lt;pages&gt;927-941&lt;/pages&gt;&lt;volume&gt;88&lt;/volume&gt;&lt;number&gt;6&lt;/number&gt;&lt;dates&gt;&lt;year&gt;1988&lt;/year&gt;&lt;/dates&gt;&lt;isbn&gt;0009-2665&lt;/isbn&gt;&lt;urls&gt;&lt;/urls&gt;&lt;/record&gt;&lt;/Cite&gt;&lt;/EndNote&gt;</w:instrText>
      </w:r>
      <w:r w:rsidRPr="00E64D15">
        <w:rPr>
          <w:rFonts w:cs="Times New Roman"/>
          <w:szCs w:val="24"/>
        </w:rPr>
        <w:fldChar w:fldCharType="separate"/>
      </w:r>
      <w:r w:rsidRPr="00E64D15">
        <w:rPr>
          <w:rFonts w:cs="Times New Roman"/>
          <w:noProof/>
          <w:szCs w:val="24"/>
        </w:rPr>
        <w:t>Van Oss et al. (1988)</w:t>
      </w:r>
      <w:r w:rsidRPr="00E64D15">
        <w:rPr>
          <w:rFonts w:cs="Times New Roman"/>
          <w:szCs w:val="24"/>
        </w:rPr>
        <w:fldChar w:fldCharType="end"/>
      </w:r>
      <w:r w:rsidRPr="00E64D15">
        <w:rPr>
          <w:rFonts w:cs="Times New Roman"/>
          <w:szCs w:val="24"/>
        </w:rPr>
        <w:t xml:space="preserve"> developed </w:t>
      </w:r>
      <w:r w:rsidR="008053AC" w:rsidRPr="00E64D15">
        <w:rPr>
          <w:rFonts w:cs="Times New Roman"/>
          <w:szCs w:val="24"/>
        </w:rPr>
        <w:t xml:space="preserve">the </w:t>
      </w:r>
      <w:r w:rsidRPr="00E64D15">
        <w:rPr>
          <w:rFonts w:cs="Times New Roman"/>
          <w:szCs w:val="24"/>
        </w:rPr>
        <w:t xml:space="preserve">SFE estimation methods using the component-based approach. The calculated values of the SFE using these component-based approaches rely on the selection of probe liquid set. </w:t>
      </w:r>
      <w:r w:rsidR="008053AC" w:rsidRPr="00E64D15">
        <w:rPr>
          <w:rFonts w:cs="Times New Roman"/>
          <w:szCs w:val="24"/>
        </w:rPr>
        <w:t xml:space="preserve">Instead of using the component-based approach, </w:t>
      </w:r>
      <w:r w:rsidRPr="00E64D15">
        <w:rPr>
          <w:rFonts w:cs="Times New Roman"/>
          <w:szCs w:val="24"/>
        </w:rPr>
        <w:t>Ne</w:t>
      </w:r>
      <w:r w:rsidR="00B34FD0" w:rsidRPr="00E64D15">
        <w:rPr>
          <w:rFonts w:cs="Times New Roman"/>
          <w:szCs w:val="24"/>
        </w:rPr>
        <w:t>u</w:t>
      </w:r>
      <w:r w:rsidRPr="00E64D15">
        <w:rPr>
          <w:rFonts w:cs="Times New Roman"/>
          <w:szCs w:val="24"/>
        </w:rPr>
        <w:t>man</w:t>
      </w:r>
      <w:r w:rsidR="00D15A84">
        <w:rPr>
          <w:rFonts w:cs="Times New Roman"/>
          <w:szCs w:val="24"/>
        </w:rPr>
        <w:t>n</w:t>
      </w:r>
      <w:r w:rsidRPr="00E64D15">
        <w:rPr>
          <w:rFonts w:cs="Times New Roman"/>
          <w:szCs w:val="24"/>
        </w:rPr>
        <w:t xml:space="preserve"> and his colleagues </w:t>
      </w:r>
      <w:r w:rsidRPr="00E64D15">
        <w:rPr>
          <w:rFonts w:cs="Times New Roman"/>
          <w:szCs w:val="24"/>
        </w:rPr>
        <w:fldChar w:fldCharType="begin">
          <w:fldData xml:space="preserve">PEVuZE5vdGU+PENpdGU+PEF1dGhvcj5OZXVtYW5uPC9BdXRob3I+PFllYXI+MTk3NDwvWWVhcj48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</w:fldData>
        </w:fldChar>
      </w:r>
      <w:r w:rsidR="00282238" w:rsidRPr="00E64D15">
        <w:rPr>
          <w:rFonts w:cs="Times New Roman"/>
          <w:szCs w:val="24"/>
        </w:rPr>
        <w:instrText xml:space="preserve"> ADDIN EN.CITE </w:instrText>
      </w:r>
      <w:r w:rsidR="00282238" w:rsidRPr="00E64D15">
        <w:rPr>
          <w:rFonts w:cs="Times New Roman"/>
          <w:szCs w:val="24"/>
        </w:rPr>
        <w:fldChar w:fldCharType="begin">
          <w:fldData xml:space="preserve">PEVuZE5vdGU+PENpdGU+PEF1dGhvcj5OZXVtYW5uPC9BdXRob3I+PFllYXI+MTk3NDwvWWVhcj48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</w:fldData>
        </w:fldChar>
      </w:r>
      <w:r w:rsidR="00282238" w:rsidRPr="00E64D15">
        <w:rPr>
          <w:rFonts w:cs="Times New Roman"/>
          <w:szCs w:val="24"/>
        </w:rPr>
        <w:instrText xml:space="preserve"> ADDIN EN.CITE.DATA </w:instrText>
      </w:r>
      <w:r w:rsidR="00282238" w:rsidRPr="00E64D15">
        <w:rPr>
          <w:rFonts w:cs="Times New Roman"/>
          <w:szCs w:val="24"/>
        </w:rPr>
      </w:r>
      <w:r w:rsidR="00282238" w:rsidRPr="00E64D15">
        <w:rPr>
          <w:rFonts w:cs="Times New Roman"/>
          <w:szCs w:val="24"/>
        </w:rPr>
        <w:fldChar w:fldCharType="end"/>
      </w:r>
      <w:r w:rsidRPr="00E64D15">
        <w:rPr>
          <w:rFonts w:cs="Times New Roman"/>
          <w:szCs w:val="24"/>
        </w:rPr>
      </w:r>
      <w:r w:rsidRPr="00E64D15">
        <w:rPr>
          <w:rFonts w:cs="Times New Roman"/>
          <w:szCs w:val="24"/>
        </w:rPr>
        <w:fldChar w:fldCharType="separate"/>
      </w:r>
      <w:r w:rsidR="00282238" w:rsidRPr="00E64D15">
        <w:rPr>
          <w:rFonts w:cs="Times New Roman"/>
          <w:noProof/>
          <w:szCs w:val="24"/>
        </w:rPr>
        <w:t>(Neumann et al., 1974; Li and Neumann, 1990; Li and Neumann, 1992)</w:t>
      </w:r>
      <w:r w:rsidRPr="00E64D15">
        <w:rPr>
          <w:rFonts w:cs="Times New Roman"/>
          <w:szCs w:val="24"/>
        </w:rPr>
        <w:fldChar w:fldCharType="end"/>
      </w:r>
      <w:r w:rsidRPr="00E64D15">
        <w:rPr>
          <w:rFonts w:cs="Times New Roman"/>
          <w:szCs w:val="24"/>
        </w:rPr>
        <w:t xml:space="preserve"> used the equation of state</w:t>
      </w:r>
      <w:r w:rsidRPr="00313BA2">
        <w:rPr>
          <w:rFonts w:cs="Times New Roman"/>
          <w:szCs w:val="24"/>
        </w:rPr>
        <w:t xml:space="preserve"> approach to calculate </w:t>
      </w:r>
      <w:r w:rsidR="008053AC">
        <w:rPr>
          <w:rFonts w:cs="Times New Roman"/>
          <w:szCs w:val="24"/>
        </w:rPr>
        <w:t xml:space="preserve">the </w:t>
      </w:r>
      <w:r w:rsidRPr="00313BA2">
        <w:rPr>
          <w:rFonts w:cs="Times New Roman"/>
          <w:szCs w:val="24"/>
        </w:rPr>
        <w:t xml:space="preserve">SFE of a material. The dependency of the SFE on probe liquid set can be eliminated using this approach. The SFE of a material was reported to vary due to the difference in mathematical relations between contact angles and SFE, used in each </w:t>
      </w:r>
      <w:r w:rsidRPr="00313BA2">
        <w:rPr>
          <w:rFonts w:cs="Times New Roman"/>
          <w:szCs w:val="24"/>
        </w:rPr>
        <w:lastRenderedPageBreak/>
        <w:t xml:space="preserve">estimation method </w:t>
      </w:r>
      <w:r w:rsidRPr="00313BA2">
        <w:rPr>
          <w:rFonts w:cs="Times New Roman"/>
          <w:szCs w:val="24"/>
        </w:rPr>
        <w:fldChar w:fldCharType="begin">
          <w:fldData xml:space="preserve">PEVuZE5vdGU+PENpdGU+PEF1dGhvcj5EZWxsYSBWb2xwZTwvQXV0aG9yPjxZZWFyPjIwMDA8L1ll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</w:fldData>
        </w:fldChar>
      </w:r>
      <w:r w:rsidR="00282238">
        <w:rPr>
          <w:rFonts w:cs="Times New Roman"/>
          <w:szCs w:val="24"/>
        </w:rPr>
        <w:instrText xml:space="preserve"> ADDIN EN.CITE </w:instrText>
      </w:r>
      <w:r w:rsidR="00282238">
        <w:rPr>
          <w:rFonts w:cs="Times New Roman"/>
          <w:szCs w:val="24"/>
        </w:rPr>
        <w:fldChar w:fldCharType="begin">
          <w:fldData xml:space="preserve">PEVuZE5vdGU+PENpdGU+PEF1dGhvcj5EZWxsYSBWb2xwZTwvQXV0aG9yPjxZZWFyPjIwMDA8L1ll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</w:fldData>
        </w:fldChar>
      </w:r>
      <w:r w:rsidR="00282238">
        <w:rPr>
          <w:rFonts w:cs="Times New Roman"/>
          <w:szCs w:val="24"/>
        </w:rPr>
        <w:instrText xml:space="preserve"> ADDIN EN.CITE.DATA </w:instrText>
      </w:r>
      <w:r w:rsidR="00282238">
        <w:rPr>
          <w:rFonts w:cs="Times New Roman"/>
          <w:szCs w:val="24"/>
        </w:rPr>
      </w:r>
      <w:r w:rsidR="00282238">
        <w:rPr>
          <w:rFonts w:cs="Times New Roman"/>
          <w:szCs w:val="24"/>
        </w:rPr>
        <w:fldChar w:fldCharType="end"/>
      </w:r>
      <w:r w:rsidRPr="00313BA2">
        <w:rPr>
          <w:rFonts w:cs="Times New Roman"/>
          <w:szCs w:val="24"/>
        </w:rPr>
      </w:r>
      <w:r w:rsidRPr="00313BA2">
        <w:rPr>
          <w:rFonts w:cs="Times New Roman"/>
          <w:szCs w:val="24"/>
        </w:rPr>
        <w:fldChar w:fldCharType="separate"/>
      </w:r>
      <w:r w:rsidR="00282238">
        <w:rPr>
          <w:rFonts w:cs="Times New Roman"/>
          <w:noProof/>
          <w:szCs w:val="24"/>
        </w:rPr>
        <w:t>(Della Volpe and Siboni, 2000; Żenkiewicz, 2006; Żenkiewicz, 2007; Rudawska and Jacniacka, 2018)</w:t>
      </w:r>
      <w:r w:rsidRPr="00313BA2">
        <w:rPr>
          <w:rFonts w:cs="Times New Roman"/>
          <w:szCs w:val="24"/>
        </w:rPr>
        <w:fldChar w:fldCharType="end"/>
      </w:r>
      <w:r w:rsidRPr="00313BA2">
        <w:rPr>
          <w:rFonts w:cs="Times New Roman"/>
          <w:szCs w:val="24"/>
        </w:rPr>
        <w:t xml:space="preserve">. Also, for component-based approaches, identification of suitable probe liquid sets is necessary to obtain accurate and consistent energy parameters. Among these estimation methods, the three component-based (acid, base and Lifshitz-van der Waals component) adhesion model by </w:t>
      </w:r>
      <w:r w:rsidRPr="00313BA2">
        <w:rPr>
          <w:rFonts w:cs="Times New Roman"/>
          <w:szCs w:val="24"/>
        </w:rPr>
        <w:fldChar w:fldCharType="begin"/>
      </w:r>
      <w:r w:rsidRPr="00313BA2">
        <w:rPr>
          <w:rFonts w:cs="Times New Roman"/>
          <w:szCs w:val="24"/>
        </w:rPr>
        <w:instrText xml:space="preserve"> ADDIN EN.CITE &lt;EndNote&gt;&lt;Cite AuthorYear="1"&gt;&lt;Author&gt;Van Oss&lt;/Author&gt;&lt;Year&gt;1988&lt;/Year&gt;&lt;RecNum&gt;31&lt;/RecNum&gt;&lt;DisplayText&gt;Van Oss et al. (1988)&lt;/DisplayText&gt;&lt;record&gt;&lt;rec-number&gt;31&lt;/rec-number&gt;&lt;foreign-keys&gt;&lt;key app="EN" db-id="d55vzfpwawdafteedfoxsf0lv0v0wp5va2aa" timestamp="1509901250"&gt;31&lt;/key&gt;&lt;/foreign-keys&gt;&lt;ref-type name="Journal Article"&gt;17&lt;/ref-type&gt;&lt;contributors&gt;&lt;authors&gt;&lt;author&gt;Van Oss, Carel J&lt;/author&gt;&lt;author&gt;Chaudhury, Manoj K&lt;/author&gt;&lt;author&gt;Good, Robert J&lt;/author&gt;&lt;/authors&gt;&lt;/contributors&gt;&lt;titles&gt;&lt;title&gt;Interfacial Lifshitz-Van Der Waals and Polar Interactions in Macroscopic Systems&lt;/title&gt;&lt;secondary-title&gt;Chemical Reviews&lt;/secondary-title&gt;&lt;/titles&gt;&lt;periodical&gt;&lt;full-title&gt;Chemical Reviews&lt;/full-title&gt;&lt;/periodical&gt;&lt;pages&gt;927-941&lt;/pages&gt;&lt;volume&gt;88&lt;/volume&gt;&lt;number&gt;6&lt;/number&gt;&lt;dates&gt;&lt;year&gt;1988&lt;/year&gt;&lt;/dates&gt;&lt;isbn&gt;0009-2665&lt;/isbn&gt;&lt;urls&gt;&lt;/urls&gt;&lt;/record&gt;&lt;/Cite&gt;&lt;/EndNote&gt;</w:instrText>
      </w:r>
      <w:r w:rsidRPr="00313BA2">
        <w:rPr>
          <w:rFonts w:cs="Times New Roman"/>
          <w:szCs w:val="24"/>
        </w:rPr>
        <w:fldChar w:fldCharType="separate"/>
      </w:r>
      <w:r w:rsidRPr="00313BA2">
        <w:rPr>
          <w:rFonts w:cs="Times New Roman"/>
          <w:noProof/>
          <w:szCs w:val="24"/>
        </w:rPr>
        <w:t>Van Oss et al. (1988)</w:t>
      </w:r>
      <w:r w:rsidRPr="00313BA2">
        <w:rPr>
          <w:rFonts w:cs="Times New Roman"/>
          <w:szCs w:val="24"/>
        </w:rPr>
        <w:fldChar w:fldCharType="end"/>
      </w:r>
      <w:r w:rsidRPr="00313BA2">
        <w:rPr>
          <w:rFonts w:cs="Times New Roman"/>
          <w:szCs w:val="24"/>
        </w:rPr>
        <w:t xml:space="preserve">, known as Good-van Oss-Choudhury (GvOC) theory, </w:t>
      </w:r>
      <w:r w:rsidR="008053AC">
        <w:rPr>
          <w:rFonts w:cs="Times New Roman"/>
          <w:szCs w:val="24"/>
        </w:rPr>
        <w:t>h</w:t>
      </w:r>
      <w:r w:rsidRPr="00313BA2">
        <w:rPr>
          <w:rFonts w:cs="Times New Roman"/>
          <w:szCs w:val="24"/>
        </w:rPr>
        <w:t xml:space="preserve">as </w:t>
      </w:r>
      <w:r w:rsidR="008053AC">
        <w:rPr>
          <w:rFonts w:cs="Times New Roman"/>
          <w:szCs w:val="24"/>
        </w:rPr>
        <w:t xml:space="preserve">been </w:t>
      </w:r>
      <w:r w:rsidRPr="00313BA2">
        <w:rPr>
          <w:rFonts w:cs="Times New Roman"/>
          <w:szCs w:val="24"/>
        </w:rPr>
        <w:t xml:space="preserve">commonly used by the researchers to quantify the adhesion and debonding of binder-aggregate system in presence of moisture </w:t>
      </w:r>
      <w:r w:rsidRPr="00313BA2">
        <w:rPr>
          <w:rFonts w:cs="Times New Roman"/>
          <w:szCs w:val="24"/>
        </w:rPr>
        <w:fldChar w:fldCharType="begin">
          <w:fldData xml:space="preserve">PEVuZE5vdGU+PENpdGU+PEF1dGhvcj5IZWZlcjwvQXV0aG9yPjxZZWFyPjIwMDY8L1llYXI+PFJl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</w:fldData>
        </w:fldChar>
      </w:r>
      <w:r w:rsidR="00282238">
        <w:rPr>
          <w:rFonts w:cs="Times New Roman"/>
          <w:szCs w:val="24"/>
        </w:rPr>
        <w:instrText xml:space="preserve"> ADDIN EN.CITE </w:instrText>
      </w:r>
      <w:r w:rsidR="00282238">
        <w:rPr>
          <w:rFonts w:cs="Times New Roman"/>
          <w:szCs w:val="24"/>
        </w:rPr>
        <w:fldChar w:fldCharType="begin">
          <w:fldData xml:space="preserve">PEVuZE5vdGU+PENpdGU+PEF1dGhvcj5IZWZlcjwvQXV0aG9yPjxZZWFyPjIwMDY8L1llYXI+PFJl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</w:fldData>
        </w:fldChar>
      </w:r>
      <w:r w:rsidR="00282238">
        <w:rPr>
          <w:rFonts w:cs="Times New Roman"/>
          <w:szCs w:val="24"/>
        </w:rPr>
        <w:instrText xml:space="preserve"> ADDIN EN.CITE.DATA </w:instrText>
      </w:r>
      <w:r w:rsidR="00282238">
        <w:rPr>
          <w:rFonts w:cs="Times New Roman"/>
          <w:szCs w:val="24"/>
        </w:rPr>
      </w:r>
      <w:r w:rsidR="00282238">
        <w:rPr>
          <w:rFonts w:cs="Times New Roman"/>
          <w:szCs w:val="24"/>
        </w:rPr>
        <w:fldChar w:fldCharType="end"/>
      </w:r>
      <w:r w:rsidRPr="00313BA2">
        <w:rPr>
          <w:rFonts w:cs="Times New Roman"/>
          <w:szCs w:val="24"/>
        </w:rPr>
      </w:r>
      <w:r w:rsidRPr="00313BA2">
        <w:rPr>
          <w:rFonts w:cs="Times New Roman"/>
          <w:szCs w:val="24"/>
        </w:rPr>
        <w:fldChar w:fldCharType="separate"/>
      </w:r>
      <w:r w:rsidR="00282238">
        <w:rPr>
          <w:rFonts w:cs="Times New Roman"/>
          <w:noProof/>
          <w:szCs w:val="24"/>
        </w:rPr>
        <w:t>(Bhasin et al., 2006; Hefer et al., 2006; Bhasin et al., 2007a; Wasiuddin et al., 2007a; Wasiuddin et al., 2007c; Arabani et al., 2011; Buddhala et al., 2011; Alvarez et al., 2012b; Moghadas Nejad et al., 2012; Ghabchi et al., 2013; Ghabchi et al., 2014)</w:t>
      </w:r>
      <w:r w:rsidRPr="00313BA2">
        <w:rPr>
          <w:rFonts w:cs="Times New Roman"/>
          <w:szCs w:val="24"/>
        </w:rPr>
        <w:fldChar w:fldCharType="end"/>
      </w:r>
      <w:r w:rsidRPr="00313BA2">
        <w:rPr>
          <w:rFonts w:cs="Times New Roman"/>
          <w:szCs w:val="24"/>
        </w:rPr>
        <w:t xml:space="preserve">. </w:t>
      </w:r>
    </w:p>
    <w:p w14:paraId="3D3DBCB6" w14:textId="2CC62310" w:rsidR="00313BA2" w:rsidRPr="00313BA2" w:rsidRDefault="00DF3EA7" w:rsidP="00313BA2">
      <w:pPr>
        <w:rPr>
          <w:rFonts w:eastAsia="Times New Roman" w:cs="Times New Roman"/>
          <w:szCs w:val="24"/>
        </w:rPr>
      </w:pPr>
      <w:r>
        <w:rPr>
          <w:rFonts w:eastAsia="Times New Roman" w:cs="Times New Roman"/>
          <w:szCs w:val="24"/>
        </w:rPr>
        <w:tab/>
      </w:r>
      <w:r w:rsidR="00313BA2" w:rsidRPr="00313BA2">
        <w:rPr>
          <w:rFonts w:eastAsia="Times New Roman" w:cs="Times New Roman"/>
          <w:szCs w:val="24"/>
        </w:rPr>
        <w:fldChar w:fldCharType="begin"/>
      </w:r>
      <w:r w:rsidR="00DB3733">
        <w:rPr>
          <w:rFonts w:eastAsia="Times New Roman" w:cs="Times New Roman"/>
          <w:szCs w:val="24"/>
        </w:rPr>
        <w:instrText xml:space="preserve"> ADDIN EN.CITE &lt;EndNote&gt;&lt;Cite AuthorYear="1"&gt;&lt;Author&gt;Bhasin&lt;/Author&gt;&lt;Year&gt;2006&lt;/Year&gt;&lt;RecNum&gt;23&lt;/RecNum&gt;&lt;DisplayText&gt;Bhasin et al. (2006)&lt;/DisplayText&gt;&lt;record&gt;&lt;rec-number&gt;23&lt;/rec-number&gt;&lt;foreign-keys&gt;&lt;key app="EN" db-id="d55vzfpwawdafteedfoxsf0lv0v0wp5va2aa" timestamp="1509901106"&gt;23&lt;/key&gt;&lt;/foreign-keys&gt;&lt;ref-type name="Journal Article"&gt;17&lt;/ref-type&gt;&lt;contributors&gt;&lt;authors&gt;&lt;author&gt;Bhasin, Amit&lt;/author&gt;&lt;author&gt;Masad, Eyad&lt;/author&gt;&lt;author&gt;Little, Dallas&lt;/author&gt;&lt;author&gt;Lytton, Robert&lt;/author&gt;&lt;/authors&gt;&lt;/contributors&gt;&lt;titles&gt;&lt;title&gt;Limits on Adhesive Bond Energy for Improved Resistance of Hot-Mix Asphalt to Moisture Damage&lt;/title&gt;&lt;secondary-title&gt;Transportation research record: journal of the transportation research board&lt;/secondary-title&gt;&lt;/titles&gt;&lt;periodical&gt;&lt;full-title&gt;Transportation Research Record: Journal of the Transportation Research Board&lt;/full-title&gt;&lt;/periodical&gt;&lt;pages&gt;3-13&lt;/pages&gt;&lt;number&gt;1970&lt;/number&gt;&lt;dates&gt;&lt;year&gt;2006&lt;/year&gt;&lt;/dates&gt;&lt;isbn&gt;0361-1981&lt;/isbn&gt;&lt;urls&gt;&lt;/urls&gt;&lt;/record&gt;&lt;/Cite&gt;&lt;/EndNote&gt;</w:instrText>
      </w:r>
      <w:r w:rsidR="00313BA2" w:rsidRPr="00313BA2">
        <w:rPr>
          <w:rFonts w:eastAsia="Times New Roman" w:cs="Times New Roman"/>
          <w:szCs w:val="24"/>
        </w:rPr>
        <w:fldChar w:fldCharType="separate"/>
      </w:r>
      <w:r w:rsidR="00313BA2" w:rsidRPr="00313BA2">
        <w:rPr>
          <w:rFonts w:eastAsia="Times New Roman" w:cs="Times New Roman"/>
          <w:noProof/>
          <w:szCs w:val="24"/>
        </w:rPr>
        <w:t>Bhasin et al. (2006)</w:t>
      </w:r>
      <w:r w:rsidR="00313BA2" w:rsidRPr="00313BA2">
        <w:rPr>
          <w:rFonts w:eastAsia="Times New Roman" w:cs="Times New Roman"/>
          <w:szCs w:val="24"/>
        </w:rPr>
        <w:fldChar w:fldCharType="end"/>
      </w:r>
      <w:r w:rsidR="00313BA2" w:rsidRPr="00313BA2">
        <w:rPr>
          <w:rFonts w:eastAsia="Times New Roman" w:cs="Times New Roman"/>
          <w:szCs w:val="24"/>
        </w:rPr>
        <w:t xml:space="preserve"> evaluated the moisture-induced damage potential of 16 field mixes from different states using </w:t>
      </w:r>
      <w:r w:rsidR="008053AC">
        <w:rPr>
          <w:rFonts w:eastAsia="Times New Roman" w:cs="Times New Roman"/>
          <w:szCs w:val="24"/>
        </w:rPr>
        <w:t xml:space="preserve">the </w:t>
      </w:r>
      <w:r w:rsidR="00313BA2" w:rsidRPr="00313BA2">
        <w:rPr>
          <w:rFonts w:eastAsia="Times New Roman" w:cs="Times New Roman"/>
          <w:szCs w:val="24"/>
        </w:rPr>
        <w:t xml:space="preserve">SFE method. The results from the SFE method was compared with the results of the mechanical testing on the field cores and laboratory produced mixes. The bond energy calculations from </w:t>
      </w:r>
      <w:r w:rsidR="008053AC">
        <w:rPr>
          <w:rFonts w:eastAsia="Times New Roman" w:cs="Times New Roman"/>
          <w:szCs w:val="24"/>
        </w:rPr>
        <w:t xml:space="preserve">the </w:t>
      </w:r>
      <w:r w:rsidR="00313BA2" w:rsidRPr="00313BA2">
        <w:rPr>
          <w:rFonts w:eastAsia="Times New Roman" w:cs="Times New Roman"/>
          <w:szCs w:val="24"/>
        </w:rPr>
        <w:t>SFE measurements were effective to identify compatible binder-aggregate pairs.</w:t>
      </w:r>
      <w:r w:rsidR="00313BA2" w:rsidRPr="00313BA2">
        <w:rPr>
          <w:rFonts w:cs="Times New Roman"/>
          <w:szCs w:val="24"/>
        </w:rPr>
        <w:t xml:space="preserve"> In a related study, </w:t>
      </w:r>
      <w:r w:rsidR="00313BA2" w:rsidRPr="00313BA2">
        <w:rPr>
          <w:rFonts w:cs="Times New Roman"/>
          <w:szCs w:val="24"/>
        </w:rPr>
        <w:fldChar w:fldCharType="begin"/>
      </w:r>
      <w:r w:rsidR="00DB3733">
        <w:rPr>
          <w:rFonts w:cs="Times New Roman"/>
          <w:szCs w:val="24"/>
        </w:rPr>
        <w:instrText xml:space="preserve"> ADDIN EN.CITE &lt;EndNote&gt;&lt;Cite AuthorYear="1"&gt;&lt;Author&gt;Bhasin&lt;/Author&gt;&lt;Year&gt;2007&lt;/Year&gt;&lt;RecNum&gt;25&lt;/RecNum&gt;&lt;DisplayText&gt;Bhasin et al. (2007a)&lt;/DisplayText&gt;&lt;record&gt;&lt;rec-number&gt;25&lt;/rec-number&gt;&lt;foreign-keys&gt;&lt;key app="EN" db-id="d55vzfpwawdafteedfoxsf0lv0v0wp5va2aa" timestamp="1509901144"&gt;25&lt;/key&gt;&lt;/foreign-keys&gt;&lt;ref-type name="Journal Article"&gt;17&lt;/ref-type&gt;&lt;contributors&gt;&lt;authors&gt;&lt;author&gt;Bhasin, Amit&lt;/author&gt;&lt;author&gt;Howson, Jonathan&lt;/author&gt;&lt;author&gt;Masad, Eyad&lt;/author&gt;&lt;author&gt;Little, Dallas&lt;/author&gt;&lt;author&gt;Lytton, Robert&lt;/author&gt;&lt;/authors&gt;&lt;/contributors&gt;&lt;titles&gt;&lt;title&gt;Effect of Modification Processes on Bond Energy of Asphalt Binders&lt;/title&gt;&lt;secondary-title&gt;Transportation Research Record: Journal of the Transportation Research Board&lt;/secondary-title&gt;&lt;/titles&gt;&lt;periodical&gt;&lt;full-title&gt;Transportation Research Record: Journal of the Transportation Research Board&lt;/full-title&gt;&lt;/periodical&gt;&lt;pages&gt;29-37&lt;/pages&gt;&lt;number&gt;1998&lt;/number&gt;&lt;dates&gt;&lt;year&gt;2007&lt;/year&gt;&lt;/dates&gt;&lt;isbn&gt;0361-1981&lt;/isbn&gt;&lt;urls&gt;&lt;/urls&gt;&lt;/record&gt;&lt;/Cite&gt;&lt;/EndNote&gt;</w:instrText>
      </w:r>
      <w:r w:rsidR="00313BA2" w:rsidRPr="00313BA2">
        <w:rPr>
          <w:rFonts w:cs="Times New Roman"/>
          <w:szCs w:val="24"/>
        </w:rPr>
        <w:fldChar w:fldCharType="separate"/>
      </w:r>
      <w:r w:rsidR="00313BA2" w:rsidRPr="00313BA2">
        <w:rPr>
          <w:rFonts w:cs="Times New Roman"/>
          <w:noProof/>
          <w:szCs w:val="24"/>
        </w:rPr>
        <w:t>Bhasin et al. (2007a)</w:t>
      </w:r>
      <w:r w:rsidR="00313BA2" w:rsidRPr="00313BA2">
        <w:rPr>
          <w:rFonts w:cs="Times New Roman"/>
          <w:szCs w:val="24"/>
        </w:rPr>
        <w:fldChar w:fldCharType="end"/>
      </w:r>
      <w:r w:rsidR="00313BA2" w:rsidRPr="00313BA2">
        <w:rPr>
          <w:rFonts w:cs="Times New Roman"/>
          <w:szCs w:val="24"/>
        </w:rPr>
        <w:t xml:space="preserve"> investigated the effect of different types of modifications on the SFE components of the binder as well as moisture-induced damage potential of asphalt mixes. </w:t>
      </w:r>
      <w:r w:rsidR="00313BA2" w:rsidRPr="00313BA2">
        <w:rPr>
          <w:rFonts w:eastAsia="Times New Roman" w:cs="Times New Roman"/>
          <w:szCs w:val="24"/>
        </w:rPr>
        <w:t xml:space="preserve">In a different study, the effect of the aggregates on the moisture susceptibility of asphalt mixes were investigated by </w:t>
      </w:r>
      <w:r w:rsidR="00313BA2" w:rsidRPr="00313BA2">
        <w:rPr>
          <w:rFonts w:eastAsia="Times New Roman" w:cs="Times New Roman"/>
          <w:szCs w:val="24"/>
        </w:rPr>
        <w:fldChar w:fldCharType="begin"/>
      </w:r>
      <w:r w:rsidR="00313BA2" w:rsidRPr="00313BA2">
        <w:rPr>
          <w:rFonts w:eastAsia="Times New Roman" w:cs="Times New Roman"/>
          <w:szCs w:val="24"/>
        </w:rPr>
        <w:instrText xml:space="preserve"> ADDIN EN.CITE &lt;EndNote&gt;&lt;Cite AuthorYear="1"&gt;&lt;Author&gt;Bhasin&lt;/Author&gt;&lt;Year&gt;2007&lt;/Year&gt;&lt;RecNum&gt;98&lt;/RecNum&gt;&lt;DisplayText&gt;Bhasin and Little (2007)&lt;/DisplayText&gt;&lt;record&gt;&lt;rec-number&gt;98&lt;/rec-number&gt;&lt;foreign-keys&gt;&lt;key app="EN" db-id="d55vzfpwawdafteedfoxsf0lv0v0wp5va2aa" timestamp="1521292298"&gt;98&lt;/key&gt;&lt;/foreign-keys&gt;&lt;ref-type name="Journal Article"&gt;17&lt;/ref-type&gt;&lt;contributors&gt;&lt;authors&gt;&lt;author&gt;Bhasin, Amit&lt;/author&gt;&lt;author&gt;Little, Dallas N&lt;/author&gt;&lt;/authors&gt;&lt;/contributors&gt;&lt;titles&gt;&lt;title&gt;Characterization of aggregate surface energy using the universal sorption device&lt;/title&gt;&lt;secondary-title&gt;Journal of Materials in Civil Engineering&lt;/secondary-title&gt;&lt;/titles&gt;&lt;periodical&gt;&lt;full-title&gt;Journal of Materials in Civil Engineering&lt;/full-title&gt;&lt;/periodical&gt;&lt;pages&gt;634-641&lt;/pages&gt;&lt;volume&gt;19&lt;/volume&gt;&lt;number&gt;8&lt;/number&gt;&lt;dates&gt;&lt;year&gt;2007&lt;/year&gt;&lt;/dates&gt;&lt;isbn&gt;0899-1561&lt;/isbn&gt;&lt;urls&gt;&lt;/urls&gt;&lt;/record&gt;&lt;/Cite&gt;&lt;/EndNote&gt;</w:instrText>
      </w:r>
      <w:r w:rsidR="00313BA2" w:rsidRPr="00313BA2">
        <w:rPr>
          <w:rFonts w:eastAsia="Times New Roman" w:cs="Times New Roman"/>
          <w:szCs w:val="24"/>
        </w:rPr>
        <w:fldChar w:fldCharType="separate"/>
      </w:r>
      <w:r w:rsidR="00313BA2" w:rsidRPr="00313BA2">
        <w:rPr>
          <w:rFonts w:eastAsia="Times New Roman" w:cs="Times New Roman"/>
          <w:noProof/>
          <w:szCs w:val="24"/>
        </w:rPr>
        <w:t>Bhasin and Little (2007)</w:t>
      </w:r>
      <w:r w:rsidR="00313BA2" w:rsidRPr="00313BA2">
        <w:rPr>
          <w:rFonts w:eastAsia="Times New Roman" w:cs="Times New Roman"/>
          <w:szCs w:val="24"/>
        </w:rPr>
        <w:fldChar w:fldCharType="end"/>
      </w:r>
      <w:r w:rsidR="00313BA2" w:rsidRPr="00313BA2">
        <w:rPr>
          <w:rFonts w:eastAsia="Times New Roman" w:cs="Times New Roman"/>
          <w:szCs w:val="24"/>
        </w:rPr>
        <w:t xml:space="preserve"> using </w:t>
      </w:r>
      <w:r w:rsidR="008053AC">
        <w:rPr>
          <w:rFonts w:eastAsia="Times New Roman" w:cs="Times New Roman"/>
          <w:szCs w:val="24"/>
        </w:rPr>
        <w:t xml:space="preserve">the </w:t>
      </w:r>
      <w:r w:rsidR="00313BA2" w:rsidRPr="00313BA2">
        <w:rPr>
          <w:rFonts w:eastAsia="Times New Roman" w:cs="Times New Roman"/>
          <w:szCs w:val="24"/>
        </w:rPr>
        <w:t xml:space="preserve">SFE method. The basic component of the aggregate was reported to be the primary contributor to adhesion bond with any given binder. </w:t>
      </w:r>
    </w:p>
    <w:p w14:paraId="047D5555" w14:textId="49C8122D" w:rsidR="00313BA2" w:rsidRPr="00313BA2" w:rsidRDefault="00313BA2" w:rsidP="00DF3EA7">
      <w:pPr>
        <w:ind w:firstLine="720"/>
        <w:rPr>
          <w:rFonts w:cs="Times New Roman"/>
          <w:szCs w:val="24"/>
        </w:rPr>
      </w:pPr>
      <w:r w:rsidRPr="00313BA2">
        <w:rPr>
          <w:rFonts w:cs="Times New Roman"/>
          <w:szCs w:val="24"/>
        </w:rPr>
        <w:lastRenderedPageBreak/>
        <w:t>The effect of antistrip</w:t>
      </w:r>
      <w:r w:rsidR="00657956">
        <w:rPr>
          <w:rFonts w:cs="Times New Roman"/>
          <w:szCs w:val="24"/>
        </w:rPr>
        <w:t>ping</w:t>
      </w:r>
      <w:r w:rsidRPr="00313BA2">
        <w:rPr>
          <w:rFonts w:cs="Times New Roman"/>
          <w:szCs w:val="24"/>
        </w:rPr>
        <w:t xml:space="preserve"> additives on the SFE components of binders w</w:t>
      </w:r>
      <w:r w:rsidR="00657956">
        <w:rPr>
          <w:rFonts w:cs="Times New Roman"/>
          <w:szCs w:val="24"/>
        </w:rPr>
        <w:t>as</w:t>
      </w:r>
      <w:r w:rsidRPr="00313BA2">
        <w:rPr>
          <w:rFonts w:cs="Times New Roman"/>
          <w:szCs w:val="24"/>
        </w:rPr>
        <w:t xml:space="preserve"> investigated by </w:t>
      </w:r>
      <w:r w:rsidRPr="00313BA2">
        <w:rPr>
          <w:rFonts w:cs="Times New Roman"/>
          <w:szCs w:val="24"/>
        </w:rPr>
        <w:fldChar w:fldCharType="begin"/>
      </w:r>
      <w:r w:rsidRPr="00313BA2">
        <w:rPr>
          <w:rFonts w:cs="Times New Roman"/>
          <w:szCs w:val="24"/>
        </w:rPr>
        <w:instrText xml:space="preserve"> ADDIN EN.CITE &lt;EndNote&gt;&lt;Cite AuthorYear="1"&gt;&lt;Author&gt;Wasiuddin&lt;/Author&gt;&lt;Year&gt;2007&lt;/Year&gt;&lt;RecNum&gt;82&lt;/RecNum&gt;&lt;DisplayText&gt;Wasiuddin et al. (2007c)&lt;/DisplayText&gt;&lt;record&gt;&lt;rec-number&gt;82&lt;/rec-number&gt;&lt;foreign-keys&gt;&lt;key app="EN" db-id="d55vzfpwawdafteedfoxsf0lv0v0wp5va2aa" timestamp="1519487395"&gt;82&lt;/key&gt;&lt;/foreign-keys&gt;&lt;ref-type name="Journal Article"&gt;17&lt;/ref-type&gt;&lt;contributors&gt;&lt;authors&gt;&lt;author&gt;Wasiuddin, Nazimuddin M&lt;/author&gt;&lt;author&gt;Fogle, Chris M&lt;/author&gt;&lt;author&gt;Zaman, Musharraf M&lt;/author&gt;&lt;author&gt;O’Rear, Edgar A&lt;/author&gt;&lt;/authors&gt;&lt;/contributors&gt;&lt;titles&gt;&lt;title&gt;Effect of Antistrip Additives on Surface Free Energy Characteristics of Asphalt Binders for Moisture-Induced Damage Potential&lt;/title&gt;&lt;secondary-title&gt;Journal of Testing and Evaluation&lt;/secondary-title&gt;&lt;/titles&gt;&lt;periodical&gt;&lt;full-title&gt;Journal of Testing and Evaluation&lt;/full-title&gt;&lt;/periodical&gt;&lt;volume&gt;35&lt;/volume&gt;&lt;number&gt;1&lt;/number&gt;&lt;dates&gt;&lt;year&gt;2007&lt;/year&gt;&lt;/dates&gt;&lt;urls&gt;&lt;/urls&gt;&lt;/record&gt;&lt;/Cite&gt;&lt;/EndNote&gt;</w:instrText>
      </w:r>
      <w:r w:rsidRPr="00313BA2">
        <w:rPr>
          <w:rFonts w:cs="Times New Roman"/>
          <w:szCs w:val="24"/>
        </w:rPr>
        <w:fldChar w:fldCharType="separate"/>
      </w:r>
      <w:r w:rsidRPr="00313BA2">
        <w:rPr>
          <w:rFonts w:cs="Times New Roman"/>
          <w:noProof/>
          <w:szCs w:val="24"/>
        </w:rPr>
        <w:t>Wasiuddin et al. (2007c)</w:t>
      </w:r>
      <w:r w:rsidRPr="00313BA2">
        <w:rPr>
          <w:rFonts w:cs="Times New Roman"/>
          <w:szCs w:val="24"/>
        </w:rPr>
        <w:fldChar w:fldCharType="end"/>
      </w:r>
      <w:r w:rsidRPr="00313BA2">
        <w:rPr>
          <w:rFonts w:cs="Times New Roman"/>
          <w:szCs w:val="24"/>
        </w:rPr>
        <w:t xml:space="preserve">. A chemical model was proposed to explain the changes in SFE components with the addition of antistrip additives. In a related study, </w:t>
      </w:r>
      <w:r w:rsidRPr="00313BA2">
        <w:rPr>
          <w:rFonts w:cs="Times New Roman"/>
          <w:szCs w:val="24"/>
        </w:rPr>
        <w:fldChar w:fldCharType="begin"/>
      </w:r>
      <w:r w:rsidRPr="00313BA2">
        <w:rPr>
          <w:rFonts w:cs="Times New Roman"/>
          <w:szCs w:val="24"/>
        </w:rPr>
        <w:instrText xml:space="preserve"> ADDIN EN.CITE &lt;EndNote&gt;&lt;Cite AuthorYear="1"&gt;&lt;Author&gt;Wasiuddin&lt;/Author&gt;&lt;Year&gt;2007&lt;/Year&gt;&lt;RecNum&gt;45&lt;/RecNum&gt;&lt;DisplayText&gt;Wasiuddin et al. (2007b)&lt;/DisplayText&gt;&lt;record&gt;&lt;rec-number&gt;45&lt;/rec-number&gt;&lt;foreign-keys&gt;&lt;key app="EN" db-id="d55vzfpwawdafteedfoxsf0lv0v0wp5va2aa" timestamp="1514343150"&gt;45&lt;/key&gt;&lt;/foreign-keys&gt;&lt;ref-type name="Journal Article"&gt;17&lt;/ref-type&gt;&lt;contributors&gt;&lt;authors&gt;&lt;author&gt;Wasiuddin, Nazimuddin M&lt;/author&gt;&lt;author&gt;Fogle, Chris M&lt;/author&gt;&lt;author&gt;Zaman, Musharraf M&lt;/author&gt;&lt;author&gt;Edgar, AO&lt;/author&gt;&lt;/authors&gt;&lt;/contributors&gt;&lt;titles&gt;&lt;title&gt;Characterization of Thermal Degradation of qa Liquid Amine Anti-Strip Additives in Asphalt qa Binders Due to RTFO and PAV-Aging&lt;/title&gt;&lt;secondary-title&gt;Journal of Testing and Evaluation&lt;/secondary-title&gt;&lt;/titles&gt;&lt;periodical&gt;&lt;full-title&gt;Journal of Testing and Evaluation&lt;/full-title&gt;&lt;/periodical&gt;&lt;pages&gt;387-394&lt;/pages&gt;&lt;volume&gt;35&lt;/volume&gt;&lt;number&gt;4&lt;/number&gt;&lt;dates&gt;&lt;year&gt;2007&lt;/year&gt;&lt;/dates&gt;&lt;isbn&gt;0090-3973&lt;/isbn&gt;&lt;urls&gt;&lt;/urls&gt;&lt;/record&gt;&lt;/Cite&gt;&lt;/EndNote&gt;</w:instrText>
      </w:r>
      <w:r w:rsidRPr="00313BA2">
        <w:rPr>
          <w:rFonts w:cs="Times New Roman"/>
          <w:szCs w:val="24"/>
        </w:rPr>
        <w:fldChar w:fldCharType="separate"/>
      </w:r>
      <w:r w:rsidRPr="00313BA2">
        <w:rPr>
          <w:rFonts w:cs="Times New Roman"/>
          <w:noProof/>
          <w:szCs w:val="24"/>
        </w:rPr>
        <w:t>Wasiuddin et al. (2007b)</w:t>
      </w:r>
      <w:r w:rsidRPr="00313BA2">
        <w:rPr>
          <w:rFonts w:cs="Times New Roman"/>
          <w:szCs w:val="24"/>
        </w:rPr>
        <w:fldChar w:fldCharType="end"/>
      </w:r>
      <w:r w:rsidRPr="00313BA2">
        <w:rPr>
          <w:rFonts w:cs="Times New Roman"/>
          <w:szCs w:val="24"/>
        </w:rPr>
        <w:t xml:space="preserve"> evaluated the effect of aging on the SFE components of binders modified with antistripping agent. In another study, </w:t>
      </w:r>
      <w:r w:rsidRPr="00313BA2">
        <w:rPr>
          <w:rFonts w:cs="Times New Roman"/>
          <w:szCs w:val="24"/>
        </w:rPr>
        <w:fldChar w:fldCharType="begin"/>
      </w:r>
      <w:r w:rsidR="00DB3733">
        <w:rPr>
          <w:rFonts w:cs="Times New Roman"/>
          <w:szCs w:val="24"/>
        </w:rPr>
        <w:instrText xml:space="preserve"> ADDIN EN.CITE &lt;EndNote&gt;&lt;Cite AuthorYear="1"&gt;&lt;Author&gt;Wasiuddin&lt;/Author&gt;&lt;Year&gt;2008&lt;/Year&gt;&lt;RecNum&gt;62&lt;/RecNum&gt;&lt;DisplayText&gt;Wasiuddin et al. (2008)&lt;/DisplayText&gt;&lt;record&gt;&lt;rec-number&gt;62&lt;/rec-number&gt;&lt;foreign-keys&gt;&lt;key app="EN" db-id="d55vzfpwawdafteedfoxsf0lv0v0wp5va2aa" timestamp="1514344121"&gt;62&lt;/key&gt;&lt;/foreign-keys&gt;&lt;ref-type name="Journal Article"&gt;17&lt;/ref-type&gt;&lt;contributors&gt;&lt;authors&gt;&lt;author&gt;Wasiuddin, Nazimuddin&lt;/author&gt;&lt;author&gt;Zaman, Musharraf&lt;/author&gt;&lt;author&gt;O&amp;apos;Rear, Edgar&lt;/author&gt;&lt;/authors&gt;&lt;/contributors&gt;&lt;titles&gt;&lt;title&gt;Effect of Sasobit and Aspha-min on Wettability and Adhesion Between Asphalt Binders and Aggregates&lt;/title&gt;&lt;secondary-title&gt;Transportation Research Record: Journal of the Transportation Research Board&lt;/secondary-title&gt;&lt;/titles&gt;&lt;periodical&gt;&lt;full-title&gt;Transportation Research Record: Journal of the Transportation Research Board&lt;/full-title&gt;&lt;/periodical&gt;&lt;pages&gt;80-89&lt;/pages&gt;&lt;number&gt;2051&lt;/number&gt;&lt;dates&gt;&lt;year&gt;2008&lt;/year&gt;&lt;/dates&gt;&lt;isbn&gt;0361-1981&lt;/isbn&gt;&lt;urls&gt;&lt;/urls&gt;&lt;/record&gt;&lt;/Cite&gt;&lt;/EndNote&gt;</w:instrText>
      </w:r>
      <w:r w:rsidRPr="00313BA2">
        <w:rPr>
          <w:rFonts w:cs="Times New Roman"/>
          <w:szCs w:val="24"/>
        </w:rPr>
        <w:fldChar w:fldCharType="separate"/>
      </w:r>
      <w:r w:rsidRPr="00313BA2">
        <w:rPr>
          <w:rFonts w:cs="Times New Roman"/>
          <w:noProof/>
          <w:szCs w:val="24"/>
        </w:rPr>
        <w:t>Wasiuddin et al. (2008)</w:t>
      </w:r>
      <w:r w:rsidRPr="00313BA2">
        <w:rPr>
          <w:rFonts w:cs="Times New Roman"/>
          <w:szCs w:val="24"/>
        </w:rPr>
        <w:fldChar w:fldCharType="end"/>
      </w:r>
      <w:r w:rsidRPr="00313BA2">
        <w:rPr>
          <w:rFonts w:cs="Times New Roman"/>
          <w:szCs w:val="24"/>
        </w:rPr>
        <w:t xml:space="preserve"> evaluated the influence of warm mix asphalt additives on the moisture-induced damage potential of binders using thermodynamic principles. </w:t>
      </w:r>
    </w:p>
    <w:p w14:paraId="573F4EBB" w14:textId="4FF33BF5" w:rsidR="00313BA2" w:rsidRPr="00E64D15" w:rsidRDefault="00313BA2" w:rsidP="00DF3EA7">
      <w:pPr>
        <w:ind w:firstLine="720"/>
        <w:rPr>
          <w:rFonts w:cs="Times New Roman"/>
          <w:color w:val="FF0000"/>
          <w:szCs w:val="24"/>
        </w:rPr>
      </w:pPr>
      <w:r w:rsidRPr="00313BA2">
        <w:rPr>
          <w:rFonts w:cs="Times New Roman"/>
          <w:szCs w:val="24"/>
        </w:rPr>
        <w:t xml:space="preserve">Using </w:t>
      </w:r>
      <w:r w:rsidR="00657956">
        <w:rPr>
          <w:rFonts w:cs="Times New Roman"/>
          <w:szCs w:val="24"/>
        </w:rPr>
        <w:t xml:space="preserve">the </w:t>
      </w:r>
      <w:r w:rsidRPr="00313BA2">
        <w:rPr>
          <w:rFonts w:cs="Times New Roman"/>
          <w:szCs w:val="24"/>
        </w:rPr>
        <w:t xml:space="preserve">SFE method, </w:t>
      </w:r>
      <w:r w:rsidRPr="00313BA2">
        <w:rPr>
          <w:rFonts w:cs="Times New Roman"/>
          <w:szCs w:val="24"/>
        </w:rPr>
        <w:fldChar w:fldCharType="begin"/>
      </w:r>
      <w:r w:rsidR="00DB3733">
        <w:rPr>
          <w:rFonts w:cs="Times New Roman"/>
          <w:szCs w:val="24"/>
        </w:rPr>
        <w:instrText xml:space="preserve"> ADDIN EN.CITE &lt;EndNote&gt;&lt;Cite AuthorYear="1"&gt;&lt;Author&gt;Arabani&lt;/Author&gt;&lt;Year&gt;2010&lt;/Year&gt;&lt;RecNum&gt;99&lt;/RecNum&gt;&lt;DisplayText&gt;Arabani and Hamedi (2010)&lt;/DisplayText&gt;&lt;record&gt;&lt;rec-number&gt;99&lt;/rec-number&gt;&lt;foreign-keys&gt;&lt;key app="EN" db-id="d55vzfpwawdafteedfoxsf0lv0v0wp5va2aa" timestamp="1521305351"&gt;99&lt;/key&gt;&lt;/foreign-keys&gt;&lt;ref-type name="Journal Article"&gt;17&lt;/ref-type&gt;&lt;contributors&gt;&lt;authors&gt;&lt;author&gt;Arabani, M&lt;/author&gt;&lt;author&gt;Hamedi, Gh H&lt;/author&gt;&lt;/authors&gt;&lt;/contributors&gt;&lt;titles&gt;&lt;title&gt;Using the Surface Free Energy Method to Evaluate the Effects of Polymeric Aggregate Treatment on Moisture Damage in Hot-Mix Asphalt&lt;/title&gt;&lt;secondary-title&gt;Journal of Materials in Civil Engineering&lt;/secondary-title&gt;&lt;/titles&gt;&lt;periodical&gt;&lt;full-title&gt;Journal of Materials in Civil Engineering&lt;/full-title&gt;&lt;/periodical&gt;&lt;pages&gt;802-811&lt;/pages&gt;&lt;volume&gt;23&lt;/volume&gt;&lt;number&gt;6&lt;/number&gt;&lt;dates&gt;&lt;year&gt;2010&lt;/year&gt;&lt;/dates&gt;&lt;isbn&gt;0899-1561&lt;/isbn&gt;&lt;urls&gt;&lt;/urls&gt;&lt;/record&gt;&lt;/Cite&gt;&lt;/EndNote&gt;</w:instrText>
      </w:r>
      <w:r w:rsidRPr="00313BA2">
        <w:rPr>
          <w:rFonts w:cs="Times New Roman"/>
          <w:szCs w:val="24"/>
        </w:rPr>
        <w:fldChar w:fldCharType="separate"/>
      </w:r>
      <w:r w:rsidRPr="00313BA2">
        <w:rPr>
          <w:rFonts w:cs="Times New Roman"/>
          <w:noProof/>
          <w:szCs w:val="24"/>
        </w:rPr>
        <w:t>Arabani and Hamedi (2010)</w:t>
      </w:r>
      <w:r w:rsidRPr="00313BA2">
        <w:rPr>
          <w:rFonts w:cs="Times New Roman"/>
          <w:szCs w:val="24"/>
        </w:rPr>
        <w:fldChar w:fldCharType="end"/>
      </w:r>
      <w:r w:rsidRPr="00313BA2">
        <w:rPr>
          <w:rFonts w:cs="Times New Roman"/>
          <w:szCs w:val="24"/>
        </w:rPr>
        <w:t xml:space="preserve"> evaluated the effectiveness of </w:t>
      </w:r>
      <w:bookmarkStart w:id="29" w:name="_Hlk509428002"/>
      <w:r w:rsidRPr="00313BA2">
        <w:rPr>
          <w:rFonts w:cs="Times New Roman"/>
          <w:szCs w:val="24"/>
        </w:rPr>
        <w:t>polyethylene polymer coatin</w:t>
      </w:r>
      <w:bookmarkEnd w:id="29"/>
      <w:r w:rsidRPr="00313BA2">
        <w:rPr>
          <w:rFonts w:cs="Times New Roman"/>
          <w:szCs w:val="24"/>
        </w:rPr>
        <w:t xml:space="preserve">g on the surface of aggregate to reduce moisture-induced damage potential of asphalt mixes. The contribution of liquid antistrip additives on the adhesive bond strength of a binder-aggregate system was quantified by </w:t>
      </w:r>
      <w:r w:rsidRPr="00313BA2">
        <w:rPr>
          <w:rFonts w:cs="Times New Roman"/>
          <w:szCs w:val="24"/>
        </w:rPr>
        <w:fldChar w:fldCharType="begin"/>
      </w:r>
      <w:r w:rsidR="00DB3733">
        <w:rPr>
          <w:rFonts w:cs="Times New Roman"/>
          <w:szCs w:val="24"/>
        </w:rPr>
        <w:instrText xml:space="preserve"> ADDIN EN.CITE &lt;EndNote&gt;&lt;Cite AuthorYear="1"&gt;&lt;Author&gt;Arabani&lt;/Author&gt;&lt;Year&gt;2014&lt;/Year&gt;&lt;RecNum&gt;35&lt;/RecNum&gt;&lt;DisplayText&gt;Arabani and Hamedi (2014)&lt;/DisplayText&gt;&lt;record&gt;&lt;rec-number&gt;35&lt;/rec-number&gt;&lt;foreign-keys&gt;&lt;key app="EN" db-id="d55vzfpwawdafteedfoxsf0lv0v0wp5va2aa" timestamp="1509901360"&gt;35&lt;/key&gt;&lt;/foreign-keys&gt;&lt;ref-type name="Journal Article"&gt;17&lt;/ref-type&gt;&lt;contributors&gt;&lt;authors&gt;&lt;author&gt;Arabani, Mahyar&lt;/author&gt;&lt;author&gt;Hamedi, Gholam Hossein&lt;/author&gt;&lt;/authors&gt;&lt;/contributors&gt;&lt;titles&gt;&lt;title&gt;Using the Surface Free Energy Method to Evaluate the Effects of Polymeric Aggregate Treatment on Moisture Damage in Hot-Mix Asphalt&lt;/title&gt;&lt;secondary-title&gt;International Journal of Pavement Engineering&lt;/secondary-title&gt;&lt;/titles&gt;&lt;periodical&gt;&lt;full-title&gt;International Journal of Pavement Engineering&lt;/full-title&gt;&lt;/periodical&gt;&lt;pages&gt;66-78&lt;/pages&gt;&lt;volume&gt;15&lt;/volume&gt;&lt;number&gt;1&lt;/number&gt;&lt;dates&gt;&lt;year&gt;2014&lt;/year&gt;&lt;/dates&gt;&lt;isbn&gt;1029-8436&lt;/isbn&gt;&lt;urls&gt;&lt;/urls&gt;&lt;/record&gt;&lt;/Cite&gt;&lt;/EndNote&gt;</w:instrText>
      </w:r>
      <w:r w:rsidRPr="00313BA2">
        <w:rPr>
          <w:rFonts w:cs="Times New Roman"/>
          <w:szCs w:val="24"/>
        </w:rPr>
        <w:fldChar w:fldCharType="separate"/>
      </w:r>
      <w:r w:rsidR="00DB3733">
        <w:rPr>
          <w:rFonts w:cs="Times New Roman"/>
          <w:noProof/>
          <w:szCs w:val="24"/>
        </w:rPr>
        <w:t>Arabani and Hamedi (2014)</w:t>
      </w:r>
      <w:r w:rsidRPr="00313BA2">
        <w:rPr>
          <w:rFonts w:cs="Times New Roman"/>
          <w:szCs w:val="24"/>
        </w:rPr>
        <w:fldChar w:fldCharType="end"/>
      </w:r>
      <w:r w:rsidRPr="00313BA2">
        <w:rPr>
          <w:rFonts w:cs="Times New Roman"/>
          <w:szCs w:val="24"/>
        </w:rPr>
        <w:t xml:space="preserve"> in a different study. </w:t>
      </w:r>
      <w:r w:rsidR="00657956">
        <w:rPr>
          <w:rFonts w:cs="Times New Roman"/>
          <w:szCs w:val="24"/>
        </w:rPr>
        <w:t>G</w:t>
      </w:r>
      <w:r w:rsidRPr="00313BA2">
        <w:rPr>
          <w:rFonts w:cs="Times New Roman"/>
          <w:szCs w:val="24"/>
        </w:rPr>
        <w:t>ood correlation</w:t>
      </w:r>
      <w:r w:rsidR="00657956">
        <w:rPr>
          <w:rFonts w:cs="Times New Roman"/>
          <w:szCs w:val="24"/>
        </w:rPr>
        <w:t>s</w:t>
      </w:r>
      <w:r w:rsidRPr="00313BA2">
        <w:rPr>
          <w:rFonts w:cs="Times New Roman"/>
          <w:szCs w:val="24"/>
        </w:rPr>
        <w:t xml:space="preserve"> </w:t>
      </w:r>
      <w:r w:rsidR="00657956">
        <w:rPr>
          <w:rFonts w:cs="Times New Roman"/>
          <w:szCs w:val="24"/>
        </w:rPr>
        <w:t xml:space="preserve">were reported </w:t>
      </w:r>
      <w:r w:rsidRPr="00313BA2">
        <w:rPr>
          <w:rFonts w:cs="Times New Roman"/>
          <w:szCs w:val="24"/>
        </w:rPr>
        <w:t xml:space="preserve">between the results from dynamic modulus test and </w:t>
      </w:r>
      <w:r w:rsidR="00657956">
        <w:rPr>
          <w:rFonts w:cs="Times New Roman"/>
          <w:szCs w:val="24"/>
        </w:rPr>
        <w:t xml:space="preserve">the </w:t>
      </w:r>
      <w:r w:rsidRPr="00313BA2">
        <w:rPr>
          <w:rFonts w:cs="Times New Roman"/>
          <w:szCs w:val="24"/>
        </w:rPr>
        <w:t>SFE method. The influence of fillers on the moisture susceptibility of asphalt mixes w</w:t>
      </w:r>
      <w:r w:rsidR="00657956">
        <w:rPr>
          <w:rFonts w:cs="Times New Roman"/>
          <w:szCs w:val="24"/>
        </w:rPr>
        <w:t>as</w:t>
      </w:r>
      <w:r w:rsidRPr="00313BA2">
        <w:rPr>
          <w:rFonts w:cs="Times New Roman"/>
          <w:szCs w:val="24"/>
        </w:rPr>
        <w:t xml:space="preserve"> evaluated by </w:t>
      </w:r>
      <w:r w:rsidRPr="00313BA2">
        <w:rPr>
          <w:rFonts w:cs="Times New Roman"/>
          <w:szCs w:val="24"/>
        </w:rPr>
        <w:fldChar w:fldCharType="begin"/>
      </w:r>
      <w:r w:rsidRPr="00313BA2">
        <w:rPr>
          <w:rFonts w:cs="Times New Roman"/>
          <w:szCs w:val="24"/>
        </w:rPr>
        <w:instrText xml:space="preserve"> ADDIN EN.CITE &lt;EndNote&gt;&lt;Cite AuthorYear="1"&gt;&lt;Author&gt;Alvarez&lt;/Author&gt;&lt;Year&gt;2012&lt;/Year&gt;&lt;RecNum&gt;100&lt;/RecNum&gt;&lt;DisplayText&gt;Alvarez et al. (2012a)&lt;/DisplayText&gt;&lt;record&gt;&lt;rec-number&gt;100&lt;/rec-number&gt;&lt;foreign-keys&gt;&lt;key app="EN" db-id="d55vzfpwawdafteedfoxsf0lv0v0wp5va2aa" timestamp="1521306453"&gt;100&lt;/key&gt;&lt;/foreign-keys&gt;&lt;ref-type name="Journal Article"&gt;17&lt;/ref-type&gt;&lt;contributors&gt;&lt;authors&gt;&lt;author&gt;Alvarez, Allex E&lt;/author&gt;&lt;author&gt;Ovalles, Evelyn&lt;/author&gt;&lt;author&gt;Caro, Silvia&lt;/author&gt;&lt;/authors&gt;&lt;/contributors&gt;&lt;titles&gt;&lt;title&gt;Assessment of the effect of mineral filler on asphalt–aggregate interfaces based on thermodynamic properties&lt;/title&gt;&lt;secondary-title&gt;Construction and Building Materials&lt;/secondary-title&gt;&lt;/titles&gt;&lt;periodical&gt;&lt;full-title&gt;Construction and Building Materials&lt;/full-title&gt;&lt;/periodical&gt;&lt;pages&gt;599-606&lt;/pages&gt;&lt;volume&gt;28&lt;/volume&gt;&lt;number&gt;1&lt;/number&gt;&lt;dates&gt;&lt;year&gt;2012&lt;/year&gt;&lt;/dates&gt;&lt;isbn&gt;0950-0618&lt;/isbn&gt;&lt;urls&gt;&lt;/urls&gt;&lt;/record&gt;&lt;/Cite&gt;&lt;/EndNote&gt;</w:instrText>
      </w:r>
      <w:r w:rsidRPr="00313BA2">
        <w:rPr>
          <w:rFonts w:cs="Times New Roman"/>
          <w:szCs w:val="24"/>
        </w:rPr>
        <w:fldChar w:fldCharType="separate"/>
      </w:r>
      <w:r w:rsidRPr="00313BA2">
        <w:rPr>
          <w:rFonts w:cs="Times New Roman"/>
          <w:noProof/>
          <w:szCs w:val="24"/>
        </w:rPr>
        <w:t>Alvarez et al. (2012a)</w:t>
      </w:r>
      <w:r w:rsidRPr="00313BA2">
        <w:rPr>
          <w:rFonts w:cs="Times New Roman"/>
          <w:szCs w:val="24"/>
        </w:rPr>
        <w:fldChar w:fldCharType="end"/>
      </w:r>
      <w:r w:rsidRPr="00313BA2">
        <w:rPr>
          <w:rFonts w:cs="Times New Roman"/>
          <w:szCs w:val="24"/>
        </w:rPr>
        <w:t xml:space="preserve"> using </w:t>
      </w:r>
      <w:r w:rsidR="00657956">
        <w:rPr>
          <w:rFonts w:cs="Times New Roman"/>
          <w:szCs w:val="24"/>
        </w:rPr>
        <w:t xml:space="preserve">the </w:t>
      </w:r>
      <w:r w:rsidRPr="00313BA2">
        <w:rPr>
          <w:rFonts w:cs="Times New Roman"/>
          <w:szCs w:val="24"/>
        </w:rPr>
        <w:t xml:space="preserve">SFE </w:t>
      </w:r>
      <w:r w:rsidRPr="00E64D15">
        <w:rPr>
          <w:rFonts w:cs="Times New Roman"/>
          <w:szCs w:val="24"/>
        </w:rPr>
        <w:t xml:space="preserve">technique. Also, </w:t>
      </w:r>
      <w:r w:rsidRPr="00E64D15">
        <w:rPr>
          <w:rFonts w:cs="Times New Roman"/>
          <w:szCs w:val="24"/>
        </w:rPr>
        <w:fldChar w:fldCharType="begin"/>
      </w:r>
      <w:r w:rsidRPr="00E64D15">
        <w:rPr>
          <w:rFonts w:cs="Times New Roman"/>
          <w:szCs w:val="24"/>
        </w:rPr>
        <w:instrText xml:space="preserve"> ADDIN EN.CITE &lt;EndNote&gt;&lt;Cite AuthorYear="1"&gt;&lt;Author&gt;Alvarez&lt;/Author&gt;&lt;Year&gt;2012&lt;/Year&gt;&lt;RecNum&gt;3&lt;/RecNum&gt;&lt;DisplayText&gt;Alvarez et al. (2012b)&lt;/DisplayText&gt;&lt;record&gt;&lt;rec-number&gt;3&lt;/rec-number&gt;&lt;foreign-keys&gt;&lt;key app="EN" db-id="d55vzfpwawdafteedfoxsf0lv0v0wp5va2aa" timestamp="1509899663"&gt;3&lt;/key&gt;&lt;key app="ENWeb" db-id=""&gt;0&lt;/key&gt;&lt;/foreign-keys&gt;&lt;ref-type name="Journal Article"&gt;17&lt;/ref-type&gt;&lt;contributors&gt;&lt;authors&gt;&lt;author&gt;Alvarez, Allex E.&lt;/author&gt;&lt;author&gt;Ovalles, Evelyn&lt;/author&gt;&lt;author&gt;Epps Martin, Amy&lt;/author&gt;&lt;/authors&gt;&lt;/contributors&gt;&lt;titles&gt;&lt;title&gt;Comparison of asphalt rubber-aggregate and polymer modified asphalt–aggregate systems in terms of surface free energy and energy indices&lt;/title&gt;&lt;secondary-title&gt;Construction and Building Materials&lt;/secondary-title&gt;&lt;/titles&gt;&lt;periodical&gt;&lt;full-title&gt;Construction and Building Materials&lt;/full-title&gt;&lt;/periodical&gt;&lt;pages&gt;385-392&lt;/pages&gt;&lt;volume&gt;35&lt;/volume&gt;&lt;section&gt;385&lt;/section&gt;&lt;dates&gt;&lt;year&gt;2012&lt;/year&gt;&lt;/dates&gt;&lt;isbn&gt;09500618&lt;/isbn&gt;&lt;urls&gt;&lt;/urls&gt;&lt;electronic-resource-num&gt;10.1016/j.conbuildmat.2012.04.029&lt;/electronic-resource-num&gt;&lt;/record&gt;&lt;/Cite&gt;&lt;/EndNote&gt;</w:instrText>
      </w:r>
      <w:r w:rsidRPr="00E64D15">
        <w:rPr>
          <w:rFonts w:cs="Times New Roman"/>
          <w:szCs w:val="24"/>
        </w:rPr>
        <w:fldChar w:fldCharType="separate"/>
      </w:r>
      <w:r w:rsidRPr="00E64D15">
        <w:rPr>
          <w:rFonts w:cs="Times New Roman"/>
          <w:noProof/>
          <w:szCs w:val="24"/>
        </w:rPr>
        <w:t>Alvarez et al. (2012b)</w:t>
      </w:r>
      <w:r w:rsidRPr="00E64D15">
        <w:rPr>
          <w:rFonts w:cs="Times New Roman"/>
          <w:szCs w:val="24"/>
        </w:rPr>
        <w:fldChar w:fldCharType="end"/>
      </w:r>
      <w:r w:rsidRPr="00E64D15">
        <w:rPr>
          <w:rFonts w:cs="Times New Roman"/>
          <w:szCs w:val="24"/>
        </w:rPr>
        <w:t xml:space="preserve"> evaluated the effectiveness of the modification of binder-aggregate interface with asphalt rubber and polymer to reduce moisture-induced damage potential using </w:t>
      </w:r>
      <w:r w:rsidR="00657956" w:rsidRPr="00E64D15">
        <w:rPr>
          <w:rFonts w:cs="Times New Roman"/>
          <w:szCs w:val="24"/>
        </w:rPr>
        <w:t xml:space="preserve">the </w:t>
      </w:r>
      <w:r w:rsidRPr="00E64D15">
        <w:rPr>
          <w:rFonts w:cs="Times New Roman"/>
          <w:szCs w:val="24"/>
        </w:rPr>
        <w:t xml:space="preserve">SFE method. Ghabchi et al. (2014) investigated the effect </w:t>
      </w:r>
      <w:r w:rsidR="00657956" w:rsidRPr="00E64D15">
        <w:rPr>
          <w:rFonts w:cs="Times New Roman"/>
          <w:szCs w:val="24"/>
        </w:rPr>
        <w:t xml:space="preserve">of </w:t>
      </w:r>
      <w:r w:rsidRPr="00E64D15">
        <w:rPr>
          <w:rFonts w:cs="Times New Roman"/>
          <w:szCs w:val="24"/>
        </w:rPr>
        <w:t xml:space="preserve">RAP on the adhesion bonding of binder-aggregate systems using the SFE components of RAP binder blends and aggregates. The </w:t>
      </w:r>
      <w:r w:rsidR="00214641" w:rsidRPr="00E64D15">
        <w:rPr>
          <w:rFonts w:cs="Times New Roman"/>
          <w:szCs w:val="24"/>
        </w:rPr>
        <w:t xml:space="preserve">adhesion and </w:t>
      </w:r>
      <w:r w:rsidRPr="00E64D15">
        <w:rPr>
          <w:rFonts w:cs="Times New Roman"/>
          <w:szCs w:val="24"/>
        </w:rPr>
        <w:t xml:space="preserve">compatibilities between binder blends with different amounts of RAP and six different types of aggregates were evaluated using different energy parameters. The SFE method was used by </w:t>
      </w:r>
      <w:r w:rsidRPr="00E64D15">
        <w:rPr>
          <w:rFonts w:cs="Times New Roman"/>
          <w:szCs w:val="24"/>
        </w:rPr>
        <w:fldChar w:fldCharType="begin"/>
      </w:r>
      <w:r w:rsidRPr="00E64D15">
        <w:rPr>
          <w:rFonts w:cs="Times New Roman"/>
          <w:szCs w:val="24"/>
        </w:rPr>
        <w:instrText xml:space="preserve"> ADDIN EN.CITE &lt;EndNote&gt;&lt;Cite AuthorYear="1"&gt;&lt;Author&gt;Tan&lt;/Author&gt;&lt;Year&gt;2013&lt;/Year&gt;&lt;RecNum&gt;102&lt;/RecNum&gt;&lt;DisplayText&gt;Tan and Guo (2013)&lt;/DisplayText&gt;&lt;record&gt;&lt;rec-number&gt;102&lt;/rec-number&gt;&lt;foreign-keys&gt;&lt;key app="EN" db-id="d55vzfpwawdafteedfoxsf0lv0v0wp5va2aa" timestamp="1521310479"&gt;102&lt;/key&gt;&lt;/foreign-keys&gt;&lt;ref-type name="Journal Article"&gt;17&lt;/ref-type&gt;&lt;contributors&gt;&lt;authors&gt;&lt;author&gt;Tan, Yiqiu&lt;/author&gt;&lt;author&gt;Guo, Meng&lt;/author&gt;&lt;/authors&gt;&lt;/contributors&gt;&lt;titles&gt;&lt;title&gt;Using surface free energy method to study the cohesion and adhesion of asphalt mastic&lt;/title&gt;&lt;secondary-title&gt;Construction and Building Materials&lt;/secondary-title&gt;&lt;/titles&gt;&lt;periodical&gt;&lt;full-title&gt;Construction and Building Materials&lt;/full-title&gt;&lt;/periodical&gt;&lt;pages&gt;254-260&lt;/pages&gt;&lt;volume&gt;47&lt;/volume&gt;&lt;dates&gt;&lt;year&gt;2013&lt;/year&gt;&lt;/dates&gt;&lt;isbn&gt;0950-0618&lt;/isbn&gt;&lt;urls&gt;&lt;/urls&gt;&lt;/record&gt;&lt;/Cite&gt;&lt;/EndNote&gt;</w:instrText>
      </w:r>
      <w:r w:rsidRPr="00E64D15">
        <w:rPr>
          <w:rFonts w:cs="Times New Roman"/>
          <w:szCs w:val="24"/>
        </w:rPr>
        <w:fldChar w:fldCharType="separate"/>
      </w:r>
      <w:r w:rsidRPr="00E64D15">
        <w:rPr>
          <w:rFonts w:cs="Times New Roman"/>
          <w:noProof/>
          <w:szCs w:val="24"/>
        </w:rPr>
        <w:t>Tan and Guo (2013)</w:t>
      </w:r>
      <w:r w:rsidRPr="00E64D15">
        <w:rPr>
          <w:rFonts w:cs="Times New Roman"/>
          <w:szCs w:val="24"/>
        </w:rPr>
        <w:fldChar w:fldCharType="end"/>
      </w:r>
      <w:r w:rsidRPr="00E64D15">
        <w:rPr>
          <w:rFonts w:cs="Times New Roman"/>
          <w:szCs w:val="24"/>
        </w:rPr>
        <w:t xml:space="preserve"> to determine the cohesive and adhesive strength of asphalt mastic. It was found that the van der Waals force components of asphalt binders </w:t>
      </w:r>
      <w:r w:rsidRPr="00E64D15">
        <w:rPr>
          <w:rFonts w:cs="Times New Roman"/>
          <w:szCs w:val="24"/>
        </w:rPr>
        <w:lastRenderedPageBreak/>
        <w:t xml:space="preserve">and fillers contributed significantly to the cohesion and adhesion bonding of asphalt mastic. </w:t>
      </w:r>
    </w:p>
    <w:p w14:paraId="32BC4642" w14:textId="106CB8CA" w:rsidR="00313BA2" w:rsidRPr="00E64D15" w:rsidRDefault="00313BA2" w:rsidP="00985A4A">
      <w:pPr>
        <w:pStyle w:val="Heading3"/>
      </w:pPr>
      <w:bookmarkStart w:id="30" w:name="_Toc24096069"/>
      <w:bookmarkStart w:id="31" w:name="_Toc71728409"/>
      <w:r w:rsidRPr="00E64D15">
        <w:t>Effect of Chemical Compositions of Asphalt Binder and Aggregate on Moisture-induced Damage</w:t>
      </w:r>
      <w:bookmarkEnd w:id="30"/>
      <w:bookmarkEnd w:id="31"/>
    </w:p>
    <w:p w14:paraId="7BE02226" w14:textId="4892EF04" w:rsidR="00313BA2" w:rsidRPr="00E64D15" w:rsidRDefault="00313BA2" w:rsidP="00DF3EA7">
      <w:pPr>
        <w:ind w:firstLine="720"/>
        <w:rPr>
          <w:rFonts w:cs="Times New Roman"/>
          <w:szCs w:val="24"/>
        </w:rPr>
      </w:pPr>
      <w:r w:rsidRPr="00E64D15">
        <w:rPr>
          <w:rFonts w:cs="Times New Roman"/>
          <w:szCs w:val="24"/>
        </w:rPr>
        <w:t xml:space="preserve">The chemical and physical properties of both binder and aggregates have significant influence on the adhesive properties of asphalt mixes </w:t>
      </w:r>
      <w:r w:rsidRPr="00E64D15">
        <w:rPr>
          <w:rStyle w:val="fontstyle01"/>
          <w:sz w:val="24"/>
          <w:szCs w:val="24"/>
        </w:rPr>
        <w:fldChar w:fldCharType="begin">
          <w:fldData xml:space="preserve">PEVuZE5vdGU+PENpdGU+PEF1dGhvcj5Ub25nPC9BdXRob3I+PFllYXI+MjAxNTwvWWVhcj48UmVj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</w:fldData>
        </w:fldChar>
      </w:r>
      <w:r w:rsidR="00282238" w:rsidRPr="00E64D15">
        <w:rPr>
          <w:rStyle w:val="fontstyle01"/>
          <w:sz w:val="24"/>
          <w:szCs w:val="24"/>
        </w:rPr>
        <w:instrText xml:space="preserve"> ADDIN EN.CITE </w:instrText>
      </w:r>
      <w:r w:rsidR="00282238" w:rsidRPr="00E64D15">
        <w:rPr>
          <w:rStyle w:val="fontstyle01"/>
          <w:sz w:val="24"/>
          <w:szCs w:val="24"/>
        </w:rPr>
        <w:fldChar w:fldCharType="begin">
          <w:fldData xml:space="preserve">PEVuZE5vdGU+PENpdGU+PEF1dGhvcj5Ub25nPC9BdXRob3I+PFllYXI+MjAxNTwvWWVhcj48UmVj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</w:fldData>
        </w:fldChar>
      </w:r>
      <w:r w:rsidR="00282238" w:rsidRPr="00E64D15">
        <w:rPr>
          <w:rStyle w:val="fontstyle01"/>
          <w:sz w:val="24"/>
          <w:szCs w:val="24"/>
        </w:rPr>
        <w:instrText xml:space="preserve"> ADDIN EN.CITE.DATA </w:instrText>
      </w:r>
      <w:r w:rsidR="00282238" w:rsidRPr="00E64D15">
        <w:rPr>
          <w:rStyle w:val="fontstyle01"/>
          <w:sz w:val="24"/>
          <w:szCs w:val="24"/>
        </w:rPr>
      </w:r>
      <w:r w:rsidR="00282238" w:rsidRPr="00E64D15">
        <w:rPr>
          <w:rStyle w:val="fontstyle01"/>
          <w:sz w:val="24"/>
          <w:szCs w:val="24"/>
        </w:rPr>
        <w:fldChar w:fldCharType="end"/>
      </w:r>
      <w:r w:rsidRPr="00E64D15">
        <w:rPr>
          <w:rStyle w:val="fontstyle01"/>
          <w:sz w:val="24"/>
          <w:szCs w:val="24"/>
        </w:rPr>
      </w:r>
      <w:r w:rsidRPr="00E64D15">
        <w:rPr>
          <w:rStyle w:val="fontstyle01"/>
          <w:sz w:val="24"/>
          <w:szCs w:val="24"/>
        </w:rPr>
        <w:fldChar w:fldCharType="separate"/>
      </w:r>
      <w:r w:rsidR="00282238" w:rsidRPr="00E64D15">
        <w:rPr>
          <w:rStyle w:val="fontstyle01"/>
          <w:noProof/>
          <w:sz w:val="24"/>
          <w:szCs w:val="24"/>
        </w:rPr>
        <w:t>(Abo-Qudais and Al-Shweily, 2007; Shu et al., 2012; Doyle and Howard, 2013; Tong et al., 2015; Baldi-Sevilla et al., 2017)</w:t>
      </w:r>
      <w:r w:rsidRPr="00E64D15">
        <w:rPr>
          <w:rStyle w:val="fontstyle01"/>
          <w:sz w:val="24"/>
          <w:szCs w:val="24"/>
        </w:rPr>
        <w:fldChar w:fldCharType="end"/>
      </w:r>
      <w:r w:rsidRPr="00E64D15">
        <w:rPr>
          <w:rFonts w:cs="Times New Roman"/>
          <w:szCs w:val="24"/>
        </w:rPr>
        <w:t xml:space="preserve">. Asphalt binder exhibits complex chemical </w:t>
      </w:r>
      <w:r w:rsidR="009C7CF6" w:rsidRPr="00E64D15">
        <w:rPr>
          <w:rFonts w:cs="Times New Roman"/>
          <w:szCs w:val="24"/>
        </w:rPr>
        <w:t>composition</w:t>
      </w:r>
      <w:r w:rsidR="00C81AB5" w:rsidRPr="00E64D15">
        <w:rPr>
          <w:rFonts w:cs="Times New Roman"/>
          <w:szCs w:val="24"/>
        </w:rPr>
        <w:t>s</w:t>
      </w:r>
      <w:r w:rsidRPr="00E64D15">
        <w:rPr>
          <w:rFonts w:cs="Times New Roman"/>
          <w:szCs w:val="24"/>
        </w:rPr>
        <w:t xml:space="preserve">. </w:t>
      </w:r>
      <w:r w:rsidRPr="00E64D15">
        <w:rPr>
          <w:rStyle w:val="fontstyle01"/>
          <w:sz w:val="24"/>
          <w:szCs w:val="24"/>
        </w:rPr>
        <w:t xml:space="preserve">It is a mixture of hydrocarbons with polar functional groups. Few organometallic constituents such as nickel, vanadium, and iron may be present in binder </w:t>
      </w:r>
      <w:r w:rsidRPr="00E64D15">
        <w:rPr>
          <w:rStyle w:val="fontstyle01"/>
          <w:sz w:val="24"/>
          <w:szCs w:val="24"/>
        </w:rPr>
        <w:fldChar w:fldCharType="begin">
          <w:fldData xml:space="preserve">PEVuZE5vdGU+PENpdGU+PEF1dGhvcj5DdXJ0aXM8L0F1dGhvcj48WWVhcj4xOTkzPC9ZZWFyPjxS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</w:fldData>
        </w:fldChar>
      </w:r>
      <w:r w:rsidR="00282238" w:rsidRPr="00E64D15">
        <w:rPr>
          <w:rStyle w:val="fontstyle01"/>
          <w:sz w:val="24"/>
          <w:szCs w:val="24"/>
        </w:rPr>
        <w:instrText xml:space="preserve"> ADDIN EN.CITE </w:instrText>
      </w:r>
      <w:r w:rsidR="00282238" w:rsidRPr="00E64D15">
        <w:rPr>
          <w:rStyle w:val="fontstyle01"/>
          <w:sz w:val="24"/>
          <w:szCs w:val="24"/>
        </w:rPr>
        <w:fldChar w:fldCharType="begin">
          <w:fldData xml:space="preserve">PEVuZE5vdGU+PENpdGU+PEF1dGhvcj5DdXJ0aXM8L0F1dGhvcj48WWVhcj4xOTkzPC9ZZWFyPjxS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</w:fldData>
        </w:fldChar>
      </w:r>
      <w:r w:rsidR="00282238" w:rsidRPr="00E64D15">
        <w:rPr>
          <w:rStyle w:val="fontstyle01"/>
          <w:sz w:val="24"/>
          <w:szCs w:val="24"/>
        </w:rPr>
        <w:instrText xml:space="preserve"> ADDIN EN.CITE.DATA </w:instrText>
      </w:r>
      <w:r w:rsidR="00282238" w:rsidRPr="00E64D15">
        <w:rPr>
          <w:rStyle w:val="fontstyle01"/>
          <w:sz w:val="24"/>
          <w:szCs w:val="24"/>
        </w:rPr>
      </w:r>
      <w:r w:rsidR="00282238" w:rsidRPr="00E64D15">
        <w:rPr>
          <w:rStyle w:val="fontstyle01"/>
          <w:sz w:val="24"/>
          <w:szCs w:val="24"/>
        </w:rPr>
        <w:fldChar w:fldCharType="end"/>
      </w:r>
      <w:r w:rsidRPr="00E64D15">
        <w:rPr>
          <w:rStyle w:val="fontstyle01"/>
          <w:sz w:val="24"/>
          <w:szCs w:val="24"/>
        </w:rPr>
      </w:r>
      <w:r w:rsidRPr="00E64D15">
        <w:rPr>
          <w:rStyle w:val="fontstyle01"/>
          <w:sz w:val="24"/>
          <w:szCs w:val="24"/>
        </w:rPr>
        <w:fldChar w:fldCharType="separate"/>
      </w:r>
      <w:r w:rsidR="00282238" w:rsidRPr="00E64D15">
        <w:rPr>
          <w:rStyle w:val="fontstyle01"/>
          <w:noProof/>
          <w:sz w:val="24"/>
          <w:szCs w:val="24"/>
        </w:rPr>
        <w:t>(Curtis et al., 1993; Jahromi, 2009; Hofko et al., 2018)</w:t>
      </w:r>
      <w:r w:rsidRPr="00E64D15">
        <w:rPr>
          <w:rStyle w:val="fontstyle01"/>
          <w:sz w:val="24"/>
          <w:szCs w:val="24"/>
        </w:rPr>
        <w:fldChar w:fldCharType="end"/>
      </w:r>
      <w:r w:rsidRPr="00E64D15">
        <w:rPr>
          <w:rStyle w:val="fontstyle01"/>
          <w:sz w:val="24"/>
          <w:szCs w:val="24"/>
        </w:rPr>
        <w:t xml:space="preserve">. </w:t>
      </w:r>
      <w:r w:rsidRPr="00E64D15">
        <w:rPr>
          <w:rFonts w:cs="Times New Roman"/>
          <w:szCs w:val="24"/>
        </w:rPr>
        <w:t xml:space="preserve">The </w:t>
      </w:r>
      <w:r w:rsidR="00657956" w:rsidRPr="00E64D15">
        <w:rPr>
          <w:rFonts w:cs="Times New Roman"/>
          <w:szCs w:val="24"/>
        </w:rPr>
        <w:t xml:space="preserve">level of </w:t>
      </w:r>
      <w:r w:rsidRPr="00E64D15">
        <w:rPr>
          <w:rFonts w:cs="Times New Roman"/>
          <w:szCs w:val="24"/>
        </w:rPr>
        <w:t xml:space="preserve">complexity gets more critical with the addition of different additives </w:t>
      </w:r>
      <w:r w:rsidRPr="00E64D15">
        <w:rPr>
          <w:rFonts w:cs="Times New Roman"/>
          <w:szCs w:val="24"/>
        </w:rPr>
        <w:fldChar w:fldCharType="begin"/>
      </w:r>
      <w:r w:rsidR="00282238" w:rsidRPr="00E64D15">
        <w:rPr>
          <w:rFonts w:cs="Times New Roman"/>
          <w:szCs w:val="24"/>
        </w:rPr>
        <w:instrText xml:space="preserve"> ADDIN EN.CITE &lt;EndNote&gt;&lt;Cite&gt;&lt;Author&gt;Hossain&lt;/Author&gt;&lt;Year&gt;2012&lt;/Year&gt;&lt;RecNum&gt;92&lt;/RecNum&gt;&lt;DisplayText&gt;(Hossain et al., 2012)&lt;/DisplayText&gt;&lt;record&gt;&lt;rec-number&gt;92&lt;/rec-number&gt;&lt;foreign-keys&gt;&lt;key app="EN" db-id="d55vzfpwawdafteedfoxsf0lv0v0wp5va2aa" timestamp="1519498736"&gt;92&lt;/key&gt;&lt;/foreign-keys&gt;&lt;ref-type name="Journal Article"&gt;17&lt;/ref-type&gt;&lt;contributors&gt;&lt;authors&gt;&lt;author&gt;Hossain, Zahid&lt;/author&gt;&lt;author&gt;Lewis, Sharon&lt;/author&gt;&lt;author&gt;Zaman, Musharraf&lt;/author&gt;&lt;author&gt;Buddhala, Aravinda&lt;/author&gt;&lt;author&gt;O’Rear, Edgar&lt;/author&gt;&lt;/authors&gt;&lt;/contributors&gt;&lt;titles&gt;&lt;title&gt;Evaluation for warm-mix additive-modified asphalt binders using spectroscopy techniques&lt;/title&gt;&lt;secondary-title&gt;Journal of Materials in Civil Engineering&lt;/secondary-title&gt;&lt;/titles&gt;&lt;periodical&gt;&lt;full-title&gt;Journal of Materials in Civil Engineering&lt;/full-title&gt;&lt;/periodical&gt;&lt;pages&gt;149-159&lt;/pages&gt;&lt;volume&gt;25&lt;/volume&gt;&lt;number&gt;2&lt;/number&gt;&lt;dates&gt;&lt;year&gt;2012&lt;/year&gt;&lt;/dates&gt;&lt;isbn&gt;0899-1561&lt;/isbn&gt;&lt;urls&gt;&lt;/urls&gt;&lt;/record&gt;&lt;/Cite&gt;&lt;/EndNote&gt;</w:instrText>
      </w:r>
      <w:r w:rsidRPr="00E64D15">
        <w:rPr>
          <w:rFonts w:cs="Times New Roman"/>
          <w:szCs w:val="24"/>
        </w:rPr>
        <w:fldChar w:fldCharType="separate"/>
      </w:r>
      <w:r w:rsidR="00282238" w:rsidRPr="00E64D15">
        <w:rPr>
          <w:rFonts w:cs="Times New Roman"/>
          <w:noProof/>
          <w:szCs w:val="24"/>
        </w:rPr>
        <w:t>(Hossain et al., 2012)</w:t>
      </w:r>
      <w:r w:rsidRPr="00E64D15">
        <w:rPr>
          <w:rFonts w:cs="Times New Roman"/>
          <w:szCs w:val="24"/>
        </w:rPr>
        <w:fldChar w:fldCharType="end"/>
      </w:r>
      <w:r w:rsidRPr="00E64D15">
        <w:rPr>
          <w:rFonts w:cs="Times New Roman"/>
          <w:szCs w:val="24"/>
        </w:rPr>
        <w:t>. Therefore, understanding the interaction between binder and additives is important to evaluate the effect of additives on the binder’s performance. The relationship</w:t>
      </w:r>
      <w:r w:rsidR="00657956" w:rsidRPr="00E64D15">
        <w:rPr>
          <w:rFonts w:cs="Times New Roman"/>
          <w:szCs w:val="24"/>
        </w:rPr>
        <w:t>s</w:t>
      </w:r>
      <w:r w:rsidRPr="00E64D15">
        <w:rPr>
          <w:rFonts w:cs="Times New Roman"/>
          <w:szCs w:val="24"/>
        </w:rPr>
        <w:t xml:space="preserve"> between </w:t>
      </w:r>
      <w:r w:rsidRPr="00E64D15">
        <w:rPr>
          <w:rFonts w:cs="Times New Roman"/>
          <w:color w:val="231F20"/>
          <w:szCs w:val="24"/>
        </w:rPr>
        <w:t xml:space="preserve">rheological and chemical properties of binder with WMA and ASA were investigated by </w:t>
      </w:r>
      <w:r w:rsidRPr="00E64D15">
        <w:rPr>
          <w:rFonts w:cs="Times New Roman"/>
          <w:szCs w:val="24"/>
        </w:rPr>
        <w:fldChar w:fldCharType="begin"/>
      </w:r>
      <w:r w:rsidRPr="00E64D15">
        <w:rPr>
          <w:rFonts w:cs="Times New Roman"/>
          <w:szCs w:val="24"/>
        </w:rPr>
        <w:instrText xml:space="preserve"> ADDIN EN.CITE &lt;EndNote&gt;&lt;Cite AuthorYear="1"&gt;&lt;Author&gt;Hossain&lt;/Author&gt;&lt;Year&gt;2012&lt;/Year&gt;&lt;RecNum&gt;92&lt;/RecNum&gt;&lt;DisplayText&gt;Hossain et al. (2012)&lt;/DisplayText&gt;&lt;record&gt;&lt;rec-number&gt;92&lt;/rec-number&gt;&lt;foreign-keys&gt;&lt;key app="EN" db-id="d55vzfpwawdafteedfoxsf0lv0v0wp5va2aa" timestamp="1519498736"&gt;92&lt;/key&gt;&lt;/foreign-keys&gt;&lt;ref-type name="Journal Article"&gt;17&lt;/ref-type&gt;&lt;contributors&gt;&lt;authors&gt;&lt;author&gt;Hossain, Zahid&lt;/author&gt;&lt;author&gt;Lewis, Sharon&lt;/author&gt;&lt;author&gt;Zaman, Musharraf&lt;/author&gt;&lt;author&gt;Buddhala, Aravinda&lt;/author&gt;&lt;author&gt;O’Rear, Edgar&lt;/author&gt;&lt;/authors&gt;&lt;/contributors&gt;&lt;titles&gt;&lt;title&gt;Evaluation for warm-mix additive-modified asphalt binders using spectroscopy techniques&lt;/title&gt;&lt;secondary-title&gt;Journal of Materials in Civil Engineering&lt;/secondary-title&gt;&lt;/titles&gt;&lt;periodical&gt;&lt;full-title&gt;Journal of Materials in Civil Engineering&lt;/full-title&gt;&lt;/periodical&gt;&lt;pages&gt;149-159&lt;/pages&gt;&lt;volume&gt;25&lt;/volume&gt;&lt;number&gt;2&lt;/number&gt;&lt;dates&gt;&lt;year&gt;2012&lt;/year&gt;&lt;/dates&gt;&lt;isbn&gt;0899-1561&lt;/isbn&gt;&lt;urls&gt;&lt;/urls&gt;&lt;/record&gt;&lt;/Cite&gt;&lt;/EndNote&gt;</w:instrText>
      </w:r>
      <w:r w:rsidRPr="00E64D15">
        <w:rPr>
          <w:rFonts w:cs="Times New Roman"/>
          <w:szCs w:val="24"/>
        </w:rPr>
        <w:fldChar w:fldCharType="separate"/>
      </w:r>
      <w:r w:rsidRPr="00E64D15">
        <w:rPr>
          <w:rFonts w:cs="Times New Roman"/>
          <w:noProof/>
          <w:szCs w:val="24"/>
        </w:rPr>
        <w:t>Hossain et al. (2012)</w:t>
      </w:r>
      <w:r w:rsidRPr="00E64D15">
        <w:rPr>
          <w:rFonts w:cs="Times New Roman"/>
          <w:szCs w:val="24"/>
        </w:rPr>
        <w:fldChar w:fldCharType="end"/>
      </w:r>
      <w:r w:rsidRPr="00E64D15">
        <w:rPr>
          <w:rFonts w:cs="Times New Roman"/>
          <w:szCs w:val="24"/>
        </w:rPr>
        <w:t xml:space="preserve"> </w:t>
      </w:r>
      <w:r w:rsidRPr="00E64D15">
        <w:rPr>
          <w:rFonts w:cs="Times New Roman"/>
          <w:color w:val="231F20"/>
          <w:szCs w:val="24"/>
        </w:rPr>
        <w:t xml:space="preserve">using spectroscopic analysis. The addition of WMA additives caused an increase in aliphatic content of the binder which subsequently resulted in an increase in stiffness. Also, the addition of an antistripping agent was found to increase the nitrogen content in the surface composition of the binder. </w:t>
      </w:r>
      <w:r w:rsidRPr="00E64D15">
        <w:rPr>
          <w:rFonts w:cs="Times New Roman"/>
          <w:color w:val="231F20"/>
          <w:szCs w:val="24"/>
        </w:rPr>
        <w:fldChar w:fldCharType="begin"/>
      </w:r>
      <w:r w:rsidRPr="00E64D15">
        <w:rPr>
          <w:rFonts w:cs="Times New Roman"/>
          <w:color w:val="231F20"/>
          <w:szCs w:val="24"/>
        </w:rPr>
        <w:instrText xml:space="preserve"> ADDIN EN.CITE &lt;EndNote&gt;&lt;Cite AuthorYear="1"&gt;&lt;Author&gt;Wei&lt;/Author&gt;&lt;Year&gt;2014&lt;/Year&gt;&lt;RecNum&gt;114&lt;/RecNum&gt;&lt;DisplayText&gt;Wei et al. (2014)&lt;/DisplayText&gt;&lt;record&gt;&lt;rec-number&gt;114&lt;/rec-number&gt;&lt;foreign-keys&gt;&lt;key app="EN" db-id="d55vzfpwawdafteedfoxsf0lv0v0wp5va2aa" timestamp="1521377266"&gt;114&lt;/key&gt;&lt;/foreign-keys&gt;&lt;ref-type name="Journal Article"&gt;17&lt;/ref-type&gt;&lt;contributors&gt;&lt;authors&gt;&lt;author&gt;Wei, Jianming&lt;/author&gt;&lt;author&gt;Dong, Fuqiang&lt;/author&gt;&lt;author&gt;Li, Yanan&lt;/author&gt;&lt;author&gt;Zhang, Yuzhen&lt;/author&gt;&lt;/authors&gt;&lt;/contributors&gt;&lt;titles&gt;&lt;title&gt;Relationship analysis between surface free energy and chemical composition of asphalt binder&lt;/title&gt;&lt;secondary-title&gt;Construction and Building Materials&lt;/secondary-title&gt;&lt;/titles&gt;&lt;periodical&gt;&lt;full-title&gt;Construction and Building Materials&lt;/full-title&gt;&lt;/periodical&gt;&lt;pages&gt;116-123&lt;/pages&gt;&lt;volume&gt;71&lt;/volume&gt;&lt;dates&gt;&lt;year&gt;2014&lt;/year&gt;&lt;/dates&gt;&lt;isbn&gt;0950-0618&lt;/isbn&gt;&lt;urls&gt;&lt;/urls&gt;&lt;/record&gt;&lt;/Cite&gt;&lt;/EndNote&gt;</w:instrText>
      </w:r>
      <w:r w:rsidRPr="00E64D15">
        <w:rPr>
          <w:rFonts w:cs="Times New Roman"/>
          <w:color w:val="231F20"/>
          <w:szCs w:val="24"/>
        </w:rPr>
        <w:fldChar w:fldCharType="separate"/>
      </w:r>
      <w:r w:rsidRPr="00E64D15">
        <w:rPr>
          <w:rFonts w:cs="Times New Roman"/>
          <w:noProof/>
          <w:color w:val="231F20"/>
          <w:szCs w:val="24"/>
        </w:rPr>
        <w:t>Wei et al. (2014)</w:t>
      </w:r>
      <w:r w:rsidRPr="00E64D15">
        <w:rPr>
          <w:rFonts w:cs="Times New Roman"/>
          <w:color w:val="231F20"/>
          <w:szCs w:val="24"/>
        </w:rPr>
        <w:fldChar w:fldCharType="end"/>
      </w:r>
      <w:r w:rsidRPr="00E64D15">
        <w:rPr>
          <w:rFonts w:cs="Times New Roman"/>
          <w:color w:val="231F20"/>
          <w:szCs w:val="24"/>
        </w:rPr>
        <w:t xml:space="preserve"> evaluated the correlation between the four fractional compositions (saturates, aromatics, resins and asphaltenes) and the SFE of binder. The </w:t>
      </w:r>
      <w:r w:rsidR="00564DA2" w:rsidRPr="00E64D15">
        <w:rPr>
          <w:rFonts w:cs="Times New Roman"/>
          <w:color w:val="231F20"/>
          <w:szCs w:val="24"/>
        </w:rPr>
        <w:t>SFE of binder was</w:t>
      </w:r>
      <w:r w:rsidR="00BB2CBC" w:rsidRPr="00E64D15">
        <w:rPr>
          <w:rFonts w:cs="Times New Roman"/>
          <w:color w:val="231F20"/>
          <w:szCs w:val="24"/>
        </w:rPr>
        <w:t xml:space="preserve"> found to increase with the </w:t>
      </w:r>
      <w:r w:rsidRPr="00E64D15">
        <w:rPr>
          <w:rFonts w:cs="Times New Roman"/>
          <w:color w:val="231F20"/>
          <w:szCs w:val="24"/>
        </w:rPr>
        <w:t>amount of resin</w:t>
      </w:r>
      <w:r w:rsidR="00531FE2" w:rsidRPr="00E64D15">
        <w:rPr>
          <w:rFonts w:cs="Times New Roman"/>
          <w:color w:val="231F20"/>
          <w:szCs w:val="24"/>
        </w:rPr>
        <w:t xml:space="preserve"> and ratio of resins/asphaltenes</w:t>
      </w:r>
      <w:r w:rsidRPr="00E64D15">
        <w:rPr>
          <w:rFonts w:cs="Times New Roman"/>
          <w:color w:val="231F20"/>
          <w:szCs w:val="24"/>
        </w:rPr>
        <w:t xml:space="preserve">. Also, the SFE exhibited good correlations with the amounts of </w:t>
      </w:r>
      <w:r w:rsidR="00136C9D" w:rsidRPr="00E64D15">
        <w:rPr>
          <w:rFonts w:cs="Times New Roman"/>
          <w:color w:val="231F20"/>
          <w:szCs w:val="24"/>
        </w:rPr>
        <w:t>c</w:t>
      </w:r>
      <w:r w:rsidRPr="00E64D15">
        <w:rPr>
          <w:rFonts w:cs="Times New Roman"/>
          <w:color w:val="231F20"/>
          <w:szCs w:val="24"/>
        </w:rPr>
        <w:t xml:space="preserve">arbon, </w:t>
      </w:r>
      <w:r w:rsidR="00136C9D" w:rsidRPr="00E64D15">
        <w:rPr>
          <w:rFonts w:cs="Times New Roman"/>
          <w:color w:val="231F20"/>
          <w:szCs w:val="24"/>
        </w:rPr>
        <w:t>n</w:t>
      </w:r>
      <w:r w:rsidRPr="00E64D15">
        <w:rPr>
          <w:rFonts w:cs="Times New Roman"/>
          <w:color w:val="231F20"/>
          <w:szCs w:val="24"/>
        </w:rPr>
        <w:t xml:space="preserve">itrogen and </w:t>
      </w:r>
      <w:r w:rsidR="00136C9D" w:rsidRPr="00E64D15">
        <w:rPr>
          <w:rFonts w:cs="Times New Roman"/>
          <w:color w:val="231F20"/>
          <w:szCs w:val="24"/>
        </w:rPr>
        <w:t>s</w:t>
      </w:r>
      <w:r w:rsidRPr="00E64D15">
        <w:rPr>
          <w:rFonts w:cs="Times New Roman"/>
          <w:color w:val="231F20"/>
          <w:szCs w:val="24"/>
        </w:rPr>
        <w:t xml:space="preserve">ulphur present in </w:t>
      </w:r>
      <w:r w:rsidR="00657956" w:rsidRPr="00E64D15">
        <w:rPr>
          <w:rFonts w:cs="Times New Roman"/>
          <w:color w:val="231F20"/>
          <w:szCs w:val="24"/>
        </w:rPr>
        <w:t xml:space="preserve">a </w:t>
      </w:r>
      <w:r w:rsidRPr="00E64D15">
        <w:rPr>
          <w:rFonts w:cs="Times New Roman"/>
          <w:color w:val="231F20"/>
          <w:szCs w:val="24"/>
        </w:rPr>
        <w:t xml:space="preserve">binder. </w:t>
      </w:r>
      <w:r w:rsidRPr="00E64D15">
        <w:rPr>
          <w:rFonts w:cs="Times New Roman"/>
          <w:color w:val="231F20"/>
          <w:szCs w:val="24"/>
        </w:rPr>
        <w:fldChar w:fldCharType="begin"/>
      </w:r>
      <w:r w:rsidRPr="00E64D15">
        <w:rPr>
          <w:rFonts w:cs="Times New Roman"/>
          <w:color w:val="231F20"/>
          <w:szCs w:val="24"/>
        </w:rPr>
        <w:instrText xml:space="preserve"> ADDIN EN.CITE &lt;EndNote&gt;&lt;Cite AuthorYear="1"&gt;&lt;Author&gt;Tarefder&lt;/Author&gt;&lt;Year&gt;2009&lt;/Year&gt;&lt;RecNum&gt;115&lt;/RecNum&gt;&lt;DisplayText&gt;Tarefder and Zaman (2009)&lt;/DisplayText&gt;&lt;record&gt;&lt;rec-number&gt;115&lt;/rec-number&gt;&lt;foreign-keys&gt;&lt;key app="EN" db-id="d55vzfpwawdafteedfoxsf0lv0v0wp5va2aa" timestamp="1521378968"&gt;115&lt;/key&gt;&lt;/foreign-keys&gt;&lt;ref-type name="Journal Article"&gt;17&lt;/ref-type&gt;&lt;contributors&gt;&lt;authors&gt;&lt;author&gt;Tarefder, Rafiqul A&lt;/author&gt;&lt;author&gt;Zaman, Arif M&lt;/author&gt;&lt;/authors&gt;&lt;/contributors&gt;&lt;titles&gt;&lt;title&gt;Nanoscale evaluation of moisture damage in polymer modified asphalts&lt;/title&gt;&lt;secondary-title&gt;Journal of Materials in Civil Engineering&lt;/secondary-title&gt;&lt;/titles&gt;&lt;periodical&gt;&lt;full-title&gt;Journal of Materials in Civil Engineering&lt;/full-title&gt;&lt;/periodical&gt;&lt;pages&gt;714-725&lt;/pages&gt;&lt;volume&gt;22&lt;/volume&gt;&lt;number&gt;7&lt;/number&gt;&lt;dates&gt;&lt;year&gt;2009&lt;/year&gt;&lt;/dates&gt;&lt;isbn&gt;0899-1561&lt;/isbn&gt;&lt;urls&gt;&lt;/urls&gt;&lt;/record&gt;&lt;/Cite&gt;&lt;/EndNote&gt;</w:instrText>
      </w:r>
      <w:r w:rsidRPr="00E64D15">
        <w:rPr>
          <w:rFonts w:cs="Times New Roman"/>
          <w:color w:val="231F20"/>
          <w:szCs w:val="24"/>
        </w:rPr>
        <w:fldChar w:fldCharType="separate"/>
      </w:r>
      <w:r w:rsidRPr="00E64D15">
        <w:rPr>
          <w:rFonts w:cs="Times New Roman"/>
          <w:noProof/>
          <w:color w:val="231F20"/>
          <w:szCs w:val="24"/>
        </w:rPr>
        <w:t xml:space="preserve">Tarefder and Zaman </w:t>
      </w:r>
      <w:r w:rsidRPr="00E64D15">
        <w:rPr>
          <w:rFonts w:cs="Times New Roman"/>
          <w:noProof/>
          <w:color w:val="231F20"/>
          <w:szCs w:val="24"/>
        </w:rPr>
        <w:lastRenderedPageBreak/>
        <w:t>(2009)</w:t>
      </w:r>
      <w:r w:rsidRPr="00E64D15">
        <w:rPr>
          <w:rFonts w:cs="Times New Roman"/>
          <w:color w:val="231F20"/>
          <w:szCs w:val="24"/>
        </w:rPr>
        <w:fldChar w:fldCharType="end"/>
      </w:r>
      <w:r w:rsidRPr="00E64D15">
        <w:rPr>
          <w:rFonts w:cs="Times New Roman"/>
          <w:color w:val="231F20"/>
          <w:szCs w:val="24"/>
        </w:rPr>
        <w:t xml:space="preserve"> reported an improvement in moisture-induced damage performance of binders with 3% polymer</w:t>
      </w:r>
      <w:r w:rsidR="0040564D" w:rsidRPr="00E64D15">
        <w:rPr>
          <w:rFonts w:cs="Times New Roman"/>
          <w:color w:val="231F20"/>
          <w:szCs w:val="24"/>
        </w:rPr>
        <w:t xml:space="preserve"> (SB and SBS)</w:t>
      </w:r>
      <w:r w:rsidRPr="00E64D15">
        <w:rPr>
          <w:rFonts w:cs="Times New Roman"/>
          <w:color w:val="231F20"/>
          <w:szCs w:val="24"/>
        </w:rPr>
        <w:t xml:space="preserve"> by quantifying the adhesion/cohesion forces using an atomic force microscopy (AFM). </w:t>
      </w:r>
      <w:r w:rsidRPr="00E64D15">
        <w:rPr>
          <w:rFonts w:cs="Times New Roman"/>
          <w:szCs w:val="24"/>
        </w:rPr>
        <w:fldChar w:fldCharType="begin"/>
      </w:r>
      <w:r w:rsidRPr="00E64D15">
        <w:rPr>
          <w:rFonts w:cs="Times New Roman"/>
          <w:szCs w:val="24"/>
        </w:rPr>
        <w:instrText xml:space="preserve"> ADDIN EN.CITE &lt;EndNote&gt;&lt;Cite AuthorYear="1"&gt;&lt;Author&gt;Baumgardner&lt;/Author&gt;&lt;Year&gt;2005&lt;/Year&gt;&lt;RecNum&gt;123&lt;/RecNum&gt;&lt;DisplayText&gt;Baumgardner et al. (2005)&lt;/DisplayText&gt;&lt;record&gt;&lt;rec-number&gt;123&lt;/rec-number&gt;&lt;foreign-keys&gt;&lt;key app="EN" db-id="d55vzfpwawdafteedfoxsf0lv0v0wp5va2aa" timestamp="1521479936"&gt;123&lt;/key&gt;&lt;/foreign-keys&gt;&lt;ref-type name="Journal Article"&gt;17&lt;/ref-type&gt;&lt;contributors&gt;&lt;authors&gt;&lt;author&gt;Baumgardner, Gaylon L&lt;/author&gt;&lt;author&gt;Masson, JF&lt;/author&gt;&lt;author&gt;Hardee, John R&lt;/author&gt;&lt;author&gt;Menapace, Andy M&lt;/author&gt;&lt;author&gt;Williams, Austin G&lt;/author&gt;&lt;/authors&gt;&lt;/contributors&gt;&lt;titles&gt;&lt;title&gt;Polyphosphoric acid modified asphalt: proposed mechanisms&lt;/title&gt;&lt;secondary-title&gt;Journal of the Association of Asphalt Paving Technologists&lt;/secondary-title&gt;&lt;/titles&gt;&lt;periodical&gt;&lt;full-title&gt;Journal of the Association of Asphalt Paving Technologists&lt;/full-title&gt;&lt;/periodical&gt;&lt;pages&gt;283-305&lt;/pages&gt;&lt;volume&gt;74&lt;/volume&gt;&lt;dates&gt;&lt;year&gt;2005&lt;/year&gt;&lt;/dates&gt;&lt;urls&gt;&lt;/urls&gt;&lt;/record&gt;&lt;/Cite&gt;&lt;/EndNote&gt;</w:instrText>
      </w:r>
      <w:r w:rsidRPr="00E64D15">
        <w:rPr>
          <w:rFonts w:cs="Times New Roman"/>
          <w:szCs w:val="24"/>
        </w:rPr>
        <w:fldChar w:fldCharType="separate"/>
      </w:r>
      <w:r w:rsidRPr="00E64D15">
        <w:rPr>
          <w:rFonts w:cs="Times New Roman"/>
          <w:noProof/>
          <w:szCs w:val="24"/>
        </w:rPr>
        <w:t>Baumgardner et al. (2005)</w:t>
      </w:r>
      <w:r w:rsidRPr="00E64D15">
        <w:rPr>
          <w:rFonts w:cs="Times New Roman"/>
          <w:szCs w:val="24"/>
        </w:rPr>
        <w:fldChar w:fldCharType="end"/>
      </w:r>
      <w:r w:rsidRPr="00E64D15">
        <w:rPr>
          <w:rFonts w:cs="Times New Roman"/>
          <w:szCs w:val="24"/>
        </w:rPr>
        <w:t xml:space="preserve"> analyzed the chemical compositions of PPA-modified binders using a number of different chemical analysis tools. It was reported that the constituents of the base binder significantly influence the blending mechanism of PPA with binder. According to </w:t>
      </w:r>
      <w:r w:rsidRPr="00E64D15">
        <w:rPr>
          <w:rFonts w:cs="Times New Roman"/>
          <w:szCs w:val="24"/>
        </w:rPr>
        <w:fldChar w:fldCharType="begin"/>
      </w:r>
      <w:r w:rsidRPr="00E64D15">
        <w:rPr>
          <w:rFonts w:cs="Times New Roman"/>
          <w:szCs w:val="24"/>
        </w:rPr>
        <w:instrText xml:space="preserve"> ADDIN EN.CITE &lt;EndNote&gt;&lt;Cite AuthorYear="1"&gt;&lt;Author&gt;Fee&lt;/Author&gt;&lt;Year&gt;2010&lt;/Year&gt;&lt;RecNum&gt;122&lt;/RecNum&gt;&lt;DisplayText&gt;Fee et al. (2010)&lt;/DisplayText&gt;&lt;record&gt;&lt;rec-number&gt;122&lt;/rec-number&gt;&lt;foreign-keys&gt;&lt;key app="EN" db-id="d55vzfpwawdafteedfoxsf0lv0v0wp5va2aa" timestamp="1521479861"&gt;122&lt;/key&gt;&lt;/foreign-keys&gt;&lt;ref-type name="Journal Article"&gt;17&lt;/ref-type&gt;&lt;contributors&gt;&lt;authors&gt;&lt;author&gt;Fee, Darrell&lt;/author&gt;&lt;author&gt;Maldonado, Rene&lt;/author&gt;&lt;author&gt;Reinke, Gerald&lt;/author&gt;&lt;author&gt;Romagosa, Henry&lt;/author&gt;&lt;/authors&gt;&lt;/contributors&gt;&lt;titles&gt;&lt;title&gt;Polyphosphoric acid modification of asphalt&lt;/title&gt;&lt;secondary-title&gt;Transportation Research Record: Journal of the Transportation Research Board&lt;/secondary-title&gt;&lt;/titles&gt;&lt;periodical&gt;&lt;full-title&gt;Transportation Research Record: Journal of the Transportation Research Board&lt;/full-title&gt;&lt;/periodical&gt;&lt;pages&gt;49-57&lt;/pages&gt;&lt;number&gt;2179&lt;/number&gt;&lt;dates&gt;&lt;year&gt;2010&lt;/year&gt;&lt;/dates&gt;&lt;isbn&gt;0361-1981&lt;/isbn&gt;&lt;urls&gt;&lt;/urls&gt;&lt;/record&gt;&lt;/Cite&gt;&lt;/EndNote&gt;</w:instrText>
      </w:r>
      <w:r w:rsidRPr="00E64D15">
        <w:rPr>
          <w:rFonts w:cs="Times New Roman"/>
          <w:szCs w:val="24"/>
        </w:rPr>
        <w:fldChar w:fldCharType="separate"/>
      </w:r>
      <w:r w:rsidRPr="00E64D15">
        <w:rPr>
          <w:rFonts w:cs="Times New Roman"/>
          <w:noProof/>
          <w:szCs w:val="24"/>
        </w:rPr>
        <w:t>Fee et al. (2010)</w:t>
      </w:r>
      <w:r w:rsidRPr="00E64D15">
        <w:rPr>
          <w:rFonts w:cs="Times New Roman"/>
          <w:szCs w:val="24"/>
        </w:rPr>
        <w:fldChar w:fldCharType="end"/>
      </w:r>
      <w:r w:rsidRPr="00E64D15">
        <w:rPr>
          <w:rFonts w:cs="Times New Roman"/>
          <w:szCs w:val="24"/>
        </w:rPr>
        <w:t xml:space="preserve">, the PPA reacts with the various functional groups of the binder, breaks the asphaltene agglomerates into smaller fractions and disperses them in the maltene phase. These changes affect the rheology and physical characteristics of the binder. Also, in-service oxidative </w:t>
      </w:r>
      <w:r w:rsidRPr="00E64D15">
        <w:rPr>
          <w:rStyle w:val="fontstyle01"/>
          <w:sz w:val="24"/>
          <w:szCs w:val="24"/>
        </w:rPr>
        <w:t xml:space="preserve">aging can significantly change the chemical properties of a binder, hence affect moisture-induced damage performance of asphalt mixes </w:t>
      </w:r>
      <w:r w:rsidRPr="00E64D15">
        <w:rPr>
          <w:rStyle w:val="fontstyle01"/>
          <w:sz w:val="24"/>
          <w:szCs w:val="24"/>
        </w:rPr>
        <w:fldChar w:fldCharType="begin">
          <w:fldData xml:space="preserve">PEVuZE5vdGU+PENpdGU+PEF1dGhvcj5NYXJ0aW48L0F1dGhvcj48WWVhcj4xOTkwPC9ZZWFyPjxS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</w:fldData>
        </w:fldChar>
      </w:r>
      <w:r w:rsidR="00282238" w:rsidRPr="00E64D15">
        <w:rPr>
          <w:rStyle w:val="fontstyle01"/>
          <w:sz w:val="24"/>
          <w:szCs w:val="24"/>
        </w:rPr>
        <w:instrText xml:space="preserve"> ADDIN EN.CITE </w:instrText>
      </w:r>
      <w:r w:rsidR="00282238" w:rsidRPr="00E64D15">
        <w:rPr>
          <w:rStyle w:val="fontstyle01"/>
          <w:sz w:val="24"/>
          <w:szCs w:val="24"/>
        </w:rPr>
        <w:fldChar w:fldCharType="begin">
          <w:fldData xml:space="preserve">PEVuZE5vdGU+PENpdGU+PEF1dGhvcj5NYXJ0aW48L0F1dGhvcj48WWVhcj4xOTkwPC9ZZWFyPjxS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</w:fldData>
        </w:fldChar>
      </w:r>
      <w:r w:rsidR="00282238" w:rsidRPr="00E64D15">
        <w:rPr>
          <w:rStyle w:val="fontstyle01"/>
          <w:sz w:val="24"/>
          <w:szCs w:val="24"/>
        </w:rPr>
        <w:instrText xml:space="preserve"> ADDIN EN.CITE.DATA </w:instrText>
      </w:r>
      <w:r w:rsidR="00282238" w:rsidRPr="00E64D15">
        <w:rPr>
          <w:rStyle w:val="fontstyle01"/>
          <w:sz w:val="24"/>
          <w:szCs w:val="24"/>
        </w:rPr>
      </w:r>
      <w:r w:rsidR="00282238" w:rsidRPr="00E64D15">
        <w:rPr>
          <w:rStyle w:val="fontstyle01"/>
          <w:sz w:val="24"/>
          <w:szCs w:val="24"/>
        </w:rPr>
        <w:fldChar w:fldCharType="end"/>
      </w:r>
      <w:r w:rsidRPr="00E64D15">
        <w:rPr>
          <w:rStyle w:val="fontstyle01"/>
          <w:sz w:val="24"/>
          <w:szCs w:val="24"/>
        </w:rPr>
      </w:r>
      <w:r w:rsidRPr="00E64D15">
        <w:rPr>
          <w:rStyle w:val="fontstyle01"/>
          <w:sz w:val="24"/>
          <w:szCs w:val="24"/>
        </w:rPr>
        <w:fldChar w:fldCharType="separate"/>
      </w:r>
      <w:r w:rsidR="00282238" w:rsidRPr="00E64D15">
        <w:rPr>
          <w:rStyle w:val="fontstyle01"/>
          <w:noProof/>
          <w:sz w:val="24"/>
          <w:szCs w:val="24"/>
        </w:rPr>
        <w:t>(Martin et al., 1990; Zhang et al., 2018; Liu et al., 2019)</w:t>
      </w:r>
      <w:r w:rsidRPr="00E64D15">
        <w:rPr>
          <w:rStyle w:val="fontstyle01"/>
          <w:sz w:val="24"/>
          <w:szCs w:val="24"/>
        </w:rPr>
        <w:fldChar w:fldCharType="end"/>
      </w:r>
      <w:r w:rsidRPr="00E64D15">
        <w:rPr>
          <w:rStyle w:val="fontstyle01"/>
          <w:sz w:val="24"/>
          <w:szCs w:val="24"/>
        </w:rPr>
        <w:t xml:space="preserve">. Interaction of binder constituents with atmospheric oxygen leads to the creation of several oxidized chemical species, such as carbonyl (e.g. </w:t>
      </w:r>
      <w:r w:rsidRPr="00E64D15">
        <w:rPr>
          <w:rFonts w:cs="Times New Roman"/>
          <w:szCs w:val="24"/>
          <w:lang w:val="en-CA"/>
        </w:rPr>
        <w:t xml:space="preserve">carboxylic acid) </w:t>
      </w:r>
      <w:r w:rsidRPr="00E64D15">
        <w:rPr>
          <w:rStyle w:val="fontstyle01"/>
          <w:sz w:val="24"/>
          <w:szCs w:val="24"/>
        </w:rPr>
        <w:t xml:space="preserve">and sulfoxide functional groups </w:t>
      </w:r>
      <w:r w:rsidRPr="00E64D15">
        <w:rPr>
          <w:rStyle w:val="fontstyle01"/>
          <w:sz w:val="24"/>
          <w:szCs w:val="24"/>
        </w:rPr>
        <w:fldChar w:fldCharType="begin"/>
      </w:r>
      <w:r w:rsidR="00282238" w:rsidRPr="00E64D15">
        <w:rPr>
          <w:rStyle w:val="fontstyle01"/>
          <w:sz w:val="24"/>
          <w:szCs w:val="24"/>
        </w:rPr>
        <w:instrText xml:space="preserve"> ADDIN EN.CITE &lt;EndNote&gt;&lt;Cite&gt;&lt;Author&gt;Curtis&lt;/Author&gt;&lt;Year&gt;1993&lt;/Year&gt;&lt;RecNum&gt;354&lt;/RecNum&gt;&lt;DisplayText&gt;(Curtis et al., 1993; Lu et al., 2008)&lt;/DisplayText&gt;&lt;record&gt;&lt;rec-number&gt;354&lt;/rec-number&gt;&lt;foreign-keys&gt;&lt;key app="EN" db-id="tfx2va9ropw5p7evdr2pf5rw2vszzx9t0xzs" timestamp="1617036956"&gt;354&lt;/key&gt;&lt;/foreign-keys&gt;&lt;ref-type name="Report"&gt;27&lt;/ref-type&gt;&lt;contributors&gt;&lt;authors&gt;&lt;author&gt;Curtis, Christine W&lt;/author&gt;&lt;author&gt;Ensley, Keith&lt;/author&gt;&lt;author&gt;Epps, Jon&lt;/author&gt;&lt;/authors&gt;&lt;tertiary-authors&gt;&lt;author&gt;Strategic Highway Research Program, National Research Council&lt;/author&gt;&lt;/tertiary-authors&gt;&lt;/contributors&gt;&lt;titles&gt;&lt;title&gt;Fundamental properties of asphalt-aggregate interactions including adhesion and absorption (SHRP-A-341)&lt;/title&gt;&lt;/titles&gt;&lt;dates&gt;&lt;year&gt;1993&lt;/year&gt;&lt;/dates&gt;&lt;pub-location&gt;Washington, DC.&lt;/pub-location&gt;&lt;urls&gt;&lt;/urls&gt;&lt;/record&gt;&lt;/Cite&gt;&lt;Cite&gt;&lt;Author&gt;Lu&lt;/Author&gt;&lt;Year&gt;2008&lt;/Year&gt;&lt;RecNum&gt;365&lt;/RecNum&gt;&lt;record&gt;&lt;rec-number&gt;365&lt;/rec-number&gt;&lt;foreign-keys&gt;&lt;key app="EN" db-id="tfx2va9ropw5p7evdr2pf5rw2vszzx9t0xzs" timestamp="1617041230"&gt;365&lt;/key&gt;&lt;/foreign-keys&gt;&lt;ref-type name="Conference Proceedings"&gt;10&lt;/ref-type&gt;&lt;contributors&gt;&lt;authors&gt;&lt;author&gt;Lu, Xiaohu&lt;/author&gt;&lt;author&gt;Talon, Yohann&lt;/author&gt;&lt;author&gt;Redelius, Per&lt;/author&gt;&lt;/authors&gt;&lt;/contributors&gt;&lt;titles&gt;&lt;title&gt;406-001 Aging of Bituminous Binders–Laboratory Tests and Field Data&lt;/title&gt;&lt;secondary-title&gt;4th Eurasphalt Eurobitume Congress&lt;/secondary-title&gt;&lt;/titles&gt;&lt;pages&gt;1-12&lt;/pages&gt;&lt;dates&gt;&lt;year&gt;2008&lt;/year&gt;&lt;/dates&gt;&lt;urls&gt;&lt;/urls&gt;&lt;/record&gt;&lt;/Cite&gt;&lt;/EndNote&gt;</w:instrText>
      </w:r>
      <w:r w:rsidRPr="00E64D15">
        <w:rPr>
          <w:rStyle w:val="fontstyle01"/>
          <w:sz w:val="24"/>
          <w:szCs w:val="24"/>
        </w:rPr>
        <w:fldChar w:fldCharType="separate"/>
      </w:r>
      <w:r w:rsidR="00282238" w:rsidRPr="00E64D15">
        <w:rPr>
          <w:rStyle w:val="fontstyle01"/>
          <w:noProof/>
          <w:sz w:val="24"/>
          <w:szCs w:val="24"/>
        </w:rPr>
        <w:t>(Curtis et al., 1993; Lu et al., 2008)</w:t>
      </w:r>
      <w:r w:rsidRPr="00E64D15">
        <w:rPr>
          <w:rStyle w:val="fontstyle01"/>
          <w:sz w:val="24"/>
          <w:szCs w:val="24"/>
        </w:rPr>
        <w:fldChar w:fldCharType="end"/>
      </w:r>
      <w:r w:rsidRPr="00E64D15">
        <w:rPr>
          <w:rStyle w:val="fontstyle01"/>
          <w:sz w:val="24"/>
          <w:szCs w:val="24"/>
        </w:rPr>
        <w:t xml:space="preserve">. </w:t>
      </w:r>
      <w:r w:rsidRPr="00E64D15">
        <w:rPr>
          <w:rStyle w:val="fontstyle01"/>
          <w:sz w:val="24"/>
          <w:szCs w:val="24"/>
        </w:rPr>
        <w:fldChar w:fldCharType="begin"/>
      </w:r>
      <w:r w:rsidRPr="00E64D15">
        <w:rPr>
          <w:rStyle w:val="fontstyle01"/>
          <w:sz w:val="24"/>
          <w:szCs w:val="24"/>
        </w:rPr>
        <w:instrText xml:space="preserve"> ADDIN EN.CITE &lt;EndNote&gt;&lt;Cite AuthorYear="1"&gt;&lt;Author&gt;Curtis&lt;/Author&gt;&lt;Year&gt;1993&lt;/Year&gt;&lt;RecNum&gt;354&lt;/RecNum&gt;&lt;DisplayText&gt;Curtis et al. (1993)&lt;/DisplayText&gt;&lt;record&gt;&lt;rec-number&gt;354&lt;/rec-number&gt;&lt;foreign-keys&gt;&lt;key app="EN" db-id="tfx2va9ropw5p7evdr2pf5rw2vszzx9t0xzs" timestamp="1617036956"&gt;354&lt;/key&gt;&lt;/foreign-keys&gt;&lt;ref-type name="Report"&gt;27&lt;/ref-type&gt;&lt;contributors&gt;&lt;authors&gt;&lt;author&gt;Curtis, Christine W&lt;/author&gt;&lt;author&gt;Ensley, Keith&lt;/author&gt;&lt;author&gt;Epps, Jon&lt;/author&gt;&lt;/authors&gt;&lt;tertiary-authors&gt;&lt;author&gt;Strategic Highway Research Program, National Research Council&lt;/author&gt;&lt;/tertiary-authors&gt;&lt;/contributors&gt;&lt;titles&gt;&lt;title&gt;Fundamental properties of asphalt-aggregate interactions including adhesion and absorption (SHRP-A-341)&lt;/title&gt;&lt;/titles&gt;&lt;dates&gt;&lt;year&gt;1993&lt;/year&gt;&lt;/dates&gt;&lt;pub-location&gt;Washington, DC.&lt;/pub-location&gt;&lt;urls&gt;&lt;/urls&gt;&lt;/record&gt;&lt;/Cite&gt;&lt;/EndNote&gt;</w:instrText>
      </w:r>
      <w:r w:rsidRPr="00E64D15">
        <w:rPr>
          <w:rStyle w:val="fontstyle01"/>
          <w:sz w:val="24"/>
          <w:szCs w:val="24"/>
        </w:rPr>
        <w:fldChar w:fldCharType="separate"/>
      </w:r>
      <w:r w:rsidRPr="00E64D15">
        <w:rPr>
          <w:rStyle w:val="fontstyle01"/>
          <w:noProof/>
          <w:sz w:val="24"/>
          <w:szCs w:val="24"/>
        </w:rPr>
        <w:t>Curtis et al. (1993)</w:t>
      </w:r>
      <w:r w:rsidRPr="00E64D15">
        <w:rPr>
          <w:rStyle w:val="fontstyle01"/>
          <w:sz w:val="24"/>
          <w:szCs w:val="24"/>
        </w:rPr>
        <w:fldChar w:fldCharType="end"/>
      </w:r>
      <w:r w:rsidRPr="00E64D15">
        <w:rPr>
          <w:rStyle w:val="fontstyle01"/>
          <w:sz w:val="24"/>
          <w:szCs w:val="24"/>
        </w:rPr>
        <w:t xml:space="preserve"> </w:t>
      </w:r>
      <w:r w:rsidRPr="00E64D15">
        <w:rPr>
          <w:rFonts w:cs="Times New Roman"/>
          <w:szCs w:val="24"/>
          <w:lang w:val="en-CA"/>
        </w:rPr>
        <w:t xml:space="preserve">reported that the sulfoxides and carboxylic acids functional group exhibited high affinity for the aggregate surface. However, these </w:t>
      </w:r>
      <w:r w:rsidR="00EF3C33" w:rsidRPr="00E64D15">
        <w:rPr>
          <w:rFonts w:cs="Times New Roman"/>
          <w:szCs w:val="24"/>
          <w:lang w:val="en-CA"/>
        </w:rPr>
        <w:t>moi</w:t>
      </w:r>
      <w:r w:rsidR="00A975ED" w:rsidRPr="00E64D15">
        <w:rPr>
          <w:rFonts w:cs="Times New Roman"/>
          <w:szCs w:val="24"/>
          <w:lang w:val="en-CA"/>
        </w:rPr>
        <w:t>eties</w:t>
      </w:r>
      <w:r w:rsidRPr="00E64D15">
        <w:rPr>
          <w:rFonts w:cs="Times New Roman"/>
          <w:szCs w:val="24"/>
          <w:lang w:val="en-CA"/>
        </w:rPr>
        <w:t xml:space="preserve"> can be highly soluble in water, which may result in an increase in moisture susceptibility of asphalt mixes. </w:t>
      </w:r>
      <w:r w:rsidRPr="00E64D15">
        <w:rPr>
          <w:rStyle w:val="fontstyle01"/>
          <w:sz w:val="24"/>
          <w:szCs w:val="24"/>
        </w:rPr>
        <w:t>Therefore, characterization of the chemical compositions of the binder is important to understand the moisture-induced damage mechanisms of asphalt mixes.</w:t>
      </w:r>
    </w:p>
    <w:p w14:paraId="608AF347" w14:textId="155D5F99" w:rsidR="00313BA2" w:rsidRPr="00313BA2" w:rsidRDefault="00657956" w:rsidP="006F6A0A">
      <w:pPr>
        <w:ind w:firstLine="720"/>
        <w:rPr>
          <w:rFonts w:cs="Times New Roman"/>
          <w:szCs w:val="24"/>
        </w:rPr>
      </w:pPr>
      <w:r w:rsidRPr="00E64D15">
        <w:rPr>
          <w:rFonts w:cs="Times New Roman"/>
          <w:szCs w:val="24"/>
        </w:rPr>
        <w:t>Several</w:t>
      </w:r>
      <w:r w:rsidR="00313BA2" w:rsidRPr="00E64D15">
        <w:rPr>
          <w:rFonts w:cs="Times New Roman"/>
          <w:szCs w:val="24"/>
        </w:rPr>
        <w:t xml:space="preserve"> chemical analysis tools </w:t>
      </w:r>
      <w:r w:rsidRPr="00E64D15">
        <w:rPr>
          <w:rFonts w:cs="Times New Roman"/>
          <w:szCs w:val="24"/>
        </w:rPr>
        <w:t>including</w:t>
      </w:r>
      <w:r w:rsidR="00313BA2" w:rsidRPr="00E64D15">
        <w:rPr>
          <w:rFonts w:cs="Times New Roman"/>
          <w:szCs w:val="24"/>
        </w:rPr>
        <w:t xml:space="preserve"> XRF, FTIR spectroscopy, differential scanning calorimetry, nuclear magnetic resonance (NMR), AFM and X-ray photo electron spectroscopy (XPS) ha</w:t>
      </w:r>
      <w:r w:rsidRPr="00E64D15">
        <w:rPr>
          <w:rFonts w:cs="Times New Roman"/>
          <w:szCs w:val="24"/>
        </w:rPr>
        <w:t>ve</w:t>
      </w:r>
      <w:r w:rsidR="00313BA2" w:rsidRPr="00E64D15">
        <w:rPr>
          <w:rFonts w:cs="Times New Roman"/>
          <w:szCs w:val="24"/>
        </w:rPr>
        <w:t xml:space="preserve"> been used to analyze the</w:t>
      </w:r>
      <w:r w:rsidR="00313BA2" w:rsidRPr="00313BA2">
        <w:rPr>
          <w:rFonts w:cs="Times New Roman"/>
          <w:szCs w:val="24"/>
        </w:rPr>
        <w:t xml:space="preserve"> chemical constituents of asphalt binder </w:t>
      </w:r>
      <w:r w:rsidR="00313BA2" w:rsidRPr="00313BA2">
        <w:rPr>
          <w:rFonts w:cs="Times New Roman"/>
          <w:szCs w:val="24"/>
        </w:rPr>
        <w:fldChar w:fldCharType="begin">
          <w:fldData xml:space="preserve">PEVuZE5vdGU+PENpdGU+PEF1dGhvcj5MZSBHdWVybjwvQXV0aG9yPjxZZWFyPjIwMTA8L1llYXI+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</w:fldData>
        </w:fldChar>
      </w:r>
      <w:r w:rsidR="00282238">
        <w:rPr>
          <w:rFonts w:cs="Times New Roman"/>
          <w:szCs w:val="24"/>
        </w:rPr>
        <w:instrText xml:space="preserve"> ADDIN EN.CITE </w:instrText>
      </w:r>
      <w:r w:rsidR="00282238">
        <w:rPr>
          <w:rFonts w:cs="Times New Roman"/>
          <w:szCs w:val="24"/>
        </w:rPr>
        <w:fldChar w:fldCharType="begin">
          <w:fldData xml:space="preserve">PEVuZE5vdGU+PENpdGU+PEF1dGhvcj5MZSBHdWVybjwvQXV0aG9yPjxZZWFyPjIwMTA8L1llYXI+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</w:fldData>
        </w:fldChar>
      </w:r>
      <w:r w:rsidR="00282238">
        <w:rPr>
          <w:rFonts w:cs="Times New Roman"/>
          <w:szCs w:val="24"/>
        </w:rPr>
        <w:instrText xml:space="preserve"> ADDIN EN.CITE.DATA </w:instrText>
      </w:r>
      <w:r w:rsidR="00282238">
        <w:rPr>
          <w:rFonts w:cs="Times New Roman"/>
          <w:szCs w:val="24"/>
        </w:rPr>
      </w:r>
      <w:r w:rsidR="00282238">
        <w:rPr>
          <w:rFonts w:cs="Times New Roman"/>
          <w:szCs w:val="24"/>
        </w:rPr>
        <w:fldChar w:fldCharType="end"/>
      </w:r>
      <w:r w:rsidR="00313BA2" w:rsidRPr="00313BA2">
        <w:rPr>
          <w:rFonts w:cs="Times New Roman"/>
          <w:szCs w:val="24"/>
        </w:rPr>
      </w:r>
      <w:r w:rsidR="00313BA2" w:rsidRPr="00313BA2">
        <w:rPr>
          <w:rFonts w:cs="Times New Roman"/>
          <w:szCs w:val="24"/>
        </w:rPr>
        <w:fldChar w:fldCharType="separate"/>
      </w:r>
      <w:r w:rsidR="00282238">
        <w:rPr>
          <w:rFonts w:cs="Times New Roman"/>
          <w:noProof/>
          <w:szCs w:val="24"/>
        </w:rPr>
        <w:t>(Le Guern et al., 2010; Hossain et al., 2012; Hesp and Shurvell, 2013)</w:t>
      </w:r>
      <w:r w:rsidR="00313BA2" w:rsidRPr="00313BA2">
        <w:rPr>
          <w:rFonts w:cs="Times New Roman"/>
          <w:szCs w:val="24"/>
        </w:rPr>
        <w:fldChar w:fldCharType="end"/>
      </w:r>
      <w:r w:rsidR="00313BA2" w:rsidRPr="00313BA2">
        <w:rPr>
          <w:rFonts w:cs="Times New Roman"/>
          <w:szCs w:val="24"/>
        </w:rPr>
        <w:t xml:space="preserve">. </w:t>
      </w:r>
      <w:r w:rsidR="00313BA2" w:rsidRPr="00313BA2">
        <w:rPr>
          <w:rFonts w:cs="Times New Roman"/>
          <w:szCs w:val="24"/>
        </w:rPr>
        <w:lastRenderedPageBreak/>
        <w:t xml:space="preserve">For example, several studies </w:t>
      </w:r>
      <w:r w:rsidR="00313BA2" w:rsidRPr="00313BA2">
        <w:rPr>
          <w:rFonts w:cs="Times New Roman"/>
          <w:szCs w:val="24"/>
        </w:rPr>
        <w:fldChar w:fldCharType="begin">
          <w:fldData xml:space="preserve">PEVuZE5vdGU+PENpdGU+PEF1dGhvcj5Tb2xlaW1hbmk8L0F1dGhvcj48WWVhcj4yMDA5PC9ZZWFy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</w:fldData>
        </w:fldChar>
      </w:r>
      <w:r w:rsidR="00282238">
        <w:rPr>
          <w:rFonts w:cs="Times New Roman"/>
          <w:szCs w:val="24"/>
        </w:rPr>
        <w:instrText xml:space="preserve"> ADDIN EN.CITE </w:instrText>
      </w:r>
      <w:r w:rsidR="00282238">
        <w:rPr>
          <w:rFonts w:cs="Times New Roman"/>
          <w:szCs w:val="24"/>
        </w:rPr>
        <w:fldChar w:fldCharType="begin">
          <w:fldData xml:space="preserve">PEVuZE5vdGU+PENpdGU+PEF1dGhvcj5Tb2xlaW1hbmk8L0F1dGhvcj48WWVhcj4yMDA5PC9ZZWFy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</w:fldData>
        </w:fldChar>
      </w:r>
      <w:r w:rsidR="00282238">
        <w:rPr>
          <w:rFonts w:cs="Times New Roman"/>
          <w:szCs w:val="24"/>
        </w:rPr>
        <w:instrText xml:space="preserve"> ADDIN EN.CITE.DATA </w:instrText>
      </w:r>
      <w:r w:rsidR="00282238">
        <w:rPr>
          <w:rFonts w:cs="Times New Roman"/>
          <w:szCs w:val="24"/>
        </w:rPr>
      </w:r>
      <w:r w:rsidR="00282238">
        <w:rPr>
          <w:rFonts w:cs="Times New Roman"/>
          <w:szCs w:val="24"/>
        </w:rPr>
        <w:fldChar w:fldCharType="end"/>
      </w:r>
      <w:r w:rsidR="00313BA2" w:rsidRPr="00313BA2">
        <w:rPr>
          <w:rFonts w:cs="Times New Roman"/>
          <w:szCs w:val="24"/>
        </w:rPr>
      </w:r>
      <w:r w:rsidR="00313BA2" w:rsidRPr="00313BA2">
        <w:rPr>
          <w:rFonts w:cs="Times New Roman"/>
          <w:szCs w:val="24"/>
        </w:rPr>
        <w:fldChar w:fldCharType="separate"/>
      </w:r>
      <w:r w:rsidR="00282238">
        <w:rPr>
          <w:rFonts w:cs="Times New Roman"/>
          <w:noProof/>
          <w:szCs w:val="24"/>
        </w:rPr>
        <w:t>(Soleimani et al., 2009; Hesp and Shurvell, 2010; Hesp and Shurvell, 2013)</w:t>
      </w:r>
      <w:r w:rsidR="00313BA2" w:rsidRPr="00313BA2">
        <w:rPr>
          <w:rFonts w:cs="Times New Roman"/>
          <w:szCs w:val="24"/>
        </w:rPr>
        <w:fldChar w:fldCharType="end"/>
      </w:r>
      <w:r w:rsidR="00313BA2" w:rsidRPr="00313BA2">
        <w:rPr>
          <w:rFonts w:cs="Times New Roman"/>
          <w:szCs w:val="24"/>
        </w:rPr>
        <w:t xml:space="preserve"> have used the XRF </w:t>
      </w:r>
      <w:r>
        <w:rPr>
          <w:rFonts w:cs="Times New Roman"/>
          <w:szCs w:val="24"/>
        </w:rPr>
        <w:t xml:space="preserve">technique </w:t>
      </w:r>
      <w:r w:rsidR="00313BA2" w:rsidRPr="00313BA2">
        <w:rPr>
          <w:rFonts w:cs="Times New Roman"/>
          <w:szCs w:val="24"/>
        </w:rPr>
        <w:t xml:space="preserve">to ensure quality of binders by conducting elemental analysis. Also, the XRF technique was used by </w:t>
      </w:r>
      <w:r w:rsidR="00313BA2" w:rsidRPr="00313BA2">
        <w:rPr>
          <w:rFonts w:cs="Times New Roman"/>
          <w:szCs w:val="24"/>
        </w:rPr>
        <w:fldChar w:fldCharType="begin"/>
      </w:r>
      <w:r w:rsidR="00DB3733">
        <w:rPr>
          <w:rFonts w:cs="Times New Roman"/>
          <w:szCs w:val="24"/>
        </w:rPr>
        <w:instrText xml:space="preserve"> ADDIN EN.CITE &lt;EndNote&gt;&lt;Cite AuthorYear="1"&gt;&lt;Author&gt;Reinke&lt;/Author&gt;&lt;Year&gt;2010&lt;/Year&gt;&lt;RecNum&gt;124&lt;/RecNum&gt;&lt;DisplayText&gt;Reinke and Glidden (2010)&lt;/DisplayText&gt;&lt;record&gt;&lt;rec-number&gt;124&lt;/rec-number&gt;&lt;foreign-keys&gt;&lt;key app="EN" db-id="d55vzfpwawdafteedfoxsf0lv0v0wp5va2aa" timestamp="1521480238"&gt;124&lt;/key&gt;&lt;/foreign-keys&gt;&lt;ref-type name="Journal Article"&gt;17&lt;/ref-type&gt;&lt;contributors&gt;&lt;authors&gt;&lt;author&gt;Reinke, Gerry&lt;/author&gt;&lt;author&gt;Glidden, Stacey&lt;/author&gt;&lt;/authors&gt;&lt;/contributors&gt;&lt;titles&gt;&lt;title&gt;Analytical Procedures for Determining Phosphorus Content in Asphalt Binders and Impact of Aggregate on Quantitative Recovery of Phosphorus from Asphalt Binders&lt;/title&gt;&lt;secondary-title&gt;Asphalt Paving Technology-Proceedings Association of Asphalt Technologists&lt;/secondary-title&gt;&lt;/titles&gt;&lt;periodical&gt;&lt;full-title&gt;Asphalt Paving Technology-Proceedings Association of Asphalt Technologists&lt;/full-title&gt;&lt;/periodical&gt;&lt;pages&gt;695&lt;/pages&gt;&lt;volume&gt;79&lt;/volume&gt;&lt;dates&gt;&lt;year&gt;2010&lt;/year&gt;&lt;/dates&gt;&lt;isbn&gt;0270-2932&lt;/isbn&gt;&lt;urls&gt;&lt;/urls&gt;&lt;/record&gt;&lt;/Cite&gt;&lt;/EndNote&gt;</w:instrText>
      </w:r>
      <w:r w:rsidR="00313BA2" w:rsidRPr="00313BA2">
        <w:rPr>
          <w:rFonts w:cs="Times New Roman"/>
          <w:szCs w:val="24"/>
        </w:rPr>
        <w:fldChar w:fldCharType="separate"/>
      </w:r>
      <w:r w:rsidR="00313BA2" w:rsidRPr="00313BA2">
        <w:rPr>
          <w:rFonts w:cs="Times New Roman"/>
          <w:noProof/>
          <w:szCs w:val="24"/>
        </w:rPr>
        <w:t>Reinke and Glidden (2010)</w:t>
      </w:r>
      <w:r w:rsidR="00313BA2" w:rsidRPr="00313BA2">
        <w:rPr>
          <w:rFonts w:cs="Times New Roman"/>
          <w:szCs w:val="24"/>
        </w:rPr>
        <w:fldChar w:fldCharType="end"/>
      </w:r>
      <w:r w:rsidR="00313BA2" w:rsidRPr="00313BA2">
        <w:rPr>
          <w:rFonts w:cs="Times New Roman"/>
          <w:szCs w:val="24"/>
        </w:rPr>
        <w:t xml:space="preserve"> to quantify the amount of phosphorus in PPA-modified binder. </w:t>
      </w:r>
      <w:r w:rsidR="00313BA2" w:rsidRPr="00313BA2">
        <w:rPr>
          <w:rFonts w:cs="Times New Roman"/>
          <w:color w:val="231F20"/>
          <w:szCs w:val="24"/>
        </w:rPr>
        <w:t xml:space="preserve">The effect of the chemical functional group on the moisture-induced damage potential of the asphalt binders were evaluated by </w:t>
      </w:r>
      <w:r w:rsidR="00313BA2" w:rsidRPr="00313BA2">
        <w:rPr>
          <w:rFonts w:cs="Times New Roman"/>
          <w:color w:val="231F20"/>
          <w:szCs w:val="24"/>
        </w:rPr>
        <w:fldChar w:fldCharType="begin"/>
      </w:r>
      <w:r w:rsidR="00313BA2" w:rsidRPr="00313BA2">
        <w:rPr>
          <w:rFonts w:cs="Times New Roman"/>
          <w:color w:val="231F20"/>
          <w:szCs w:val="24"/>
        </w:rPr>
        <w:instrText xml:space="preserve"> ADDIN EN.CITE &lt;EndNote&gt;&lt;Cite AuthorYear="1"&gt;&lt;Author&gt;Tarefder&lt;/Author&gt;&lt;Year&gt;2009&lt;/Year&gt;&lt;RecNum&gt;115&lt;/RecNum&gt;&lt;DisplayText&gt;Tarefder and Zaman (2009)&lt;/DisplayText&gt;&lt;record&gt;&lt;rec-number&gt;115&lt;/rec-number&gt;&lt;foreign-keys&gt;&lt;key app="EN" db-id="d55vzfpwawdafteedfoxsf0lv0v0wp5va2aa" timestamp="1521378968"&gt;115&lt;/key&gt;&lt;/foreign-keys&gt;&lt;ref-type name="Journal Article"&gt;17&lt;/ref-type&gt;&lt;contributors&gt;&lt;authors&gt;&lt;author&gt;Tarefder, Rafiqul A&lt;/author&gt;&lt;author&gt;Zaman, Arif M&lt;/author&gt;&lt;/authors&gt;&lt;/contributors&gt;&lt;titles&gt;&lt;title&gt;Nanoscale evaluation of moisture damage in polymer modified asphalts&lt;/title&gt;&lt;secondary-title&gt;Journal of Materials in Civil Engineering&lt;/secondary-title&gt;&lt;/titles&gt;&lt;periodical&gt;&lt;full-title&gt;Journal of Materials in Civil Engineering&lt;/full-title&gt;&lt;/periodical&gt;&lt;pages&gt;714-725&lt;/pages&gt;&lt;volume&gt;22&lt;/volume&gt;&lt;number&gt;7&lt;/number&gt;&lt;dates&gt;&lt;year&gt;2009&lt;/year&gt;&lt;/dates&gt;&lt;isbn&gt;0899-1561&lt;/isbn&gt;&lt;urls&gt;&lt;/urls&gt;&lt;/record&gt;&lt;/Cite&gt;&lt;/EndNote&gt;</w:instrText>
      </w:r>
      <w:r w:rsidR="00313BA2" w:rsidRPr="00313BA2">
        <w:rPr>
          <w:rFonts w:cs="Times New Roman"/>
          <w:color w:val="231F20"/>
          <w:szCs w:val="24"/>
        </w:rPr>
        <w:fldChar w:fldCharType="separate"/>
      </w:r>
      <w:r w:rsidR="00313BA2" w:rsidRPr="00313BA2">
        <w:rPr>
          <w:rFonts w:cs="Times New Roman"/>
          <w:noProof/>
          <w:color w:val="231F20"/>
          <w:szCs w:val="24"/>
        </w:rPr>
        <w:t>Tarefder and Zaman (2009)</w:t>
      </w:r>
      <w:r w:rsidR="00313BA2" w:rsidRPr="00313BA2">
        <w:rPr>
          <w:rFonts w:cs="Times New Roman"/>
          <w:color w:val="231F20"/>
          <w:szCs w:val="24"/>
        </w:rPr>
        <w:fldChar w:fldCharType="end"/>
      </w:r>
      <w:r w:rsidR="00313BA2" w:rsidRPr="00313BA2">
        <w:rPr>
          <w:rFonts w:cs="Times New Roman"/>
          <w:color w:val="231F20"/>
          <w:szCs w:val="24"/>
        </w:rPr>
        <w:t xml:space="preserve"> using atomic force microscopy (AFM). The adhesion forces between asphalt and silicon-nitride (resembles aggregate) and cohesion forces between asphalt molecules and carboxyl (-COOH), methyl (-CH3), and hydroxyl (-OH) functional groups were determined by probing the asphalt surface with chemically functionalized tips. </w:t>
      </w:r>
      <w:r w:rsidR="00313BA2" w:rsidRPr="00313BA2">
        <w:rPr>
          <w:rFonts w:cs="Times New Roman"/>
          <w:szCs w:val="24"/>
        </w:rPr>
        <w:t xml:space="preserve">The </w:t>
      </w:r>
      <w:r w:rsidR="00313BA2" w:rsidRPr="00313BA2">
        <w:rPr>
          <w:rFonts w:eastAsia="Times New Roman" w:cs="Times New Roman"/>
          <w:iCs/>
          <w:szCs w:val="24"/>
        </w:rPr>
        <w:t>FTIR spectroscopy has been successfully</w:t>
      </w:r>
      <w:r w:rsidR="00313BA2" w:rsidRPr="00313BA2">
        <w:rPr>
          <w:rFonts w:eastAsia="Times New Roman" w:cs="Times New Roman"/>
          <w:i/>
          <w:iCs/>
          <w:szCs w:val="24"/>
        </w:rPr>
        <w:t xml:space="preserve"> </w:t>
      </w:r>
      <w:r w:rsidR="00313BA2" w:rsidRPr="00313BA2">
        <w:rPr>
          <w:rFonts w:eastAsia="Times New Roman" w:cs="Times New Roman"/>
          <w:iCs/>
          <w:szCs w:val="24"/>
        </w:rPr>
        <w:t>used to determine the functional groups of binders</w:t>
      </w:r>
      <w:r w:rsidR="00313BA2" w:rsidRPr="00313BA2">
        <w:rPr>
          <w:rStyle w:val="fontstyle01"/>
          <w:sz w:val="24"/>
          <w:szCs w:val="24"/>
        </w:rPr>
        <w:t xml:space="preserve"> </w:t>
      </w:r>
      <w:r w:rsidR="00313BA2" w:rsidRPr="00313BA2">
        <w:rPr>
          <w:rStyle w:val="fontstyle01"/>
          <w:sz w:val="24"/>
          <w:szCs w:val="24"/>
        </w:rPr>
        <w:fldChar w:fldCharType="begin">
          <w:fldData xml:space="preserve">PEVuZE5vdGU+PENpdGU+PEF1dGhvcj5IdWFuZzwvQXV0aG9yPjxZZWFyPjIwMTA8L1llYXI+PFJl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</w:fldData>
        </w:fldChar>
      </w:r>
      <w:r w:rsidR="00282238">
        <w:rPr>
          <w:rStyle w:val="fontstyle01"/>
          <w:sz w:val="24"/>
          <w:szCs w:val="24"/>
        </w:rPr>
        <w:instrText xml:space="preserve"> ADDIN EN.CITE </w:instrText>
      </w:r>
      <w:r w:rsidR="00282238">
        <w:rPr>
          <w:rStyle w:val="fontstyle01"/>
          <w:sz w:val="24"/>
          <w:szCs w:val="24"/>
        </w:rPr>
        <w:fldChar w:fldCharType="begin">
          <w:fldData xml:space="preserve">PEVuZE5vdGU+PENpdGU+PEF1dGhvcj5IdWFuZzwvQXV0aG9yPjxZZWFyPjIwMTA8L1llYXI+PFJl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</w:fldData>
        </w:fldChar>
      </w:r>
      <w:r w:rsidR="00282238">
        <w:rPr>
          <w:rStyle w:val="fontstyle01"/>
          <w:sz w:val="24"/>
          <w:szCs w:val="24"/>
        </w:rPr>
        <w:instrText xml:space="preserve"> ADDIN EN.CITE.DATA </w:instrText>
      </w:r>
      <w:r w:rsidR="00282238">
        <w:rPr>
          <w:rStyle w:val="fontstyle01"/>
          <w:sz w:val="24"/>
          <w:szCs w:val="24"/>
        </w:rPr>
      </w:r>
      <w:r w:rsidR="00282238">
        <w:rPr>
          <w:rStyle w:val="fontstyle01"/>
          <w:sz w:val="24"/>
          <w:szCs w:val="24"/>
        </w:rPr>
        <w:fldChar w:fldCharType="end"/>
      </w:r>
      <w:r w:rsidR="00313BA2" w:rsidRPr="00313BA2">
        <w:rPr>
          <w:rStyle w:val="fontstyle01"/>
          <w:sz w:val="24"/>
          <w:szCs w:val="24"/>
        </w:rPr>
      </w:r>
      <w:r w:rsidR="00313BA2" w:rsidRPr="00313BA2">
        <w:rPr>
          <w:rStyle w:val="fontstyle01"/>
          <w:sz w:val="24"/>
          <w:szCs w:val="24"/>
        </w:rPr>
        <w:fldChar w:fldCharType="separate"/>
      </w:r>
      <w:r w:rsidR="00282238">
        <w:rPr>
          <w:rStyle w:val="fontstyle01"/>
          <w:noProof/>
          <w:sz w:val="24"/>
          <w:szCs w:val="24"/>
        </w:rPr>
        <w:t>(Huang and Grimes, 2010; Qin et al., 2014; Hofko et al., 2018; Ge et al., 2019; Arafat et al., 2020)</w:t>
      </w:r>
      <w:r w:rsidR="00313BA2" w:rsidRPr="00313BA2">
        <w:rPr>
          <w:rStyle w:val="fontstyle01"/>
          <w:sz w:val="24"/>
          <w:szCs w:val="24"/>
        </w:rPr>
        <w:fldChar w:fldCharType="end"/>
      </w:r>
      <w:r w:rsidR="00313BA2" w:rsidRPr="00313BA2">
        <w:rPr>
          <w:rFonts w:eastAsia="Times New Roman" w:cs="Times New Roman"/>
          <w:iCs/>
          <w:szCs w:val="24"/>
        </w:rPr>
        <w:t xml:space="preserve">. </w:t>
      </w:r>
      <w:r w:rsidR="00313BA2" w:rsidRPr="00313BA2">
        <w:rPr>
          <w:rStyle w:val="fontstyle01"/>
          <w:sz w:val="24"/>
          <w:szCs w:val="24"/>
        </w:rPr>
        <w:t xml:space="preserve">A number of studies have used the FTIR spectroscopy to investigate the aging extent of different functional groups, such as </w:t>
      </w:r>
      <w:r w:rsidR="00313BA2" w:rsidRPr="00313BA2">
        <w:rPr>
          <w:rFonts w:cs="Times New Roman"/>
          <w:szCs w:val="24"/>
          <w:lang w:val="en-CA"/>
        </w:rPr>
        <w:t xml:space="preserve">sulfoxides and carbonyl </w:t>
      </w:r>
      <w:r w:rsidR="00313BA2" w:rsidRPr="00313BA2">
        <w:rPr>
          <w:rStyle w:val="fontstyle01"/>
          <w:sz w:val="24"/>
          <w:szCs w:val="24"/>
        </w:rPr>
        <w:t xml:space="preserve">groups. Also, FTIR spectroscopy </w:t>
      </w:r>
      <w:r w:rsidR="00780B08">
        <w:rPr>
          <w:rStyle w:val="fontstyle01"/>
          <w:sz w:val="24"/>
          <w:szCs w:val="24"/>
        </w:rPr>
        <w:t>h</w:t>
      </w:r>
      <w:r w:rsidR="00313BA2" w:rsidRPr="00313BA2">
        <w:rPr>
          <w:rStyle w:val="fontstyle01"/>
          <w:sz w:val="24"/>
          <w:szCs w:val="24"/>
        </w:rPr>
        <w:t xml:space="preserve">as </w:t>
      </w:r>
      <w:r w:rsidR="00780B08">
        <w:rPr>
          <w:rStyle w:val="fontstyle01"/>
          <w:sz w:val="24"/>
          <w:szCs w:val="24"/>
        </w:rPr>
        <w:t xml:space="preserve">been </w:t>
      </w:r>
      <w:r w:rsidR="00313BA2" w:rsidRPr="00313BA2">
        <w:rPr>
          <w:rStyle w:val="fontstyle01"/>
          <w:sz w:val="24"/>
          <w:szCs w:val="24"/>
        </w:rPr>
        <w:t xml:space="preserve">used </w:t>
      </w:r>
      <w:r w:rsidR="00313BA2" w:rsidRPr="00313BA2">
        <w:rPr>
          <w:rFonts w:cs="Times New Roman"/>
          <w:szCs w:val="24"/>
        </w:rPr>
        <w:t>to investigate the aging mechanisms of polymer-modified binders by continuous oxidation process</w:t>
      </w:r>
      <w:r w:rsidR="00313BA2" w:rsidRPr="00313BA2">
        <w:rPr>
          <w:rStyle w:val="fontstyle01"/>
          <w:sz w:val="24"/>
          <w:szCs w:val="24"/>
        </w:rPr>
        <w:t xml:space="preserve"> </w:t>
      </w:r>
      <w:r w:rsidR="00313BA2" w:rsidRPr="00313BA2">
        <w:rPr>
          <w:rFonts w:cs="Times New Roman"/>
          <w:szCs w:val="24"/>
        </w:rPr>
        <w:fldChar w:fldCharType="begin"/>
      </w:r>
      <w:r w:rsidR="00282238">
        <w:rPr>
          <w:rFonts w:cs="Times New Roman"/>
          <w:szCs w:val="24"/>
        </w:rPr>
        <w:instrText xml:space="preserve"> ADDIN EN.CITE &lt;EndNote&gt;&lt;Cite&gt;&lt;Author&gt;Mouillet&lt;/Author&gt;&lt;Year&gt;2008&lt;/Year&gt;&lt;RecNum&gt;116&lt;/RecNum&gt;&lt;DisplayText&gt;(Mouillet et al., 2008)&lt;/DisplayText&gt;&lt;record&gt;&lt;rec-number&gt;116&lt;/rec-number&gt;&lt;foreign-keys&gt;&lt;key app="EN" db-id="d55vzfpwawdafteedfoxsf0lv0v0wp5va2aa" timestamp="1521380088"&gt;116&lt;/key&gt;&lt;/foreign-keys&gt;&lt;ref-type name="Journal Article"&gt;17&lt;/ref-type&gt;&lt;contributors&gt;&lt;authors&gt;&lt;author&gt;Mouillet, Virginie&lt;/author&gt;&lt;author&gt;Lamontagne, Jérôme&lt;/author&gt;&lt;author&gt;Durrieu, Francoise&lt;/author&gt;&lt;author&gt;Planche, Jean-Pascal&lt;/author&gt;&lt;author&gt;Lapalu, Laurence&lt;/author&gt;&lt;/authors&gt;&lt;/contributors&gt;&lt;titles&gt;&lt;title&gt;Infrared microscopy investigation of oxidation and phase evolution in bitumen modified with polymers&lt;/title&gt;&lt;secondary-title&gt;Fuel&lt;/secondary-title&gt;&lt;/titles&gt;&lt;periodical&gt;&lt;full-title&gt;Fuel&lt;/full-title&gt;&lt;/periodical&gt;&lt;pages&gt;1270-1280&lt;/pages&gt;&lt;volume&gt;87&lt;/volume&gt;&lt;number&gt;7&lt;/number&gt;&lt;dates&gt;&lt;year&gt;2008&lt;/year&gt;&lt;/dates&gt;&lt;isbn&gt;0016-2361&lt;/isbn&gt;&lt;urls&gt;&lt;/urls&gt;&lt;/record&gt;&lt;/Cite&gt;&lt;/EndNote&gt;</w:instrText>
      </w:r>
      <w:r w:rsidR="00313BA2" w:rsidRPr="00313BA2">
        <w:rPr>
          <w:rFonts w:cs="Times New Roman"/>
          <w:szCs w:val="24"/>
        </w:rPr>
        <w:fldChar w:fldCharType="separate"/>
      </w:r>
      <w:r w:rsidR="00282238">
        <w:rPr>
          <w:rFonts w:cs="Times New Roman"/>
          <w:noProof/>
          <w:szCs w:val="24"/>
        </w:rPr>
        <w:t>(Mouillet et al., 2008)</w:t>
      </w:r>
      <w:r w:rsidR="00313BA2" w:rsidRPr="00313BA2">
        <w:rPr>
          <w:rFonts w:cs="Times New Roman"/>
          <w:szCs w:val="24"/>
        </w:rPr>
        <w:fldChar w:fldCharType="end"/>
      </w:r>
      <w:r w:rsidR="00313BA2" w:rsidRPr="00313BA2">
        <w:rPr>
          <w:rFonts w:cs="Times New Roman"/>
          <w:szCs w:val="24"/>
        </w:rPr>
        <w:t xml:space="preserve">. </w:t>
      </w:r>
    </w:p>
    <w:p w14:paraId="4DA3E526" w14:textId="0E2CBB61" w:rsidR="00313BA2" w:rsidRPr="00E64D15" w:rsidRDefault="00313BA2" w:rsidP="006F6A0A">
      <w:pPr>
        <w:ind w:firstLine="720"/>
        <w:rPr>
          <w:rFonts w:cs="Times New Roman"/>
          <w:szCs w:val="24"/>
        </w:rPr>
      </w:pPr>
      <w:r w:rsidRPr="00313BA2">
        <w:rPr>
          <w:rStyle w:val="fontstyle01"/>
          <w:sz w:val="24"/>
          <w:szCs w:val="24"/>
        </w:rPr>
        <w:t xml:space="preserve">In addition to properties of binders, the moisture susceptibility of a mix can be impacted by the cleanliness, surface texture, minerology, porosity, surface charge and energy, and polarity of aggregates in a mix </w:t>
      </w:r>
      <w:r w:rsidRPr="00313BA2">
        <w:rPr>
          <w:rStyle w:val="fontstyle01"/>
          <w:sz w:val="24"/>
          <w:szCs w:val="24"/>
        </w:rPr>
        <w:fldChar w:fldCharType="begin"/>
      </w:r>
      <w:r w:rsidR="00282238">
        <w:rPr>
          <w:rStyle w:val="fontstyle01"/>
          <w:sz w:val="24"/>
          <w:szCs w:val="24"/>
        </w:rPr>
        <w:instrText xml:space="preserve"> ADDIN EN.CITE &lt;EndNote&gt;&lt;Cite&gt;&lt;Author&gt;Cui&lt;/Author&gt;&lt;Year&gt;2014&lt;/Year&gt;&lt;RecNum&gt;355&lt;/RecNum&gt;&lt;DisplayText&gt;(Johnson and Freeman, 2002; Cui et al., 2014)&lt;/DisplayText&gt;&lt;record&gt;&lt;rec-number&gt;355&lt;/rec-number&gt;&lt;foreign-keys&gt;&lt;key app="EN" db-id="tfx2va9ropw5p7evdr2pf5rw2vszzx9t0xzs" timestamp="1617037421"&gt;355&lt;/key&gt;&lt;/foreign-keys&gt;&lt;ref-type name="Journal Article"&gt;17&lt;/ref-type&gt;&lt;contributors&gt;&lt;authors&gt;&lt;author&gt;Cui, Shuang&lt;/author&gt;&lt;author&gt;Blackman, Bamber RK&lt;/author&gt;&lt;author&gt;Kinloch, Anthony J&lt;/author&gt;&lt;author&gt;Taylor, Ambrose C&lt;/author&gt;&lt;/authors&gt;&lt;/contributors&gt;&lt;titles&gt;&lt;title&gt;Durability of asphalt mixtures: Effect of aggregate type and adhesion promoters&lt;/title&gt;&lt;secondary-title&gt;International Journal of Adhesion and Adhesives&lt;/secondary-title&gt;&lt;/titles&gt;&lt;periodical&gt;&lt;full-title&gt;International Journal of Adhesion and Adhesives&lt;/full-title&gt;&lt;/periodical&gt;&lt;pages&gt;100-111&lt;/pages&gt;&lt;volume&gt;54&lt;/volume&gt;&lt;dates&gt;&lt;year&gt;2014&lt;/year&gt;&lt;/dates&gt;&lt;isbn&gt;0143-7496&lt;/isbn&gt;&lt;urls&gt;&lt;/urls&gt;&lt;/record&gt;&lt;/Cite&gt;&lt;Cite&gt;&lt;Author&gt;Johnson&lt;/Author&gt;&lt;Year&gt;2002&lt;/Year&gt;&lt;RecNum&gt;360&lt;/RecNum&gt;&lt;record&gt;&lt;rec-number&gt;360&lt;/rec-number&gt;&lt;foreign-keys&gt;&lt;key app="EN" db-id="tfx2va9ropw5p7evdr2pf5rw2vszzx9t0xzs" timestamp="1617039342"&gt;360&lt;/key&gt;&lt;/foreign-keys&gt;&lt;ref-type name="Report"&gt;27&lt;/ref-type&gt;&lt;contributors&gt;&lt;authors&gt;&lt;author&gt;Johnson, David R&lt;/author&gt;&lt;author&gt;Freeman, Reed B&lt;/author&gt;&lt;/authors&gt;&lt;/contributors&gt;&lt;titles&gt;&lt;title&gt;Rehabilitation techniques for stripped asphalt pavements&lt;/title&gt;&lt;/titles&gt;&lt;dates&gt;&lt;year&gt;2002&lt;/year&gt;&lt;/dates&gt;&lt;publisher&gt;Montana. Department of Transportation&lt;/publisher&gt;&lt;urls&gt;&lt;/urls&gt;&lt;/record&gt;&lt;/Cite&gt;&lt;/EndNote&gt;</w:instrText>
      </w:r>
      <w:r w:rsidRPr="00313BA2">
        <w:rPr>
          <w:rStyle w:val="fontstyle01"/>
          <w:sz w:val="24"/>
          <w:szCs w:val="24"/>
        </w:rPr>
        <w:fldChar w:fldCharType="separate"/>
      </w:r>
      <w:r w:rsidR="00282238">
        <w:rPr>
          <w:rStyle w:val="fontstyle01"/>
          <w:noProof/>
          <w:sz w:val="24"/>
          <w:szCs w:val="24"/>
        </w:rPr>
        <w:t>(Johnson and Freeman, 2002; Cui et al., 2014)</w:t>
      </w:r>
      <w:r w:rsidRPr="00313BA2">
        <w:rPr>
          <w:rStyle w:val="fontstyle01"/>
          <w:sz w:val="24"/>
          <w:szCs w:val="24"/>
        </w:rPr>
        <w:fldChar w:fldCharType="end"/>
      </w:r>
      <w:r w:rsidRPr="00313BA2">
        <w:rPr>
          <w:rStyle w:val="fontstyle01"/>
          <w:sz w:val="24"/>
          <w:szCs w:val="24"/>
        </w:rPr>
        <w:t>. Aggregate surface contains a variety of active sites which</w:t>
      </w:r>
      <w:r w:rsidRPr="00313BA2">
        <w:rPr>
          <w:rFonts w:cs="Times New Roman"/>
          <w:szCs w:val="24"/>
          <w:lang w:val="en-CA"/>
        </w:rPr>
        <w:t xml:space="preserve"> attract the polar functional groups of the binder </w:t>
      </w:r>
      <w:r w:rsidRPr="00313BA2">
        <w:rPr>
          <w:rStyle w:val="fontstyle01"/>
          <w:sz w:val="24"/>
          <w:szCs w:val="24"/>
        </w:rPr>
        <w:fldChar w:fldCharType="begin"/>
      </w:r>
      <w:r w:rsidR="00282238">
        <w:rPr>
          <w:rStyle w:val="fontstyle01"/>
          <w:sz w:val="24"/>
          <w:szCs w:val="24"/>
        </w:rPr>
        <w:instrText xml:space="preserve"> ADDIN EN.CITE &lt;EndNote&gt;&lt;Cite&gt;&lt;Author&gt;Curtis&lt;/Author&gt;&lt;Year&gt;1992&lt;/Year&gt;&lt;RecNum&gt;59&lt;/RecNum&gt;&lt;DisplayText&gt;(Curtis et al., 1992)&lt;/DisplayText&gt;&lt;record&gt;&lt;rec-number&gt;59&lt;/rec-number&gt;&lt;foreign-keys&gt;&lt;key app="EN" db-id="d55vzfpwawdafteedfoxsf0lv0v0wp5va2aa" timestamp="1514343929"&gt;59&lt;/key&gt;&lt;/foreign-keys&gt;&lt;ref-type name="Journal Article"&gt;17&lt;/ref-type&gt;&lt;contributors&gt;&lt;authors&gt;&lt;author&gt;Curtis, CW&lt;/author&gt;&lt;author&gt;Lytton, RL&lt;/author&gt;&lt;author&gt;Brannan, CJ&lt;/author&gt;&lt;/authors&gt;&lt;/contributors&gt;&lt;titles&gt;&lt;title&gt;Influence of aggregate chemistry on the adsorption and desorption of asphalt&lt;/title&gt;&lt;secondary-title&gt;Transportation Research Record&lt;/secondary-title&gt;&lt;/titles&gt;&lt;periodical&gt;&lt;full-title&gt;Transportation Research Record&lt;/full-title&gt;&lt;/periodical&gt;&lt;number&gt;1362&lt;/number&gt;&lt;dates&gt;&lt;year&gt;1992&lt;/year&gt;&lt;/dates&gt;&lt;isbn&gt;0309054028&lt;/isbn&gt;&lt;urls&gt;&lt;/urls&gt;&lt;/record&gt;&lt;/Cite&gt;&lt;/EndNote&gt;</w:instrText>
      </w:r>
      <w:r w:rsidRPr="00313BA2">
        <w:rPr>
          <w:rStyle w:val="fontstyle01"/>
          <w:sz w:val="24"/>
          <w:szCs w:val="24"/>
        </w:rPr>
        <w:fldChar w:fldCharType="separate"/>
      </w:r>
      <w:r w:rsidR="00282238">
        <w:rPr>
          <w:rStyle w:val="fontstyle01"/>
          <w:noProof/>
          <w:sz w:val="24"/>
          <w:szCs w:val="24"/>
        </w:rPr>
        <w:t>(Curtis et al., 1992)</w:t>
      </w:r>
      <w:r w:rsidRPr="00313BA2">
        <w:rPr>
          <w:rStyle w:val="fontstyle01"/>
          <w:sz w:val="24"/>
          <w:szCs w:val="24"/>
        </w:rPr>
        <w:fldChar w:fldCharType="end"/>
      </w:r>
      <w:r w:rsidRPr="00313BA2">
        <w:rPr>
          <w:rFonts w:cs="Times New Roman"/>
          <w:szCs w:val="24"/>
          <w:lang w:val="en-CA"/>
        </w:rPr>
        <w:t xml:space="preserve">. As a result, hydrogen bonds or salt links are formed at the binder-aggregate interface </w:t>
      </w:r>
      <w:r w:rsidRPr="00313BA2">
        <w:rPr>
          <w:rFonts w:cs="Times New Roman"/>
          <w:szCs w:val="24"/>
          <w:lang w:val="en-CA"/>
        </w:rPr>
        <w:fldChar w:fldCharType="begin"/>
      </w:r>
      <w:r w:rsidR="00282238">
        <w:rPr>
          <w:rFonts w:cs="Times New Roman"/>
          <w:szCs w:val="24"/>
          <w:lang w:val="en-CA"/>
        </w:rPr>
        <w:instrText xml:space="preserve"> ADDIN EN.CITE &lt;EndNote&gt;&lt;Cite&gt;&lt;Author&gt;Tarrer&lt;/Author&gt;&lt;Year&gt;1991&lt;/Year&gt;&lt;RecNum&gt;178&lt;/RecNum&gt;&lt;DisplayText&gt;(Tarrer and Wagh, 1991)&lt;/DisplayText&gt;&lt;record&gt;&lt;rec-number&gt;178&lt;/rec-number&gt;&lt;foreign-keys&gt;&lt;key app="EN" db-id="d55vzfpwawdafteedfoxsf0lv0v0wp5va2aa" timestamp="1533882349"&gt;178&lt;/key&gt;&lt;/foreign-keys&gt;&lt;ref-type name="Report"&gt;27&lt;/ref-type&gt;&lt;contributors&gt;&lt;authors&gt;&lt;author&gt;Tarrer, AR&lt;/author&gt;&lt;author&gt;Wagh, Vinay&lt;/author&gt;&lt;/authors&gt;&lt;/contributors&gt;&lt;titles&gt;&lt;title&gt;The effect of the physical and chemical characteristics of the aggregate on bonding&lt;/title&gt;&lt;/titles&gt;&lt;dates&gt;&lt;year&gt;1991&lt;/year&gt;&lt;/dates&gt;&lt;publisher&gt;Strategic Highway Research Program, National Research Council Washington, DC, USA&lt;/publisher&gt;&lt;urls&gt;&lt;/urls&gt;&lt;/record&gt;&lt;/Cite&gt;&lt;/EndNote&gt;</w:instrText>
      </w:r>
      <w:r w:rsidRPr="00313BA2">
        <w:rPr>
          <w:rFonts w:cs="Times New Roman"/>
          <w:szCs w:val="24"/>
          <w:lang w:val="en-CA"/>
        </w:rPr>
        <w:fldChar w:fldCharType="separate"/>
      </w:r>
      <w:r w:rsidR="00282238">
        <w:rPr>
          <w:rFonts w:cs="Times New Roman"/>
          <w:noProof/>
          <w:szCs w:val="24"/>
          <w:lang w:val="en-CA"/>
        </w:rPr>
        <w:t>(Tarrer and Wagh, 1991)</w:t>
      </w:r>
      <w:r w:rsidRPr="00313BA2">
        <w:rPr>
          <w:rFonts w:cs="Times New Roman"/>
          <w:szCs w:val="24"/>
          <w:lang w:val="en-CA"/>
        </w:rPr>
        <w:fldChar w:fldCharType="end"/>
      </w:r>
      <w:r w:rsidRPr="00313BA2">
        <w:rPr>
          <w:rFonts w:cs="Times New Roman"/>
          <w:szCs w:val="24"/>
          <w:lang w:val="en-CA"/>
        </w:rPr>
        <w:t>. A</w:t>
      </w:r>
      <w:r w:rsidRPr="00313BA2">
        <w:rPr>
          <w:rStyle w:val="fontstyle01"/>
          <w:sz w:val="24"/>
          <w:szCs w:val="24"/>
        </w:rPr>
        <w:t xml:space="preserve"> wide variation in aggregate composition, surface chemistry and morphology </w:t>
      </w:r>
      <w:r w:rsidR="001453AB">
        <w:rPr>
          <w:rStyle w:val="fontstyle01"/>
          <w:sz w:val="24"/>
          <w:szCs w:val="24"/>
        </w:rPr>
        <w:t xml:space="preserve">is </w:t>
      </w:r>
      <w:r w:rsidRPr="00313BA2">
        <w:rPr>
          <w:rStyle w:val="fontstyle01"/>
          <w:sz w:val="24"/>
          <w:szCs w:val="24"/>
        </w:rPr>
        <w:t xml:space="preserve">possible in an </w:t>
      </w:r>
      <w:r w:rsidRPr="00313BA2">
        <w:rPr>
          <w:rStyle w:val="fontstyle01"/>
          <w:sz w:val="24"/>
          <w:szCs w:val="24"/>
        </w:rPr>
        <w:lastRenderedPageBreak/>
        <w:t xml:space="preserve">asphalt mix which can significantly affect the moisture-induced damage performance of the mix. </w:t>
      </w:r>
      <w:r w:rsidR="00780B08">
        <w:rPr>
          <w:rStyle w:val="fontstyle01"/>
          <w:sz w:val="24"/>
          <w:szCs w:val="24"/>
        </w:rPr>
        <w:t>Several</w:t>
      </w:r>
      <w:r w:rsidRPr="00313BA2">
        <w:rPr>
          <w:rStyle w:val="fontstyle01"/>
          <w:sz w:val="24"/>
          <w:szCs w:val="24"/>
        </w:rPr>
        <w:t xml:space="preserve"> studies </w:t>
      </w:r>
      <w:r w:rsidR="00780B08">
        <w:rPr>
          <w:rStyle w:val="fontstyle01"/>
          <w:sz w:val="24"/>
          <w:szCs w:val="24"/>
        </w:rPr>
        <w:t xml:space="preserve">have </w:t>
      </w:r>
      <w:r w:rsidRPr="00313BA2">
        <w:rPr>
          <w:rStyle w:val="fontstyle01"/>
          <w:sz w:val="24"/>
          <w:szCs w:val="24"/>
        </w:rPr>
        <w:t>reported that the acid-base nature of aggregates influence</w:t>
      </w:r>
      <w:r w:rsidR="00780B08">
        <w:rPr>
          <w:rStyle w:val="fontstyle01"/>
          <w:sz w:val="24"/>
          <w:szCs w:val="24"/>
        </w:rPr>
        <w:t>s</w:t>
      </w:r>
      <w:r w:rsidRPr="00313BA2">
        <w:rPr>
          <w:rStyle w:val="fontstyle01"/>
          <w:sz w:val="24"/>
          <w:szCs w:val="24"/>
        </w:rPr>
        <w:t xml:space="preserve"> the adhesive </w:t>
      </w:r>
      <w:r w:rsidRPr="00E64D15">
        <w:rPr>
          <w:rStyle w:val="fontstyle01"/>
          <w:sz w:val="24"/>
          <w:szCs w:val="24"/>
        </w:rPr>
        <w:t xml:space="preserve">bonding at the binder-aggregate interface </w:t>
      </w:r>
      <w:r w:rsidRPr="00E64D15">
        <w:rPr>
          <w:rStyle w:val="fontstyle01"/>
          <w:sz w:val="24"/>
          <w:szCs w:val="24"/>
        </w:rPr>
        <w:fldChar w:fldCharType="begin">
          <w:fldData xml:space="preserve">PEVuZE5vdGU+PENpdGU+PEF1dGhvcj5Ub25nPC9BdXRob3I+PFllYXI+MjAxNTwvWWVhcj48UmVj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</w:fldData>
        </w:fldChar>
      </w:r>
      <w:r w:rsidR="00282238" w:rsidRPr="00E64D15">
        <w:rPr>
          <w:rStyle w:val="fontstyle01"/>
          <w:sz w:val="24"/>
          <w:szCs w:val="24"/>
        </w:rPr>
        <w:instrText xml:space="preserve"> ADDIN EN.CITE </w:instrText>
      </w:r>
      <w:r w:rsidR="00282238" w:rsidRPr="00E64D15">
        <w:rPr>
          <w:rStyle w:val="fontstyle01"/>
          <w:sz w:val="24"/>
          <w:szCs w:val="24"/>
        </w:rPr>
        <w:fldChar w:fldCharType="begin">
          <w:fldData xml:space="preserve">PEVuZE5vdGU+PENpdGU+PEF1dGhvcj5Ub25nPC9BdXRob3I+PFllYXI+MjAxNTwvWWVhcj48UmVj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</w:fldData>
        </w:fldChar>
      </w:r>
      <w:r w:rsidR="00282238" w:rsidRPr="00E64D15">
        <w:rPr>
          <w:rStyle w:val="fontstyle01"/>
          <w:sz w:val="24"/>
          <w:szCs w:val="24"/>
        </w:rPr>
        <w:instrText xml:space="preserve"> ADDIN EN.CITE.DATA </w:instrText>
      </w:r>
      <w:r w:rsidR="00282238" w:rsidRPr="00E64D15">
        <w:rPr>
          <w:rStyle w:val="fontstyle01"/>
          <w:sz w:val="24"/>
          <w:szCs w:val="24"/>
        </w:rPr>
      </w:r>
      <w:r w:rsidR="00282238" w:rsidRPr="00E64D15">
        <w:rPr>
          <w:rStyle w:val="fontstyle01"/>
          <w:sz w:val="24"/>
          <w:szCs w:val="24"/>
        </w:rPr>
        <w:fldChar w:fldCharType="end"/>
      </w:r>
      <w:r w:rsidRPr="00E64D15">
        <w:rPr>
          <w:rStyle w:val="fontstyle01"/>
          <w:sz w:val="24"/>
          <w:szCs w:val="24"/>
        </w:rPr>
      </w:r>
      <w:r w:rsidRPr="00E64D15">
        <w:rPr>
          <w:rStyle w:val="fontstyle01"/>
          <w:sz w:val="24"/>
          <w:szCs w:val="24"/>
        </w:rPr>
        <w:fldChar w:fldCharType="separate"/>
      </w:r>
      <w:r w:rsidR="00282238" w:rsidRPr="00E64D15">
        <w:rPr>
          <w:rStyle w:val="fontstyle01"/>
          <w:noProof/>
          <w:sz w:val="24"/>
          <w:szCs w:val="24"/>
        </w:rPr>
        <w:t>(Kalantar et al., 2012; Tong et al., 2015; Behnood and Gharehveran, 2019; Haider et al., 2020)</w:t>
      </w:r>
      <w:r w:rsidRPr="00E64D15">
        <w:rPr>
          <w:rStyle w:val="fontstyle01"/>
          <w:sz w:val="24"/>
          <w:szCs w:val="24"/>
        </w:rPr>
        <w:fldChar w:fldCharType="end"/>
      </w:r>
      <w:r w:rsidRPr="00E64D15">
        <w:rPr>
          <w:rStyle w:val="fontstyle01"/>
          <w:sz w:val="24"/>
          <w:szCs w:val="24"/>
        </w:rPr>
        <w:t>. Generally, aggregate rich in silica (SiO</w:t>
      </w:r>
      <w:r w:rsidRPr="00E64D15">
        <w:rPr>
          <w:rStyle w:val="fontstyle01"/>
          <w:sz w:val="24"/>
          <w:szCs w:val="24"/>
          <w:vertAlign w:val="subscript"/>
        </w:rPr>
        <w:t>2</w:t>
      </w:r>
      <w:r w:rsidRPr="00E64D15">
        <w:rPr>
          <w:rStyle w:val="fontstyle01"/>
          <w:sz w:val="24"/>
          <w:szCs w:val="24"/>
        </w:rPr>
        <w:t>) exhibits acidic behavior and</w:t>
      </w:r>
      <w:r w:rsidRPr="00E64D15">
        <w:rPr>
          <w:rFonts w:cs="Times New Roman"/>
          <w:szCs w:val="24"/>
          <w:lang w:val="en-CA"/>
        </w:rPr>
        <w:t xml:space="preserve"> may increase moisture-induced damage potential of a mix. On the other hand, aggregate</w:t>
      </w:r>
      <w:r w:rsidR="00780B08" w:rsidRPr="00E64D15">
        <w:rPr>
          <w:rFonts w:cs="Times New Roman"/>
          <w:szCs w:val="24"/>
          <w:lang w:val="en-CA"/>
        </w:rPr>
        <w:t>s</w:t>
      </w:r>
      <w:r w:rsidRPr="00E64D15">
        <w:rPr>
          <w:rFonts w:cs="Times New Roman"/>
          <w:szCs w:val="24"/>
          <w:lang w:val="en-CA"/>
        </w:rPr>
        <w:t xml:space="preserve"> with high CaO </w:t>
      </w:r>
      <w:r w:rsidR="00661DDB" w:rsidRPr="00E64D15">
        <w:rPr>
          <w:rFonts w:cs="Times New Roman"/>
          <w:szCs w:val="24"/>
          <w:lang w:val="en-CA"/>
        </w:rPr>
        <w:t>(</w:t>
      </w:r>
      <w:r w:rsidRPr="00E64D15">
        <w:rPr>
          <w:rFonts w:cs="Times New Roman"/>
          <w:szCs w:val="24"/>
          <w:lang w:val="en-CA"/>
        </w:rPr>
        <w:t>generally</w:t>
      </w:r>
      <w:r w:rsidR="00661DDB" w:rsidRPr="00E64D15">
        <w:rPr>
          <w:rFonts w:cs="Times New Roman"/>
          <w:szCs w:val="24"/>
          <w:lang w:val="en-CA"/>
        </w:rPr>
        <w:t xml:space="preserve"> present as CaC</w:t>
      </w:r>
      <w:r w:rsidR="00453CBC" w:rsidRPr="00E64D15">
        <w:rPr>
          <w:rFonts w:cs="Times New Roman"/>
          <w:szCs w:val="24"/>
          <w:lang w:val="en-CA"/>
        </w:rPr>
        <w:t>O</w:t>
      </w:r>
      <w:r w:rsidR="00661DDB" w:rsidRPr="00E64D15">
        <w:rPr>
          <w:rFonts w:cs="Times New Roman"/>
          <w:szCs w:val="24"/>
          <w:vertAlign w:val="subscript"/>
          <w:lang w:val="en-CA"/>
        </w:rPr>
        <w:t>3</w:t>
      </w:r>
      <w:r w:rsidR="00453CBC" w:rsidRPr="00E64D15">
        <w:rPr>
          <w:rFonts w:cs="Times New Roman"/>
          <w:szCs w:val="24"/>
          <w:lang w:val="en-CA"/>
        </w:rPr>
        <w:t>)</w:t>
      </w:r>
      <w:r w:rsidRPr="00E64D15">
        <w:rPr>
          <w:rFonts w:cs="Times New Roman"/>
          <w:szCs w:val="24"/>
          <w:lang w:val="en-CA"/>
        </w:rPr>
        <w:t xml:space="preserve"> exhibit good bonding quality </w:t>
      </w:r>
      <w:r w:rsidRPr="00E64D15">
        <w:rPr>
          <w:rFonts w:cs="Times New Roman"/>
          <w:szCs w:val="24"/>
          <w:lang w:val="en-CA"/>
        </w:rPr>
        <w:fldChar w:fldCharType="begin"/>
      </w:r>
      <w:r w:rsidR="00282238" w:rsidRPr="00E64D15">
        <w:rPr>
          <w:rFonts w:cs="Times New Roman"/>
          <w:szCs w:val="24"/>
          <w:lang w:val="en-CA"/>
        </w:rPr>
        <w:instrText xml:space="preserve"> ADDIN EN.CITE &lt;EndNote&gt;&lt;Cite&gt;&lt;Author&gt;Curtis&lt;/Author&gt;&lt;Year&gt;1993&lt;/Year&gt;&lt;RecNum&gt;354&lt;/RecNum&gt;&lt;DisplayText&gt;(Curtis et al., 1993)&lt;/DisplayText&gt;&lt;record&gt;&lt;rec-number&gt;354&lt;/rec-number&gt;&lt;foreign-keys&gt;&lt;key app="EN" db-id="tfx2va9ropw5p7evdr2pf5rw2vszzx9t0xzs" timestamp="1617036956"&gt;354&lt;/key&gt;&lt;/foreign-keys&gt;&lt;ref-type name="Report"&gt;27&lt;/ref-type&gt;&lt;contributors&gt;&lt;authors&gt;&lt;author&gt;Curtis, Christine W&lt;/author&gt;&lt;author&gt;Ensley, Keith&lt;/author&gt;&lt;author&gt;Epps, Jon&lt;/author&gt;&lt;/authors&gt;&lt;tertiary-authors&gt;&lt;author&gt;Strategic Highway Research Program, National Research Council&lt;/author&gt;&lt;/tertiary-authors&gt;&lt;/contributors&gt;&lt;titles&gt;&lt;title&gt;Fundamental properties of asphalt-aggregate interactions including adhesion and absorption (SHRP-A-341)&lt;/title&gt;&lt;/titles&gt;&lt;dates&gt;&lt;year&gt;1993&lt;/year&gt;&lt;/dates&gt;&lt;pub-location&gt;Washington, DC.&lt;/pub-location&gt;&lt;urls&gt;&lt;/urls&gt;&lt;/record&gt;&lt;/Cite&gt;&lt;/EndNote&gt;</w:instrText>
      </w:r>
      <w:r w:rsidRPr="00E64D15">
        <w:rPr>
          <w:rFonts w:cs="Times New Roman"/>
          <w:szCs w:val="24"/>
          <w:lang w:val="en-CA"/>
        </w:rPr>
        <w:fldChar w:fldCharType="separate"/>
      </w:r>
      <w:r w:rsidR="00282238" w:rsidRPr="00E64D15">
        <w:rPr>
          <w:rFonts w:cs="Times New Roman"/>
          <w:noProof/>
          <w:szCs w:val="24"/>
          <w:lang w:val="en-CA"/>
        </w:rPr>
        <w:t>(Curtis et al., 1993)</w:t>
      </w:r>
      <w:r w:rsidRPr="00E64D15">
        <w:rPr>
          <w:rFonts w:cs="Times New Roman"/>
          <w:szCs w:val="24"/>
          <w:lang w:val="en-CA"/>
        </w:rPr>
        <w:fldChar w:fldCharType="end"/>
      </w:r>
      <w:r w:rsidRPr="00E64D15">
        <w:rPr>
          <w:rFonts w:cs="Times New Roman"/>
          <w:szCs w:val="24"/>
          <w:lang w:val="en-CA"/>
        </w:rPr>
        <w:t>. Therefore, understanding the effect of the surface chemistry and chemical compositions of aggregates on the moisture susceptibility is important to identify compatible binder-aggregate combinations.</w:t>
      </w:r>
    </w:p>
    <w:p w14:paraId="239AD466" w14:textId="77777777" w:rsidR="00313BA2" w:rsidRPr="00E64D15" w:rsidRDefault="00313BA2" w:rsidP="00985A4A">
      <w:pPr>
        <w:pStyle w:val="Heading3"/>
      </w:pPr>
      <w:bookmarkStart w:id="32" w:name="_Toc6529107"/>
      <w:bookmarkStart w:id="33" w:name="_Toc71728410"/>
      <w:r w:rsidRPr="00E64D15">
        <w:t>Effect of Different Additives on the Moisture-induced Damage</w:t>
      </w:r>
      <w:bookmarkEnd w:id="32"/>
      <w:bookmarkEnd w:id="33"/>
    </w:p>
    <w:p w14:paraId="05D30E9F" w14:textId="4186C137" w:rsidR="00313BA2" w:rsidRPr="00E64D15" w:rsidRDefault="0096102D" w:rsidP="00BB084C">
      <w:pPr>
        <w:pStyle w:val="Heading4"/>
        <w:spacing w:before="0" w:after="0"/>
      </w:pPr>
      <w:bookmarkStart w:id="34" w:name="_Toc6529108"/>
      <w:r w:rsidRPr="00E64D15">
        <w:t>Warm Mix Asphalt (</w:t>
      </w:r>
      <w:r w:rsidR="00313BA2" w:rsidRPr="00E64D15">
        <w:t>WMA</w:t>
      </w:r>
      <w:r w:rsidRPr="00E64D15">
        <w:t>)</w:t>
      </w:r>
      <w:r w:rsidR="00313BA2" w:rsidRPr="00E64D15">
        <w:t xml:space="preserve"> Additives</w:t>
      </w:r>
      <w:bookmarkEnd w:id="34"/>
    </w:p>
    <w:p w14:paraId="0CE49AC5" w14:textId="1D790053" w:rsidR="00313BA2" w:rsidRPr="00E64D15" w:rsidRDefault="00313BA2" w:rsidP="00E77129">
      <w:pPr>
        <w:ind w:firstLine="720"/>
        <w:rPr>
          <w:rFonts w:cs="Times New Roman"/>
          <w:szCs w:val="24"/>
        </w:rPr>
      </w:pPr>
      <w:bookmarkStart w:id="35" w:name="_Toc6529109"/>
      <w:r w:rsidRPr="00E64D15">
        <w:rPr>
          <w:rFonts w:cs="Times New Roman"/>
          <w:szCs w:val="24"/>
        </w:rPr>
        <w:t xml:space="preserve">In recent years, construction of asphalt pavements using WMA technologies has increased significantly to reduce energy consumption and promote sustainable development. The asphalt production temperature can be reduced by a maximum of 40 °C </w:t>
      </w:r>
      <w:r w:rsidR="00EB628A" w:rsidRPr="00E64D15">
        <w:rPr>
          <w:rFonts w:cs="Times New Roman"/>
          <w:szCs w:val="24"/>
        </w:rPr>
        <w:t>l</w:t>
      </w:r>
      <w:r w:rsidR="00011B59" w:rsidRPr="00E64D15">
        <w:rPr>
          <w:rFonts w:cs="Times New Roman"/>
          <w:szCs w:val="24"/>
        </w:rPr>
        <w:t>ower</w:t>
      </w:r>
      <w:r w:rsidR="00EB628A" w:rsidRPr="00E64D15">
        <w:rPr>
          <w:rFonts w:cs="Times New Roman"/>
          <w:szCs w:val="24"/>
        </w:rPr>
        <w:t xml:space="preserve"> </w:t>
      </w:r>
      <w:r w:rsidRPr="00E64D15">
        <w:rPr>
          <w:rFonts w:cs="Times New Roman"/>
          <w:szCs w:val="24"/>
        </w:rPr>
        <w:t xml:space="preserve">than that of hot mix asphalt (HMA) by using WMA technologies </w:t>
      </w:r>
      <w:r w:rsidRPr="00E64D15">
        <w:rPr>
          <w:rFonts w:cs="Times New Roman"/>
          <w:szCs w:val="24"/>
        </w:rPr>
        <w:fldChar w:fldCharType="begin"/>
      </w:r>
      <w:r w:rsidR="00282238" w:rsidRPr="00E64D15">
        <w:rPr>
          <w:rFonts w:cs="Times New Roman"/>
          <w:szCs w:val="24"/>
        </w:rPr>
        <w:instrText xml:space="preserve"> ADDIN EN.CITE &lt;EndNote&gt;&lt;Cite&gt;&lt;Author&gt;D&amp;apos;Angelo&lt;/Author&gt;&lt;Year&gt;2008&lt;/Year&gt;&lt;RecNum&gt;103&lt;/RecNum&gt;&lt;DisplayText&gt;(D&amp;apos;Angelo et al., 2008; West et al., 2014)&lt;/DisplayText&gt;&lt;record&gt;&lt;rec-number&gt;103&lt;/rec-number&gt;&lt;foreign-keys&gt;&lt;key app="EN" db-id="d55vzfpwawdafteedfoxsf0lv0v0wp5va2aa" timestamp="1521322300"&gt;103&lt;/key&gt;&lt;/foreign-keys&gt;&lt;ref-type name="Report"&gt;27&lt;/ref-type&gt;&lt;contributors&gt;&lt;authors&gt;&lt;author&gt;D&amp;apos;Angelo, John A&lt;/author&gt;&lt;author&gt;Harm, Eric E&lt;/author&gt;&lt;author&gt;Bartoszek, John C&lt;/author&gt;&lt;author&gt;Baumgardner, Gaylon L&lt;/author&gt;&lt;author&gt;Corrigan, Matthew R&lt;/author&gt;&lt;author&gt;Cowsert, Jack E&lt;/author&gt;&lt;author&gt;Harman, Thomas P&lt;/author&gt;&lt;author&gt;Jamshidi, Mostafa&lt;/author&gt;&lt;author&gt;Jones, H Wayne&lt;/author&gt;&lt;author&gt;Newcomb, David E&lt;/author&gt;&lt;/authors&gt;&lt;/contributors&gt;&lt;titles&gt;&lt;title&gt;Warm-mix asphalt: European practice&lt;/title&gt;&lt;/titles&gt;&lt;dates&gt;&lt;year&gt;2008&lt;/year&gt;&lt;/dates&gt;&lt;urls&gt;&lt;/urls&gt;&lt;/record&gt;&lt;/Cite&gt;&lt;Cite&gt;&lt;Author&gt;West&lt;/Author&gt;&lt;Year&gt;2014&lt;/Year&gt;&lt;RecNum&gt;104&lt;/RecNum&gt;&lt;record&gt;&lt;rec-number&gt;104&lt;/rec-number&gt;&lt;foreign-keys&gt;&lt;key app="EN" db-id="d55vzfpwawdafteedfoxsf0lv0v0wp5va2aa" timestamp="1521322337"&gt;104&lt;/key&gt;&lt;/foreign-keys&gt;&lt;ref-type name="Journal Article"&gt;17&lt;/ref-type&gt;&lt;contributors&gt;&lt;authors&gt;&lt;author&gt;West, R&lt;/author&gt;&lt;author&gt;Rodezno, C&lt;/author&gt;&lt;author&gt;Julian, G&lt;/author&gt;&lt;author&gt;Prowell, B&lt;/author&gt;&lt;author&gt;Frank, B&lt;/author&gt;&lt;author&gt;Osborn, LV&lt;/author&gt;&lt;author&gt;Kriech, T&lt;/author&gt;&lt;/authors&gt;&lt;/contributors&gt;&lt;titles&gt;&lt;title&gt;NCHRP Report 779: Field Performance of Warm Mix Asphalt Technologies&lt;/title&gt;&lt;secondary-title&gt;Transportation Research Board of the National Academies, Washington, DC&lt;/secondary-title&gt;&lt;/titles&gt;&lt;periodical&gt;&lt;full-title&gt;Transportation Research Board of the National Academies, Washington, DC&lt;/full-title&gt;&lt;/periodical&gt;&lt;dates&gt;&lt;year&gt;2014&lt;/year&gt;&lt;/dates&gt;&lt;urls&gt;&lt;/urls&gt;&lt;/record&gt;&lt;/Cite&gt;&lt;/EndNote&gt;</w:instrText>
      </w:r>
      <w:r w:rsidRPr="00E64D15">
        <w:rPr>
          <w:rFonts w:cs="Times New Roman"/>
          <w:szCs w:val="24"/>
        </w:rPr>
        <w:fldChar w:fldCharType="separate"/>
      </w:r>
      <w:r w:rsidR="00282238" w:rsidRPr="00E64D15">
        <w:rPr>
          <w:rFonts w:cs="Times New Roman"/>
          <w:noProof/>
          <w:szCs w:val="24"/>
        </w:rPr>
        <w:t>(D'Angelo et al., 2008; West et al., 2014)</w:t>
      </w:r>
      <w:r w:rsidRPr="00E64D15">
        <w:rPr>
          <w:rFonts w:cs="Times New Roman"/>
          <w:szCs w:val="24"/>
        </w:rPr>
        <w:fldChar w:fldCharType="end"/>
      </w:r>
      <w:r w:rsidRPr="00E64D15">
        <w:rPr>
          <w:rFonts w:cs="Times New Roman"/>
          <w:szCs w:val="24"/>
        </w:rPr>
        <w:t xml:space="preserve">. Generally, WMA technologies can be divided into three categories, namely foaming technology, organic additives and chemical additives </w:t>
      </w:r>
      <w:r w:rsidRPr="00E64D15">
        <w:rPr>
          <w:rFonts w:cs="Times New Roman"/>
          <w:szCs w:val="24"/>
        </w:rPr>
        <w:fldChar w:fldCharType="begin"/>
      </w:r>
      <w:r w:rsidR="00282238" w:rsidRPr="00E64D15">
        <w:rPr>
          <w:rFonts w:cs="Times New Roman"/>
          <w:szCs w:val="24"/>
        </w:rPr>
        <w:instrText xml:space="preserve"> ADDIN EN.CITE &lt;EndNote&gt;&lt;Cite&gt;&lt;Author&gt;West&lt;/Author&gt;&lt;Year&gt;2014&lt;/Year&gt;&lt;RecNum&gt;104&lt;/RecNum&gt;&lt;DisplayText&gt;(West et al., 2014)&lt;/DisplayText&gt;&lt;record&gt;&lt;rec-number&gt;104&lt;/rec-number&gt;&lt;foreign-keys&gt;&lt;key app="EN" db-id="d55vzfpwawdafteedfoxsf0lv0v0wp5va2aa" timestamp="1521322337"&gt;104&lt;/key&gt;&lt;/foreign-keys&gt;&lt;ref-type name="Journal Article"&gt;17&lt;/ref-type&gt;&lt;contributors&gt;&lt;authors&gt;&lt;author&gt;West, R&lt;/author&gt;&lt;author&gt;Rodezno, C&lt;/author&gt;&lt;author&gt;Julian, G&lt;/author&gt;&lt;author&gt;Prowell, B&lt;/author&gt;&lt;author&gt;Frank, B&lt;/author&gt;&lt;author&gt;Osborn, LV&lt;/author&gt;&lt;author&gt;Kriech, T&lt;/author&gt;&lt;/authors&gt;&lt;/contributors&gt;&lt;titles&gt;&lt;title&gt;NCHRP Report 779: Field Performance of Warm Mix Asphalt Technologies&lt;/title&gt;&lt;secondary-title&gt;Transportation Research Board of the National Academies, Washington, DC&lt;/secondary-title&gt;&lt;/titles&gt;&lt;periodical&gt;&lt;full-title&gt;Transportation Research Board of the National Academies, Washington, DC&lt;/full-title&gt;&lt;/periodical&gt;&lt;dates&gt;&lt;year&gt;2014&lt;/year&gt;&lt;/dates&gt;&lt;urls&gt;&lt;/urls&gt;&lt;/record&gt;&lt;/Cite&gt;&lt;/EndNote&gt;</w:instrText>
      </w:r>
      <w:r w:rsidRPr="00E64D15">
        <w:rPr>
          <w:rFonts w:cs="Times New Roman"/>
          <w:szCs w:val="24"/>
        </w:rPr>
        <w:fldChar w:fldCharType="separate"/>
      </w:r>
      <w:r w:rsidR="00282238" w:rsidRPr="00E64D15">
        <w:rPr>
          <w:rFonts w:cs="Times New Roman"/>
          <w:noProof/>
          <w:szCs w:val="24"/>
        </w:rPr>
        <w:t>(West et al., 2014)</w:t>
      </w:r>
      <w:r w:rsidRPr="00E64D15">
        <w:rPr>
          <w:rFonts w:cs="Times New Roman"/>
          <w:szCs w:val="24"/>
        </w:rPr>
        <w:fldChar w:fldCharType="end"/>
      </w:r>
      <w:r w:rsidRPr="00E64D15">
        <w:rPr>
          <w:rFonts w:cs="Times New Roman"/>
          <w:szCs w:val="24"/>
        </w:rPr>
        <w:t xml:space="preserve">. A number of products are available commercially to help promote coating of the aggregate surface with binder at a lower temperature. </w:t>
      </w:r>
      <w:r w:rsidR="00780B08" w:rsidRPr="00E64D15">
        <w:rPr>
          <w:rFonts w:cs="Times New Roman"/>
          <w:szCs w:val="24"/>
        </w:rPr>
        <w:t>S</w:t>
      </w:r>
      <w:r w:rsidRPr="00E64D15">
        <w:rPr>
          <w:rFonts w:cs="Times New Roman"/>
          <w:szCs w:val="24"/>
        </w:rPr>
        <w:t xml:space="preserve">everal studies </w:t>
      </w:r>
      <w:r w:rsidR="00780B08" w:rsidRPr="00E64D15">
        <w:rPr>
          <w:rFonts w:cs="Times New Roman"/>
          <w:szCs w:val="24"/>
        </w:rPr>
        <w:t xml:space="preserve">have </w:t>
      </w:r>
      <w:r w:rsidRPr="00E64D15">
        <w:rPr>
          <w:rFonts w:cs="Times New Roman"/>
          <w:szCs w:val="24"/>
        </w:rPr>
        <w:t xml:space="preserve">reported concerns about moisture-induced damage susceptibility of WMA mixes due to insufficient drying of aggregates at low mixing and compaction temperatures </w:t>
      </w:r>
      <w:r w:rsidRPr="00E64D15">
        <w:rPr>
          <w:rFonts w:cs="Times New Roman"/>
          <w:szCs w:val="24"/>
        </w:rPr>
        <w:fldChar w:fldCharType="begin"/>
      </w:r>
      <w:r w:rsidR="00282238" w:rsidRPr="00E64D15">
        <w:rPr>
          <w:rFonts w:cs="Times New Roman"/>
          <w:szCs w:val="24"/>
        </w:rPr>
        <w:instrText xml:space="preserve"> ADDIN EN.CITE &lt;EndNote&gt;&lt;Cite&gt;&lt;Author&gt;Xiao&lt;/Author&gt;&lt;Year&gt;2010&lt;/Year&gt;&lt;RecNum&gt;105&lt;/RecNum&gt;&lt;DisplayText&gt;(Xiao et al., 2010b; Khodaii et al., 2012)&lt;/DisplayText&gt;&lt;record&gt;&lt;rec-number&gt;105&lt;/rec-number&gt;&lt;foreign-keys&gt;&lt;key app="EN" db-id="d55vzfpwawdafteedfoxsf0lv0v0wp5va2aa" timestamp="1521322687"&gt;105&lt;/key&gt;&lt;/foreign-keys&gt;&lt;ref-type name="Journal Article"&gt;17&lt;/ref-type&gt;&lt;contributors&gt;&lt;authors&gt;&lt;author&gt;Xiao, Feipeng&lt;/author&gt;&lt;author&gt;Zhao, Wenbin&lt;/author&gt;&lt;author&gt;Gandhi, Tejash&lt;/author&gt;&lt;author&gt;Amirkhanian, Serji N&lt;/author&gt;&lt;/authors&gt;&lt;/contributors&gt;&lt;titles&gt;&lt;title&gt;Influence of antistripping additives on moisture susceptibility of warm mix asphalt mixtures&lt;/title&gt;&lt;secondary-title&gt;Journal of Materials in Civil Engineering&lt;/secondary-title&gt;&lt;/titles&gt;&lt;periodical&gt;&lt;full-title&gt;Journal of Materials in Civil Engineering&lt;/full-title&gt;&lt;/periodical&gt;&lt;pages&gt;1047-1055&lt;/pages&gt;&lt;volume&gt;22&lt;/volume&gt;&lt;number&gt;10&lt;/number&gt;&lt;dates&gt;&lt;year&gt;2010&lt;/year&gt;&lt;/dates&gt;&lt;isbn&gt;0899-1561&lt;/isbn&gt;&lt;urls&gt;&lt;/urls&gt;&lt;/record&gt;&lt;/Cite&gt;&lt;Cite&gt;&lt;Author&gt;Khodaii&lt;/Author&gt;&lt;Year&gt;2012&lt;/Year&gt;&lt;RecNum&gt;106&lt;/RecNum&gt;&lt;record&gt;&lt;rec-number&gt;106&lt;/rec-number&gt;&lt;foreign-keys&gt;&lt;key app="EN" db-id="d55vzfpwawdafteedfoxsf0lv0v0wp5va2aa" timestamp="1521322751"&gt;106&lt;/key&gt;&lt;/foreign-keys&gt;&lt;ref-type name="Journal Article"&gt;17&lt;/ref-type&gt;&lt;contributors&gt;&lt;authors&gt;&lt;author&gt;Khodaii, A&lt;/author&gt;&lt;author&gt;Tehrani, H Kazemi&lt;/author&gt;&lt;author&gt;Haghshenas, HF&lt;/author&gt;&lt;/authors&gt;&lt;/contributors&gt;&lt;titles&gt;&lt;title&gt;Hydrated lime effect on moisture susceptibility of warm mix asphalt&lt;/title&gt;&lt;secondary-title&gt;Construction and Building Materials&lt;/secondary-title&gt;&lt;/titles&gt;&lt;periodical&gt;&lt;full-title&gt;Construction and Building Materials&lt;/full-title&gt;&lt;/periodical&gt;&lt;pages&gt;165-170&lt;/pages&gt;&lt;volume&gt;36&lt;/volume&gt;&lt;dates&gt;&lt;year&gt;2012&lt;/year&gt;&lt;/dates&gt;&lt;isbn&gt;0950-0618&lt;/isbn&gt;&lt;urls&gt;&lt;/urls&gt;&lt;/record&gt;&lt;/Cite&gt;&lt;/EndNote&gt;</w:instrText>
      </w:r>
      <w:r w:rsidRPr="00E64D15">
        <w:rPr>
          <w:rFonts w:cs="Times New Roman"/>
          <w:szCs w:val="24"/>
        </w:rPr>
        <w:fldChar w:fldCharType="separate"/>
      </w:r>
      <w:r w:rsidR="00282238" w:rsidRPr="00E64D15">
        <w:rPr>
          <w:rFonts w:cs="Times New Roman"/>
          <w:noProof/>
          <w:szCs w:val="24"/>
        </w:rPr>
        <w:t>(Xiao et al., 2010b; Khodaii et al., 2012)</w:t>
      </w:r>
      <w:r w:rsidRPr="00E64D15">
        <w:rPr>
          <w:rFonts w:cs="Times New Roman"/>
          <w:szCs w:val="24"/>
        </w:rPr>
        <w:fldChar w:fldCharType="end"/>
      </w:r>
      <w:r w:rsidRPr="00E64D15">
        <w:rPr>
          <w:rFonts w:cs="Times New Roman"/>
          <w:szCs w:val="24"/>
        </w:rPr>
        <w:t xml:space="preserve">. An increase in the moisture-induced damage potential </w:t>
      </w:r>
      <w:r w:rsidR="00780B08" w:rsidRPr="00E64D15">
        <w:rPr>
          <w:rFonts w:cs="Times New Roman"/>
          <w:szCs w:val="24"/>
        </w:rPr>
        <w:t>of</w:t>
      </w:r>
      <w:r w:rsidRPr="00E64D15">
        <w:rPr>
          <w:rFonts w:cs="Times New Roman"/>
          <w:szCs w:val="24"/>
        </w:rPr>
        <w:t xml:space="preserve"> WMA mixes was reported by several studies </w:t>
      </w:r>
      <w:r w:rsidR="00780B08" w:rsidRPr="00E64D15">
        <w:rPr>
          <w:rFonts w:cs="Times New Roman"/>
          <w:szCs w:val="24"/>
        </w:rPr>
        <w:t>based on</w:t>
      </w:r>
      <w:r w:rsidRPr="00E64D15">
        <w:rPr>
          <w:rFonts w:cs="Times New Roman"/>
          <w:szCs w:val="24"/>
        </w:rPr>
        <w:t xml:space="preserve"> laboratory-based performance </w:t>
      </w:r>
      <w:r w:rsidRPr="00E64D15">
        <w:rPr>
          <w:rFonts w:cs="Times New Roman"/>
          <w:szCs w:val="24"/>
        </w:rPr>
        <w:lastRenderedPageBreak/>
        <w:t xml:space="preserve">tests </w:t>
      </w:r>
      <w:r w:rsidRPr="00E64D15">
        <w:rPr>
          <w:rFonts w:cs="Times New Roman"/>
          <w:szCs w:val="24"/>
        </w:rPr>
        <w:fldChar w:fldCharType="begin"/>
      </w:r>
      <w:r w:rsidR="00282238" w:rsidRPr="00E64D15">
        <w:rPr>
          <w:rFonts w:cs="Times New Roman"/>
          <w:szCs w:val="24"/>
        </w:rPr>
        <w:instrText xml:space="preserve"> ADDIN EN.CITE &lt;EndNote&gt;&lt;Cite&gt;&lt;Author&gt;Prowell&lt;/Author&gt;&lt;Year&gt;2007&lt;/Year&gt;&lt;RecNum&gt;107&lt;/RecNum&gt;&lt;DisplayText&gt;(Prowell et al., 2007; Ghabchi et al., 2013)&lt;/DisplayText&gt;&lt;record&gt;&lt;rec-number&gt;107&lt;/rec-number&gt;&lt;foreign-keys&gt;&lt;key app="EN" db-id="d55vzfpwawdafteedfoxsf0lv0v0wp5va2aa" timestamp="1521323077"&gt;107&lt;/key&gt;&lt;/foreign-keys&gt;&lt;ref-type name="Journal Article"&gt;17&lt;/ref-type&gt;&lt;contributors&gt;&lt;authors&gt;&lt;author&gt;Prowell, Brian&lt;/author&gt;&lt;author&gt;Hurley, Graham&lt;/author&gt;&lt;author&gt;Crews, Everett&lt;/author&gt;&lt;/authors&gt;&lt;/contributors&gt;&lt;titles&gt;&lt;title&gt;Field performance of warm-mix asphalt at national center for asphalt technology test track&lt;/title&gt;&lt;secondary-title&gt;Transportation Research Record: Journal of the Transportation Research Board&lt;/secondary-title&gt;&lt;/titles&gt;&lt;periodical&gt;&lt;full-title&gt;Transportation Research Record: Journal of the Transportation Research Board&lt;/full-title&gt;&lt;/periodical&gt;&lt;pages&gt;96-102&lt;/pages&gt;&lt;number&gt;1998&lt;/number&gt;&lt;dates&gt;&lt;year&gt;2007&lt;/year&gt;&lt;/dates&gt;&lt;isbn&gt;0361-1981&lt;/isbn&gt;&lt;urls&gt;&lt;/urls&gt;&lt;/record&gt;&lt;/Cite&gt;&lt;Cite&gt;&lt;Author&gt;Ghabchi&lt;/Author&gt;&lt;Year&gt;2013&lt;/Year&gt;&lt;RecNum&gt;33&lt;/RecNum&gt;&lt;record&gt;&lt;rec-number&gt;33&lt;/rec-number&gt;&lt;foreign-keys&gt;&lt;key app="EN" db-id="d55vzfpwawdafteedfoxsf0lv0v0wp5va2aa" timestamp="1509901289"&gt;33&lt;/key&gt;&lt;/foreign-keys&gt;&lt;ref-type name="Journal Article"&gt;17&lt;/ref-type&gt;&lt;contributors&gt;&lt;authors&gt;&lt;author&gt;Ghabchi, Rouzbeh&lt;/author&gt;&lt;author&gt;Singh, Dharamveer&lt;/author&gt;&lt;author&gt;Zaman, Musharraf&lt;/author&gt;&lt;author&gt;Tian, Qingyan&lt;/author&gt;&lt;/authors&gt;&lt;/contributors&gt;&lt;titles&gt;&lt;title&gt;Mechanistic Evaluation of the Effect of WMA Additives on Wettability and Moisture Susceptibility Properties of Asphalt Mixes&lt;/title&gt;&lt;secondary-title&gt;Journal of Testing and Evaluation&lt;/secondary-title&gt;&lt;/titles&gt;&lt;periodical&gt;&lt;full-title&gt;Journal of Testing and Evaluation&lt;/full-title&gt;&lt;/periodical&gt;&lt;pages&gt;933-942&lt;/pages&gt;&lt;volume&gt;41&lt;/volume&gt;&lt;number&gt;6&lt;/number&gt;&lt;dates&gt;&lt;year&gt;2013&lt;/year&gt;&lt;/dates&gt;&lt;isbn&gt;0090-3973&lt;/isbn&gt;&lt;urls&gt;&lt;/urls&gt;&lt;/record&gt;&lt;/Cite&gt;&lt;/EndNote&gt;</w:instrText>
      </w:r>
      <w:r w:rsidRPr="00E64D15">
        <w:rPr>
          <w:rFonts w:cs="Times New Roman"/>
          <w:szCs w:val="24"/>
        </w:rPr>
        <w:fldChar w:fldCharType="separate"/>
      </w:r>
      <w:r w:rsidR="00282238" w:rsidRPr="00E64D15">
        <w:rPr>
          <w:rFonts w:cs="Times New Roman"/>
          <w:noProof/>
          <w:szCs w:val="24"/>
        </w:rPr>
        <w:t>(Prowell et al., 2007; Ghabchi et al., 2013)</w:t>
      </w:r>
      <w:r w:rsidRPr="00E64D15">
        <w:rPr>
          <w:rFonts w:cs="Times New Roman"/>
          <w:szCs w:val="24"/>
        </w:rPr>
        <w:fldChar w:fldCharType="end"/>
      </w:r>
      <w:r w:rsidRPr="00E64D15">
        <w:rPr>
          <w:rFonts w:cs="Times New Roman"/>
          <w:szCs w:val="24"/>
        </w:rPr>
        <w:t>. The effect of the addition of two WMA additives, namely Sasobit</w:t>
      </w:r>
      <w:r w:rsidRPr="00E64D15">
        <w:rPr>
          <w:rFonts w:cs="Times New Roman"/>
          <w:szCs w:val="24"/>
          <w:vertAlign w:val="superscript"/>
        </w:rPr>
        <w:t>®</w:t>
      </w:r>
      <w:r w:rsidRPr="00E64D15">
        <w:rPr>
          <w:rFonts w:cs="Times New Roman"/>
          <w:szCs w:val="24"/>
        </w:rPr>
        <w:t xml:space="preserve"> and Aspha-min</w:t>
      </w:r>
      <w:r w:rsidRPr="00E64D15">
        <w:rPr>
          <w:rFonts w:cs="Times New Roman"/>
          <w:szCs w:val="24"/>
          <w:vertAlign w:val="superscript"/>
        </w:rPr>
        <w:t>®</w:t>
      </w:r>
      <w:r w:rsidRPr="00E64D15">
        <w:rPr>
          <w:rFonts w:cs="Times New Roman"/>
          <w:szCs w:val="24"/>
        </w:rPr>
        <w:t xml:space="preserve"> </w:t>
      </w:r>
      <w:r w:rsidR="00D0151F" w:rsidRPr="00E64D15">
        <w:rPr>
          <w:rFonts w:cs="Times New Roman"/>
          <w:szCs w:val="24"/>
        </w:rPr>
        <w:t>was</w:t>
      </w:r>
      <w:r w:rsidRPr="00E64D15">
        <w:rPr>
          <w:rFonts w:cs="Times New Roman"/>
          <w:szCs w:val="24"/>
        </w:rPr>
        <w:t xml:space="preserve"> evaluated by </w:t>
      </w:r>
      <w:r w:rsidRPr="00E64D15">
        <w:rPr>
          <w:rFonts w:cs="Times New Roman"/>
          <w:szCs w:val="24"/>
        </w:rPr>
        <w:fldChar w:fldCharType="begin"/>
      </w:r>
      <w:r w:rsidR="00DB3733" w:rsidRPr="00E64D15">
        <w:rPr>
          <w:rFonts w:cs="Times New Roman"/>
          <w:szCs w:val="24"/>
        </w:rPr>
        <w:instrText xml:space="preserve"> ADDIN EN.CITE &lt;EndNote&gt;&lt;Cite AuthorYear="1"&gt;&lt;Author&gt;Wasiuddin&lt;/Author&gt;&lt;Year&gt;2008&lt;/Year&gt;&lt;RecNum&gt;62&lt;/RecNum&gt;&lt;DisplayText&gt;Wasiuddin et al. (2008)&lt;/DisplayText&gt;&lt;record&gt;&lt;rec-number&gt;62&lt;/rec-number&gt;&lt;foreign-keys&gt;&lt;key app="EN" db-id="d55vzfpwawdafteedfoxsf0lv0v0wp5va2aa" timestamp="1514344121"&gt;62&lt;/key&gt;&lt;/foreign-keys&gt;&lt;ref-type name="Journal Article"&gt;17&lt;/ref-type&gt;&lt;contributors&gt;&lt;authors&gt;&lt;author&gt;Wasiuddin, Nazimuddin&lt;/author&gt;&lt;author&gt;Zaman, Musharraf&lt;/author&gt;&lt;author&gt;O&amp;apos;Rear, Edgar&lt;/author&gt;&lt;/authors&gt;&lt;/contributors&gt;&lt;titles&gt;&lt;title&gt;Effect of Sasobit and Aspha-min on Wettability and Adhesion Between Asphalt Binders and Aggregates&lt;/title&gt;&lt;secondary-title&gt;Transportation Research Record: Journal of the Transportation Research Board&lt;/secondary-title&gt;&lt;/titles&gt;&lt;periodical&gt;&lt;full-title&gt;Transportation Research Record: Journal of the Transportation Research Board&lt;/full-title&gt;&lt;/periodical&gt;&lt;pages&gt;80-89&lt;/pages&gt;&lt;number&gt;2051&lt;/number&gt;&lt;dates&gt;&lt;year&gt;2008&lt;/year&gt;&lt;/dates&gt;&lt;isbn&gt;0361-1981&lt;/isbn&gt;&lt;urls&gt;&lt;/urls&gt;&lt;/record&gt;&lt;/Cite&gt;&lt;/EndNote&gt;</w:instrText>
      </w:r>
      <w:r w:rsidRPr="00E64D15">
        <w:rPr>
          <w:rFonts w:cs="Times New Roman"/>
          <w:szCs w:val="24"/>
        </w:rPr>
        <w:fldChar w:fldCharType="separate"/>
      </w:r>
      <w:r w:rsidRPr="00E64D15">
        <w:rPr>
          <w:rFonts w:cs="Times New Roman"/>
          <w:noProof/>
          <w:szCs w:val="24"/>
        </w:rPr>
        <w:t>Wasiuddin et al. (2008)</w:t>
      </w:r>
      <w:r w:rsidRPr="00E64D15">
        <w:rPr>
          <w:rFonts w:cs="Times New Roman"/>
          <w:szCs w:val="24"/>
        </w:rPr>
        <w:fldChar w:fldCharType="end"/>
      </w:r>
      <w:r w:rsidRPr="00E64D15">
        <w:rPr>
          <w:rFonts w:cs="Times New Roman"/>
          <w:szCs w:val="24"/>
        </w:rPr>
        <w:t xml:space="preserve"> using the SFE approach. The addition of Sasobit</w:t>
      </w:r>
      <w:r w:rsidRPr="00E64D15">
        <w:rPr>
          <w:rFonts w:cs="Times New Roman"/>
          <w:szCs w:val="24"/>
          <w:vertAlign w:val="superscript"/>
        </w:rPr>
        <w:t>®</w:t>
      </w:r>
      <w:r w:rsidRPr="00E64D15">
        <w:rPr>
          <w:rFonts w:cs="Times New Roman"/>
          <w:szCs w:val="24"/>
        </w:rPr>
        <w:t xml:space="preserve"> reduced the adhesion between binders and aggregates, whereas Aspha-Min</w:t>
      </w:r>
      <w:r w:rsidRPr="00E64D15">
        <w:rPr>
          <w:rFonts w:cs="Times New Roman"/>
          <w:szCs w:val="24"/>
          <w:vertAlign w:val="superscript"/>
        </w:rPr>
        <w:t>®</w:t>
      </w:r>
      <w:r w:rsidRPr="00E64D15">
        <w:rPr>
          <w:rFonts w:cs="Times New Roman"/>
          <w:szCs w:val="24"/>
        </w:rPr>
        <w:t xml:space="preserve"> did not exhibit any specific trend. In a similar study, </w:t>
      </w:r>
      <w:r w:rsidRPr="00E64D15">
        <w:rPr>
          <w:rFonts w:cs="Times New Roman"/>
          <w:szCs w:val="24"/>
        </w:rPr>
        <w:fldChar w:fldCharType="begin"/>
      </w:r>
      <w:r w:rsidR="00DB3733" w:rsidRPr="00E64D15">
        <w:rPr>
          <w:rFonts w:cs="Times New Roman"/>
          <w:szCs w:val="24"/>
        </w:rPr>
        <w:instrText xml:space="preserve"> ADDIN EN.CITE &lt;EndNote&gt;&lt;Cite AuthorYear="1"&gt;&lt;Author&gt;Ghabchi&lt;/Author&gt;&lt;Year&gt;2013&lt;/Year&gt;&lt;RecNum&gt;33&lt;/RecNum&gt;&lt;DisplayText&gt;Ghabchi et al. (2013)&lt;/DisplayText&gt;&lt;record&gt;&lt;rec-number&gt;33&lt;/rec-number&gt;&lt;foreign-keys&gt;&lt;key app="EN" db-id="d55vzfpwawdafteedfoxsf0lv0v0wp5va2aa" timestamp="1509901289"&gt;33&lt;/key&gt;&lt;/foreign-keys&gt;&lt;ref-type name="Journal Article"&gt;17&lt;/ref-type&gt;&lt;contributors&gt;&lt;authors&gt;&lt;author&gt;Ghabchi, Rouzbeh&lt;/author&gt;&lt;author&gt;Singh, Dharamveer&lt;/author&gt;&lt;author&gt;Zaman, Musharraf&lt;/author&gt;&lt;author&gt;Tian, Qingyan&lt;/author&gt;&lt;/authors&gt;&lt;/contributors&gt;&lt;titles&gt;&lt;title&gt;Mechanistic Evaluation of the Effect of WMA Additives on Wettability and Moisture Susceptibility Properties of Asphalt Mixes&lt;/title&gt;&lt;secondary-title&gt;Journal of Testing and Evaluation&lt;/secondary-title&gt;&lt;/titles&gt;&lt;periodical&gt;&lt;full-title&gt;Journal of Testing and Evaluation&lt;/full-title&gt;&lt;/periodical&gt;&lt;pages&gt;933-942&lt;/pages&gt;&lt;volume&gt;41&lt;/volume&gt;&lt;number&gt;6&lt;/number&gt;&lt;dates&gt;&lt;year&gt;2013&lt;/year&gt;&lt;/dates&gt;&lt;isbn&gt;0090-3973&lt;/isbn&gt;&lt;urls&gt;&lt;/urls&gt;&lt;/record&gt;&lt;/Cite&gt;&lt;/EndNote&gt;</w:instrText>
      </w:r>
      <w:r w:rsidRPr="00E64D15">
        <w:rPr>
          <w:rFonts w:cs="Times New Roman"/>
          <w:szCs w:val="24"/>
        </w:rPr>
        <w:fldChar w:fldCharType="separate"/>
      </w:r>
      <w:r w:rsidRPr="00E64D15">
        <w:rPr>
          <w:rFonts w:cs="Times New Roman"/>
          <w:noProof/>
          <w:szCs w:val="24"/>
        </w:rPr>
        <w:t>Ghabchi et al. (2013)</w:t>
      </w:r>
      <w:r w:rsidRPr="00E64D15">
        <w:rPr>
          <w:rFonts w:cs="Times New Roman"/>
          <w:szCs w:val="24"/>
        </w:rPr>
        <w:fldChar w:fldCharType="end"/>
      </w:r>
      <w:r w:rsidRPr="00E64D15">
        <w:rPr>
          <w:rFonts w:cs="Times New Roman"/>
          <w:szCs w:val="24"/>
        </w:rPr>
        <w:t xml:space="preserve"> reported an increase in work of adhesion and a reduction in work of debonding of the binder-aggregate system with the addition of </w:t>
      </w:r>
      <w:r w:rsidR="00C20B7A" w:rsidRPr="00E64D15">
        <w:rPr>
          <w:rFonts w:cs="Times New Roman"/>
          <w:szCs w:val="24"/>
        </w:rPr>
        <w:t>Sasobit</w:t>
      </w:r>
      <w:r w:rsidR="00C20B7A" w:rsidRPr="00E64D15">
        <w:rPr>
          <w:rFonts w:cs="Times New Roman"/>
          <w:szCs w:val="24"/>
          <w:vertAlign w:val="superscript"/>
        </w:rPr>
        <w:t>®</w:t>
      </w:r>
      <w:r w:rsidRPr="00E64D15">
        <w:rPr>
          <w:rFonts w:cs="Times New Roman"/>
          <w:szCs w:val="24"/>
        </w:rPr>
        <w:t>.</w:t>
      </w:r>
      <w:r w:rsidR="00A97377" w:rsidRPr="00E64D15">
        <w:rPr>
          <w:rFonts w:cs="Times New Roman"/>
          <w:szCs w:val="24"/>
        </w:rPr>
        <w:t xml:space="preserve"> </w:t>
      </w:r>
      <w:r w:rsidR="005E7A80" w:rsidRPr="00E64D15">
        <w:rPr>
          <w:rFonts w:cs="Times New Roman"/>
          <w:szCs w:val="24"/>
        </w:rPr>
        <w:t xml:space="preserve">The use of binder from different sources may be responsible for the </w:t>
      </w:r>
      <w:r w:rsidR="00297981" w:rsidRPr="00E64D15">
        <w:rPr>
          <w:rFonts w:cs="Times New Roman"/>
          <w:szCs w:val="24"/>
        </w:rPr>
        <w:t xml:space="preserve">differences observed in </w:t>
      </w:r>
      <w:r w:rsidR="009A588E" w:rsidRPr="00E64D15">
        <w:rPr>
          <w:rFonts w:cs="Times New Roman"/>
          <w:szCs w:val="24"/>
        </w:rPr>
        <w:t xml:space="preserve">these two studies. </w:t>
      </w:r>
      <w:r w:rsidR="00A97377" w:rsidRPr="00E64D15">
        <w:rPr>
          <w:rFonts w:cs="Times New Roman"/>
          <w:szCs w:val="24"/>
        </w:rPr>
        <w:t xml:space="preserve">Also, </w:t>
      </w:r>
      <w:r w:rsidR="009A588E" w:rsidRPr="00E64D15">
        <w:rPr>
          <w:rFonts w:cs="Times New Roman"/>
          <w:szCs w:val="24"/>
        </w:rPr>
        <w:t xml:space="preserve">the </w:t>
      </w:r>
      <w:r w:rsidR="00A97377" w:rsidRPr="00E64D15">
        <w:rPr>
          <w:rFonts w:cs="Times New Roman"/>
          <w:szCs w:val="24"/>
        </w:rPr>
        <w:t xml:space="preserve">use of </w:t>
      </w:r>
      <w:r w:rsidR="008C2A55" w:rsidRPr="00E64D15">
        <w:rPr>
          <w:rFonts w:cs="Times New Roman"/>
          <w:szCs w:val="24"/>
        </w:rPr>
        <w:t>Evotherm exhibited maximum reduction</w:t>
      </w:r>
      <w:r w:rsidR="00E77129" w:rsidRPr="00E64D15">
        <w:rPr>
          <w:rFonts w:cs="Times New Roman"/>
          <w:szCs w:val="24"/>
        </w:rPr>
        <w:t>,</w:t>
      </w:r>
      <w:r w:rsidR="008C2A55" w:rsidRPr="00E64D15">
        <w:rPr>
          <w:rFonts w:cs="Times New Roman"/>
          <w:szCs w:val="24"/>
        </w:rPr>
        <w:t xml:space="preserve"> </w:t>
      </w:r>
      <w:r w:rsidR="00E77129" w:rsidRPr="00E64D15">
        <w:rPr>
          <w:rFonts w:cs="Times New Roman"/>
          <w:szCs w:val="24"/>
        </w:rPr>
        <w:t>whereas</w:t>
      </w:r>
      <w:r w:rsidR="008C2A55" w:rsidRPr="00E64D15">
        <w:rPr>
          <w:rFonts w:cs="Times New Roman"/>
          <w:szCs w:val="24"/>
        </w:rPr>
        <w:t xml:space="preserve"> </w:t>
      </w:r>
      <w:r w:rsidR="00011B59" w:rsidRPr="00E64D15">
        <w:rPr>
          <w:rFonts w:cs="Times New Roman"/>
          <w:szCs w:val="24"/>
        </w:rPr>
        <w:t xml:space="preserve">the </w:t>
      </w:r>
      <w:r w:rsidR="00E77129" w:rsidRPr="00E64D15">
        <w:rPr>
          <w:rFonts w:cs="Times New Roman"/>
          <w:szCs w:val="24"/>
        </w:rPr>
        <w:t xml:space="preserve">use of </w:t>
      </w:r>
      <w:r w:rsidR="00A97377" w:rsidRPr="00E64D15">
        <w:rPr>
          <w:rFonts w:cs="Times New Roman"/>
          <w:szCs w:val="24"/>
        </w:rPr>
        <w:t xml:space="preserve">Advera </w:t>
      </w:r>
      <w:r w:rsidR="009776F3" w:rsidRPr="00E64D15">
        <w:rPr>
          <w:rFonts w:cs="Times New Roman"/>
          <w:szCs w:val="24"/>
        </w:rPr>
        <w:t xml:space="preserve">did </w:t>
      </w:r>
      <w:r w:rsidR="00A97377" w:rsidRPr="00E64D15">
        <w:rPr>
          <w:rFonts w:cs="Times New Roman"/>
          <w:szCs w:val="24"/>
        </w:rPr>
        <w:t>not significantly increase or decrease the moisture</w:t>
      </w:r>
      <w:r w:rsidR="009776F3" w:rsidRPr="00E64D15">
        <w:rPr>
          <w:rFonts w:cs="Times New Roman"/>
          <w:szCs w:val="24"/>
        </w:rPr>
        <w:t>-induced damage</w:t>
      </w:r>
      <w:r w:rsidR="00A97377" w:rsidRPr="00E64D15">
        <w:rPr>
          <w:rFonts w:cs="Times New Roman"/>
          <w:szCs w:val="24"/>
        </w:rPr>
        <w:t xml:space="preserve"> potential of the binder over different aggregates.</w:t>
      </w:r>
    </w:p>
    <w:p w14:paraId="3912231A" w14:textId="76A2F858" w:rsidR="00313BA2" w:rsidRPr="00E64D15" w:rsidRDefault="00313BA2" w:rsidP="0096102D">
      <w:pPr>
        <w:pStyle w:val="Heading4"/>
        <w:spacing w:before="0" w:after="0"/>
      </w:pPr>
      <w:r w:rsidRPr="00E64D15">
        <w:t>Antistripping Agent</w:t>
      </w:r>
      <w:bookmarkEnd w:id="35"/>
      <w:r w:rsidR="0096102D" w:rsidRPr="00E64D15">
        <w:t xml:space="preserve"> (ASA)</w:t>
      </w:r>
    </w:p>
    <w:p w14:paraId="07D96461" w14:textId="728127C6" w:rsidR="00313BA2" w:rsidRPr="00E64D15" w:rsidRDefault="00313BA2" w:rsidP="0096102D">
      <w:pPr>
        <w:ind w:firstLine="720"/>
        <w:rPr>
          <w:rFonts w:cs="Times New Roman"/>
          <w:szCs w:val="24"/>
        </w:rPr>
      </w:pPr>
      <w:r w:rsidRPr="00E64D15">
        <w:rPr>
          <w:rFonts w:cs="Times New Roman"/>
          <w:szCs w:val="24"/>
        </w:rPr>
        <w:t>Liquid antistripping agents are commonly used by the pav</w:t>
      </w:r>
      <w:r w:rsidR="00780B08" w:rsidRPr="00E64D15">
        <w:rPr>
          <w:rFonts w:cs="Times New Roman"/>
          <w:szCs w:val="24"/>
        </w:rPr>
        <w:t>ing</w:t>
      </w:r>
      <w:r w:rsidRPr="00E64D15">
        <w:rPr>
          <w:rFonts w:cs="Times New Roman"/>
          <w:szCs w:val="24"/>
        </w:rPr>
        <w:t xml:space="preserve"> industr</w:t>
      </w:r>
      <w:r w:rsidR="00780B08" w:rsidRPr="00E64D15">
        <w:rPr>
          <w:rFonts w:cs="Times New Roman"/>
          <w:szCs w:val="24"/>
        </w:rPr>
        <w:t>y</w:t>
      </w:r>
      <w:r w:rsidRPr="00E64D15">
        <w:rPr>
          <w:rFonts w:cs="Times New Roman"/>
          <w:szCs w:val="24"/>
        </w:rPr>
        <w:t xml:space="preserve"> to reduce moisture-induced damage potential of asphalt mixes </w:t>
      </w:r>
      <w:r w:rsidRPr="00E64D15">
        <w:rPr>
          <w:rFonts w:cs="Times New Roman"/>
          <w:szCs w:val="24"/>
        </w:rPr>
        <w:fldChar w:fldCharType="begin"/>
      </w:r>
      <w:r w:rsidR="00282238" w:rsidRPr="00E64D15">
        <w:rPr>
          <w:rFonts w:cs="Times New Roman"/>
          <w:szCs w:val="24"/>
        </w:rPr>
        <w:instrText xml:space="preserve"> ADDIN EN.CITE &lt;EndNote&gt;&lt;Cite&gt;&lt;Author&gt;Taylor&lt;/Author&gt;&lt;Year&gt;1983&lt;/Year&gt;&lt;RecNum&gt;108&lt;/RecNum&gt;&lt;DisplayText&gt;(Taylor and Khosla, 1983)&lt;/DisplayText&gt;&lt;record&gt;&lt;rec-number&gt;108&lt;/rec-number&gt;&lt;foreign-keys&gt;&lt;key app="EN" db-id="d55vzfpwawdafteedfoxsf0lv0v0wp5va2aa" timestamp="1521326566"&gt;108&lt;/key&gt;&lt;/foreign-keys&gt;&lt;ref-type name="Book"&gt;6&lt;/ref-type&gt;&lt;contributors&gt;&lt;authors&gt;&lt;author&gt;Taylor, Mark A&lt;/author&gt;&lt;author&gt;Khosla, N Paul&lt;/author&gt;&lt;/authors&gt;&lt;/contributors&gt;&lt;titles&gt;&lt;title&gt;Stripping of asphalt pavements: State of the art (discussion, closure)&lt;/title&gt;&lt;/titles&gt;&lt;number&gt;911&lt;/number&gt;&lt;dates&gt;&lt;year&gt;1983&lt;/year&gt;&lt;/dates&gt;&lt;isbn&gt;0309035546&lt;/isbn&gt;&lt;urls&gt;&lt;/urls&gt;&lt;/record&gt;&lt;/Cite&gt;&lt;/EndNote&gt;</w:instrText>
      </w:r>
      <w:r w:rsidRPr="00E64D15">
        <w:rPr>
          <w:rFonts w:cs="Times New Roman"/>
          <w:szCs w:val="24"/>
        </w:rPr>
        <w:fldChar w:fldCharType="separate"/>
      </w:r>
      <w:r w:rsidR="00282238" w:rsidRPr="00E64D15">
        <w:rPr>
          <w:rFonts w:cs="Times New Roman"/>
          <w:noProof/>
          <w:szCs w:val="24"/>
        </w:rPr>
        <w:t>(Taylor and Khosla, 1983)</w:t>
      </w:r>
      <w:r w:rsidRPr="00E64D15">
        <w:rPr>
          <w:rFonts w:cs="Times New Roman"/>
          <w:szCs w:val="24"/>
        </w:rPr>
        <w:fldChar w:fldCharType="end"/>
      </w:r>
      <w:r w:rsidRPr="00E64D15">
        <w:rPr>
          <w:rFonts w:cs="Times New Roman"/>
          <w:szCs w:val="24"/>
        </w:rPr>
        <w:t xml:space="preserve">. Generally, antistripping agents contain amine functional groups which are strongly basic in nature </w:t>
      </w:r>
      <w:r w:rsidRPr="00E64D15">
        <w:rPr>
          <w:rFonts w:cs="Times New Roman"/>
          <w:szCs w:val="24"/>
        </w:rPr>
        <w:fldChar w:fldCharType="begin"/>
      </w:r>
      <w:r w:rsidR="00282238" w:rsidRPr="00E64D15">
        <w:rPr>
          <w:rFonts w:cs="Times New Roman"/>
          <w:szCs w:val="24"/>
        </w:rPr>
        <w:instrText xml:space="preserve"> ADDIN EN.CITE &lt;EndNote&gt;&lt;Cite&gt;&lt;Author&gt;Tunnicliff&lt;/Author&gt;&lt;Year&gt;1983&lt;/Year&gt;&lt;RecNum&gt;110&lt;/RecNum&gt;&lt;DisplayText&gt;(Tunnicliff and Root, 1983)&lt;/DisplayText&gt;&lt;record&gt;&lt;rec-number&gt;110&lt;/rec-number&gt;&lt;foreign-keys&gt;&lt;key app="EN" db-id="d55vzfpwawdafteedfoxsf0lv0v0wp5va2aa" timestamp="1521326658"&gt;110&lt;/key&gt;&lt;/foreign-keys&gt;&lt;ref-type name="Conference Proceedings"&gt;10&lt;/ref-type&gt;&lt;contributors&gt;&lt;authors&gt;&lt;author&gt;Tunnicliff, David G&lt;/author&gt;&lt;author&gt;Root, Richard E&lt;/author&gt;&lt;/authors&gt;&lt;/contributors&gt;&lt;titles&gt;&lt;title&gt;Testing asphalt concrete for effectiveness of antistripping additives&lt;/title&gt;&lt;secondary-title&gt;Proceedings of the Association of Asphalt Paving Technologists&lt;/secondary-title&gt;&lt;/titles&gt;&lt;pages&gt;535-560&lt;/pages&gt;&lt;volume&gt;52&lt;/volume&gt;&lt;dates&gt;&lt;year&gt;1983&lt;/year&gt;&lt;/dates&gt;&lt;urls&gt;&lt;/urls&gt;&lt;/record&gt;&lt;/Cite&gt;&lt;/EndNote&gt;</w:instrText>
      </w:r>
      <w:r w:rsidRPr="00E64D15">
        <w:rPr>
          <w:rFonts w:cs="Times New Roman"/>
          <w:szCs w:val="24"/>
        </w:rPr>
        <w:fldChar w:fldCharType="separate"/>
      </w:r>
      <w:r w:rsidR="00282238" w:rsidRPr="00E64D15">
        <w:rPr>
          <w:rFonts w:cs="Times New Roman"/>
          <w:noProof/>
          <w:szCs w:val="24"/>
        </w:rPr>
        <w:t>(Tunnicliff and Root, 1983)</w:t>
      </w:r>
      <w:r w:rsidRPr="00E64D15">
        <w:rPr>
          <w:rFonts w:cs="Times New Roman"/>
          <w:szCs w:val="24"/>
        </w:rPr>
        <w:fldChar w:fldCharType="end"/>
      </w:r>
      <w:r w:rsidRPr="00E64D15">
        <w:rPr>
          <w:rFonts w:cs="Times New Roman"/>
          <w:szCs w:val="24"/>
        </w:rPr>
        <w:t xml:space="preserve">. The amine group of the antistripping agent reacts with the aggregate surface to form ammonium salts and reduce </w:t>
      </w:r>
      <w:r w:rsidR="00780B08" w:rsidRPr="00E64D15">
        <w:rPr>
          <w:rFonts w:cs="Times New Roman"/>
          <w:szCs w:val="24"/>
        </w:rPr>
        <w:t xml:space="preserve">the </w:t>
      </w:r>
      <w:r w:rsidRPr="00E64D15">
        <w:rPr>
          <w:rFonts w:cs="Times New Roman"/>
          <w:szCs w:val="24"/>
        </w:rPr>
        <w:t xml:space="preserve">SFE of aggregate. The hydrocarbon portion of the antistripping agent acts as a bridge between the binder and aggregate surface </w:t>
      </w:r>
      <w:r w:rsidRPr="00E64D15">
        <w:rPr>
          <w:rFonts w:cs="Times New Roman"/>
          <w:szCs w:val="24"/>
        </w:rPr>
        <w:fldChar w:fldCharType="begin"/>
      </w:r>
      <w:r w:rsidR="00282238" w:rsidRPr="00E64D15">
        <w:rPr>
          <w:rFonts w:cs="Times New Roman"/>
          <w:szCs w:val="24"/>
        </w:rPr>
        <w:instrText xml:space="preserve"> ADDIN EN.CITE &lt;EndNote&gt;&lt;Cite&gt;&lt;Author&gt;Wasiuddin&lt;/Author&gt;&lt;Year&gt;2007&lt;/Year&gt;&lt;RecNum&gt;45&lt;/RecNum&gt;&lt;DisplayText&gt;(Wasiuddin et al., 2007b)&lt;/DisplayText&gt;&lt;record&gt;&lt;rec-number&gt;45&lt;/rec-number&gt;&lt;foreign-keys&gt;&lt;key app="EN" db-id="d55vzfpwawdafteedfoxsf0lv0v0wp5va2aa" timestamp="1514343150"&gt;45&lt;/key&gt;&lt;/foreign-keys&gt;&lt;ref-type name="Journal Article"&gt;17&lt;/ref-type&gt;&lt;contributors&gt;&lt;authors&gt;&lt;author&gt;Wasiuddin, Nazimuddin M&lt;/author&gt;&lt;author&gt;Fogle, Chris M&lt;/author&gt;&lt;author&gt;Zaman, Musharraf M&lt;/author&gt;&lt;author&gt;Edgar, AO&lt;/author&gt;&lt;/authors&gt;&lt;/contributors&gt;&lt;titles&gt;&lt;title&gt;Characterization of Thermal Degradation of qa Liquid Amine Anti-Strip Additives in Asphalt qa Binders Due to RTFO and PAV-Aging&lt;/title&gt;&lt;secondary-title&gt;Journal of Testing and Evaluation&lt;/secondary-title&gt;&lt;/titles&gt;&lt;periodical&gt;&lt;full-title&gt;Journal of Testing and Evaluation&lt;/full-title&gt;&lt;/periodical&gt;&lt;pages&gt;387-394&lt;/pages&gt;&lt;volume&gt;35&lt;/volume&gt;&lt;number&gt;4&lt;/number&gt;&lt;dates&gt;&lt;year&gt;2007&lt;/year&gt;&lt;/dates&gt;&lt;isbn&gt;0090-3973&lt;/isbn&gt;&lt;urls&gt;&lt;/urls&gt;&lt;/record&gt;&lt;/Cite&gt;&lt;/EndNote&gt;</w:instrText>
      </w:r>
      <w:r w:rsidRPr="00E64D15">
        <w:rPr>
          <w:rFonts w:cs="Times New Roman"/>
          <w:szCs w:val="24"/>
        </w:rPr>
        <w:fldChar w:fldCharType="separate"/>
      </w:r>
      <w:r w:rsidR="00282238" w:rsidRPr="00E64D15">
        <w:rPr>
          <w:rFonts w:cs="Times New Roman"/>
          <w:noProof/>
          <w:szCs w:val="24"/>
        </w:rPr>
        <w:t>(Wasiuddin et al., 2007b)</w:t>
      </w:r>
      <w:r w:rsidRPr="00E64D15">
        <w:rPr>
          <w:rFonts w:cs="Times New Roman"/>
          <w:szCs w:val="24"/>
        </w:rPr>
        <w:fldChar w:fldCharType="end"/>
      </w:r>
      <w:r w:rsidRPr="00E64D15">
        <w:rPr>
          <w:rFonts w:cs="Times New Roman"/>
          <w:szCs w:val="24"/>
        </w:rPr>
        <w:t xml:space="preserve">. </w:t>
      </w:r>
      <w:r w:rsidRPr="00E64D15">
        <w:rPr>
          <w:rFonts w:cs="Times New Roman"/>
          <w:szCs w:val="24"/>
        </w:rPr>
        <w:fldChar w:fldCharType="begin"/>
      </w:r>
      <w:r w:rsidRPr="00E64D15">
        <w:rPr>
          <w:rFonts w:cs="Times New Roman"/>
          <w:szCs w:val="24"/>
        </w:rPr>
        <w:instrText xml:space="preserve"> ADDIN EN.CITE &lt;EndNote&gt;&lt;Cite AuthorYear="1"&gt;&lt;Author&gt;Wasiuddin&lt;/Author&gt;&lt;Year&gt;2007&lt;/Year&gt;&lt;RecNum&gt;82&lt;/RecNum&gt;&lt;DisplayText&gt;Wasiuddin et al. (2007c)&lt;/DisplayText&gt;&lt;record&gt;&lt;rec-number&gt;82&lt;/rec-number&gt;&lt;foreign-keys&gt;&lt;key app="EN" db-id="d55vzfpwawdafteedfoxsf0lv0v0wp5va2aa" timestamp="1519487395"&gt;82&lt;/key&gt;&lt;/foreign-keys&gt;&lt;ref-type name="Journal Article"&gt;17&lt;/ref-type&gt;&lt;contributors&gt;&lt;authors&gt;&lt;author&gt;Wasiuddin, Nazimuddin M&lt;/author&gt;&lt;author&gt;Fogle, Chris M&lt;/author&gt;&lt;author&gt;Zaman, Musharraf M&lt;/author&gt;&lt;author&gt;O’Rear, Edgar A&lt;/author&gt;&lt;/authors&gt;&lt;/contributors&gt;&lt;titles&gt;&lt;title&gt;Effect of Antistrip Additives on Surface Free Energy Characteristics of Asphalt Binders for Moisture-Induced Damage Potential&lt;/title&gt;&lt;secondary-title&gt;Journal of Testing and Evaluation&lt;/secondary-title&gt;&lt;/titles&gt;&lt;periodical&gt;&lt;full-title&gt;Journal of Testing and Evaluation&lt;/full-title&gt;&lt;/periodical&gt;&lt;volume&gt;35&lt;/volume&gt;&lt;number&gt;1&lt;/number&gt;&lt;dates&gt;&lt;year&gt;2007&lt;/year&gt;&lt;/dates&gt;&lt;urls&gt;&lt;/urls&gt;&lt;/record&gt;&lt;/Cite&gt;&lt;/EndNote&gt;</w:instrText>
      </w:r>
      <w:r w:rsidRPr="00E64D15">
        <w:rPr>
          <w:rFonts w:cs="Times New Roman"/>
          <w:szCs w:val="24"/>
        </w:rPr>
        <w:fldChar w:fldCharType="separate"/>
      </w:r>
      <w:r w:rsidRPr="00E64D15">
        <w:rPr>
          <w:rFonts w:cs="Times New Roman"/>
          <w:noProof/>
          <w:szCs w:val="24"/>
        </w:rPr>
        <w:t>Wasiuddin et al. (2007c)</w:t>
      </w:r>
      <w:r w:rsidRPr="00E64D15">
        <w:rPr>
          <w:rFonts w:cs="Times New Roman"/>
          <w:szCs w:val="24"/>
        </w:rPr>
        <w:fldChar w:fldCharType="end"/>
      </w:r>
      <w:r w:rsidRPr="00E64D15">
        <w:rPr>
          <w:rFonts w:cs="Times New Roman"/>
          <w:szCs w:val="24"/>
        </w:rPr>
        <w:t xml:space="preserve"> used the SFE technique to evaluate the effectiveness of two amine-based liquid antistrip additives. The antistrip additives reduced the acid SFE components and increased the basic SFE components of the asphalt binder. </w:t>
      </w:r>
      <w:r w:rsidRPr="00E64D15">
        <w:rPr>
          <w:rFonts w:cs="Times New Roman"/>
          <w:szCs w:val="24"/>
        </w:rPr>
        <w:fldChar w:fldCharType="begin"/>
      </w:r>
      <w:r w:rsidRPr="00E64D15">
        <w:rPr>
          <w:rFonts w:cs="Times New Roman"/>
          <w:szCs w:val="24"/>
        </w:rPr>
        <w:instrText xml:space="preserve"> ADDIN EN.CITE &lt;EndNote&gt;&lt;Cite AuthorYear="1"&gt;&lt;Author&gt;Aksoy&lt;/Author&gt;&lt;Year&gt;2005&lt;/Year&gt;&lt;RecNum&gt;111&lt;/RecNum&gt;&lt;DisplayText&gt;Aksoy et al. (2005)&lt;/DisplayText&gt;&lt;record&gt;&lt;rec-number&gt;111&lt;/rec-number&gt;&lt;foreign-keys&gt;&lt;key app="EN" db-id="d55vzfpwawdafteedfoxsf0lv0v0wp5va2aa" timestamp="1521327853"&gt;111&lt;/key&gt;&lt;/foreign-keys&gt;&lt;ref-type name="Journal Article"&gt;17&lt;/ref-type&gt;&lt;contributors&gt;&lt;authors&gt;&lt;author&gt;Aksoy, Atakan&lt;/author&gt;&lt;author&gt;Şamlioglu, Kurtuluş&lt;/author&gt;&lt;author&gt;Tayfur, Süreyya&lt;/author&gt;&lt;author&gt;Özen, Halit&lt;/author&gt;&lt;/authors&gt;&lt;/contributors&gt;&lt;titles&gt;&lt;title&gt;Effects of various additives on the moisture damage sensitivity of asphalt mixtures&lt;/title&gt;&lt;secondary-title&gt;Construction and Building Materials&lt;/secondary-title&gt;&lt;/titles&gt;&lt;periodical&gt;&lt;full-title&gt;Construction and Building Materials&lt;/full-title&gt;&lt;/periodical&gt;&lt;pages&gt;11-18&lt;/pages&gt;&lt;volume&gt;19&lt;/volume&gt;&lt;number&gt;1&lt;/number&gt;&lt;dates&gt;&lt;year&gt;2005&lt;/year&gt;&lt;/dates&gt;&lt;isbn&gt;0950-0618&lt;/isbn&gt;&lt;urls&gt;&lt;/urls&gt;&lt;/record&gt;&lt;/Cite&gt;&lt;/EndNote&gt;</w:instrText>
      </w:r>
      <w:r w:rsidRPr="00E64D15">
        <w:rPr>
          <w:rFonts w:cs="Times New Roman"/>
          <w:szCs w:val="24"/>
        </w:rPr>
        <w:fldChar w:fldCharType="separate"/>
      </w:r>
      <w:r w:rsidRPr="00E64D15">
        <w:rPr>
          <w:rFonts w:cs="Times New Roman"/>
          <w:noProof/>
          <w:szCs w:val="24"/>
        </w:rPr>
        <w:t>Aksoy et al. (2005)</w:t>
      </w:r>
      <w:r w:rsidRPr="00E64D15">
        <w:rPr>
          <w:rFonts w:cs="Times New Roman"/>
          <w:szCs w:val="24"/>
        </w:rPr>
        <w:fldChar w:fldCharType="end"/>
      </w:r>
      <w:r w:rsidRPr="00E64D15">
        <w:rPr>
          <w:rFonts w:cs="Times New Roman"/>
          <w:szCs w:val="24"/>
        </w:rPr>
        <w:t xml:space="preserve"> used Marshall stability ratio and TSR to evaluate the moisture susceptibility of two liquid heat stable anti-stripping agents. Moisture-induced damage potential of asphalt mixes reduced with the </w:t>
      </w:r>
      <w:r w:rsidRPr="00E64D15">
        <w:rPr>
          <w:rFonts w:cs="Times New Roman"/>
          <w:szCs w:val="24"/>
        </w:rPr>
        <w:lastRenderedPageBreak/>
        <w:t xml:space="preserve">incorporation of antistripping agents. </w:t>
      </w:r>
      <w:r w:rsidRPr="00E64D15">
        <w:rPr>
          <w:rFonts w:cs="Times New Roman"/>
          <w:szCs w:val="24"/>
        </w:rPr>
        <w:fldChar w:fldCharType="begin"/>
      </w:r>
      <w:r w:rsidR="00DB3733" w:rsidRPr="00E64D15">
        <w:rPr>
          <w:rFonts w:cs="Times New Roman"/>
          <w:szCs w:val="24"/>
        </w:rPr>
        <w:instrText xml:space="preserve"> ADDIN EN.CITE &lt;EndNote&gt;&lt;Cite AuthorYear="1"&gt;&lt;Author&gt;Arabani&lt;/Author&gt;&lt;Year&gt;2014&lt;/Year&gt;&lt;RecNum&gt;50&lt;/RecNum&gt;&lt;DisplayText&gt;Arabani and Hamedi (2014)&lt;/DisplayText&gt;&lt;record&gt;&lt;rec-number&gt;50&lt;/rec-number&gt;&lt;foreign-keys&gt;&lt;key app="EN" db-id="d55vzfpwawdafteedfoxsf0lv0v0wp5va2aa" timestamp="1514343470"&gt;50&lt;/key&gt;&lt;/foreign-keys&gt;&lt;ref-type name="Journal Article"&gt;17&lt;/ref-type&gt;&lt;contributors&gt;&lt;authors&gt;&lt;author&gt;Arabani, Mahyar&lt;/author&gt;&lt;author&gt;Hamedi, Gholam Hossein&lt;/author&gt;&lt;/authors&gt;&lt;/contributors&gt;&lt;titles&gt;&lt;title&gt;Using the Surface Free Energy Method to Evaluate the Effects of Polymeric Aggregate Treatment on Moisture Damage in Hot-Mix Asphalt&lt;/title&gt;&lt;secondary-title&gt;International Journal of Pavement Engineering&lt;/secondary-title&gt;&lt;/titles&gt;&lt;periodical&gt;&lt;full-title&gt;International Journal of Pavement Engineering&lt;/full-title&gt;&lt;/periodical&gt;&lt;pages&gt;66-78&lt;/pages&gt;&lt;volume&gt;15&lt;/volume&gt;&lt;number&gt;1&lt;/number&gt;&lt;dates&gt;&lt;year&gt;2014&lt;/year&gt;&lt;/dates&gt;&lt;isbn&gt;1029-8436&lt;/isbn&gt;&lt;urls&gt;&lt;/urls&gt;&lt;/record&gt;&lt;/Cite&gt;&lt;/EndNote&gt;</w:instrText>
      </w:r>
      <w:r w:rsidRPr="00E64D15">
        <w:rPr>
          <w:rFonts w:cs="Times New Roman"/>
          <w:szCs w:val="24"/>
        </w:rPr>
        <w:fldChar w:fldCharType="separate"/>
      </w:r>
      <w:r w:rsidR="00DB3733" w:rsidRPr="00E64D15">
        <w:rPr>
          <w:rFonts w:cs="Times New Roman"/>
          <w:noProof/>
          <w:szCs w:val="24"/>
        </w:rPr>
        <w:t>Arabani and Hamedi (2014)</w:t>
      </w:r>
      <w:r w:rsidRPr="00E64D15">
        <w:rPr>
          <w:rFonts w:cs="Times New Roman"/>
          <w:szCs w:val="24"/>
        </w:rPr>
        <w:fldChar w:fldCharType="end"/>
      </w:r>
      <w:r w:rsidRPr="00E64D15">
        <w:rPr>
          <w:rFonts w:cs="Times New Roman"/>
          <w:szCs w:val="24"/>
        </w:rPr>
        <w:t xml:space="preserve"> reported an increase in the ratio of dynamic modulus (wet to dry) with the addition of antistripping agent. Also, </w:t>
      </w:r>
      <w:r w:rsidRPr="00E64D15">
        <w:rPr>
          <w:rFonts w:cs="Times New Roman"/>
          <w:szCs w:val="24"/>
        </w:rPr>
        <w:fldChar w:fldCharType="begin"/>
      </w:r>
      <w:r w:rsidR="00DB3733" w:rsidRPr="00E64D15">
        <w:rPr>
          <w:rFonts w:cs="Times New Roman"/>
          <w:szCs w:val="24"/>
        </w:rPr>
        <w:instrText xml:space="preserve"> ADDIN EN.CITE &lt;EndNote&gt;&lt;Cite AuthorYear="1"&gt;&lt;Author&gt;Abuawad&lt;/Author&gt;&lt;Year&gt;2015&lt;/Year&gt;&lt;RecNum&gt;80&lt;/RecNum&gt;&lt;DisplayText&gt;Abuawad et al. (2015)&lt;/DisplayText&gt;&lt;record&gt;&lt;rec-number&gt;80&lt;/rec-number&gt;&lt;foreign-keys&gt;&lt;key app="EN" db-id="d55vzfpwawdafteedfoxsf0lv0v0wp5va2aa" timestamp="1519483651"&gt;80&lt;/key&gt;&lt;/foreign-keys&gt;&lt;ref-type name="Journal Article"&gt;17&lt;/ref-type&gt;&lt;contributors&gt;&lt;authors&gt;&lt;author&gt;Abuawad, Ibrahim MA&lt;/author&gt;&lt;author&gt;Al-Qadi, Imad L&lt;/author&gt;&lt;author&gt;Trepanier, James S&lt;/author&gt;&lt;/authors&gt;&lt;/contributors&gt;&lt;titles&gt;&lt;title&gt;Mitigation of Moisture Damage in Asphalt Concrete: Testing Techniques and Additives/Modifiers Effectiveness&lt;/title&gt;&lt;secondary-title&gt;Construction and Building Materials&lt;/secondary-title&gt;&lt;/titles&gt;&lt;periodical&gt;&lt;full-title&gt;Construction and Building Materials&lt;/full-title&gt;&lt;/periodical&gt;&lt;pages&gt;437-443&lt;/pages&gt;&lt;volume&gt;84&lt;/volume&gt;&lt;dates&gt;&lt;year&gt;2015&lt;/year&gt;&lt;/dates&gt;&lt;isbn&gt;0950-0618&lt;/isbn&gt;&lt;urls&gt;&lt;/urls&gt;&lt;/record&gt;&lt;/Cite&gt;&lt;/EndNote&gt;</w:instrText>
      </w:r>
      <w:r w:rsidRPr="00E64D15">
        <w:rPr>
          <w:rFonts w:cs="Times New Roman"/>
          <w:szCs w:val="24"/>
        </w:rPr>
        <w:fldChar w:fldCharType="separate"/>
      </w:r>
      <w:r w:rsidRPr="00E64D15">
        <w:rPr>
          <w:rFonts w:cs="Times New Roman"/>
          <w:noProof/>
          <w:szCs w:val="24"/>
        </w:rPr>
        <w:t>Abuawad et al. (2015)</w:t>
      </w:r>
      <w:r w:rsidRPr="00E64D15">
        <w:rPr>
          <w:rFonts w:cs="Times New Roman"/>
          <w:szCs w:val="24"/>
        </w:rPr>
        <w:fldChar w:fldCharType="end"/>
      </w:r>
      <w:r w:rsidRPr="00E64D15">
        <w:rPr>
          <w:rFonts w:cs="Times New Roman"/>
          <w:szCs w:val="24"/>
        </w:rPr>
        <w:t xml:space="preserve"> conducted several laboratory tests and observed that the antistripping agent can be used effectively to reduce moisture damage potential of a mix. However, study is needed to evaluate the effectiveness of antistripping agent with polymer-modification, aging and aggregates with different mineralogical compositions.</w:t>
      </w:r>
    </w:p>
    <w:p w14:paraId="39EC9F1A" w14:textId="77777777" w:rsidR="00313BA2" w:rsidRPr="00E64D15" w:rsidRDefault="00313BA2" w:rsidP="0096102D">
      <w:pPr>
        <w:pStyle w:val="Heading4"/>
        <w:spacing w:before="0" w:after="0"/>
      </w:pPr>
      <w:bookmarkStart w:id="36" w:name="_Toc6529110"/>
      <w:r w:rsidRPr="00E64D15">
        <w:t>Polyphosphoric Acid (PPA)</w:t>
      </w:r>
      <w:bookmarkEnd w:id="36"/>
    </w:p>
    <w:p w14:paraId="45A07552" w14:textId="63627F5B" w:rsidR="00313BA2" w:rsidRPr="00E64D15" w:rsidRDefault="00313BA2" w:rsidP="0096102D">
      <w:pPr>
        <w:ind w:firstLine="720"/>
        <w:rPr>
          <w:rFonts w:cs="Times New Roman"/>
          <w:szCs w:val="24"/>
          <w:lang w:val="en-CA"/>
        </w:rPr>
      </w:pPr>
      <w:r w:rsidRPr="00E64D15">
        <w:rPr>
          <w:rFonts w:cs="Times New Roman"/>
          <w:szCs w:val="24"/>
          <w:lang w:val="en-CA"/>
        </w:rPr>
        <w:t>Asphalt binder modification has become an integral part of asphalt production</w:t>
      </w:r>
      <w:r w:rsidRPr="00E64D15">
        <w:rPr>
          <w:rFonts w:cs="Times New Roman"/>
          <w:szCs w:val="24"/>
        </w:rPr>
        <w:t xml:space="preserve"> to address increased traffic volume, heavier truck traffic and higher tire pressures </w:t>
      </w:r>
      <w:r w:rsidRPr="00E64D15">
        <w:rPr>
          <w:rFonts w:cs="Times New Roman"/>
          <w:szCs w:val="24"/>
        </w:rPr>
        <w:fldChar w:fldCharType="begin"/>
      </w:r>
      <w:r w:rsidR="00282238" w:rsidRPr="00E64D15">
        <w:rPr>
          <w:rFonts w:cs="Times New Roman"/>
          <w:szCs w:val="24"/>
        </w:rPr>
        <w:instrText xml:space="preserve"> ADDIN EN.CITE &lt;EndNote&gt;&lt;Cite&gt;&lt;Author&gt;Isacsson&lt;/Author&gt;&lt;Year&gt;1995&lt;/Year&gt;&lt;RecNum&gt;372&lt;/RecNum&gt;&lt;DisplayText&gt;(Isacsson and Lu, 1995; Airey, 2003)&lt;/DisplayText&gt;&lt;record&gt;&lt;rec-number&gt;372&lt;/rec-number&gt;&lt;foreign-keys&gt;&lt;key app="EN" db-id="tfx2va9ropw5p7evdr2pf5rw2vszzx9t0xzs" timestamp="1617043289"&gt;372&lt;/key&gt;&lt;/foreign-keys&gt;&lt;ref-type name="Journal Article"&gt;17&lt;/ref-type&gt;&lt;contributors&gt;&lt;authors&gt;&lt;author&gt;Isacsson, U&lt;/author&gt;&lt;author&gt;Lu, X&lt;/author&gt;&lt;/authors&gt;&lt;/contributors&gt;&lt;titles&gt;&lt;title&gt;Testing and appraisal of polymer modified road bitumens—state of the art&lt;/title&gt;&lt;secondary-title&gt;Materials and Structures&lt;/secondary-title&gt;&lt;/titles&gt;&lt;periodical&gt;&lt;full-title&gt;Materials and Structures&lt;/full-title&gt;&lt;/periodical&gt;&lt;pages&gt;139-159&lt;/pages&gt;&lt;volume&gt;28&lt;/volume&gt;&lt;number&gt;3&lt;/number&gt;&lt;dates&gt;&lt;year&gt;1995&lt;/year&gt;&lt;/dates&gt;&lt;isbn&gt;1871-6873&lt;/isbn&gt;&lt;urls&gt;&lt;/urls&gt;&lt;/record&gt;&lt;/Cite&gt;&lt;Cite&gt;&lt;Author&gt;Airey&lt;/Author&gt;&lt;Year&gt;2003&lt;/Year&gt;&lt;RecNum&gt;373&lt;/RecNum&gt;&lt;record&gt;&lt;rec-number&gt;373&lt;/rec-number&gt;&lt;foreign-keys&gt;&lt;key app="EN" db-id="tfx2va9ropw5p7evdr2pf5rw2vszzx9t0xzs" timestamp="1617043321"&gt;373&lt;/key&gt;&lt;/foreign-keys&gt;&lt;ref-type name="Journal Article"&gt;17&lt;/ref-type&gt;&lt;contributors&gt;&lt;authors&gt;&lt;author&gt;Airey, Gordon D&lt;/author&gt;&lt;/authors&gt;&lt;/contributors&gt;&lt;titles&gt;&lt;title&gt;Rheological properties of styrene butadiene styrene polymer modified road bitumens</w:instrText>
      </w:r>
      <w:r w:rsidR="00282238" w:rsidRPr="00E64D15">
        <w:rPr>
          <w:rFonts w:ascii="Segoe UI Symbol" w:hAnsi="Segoe UI Symbol" w:cs="Segoe UI Symbol"/>
          <w:szCs w:val="24"/>
        </w:rPr>
        <w:instrText>☆</w:instrText>
      </w:r>
      <w:r w:rsidR="00282238" w:rsidRPr="00E64D15">
        <w:rPr>
          <w:rFonts w:cs="Times New Roman"/>
          <w:szCs w:val="24"/>
        </w:rPr>
        <w:instrText>&lt;/title&gt;&lt;secondary-title&gt;Fuel&lt;/secondary-title&gt;&lt;/titles&gt;&lt;periodical&gt;&lt;full-title&gt;Fuel&lt;/full-title&gt;&lt;/periodical&gt;&lt;pages&gt;1709-1719&lt;/pages&gt;&lt;volume&gt;82&lt;/volume&gt;&lt;number&gt;14&lt;/number&gt;&lt;dates&gt;&lt;year&gt;2003&lt;/year&gt;&lt;/dates&gt;&lt;isbn&gt;0016-2361&lt;/isbn&gt;&lt;urls&gt;&lt;/urls&gt;&lt;/record&gt;&lt;/Cite&gt;&lt;/EndNote&gt;</w:instrText>
      </w:r>
      <w:r w:rsidRPr="00E64D15">
        <w:rPr>
          <w:rFonts w:cs="Times New Roman"/>
          <w:szCs w:val="24"/>
        </w:rPr>
        <w:fldChar w:fldCharType="separate"/>
      </w:r>
      <w:r w:rsidR="00282238" w:rsidRPr="00E64D15">
        <w:rPr>
          <w:rFonts w:cs="Times New Roman"/>
          <w:noProof/>
          <w:szCs w:val="24"/>
        </w:rPr>
        <w:t>(Isacsson and Lu, 1995; Airey, 2003)</w:t>
      </w:r>
      <w:r w:rsidRPr="00E64D15">
        <w:rPr>
          <w:rFonts w:cs="Times New Roman"/>
          <w:szCs w:val="24"/>
        </w:rPr>
        <w:fldChar w:fldCharType="end"/>
      </w:r>
      <w:r w:rsidRPr="00E64D15">
        <w:rPr>
          <w:rFonts w:cs="Times New Roman"/>
          <w:szCs w:val="24"/>
        </w:rPr>
        <w:t>. In recent years, the use of</w:t>
      </w:r>
      <w:r w:rsidRPr="00E64D15">
        <w:rPr>
          <w:rFonts w:cs="Times New Roman"/>
          <w:szCs w:val="24"/>
          <w:lang w:val="en-CA"/>
        </w:rPr>
        <w:t xml:space="preserve"> different modifiers such as polymers, crumb rubber, and PPA ha</w:t>
      </w:r>
      <w:r w:rsidR="00780B08" w:rsidRPr="00E64D15">
        <w:rPr>
          <w:rFonts w:cs="Times New Roman"/>
          <w:szCs w:val="24"/>
          <w:lang w:val="en-CA"/>
        </w:rPr>
        <w:t>s</w:t>
      </w:r>
      <w:r w:rsidRPr="00E64D15">
        <w:rPr>
          <w:rFonts w:cs="Times New Roman"/>
          <w:szCs w:val="24"/>
          <w:lang w:val="en-CA"/>
        </w:rPr>
        <w:t xml:space="preserve"> increased significantly </w:t>
      </w:r>
      <w:r w:rsidRPr="00E64D15">
        <w:rPr>
          <w:rFonts w:cs="Times New Roman"/>
          <w:szCs w:val="24"/>
          <w:lang w:val="en-CA"/>
        </w:rPr>
        <w:fldChar w:fldCharType="begin"/>
      </w:r>
      <w:r w:rsidR="00282238" w:rsidRPr="00E64D15">
        <w:rPr>
          <w:rFonts w:cs="Times New Roman"/>
          <w:szCs w:val="24"/>
          <w:lang w:val="en-CA"/>
        </w:rPr>
        <w:instrText xml:space="preserve"> ADDIN EN.CITE &lt;EndNote&gt;&lt;Cite&gt;&lt;Author&gt;Baumgardner&lt;/Author&gt;&lt;Year&gt;2010&lt;/Year&gt;&lt;RecNum&gt;125&lt;/RecNum&gt;&lt;DisplayText&gt;(Baumgardner, 2010)&lt;/DisplayText&gt;&lt;record&gt;&lt;rec-number&gt;125&lt;/rec-number&gt;&lt;foreign-keys&gt;&lt;key app="EN" db-id="d55vzfpwawdafteedfoxsf0lv0v0wp5va2aa" timestamp="1521482009"&gt;125&lt;/key&gt;&lt;/foreign-keys&gt;&lt;ref-type name="Journal Article"&gt;17&lt;/ref-type&gt;&lt;contributors&gt;&lt;authors&gt;&lt;author&gt;Gaylon L. Baumgardner&lt;/author&gt;&lt;/authors&gt;&lt;/contributors&gt;&lt;titles&gt;&lt;title&gt;Why and how of polyphosphoric acid modification–an industry perspective.&lt;/title&gt;&lt;secondary-title&gt;Journal of the Association of Asphalt Paving Technologists&lt;/secondary-title&gt;&lt;/titles&gt;&lt;periodical&gt;&lt;full-title&gt;Journal of the Association of Asphalt Paving Technologists&lt;/full-title&gt;&lt;/periodical&gt;&lt;volume&gt;79&lt;/volume&gt;&lt;dates&gt;&lt;year&gt;2010&lt;/year&gt;&lt;/dates&gt;&lt;urls&gt;&lt;/urls&gt;&lt;/record&gt;&lt;/Cite&gt;&lt;/EndNote&gt;</w:instrText>
      </w:r>
      <w:r w:rsidRPr="00E64D15">
        <w:rPr>
          <w:rFonts w:cs="Times New Roman"/>
          <w:szCs w:val="24"/>
          <w:lang w:val="en-CA"/>
        </w:rPr>
        <w:fldChar w:fldCharType="separate"/>
      </w:r>
      <w:r w:rsidR="00282238" w:rsidRPr="00E64D15">
        <w:rPr>
          <w:rFonts w:cs="Times New Roman"/>
          <w:noProof/>
          <w:szCs w:val="24"/>
          <w:lang w:val="en-CA"/>
        </w:rPr>
        <w:t>(Baumgardner, 2010)</w:t>
      </w:r>
      <w:r w:rsidRPr="00E64D15">
        <w:rPr>
          <w:rFonts w:cs="Times New Roman"/>
          <w:szCs w:val="24"/>
          <w:lang w:val="en-CA"/>
        </w:rPr>
        <w:fldChar w:fldCharType="end"/>
      </w:r>
      <w:r w:rsidRPr="00E64D15">
        <w:rPr>
          <w:rFonts w:cs="Times New Roman"/>
          <w:szCs w:val="24"/>
          <w:lang w:val="en-CA"/>
        </w:rPr>
        <w:t>. A</w:t>
      </w:r>
      <w:r w:rsidRPr="00E64D15">
        <w:rPr>
          <w:rStyle w:val="fontstyle01"/>
          <w:sz w:val="24"/>
          <w:szCs w:val="24"/>
        </w:rPr>
        <w:t xml:space="preserve">n improvement in the high-temperature rheological properties of the binder was observed with the incorporation of PPA to asphalt binder </w:t>
      </w:r>
      <w:r w:rsidRPr="00E64D15">
        <w:rPr>
          <w:rStyle w:val="fontstyle01"/>
          <w:sz w:val="24"/>
          <w:szCs w:val="24"/>
        </w:rPr>
        <w:fldChar w:fldCharType="begin">
          <w:fldData xml:space="preserve">PEVuZE5vdGU+PENpdGU+PEF1dGhvcj5CYXVtZ2FyZG5lcjwvQXV0aG9yPjxZZWFyPjIwMTA8L1ll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</w:fldData>
        </w:fldChar>
      </w:r>
      <w:r w:rsidR="00282238" w:rsidRPr="00E64D15">
        <w:rPr>
          <w:rStyle w:val="fontstyle01"/>
          <w:sz w:val="24"/>
          <w:szCs w:val="24"/>
        </w:rPr>
        <w:instrText xml:space="preserve"> ADDIN EN.CITE </w:instrText>
      </w:r>
      <w:r w:rsidR="00282238" w:rsidRPr="00E64D15">
        <w:rPr>
          <w:rStyle w:val="fontstyle01"/>
          <w:sz w:val="24"/>
          <w:szCs w:val="24"/>
        </w:rPr>
        <w:fldChar w:fldCharType="begin">
          <w:fldData xml:space="preserve">PEVuZE5vdGU+PENpdGU+PEF1dGhvcj5CYXVtZ2FyZG5lcjwvQXV0aG9yPjxZZWFyPjIwMTA8L1ll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</w:fldData>
        </w:fldChar>
      </w:r>
      <w:r w:rsidR="00282238" w:rsidRPr="00E64D15">
        <w:rPr>
          <w:rStyle w:val="fontstyle01"/>
          <w:sz w:val="24"/>
          <w:szCs w:val="24"/>
        </w:rPr>
        <w:instrText xml:space="preserve"> ADDIN EN.CITE.DATA </w:instrText>
      </w:r>
      <w:r w:rsidR="00282238" w:rsidRPr="00E64D15">
        <w:rPr>
          <w:rStyle w:val="fontstyle01"/>
          <w:sz w:val="24"/>
          <w:szCs w:val="24"/>
        </w:rPr>
      </w:r>
      <w:r w:rsidR="00282238" w:rsidRPr="00E64D15">
        <w:rPr>
          <w:rStyle w:val="fontstyle01"/>
          <w:sz w:val="24"/>
          <w:szCs w:val="24"/>
        </w:rPr>
        <w:fldChar w:fldCharType="end"/>
      </w:r>
      <w:r w:rsidRPr="00E64D15">
        <w:rPr>
          <w:rStyle w:val="fontstyle01"/>
          <w:sz w:val="24"/>
          <w:szCs w:val="24"/>
        </w:rPr>
      </w:r>
      <w:r w:rsidRPr="00E64D15">
        <w:rPr>
          <w:rStyle w:val="fontstyle01"/>
          <w:sz w:val="24"/>
          <w:szCs w:val="24"/>
        </w:rPr>
        <w:fldChar w:fldCharType="separate"/>
      </w:r>
      <w:r w:rsidR="00282238" w:rsidRPr="00E64D15">
        <w:rPr>
          <w:rStyle w:val="fontstyle01"/>
          <w:noProof/>
          <w:sz w:val="24"/>
          <w:szCs w:val="24"/>
        </w:rPr>
        <w:t>(Baumgardner, 2010; D’Angelo, 2010; Fee et al., 2010)</w:t>
      </w:r>
      <w:r w:rsidRPr="00E64D15">
        <w:rPr>
          <w:rStyle w:val="fontstyle01"/>
          <w:sz w:val="24"/>
          <w:szCs w:val="24"/>
        </w:rPr>
        <w:fldChar w:fldCharType="end"/>
      </w:r>
      <w:r w:rsidRPr="00E64D15">
        <w:rPr>
          <w:rStyle w:val="fontstyle01"/>
          <w:sz w:val="24"/>
          <w:szCs w:val="24"/>
        </w:rPr>
        <w:t xml:space="preserve">. According to </w:t>
      </w:r>
      <w:r w:rsidRPr="00E64D15">
        <w:rPr>
          <w:rStyle w:val="fontstyle01"/>
          <w:sz w:val="24"/>
          <w:szCs w:val="24"/>
        </w:rPr>
        <w:fldChar w:fldCharType="begin"/>
      </w:r>
      <w:r w:rsidRPr="00E64D15">
        <w:rPr>
          <w:rStyle w:val="fontstyle01"/>
          <w:sz w:val="24"/>
          <w:szCs w:val="24"/>
        </w:rPr>
        <w:instrText xml:space="preserve"> ADDIN EN.CITE &lt;EndNote&gt;&lt;Cite AuthorYear="1"&gt;&lt;Author&gt;Arnold&lt;/Author&gt;&lt;Year&gt;2009&lt;/Year&gt;&lt;RecNum&gt;127&lt;/RecNum&gt;&lt;DisplayText&gt;Arnold et al. (2009)&lt;/DisplayText&gt;&lt;record&gt;&lt;rec-number&gt;127&lt;/rec-number&gt;&lt;foreign-keys&gt;&lt;key app="EN" db-id="d55vzfpwawdafteedfoxsf0lv0v0wp5va2aa" timestamp="1521482266"&gt;127&lt;/key&gt;&lt;/foreign-keys&gt;&lt;ref-type name="Journal Article"&gt;17&lt;/ref-type&gt;&lt;contributors&gt;&lt;authors&gt;&lt;author&gt;Arnold, Terry S&lt;/author&gt;&lt;author&gt;Needham, SP&lt;/author&gt;&lt;author&gt;Youtcheff Jr, JS&lt;/author&gt;&lt;/authors&gt;&lt;/contributors&gt;&lt;titles&gt;&lt;title&gt;Use of phosphoric acid as a modifier for hot-mix asphalt&lt;/title&gt;&lt;secondary-title&gt;Transportation Research Circular E-C160, Polyphosphoric Acid Modification of Asphalt Binders&lt;/secondary-title&gt;&lt;/titles&gt;&lt;periodical&gt;&lt;full-title&gt;Transportation Research Circular E-C160, Polyphosphoric Acid Modification of Asphalt Binders&lt;/full-title&gt;&lt;/periodical&gt;&lt;pages&gt;40-51&lt;/pages&gt;&lt;dates&gt;&lt;year&gt;2009&lt;/year&gt;&lt;/dates&gt;&lt;urls&gt;&lt;/urls&gt;&lt;/record&gt;&lt;/Cite&gt;&lt;/EndNote&gt;</w:instrText>
      </w:r>
      <w:r w:rsidRPr="00E64D15">
        <w:rPr>
          <w:rStyle w:val="fontstyle01"/>
          <w:sz w:val="24"/>
          <w:szCs w:val="24"/>
        </w:rPr>
        <w:fldChar w:fldCharType="separate"/>
      </w:r>
      <w:r w:rsidRPr="00E64D15">
        <w:rPr>
          <w:rStyle w:val="fontstyle01"/>
          <w:noProof/>
          <w:sz w:val="24"/>
          <w:szCs w:val="24"/>
        </w:rPr>
        <w:t>Arnold et al. (2009)</w:t>
      </w:r>
      <w:r w:rsidRPr="00E64D15">
        <w:rPr>
          <w:rStyle w:val="fontstyle01"/>
          <w:sz w:val="24"/>
          <w:szCs w:val="24"/>
        </w:rPr>
        <w:fldChar w:fldCharType="end"/>
      </w:r>
      <w:r w:rsidRPr="00E64D15">
        <w:rPr>
          <w:rStyle w:val="fontstyle01"/>
          <w:sz w:val="24"/>
          <w:szCs w:val="24"/>
        </w:rPr>
        <w:t xml:space="preserve">, PPA can be used as a cross-linking agent for polymer modification. Also, </w:t>
      </w:r>
      <w:r w:rsidRPr="00E64D15">
        <w:rPr>
          <w:rFonts w:cs="Times New Roman"/>
          <w:szCs w:val="24"/>
          <w:lang w:val="en-CA"/>
        </w:rPr>
        <w:fldChar w:fldCharType="begin"/>
      </w:r>
      <w:r w:rsidRPr="00E64D15">
        <w:rPr>
          <w:rFonts w:cs="Times New Roman"/>
          <w:szCs w:val="24"/>
          <w:lang w:val="en-CA"/>
        </w:rPr>
        <w:instrText xml:space="preserve"> ADDIN EN.CITE &lt;EndNote&gt;&lt;Cite AuthorYear="1"&gt;&lt;Author&gt;Arnold&lt;/Author&gt;&lt;Year&gt;2009&lt;/Year&gt;&lt;RecNum&gt;127&lt;/RecNum&gt;&lt;DisplayText&gt;Arnold et al. (2009)&lt;/DisplayText&gt;&lt;record&gt;&lt;rec-number&gt;127&lt;/rec-number&gt;&lt;foreign-keys&gt;&lt;key app="EN" db-id="d55vzfpwawdafteedfoxsf0lv0v0wp5va2aa" timestamp="1521482266"&gt;127&lt;/key&gt;&lt;/foreign-keys&gt;&lt;ref-type name="Journal Article"&gt;17&lt;/ref-type&gt;&lt;contributors&gt;&lt;authors&gt;&lt;author&gt;Arnold, Terry S&lt;/author&gt;&lt;author&gt;Needham, SP&lt;/author&gt;&lt;author&gt;Youtcheff Jr, JS&lt;/author&gt;&lt;/authors&gt;&lt;/contributors&gt;&lt;titles&gt;&lt;title&gt;Use of phosphoric acid as a modifier for hot-mix asphalt&lt;/title&gt;&lt;secondary-title&gt;Transportation Research Circular E-C160, Polyphosphoric Acid Modification of Asphalt Binders&lt;/secondary-title&gt;&lt;/titles&gt;&lt;periodical&gt;&lt;full-title&gt;Transportation Research Circular E-C160, Polyphosphoric Acid Modification of Asphalt Binders&lt;/full-title&gt;&lt;/periodical&gt;&lt;pages&gt;40-51&lt;/pages&gt;&lt;dates&gt;&lt;year&gt;2009&lt;/year&gt;&lt;/dates&gt;&lt;urls&gt;&lt;/urls&gt;&lt;/record&gt;&lt;/Cite&gt;&lt;/EndNote&gt;</w:instrText>
      </w:r>
      <w:r w:rsidRPr="00E64D15">
        <w:rPr>
          <w:rFonts w:cs="Times New Roman"/>
          <w:szCs w:val="24"/>
          <w:lang w:val="en-CA"/>
        </w:rPr>
        <w:fldChar w:fldCharType="separate"/>
      </w:r>
      <w:r w:rsidRPr="00E64D15">
        <w:rPr>
          <w:rFonts w:cs="Times New Roman"/>
          <w:noProof/>
          <w:szCs w:val="24"/>
          <w:lang w:val="en-CA"/>
        </w:rPr>
        <w:t>Arnold et al. (2009)</w:t>
      </w:r>
      <w:r w:rsidRPr="00E64D15">
        <w:rPr>
          <w:rFonts w:cs="Times New Roman"/>
          <w:szCs w:val="24"/>
          <w:lang w:val="en-CA"/>
        </w:rPr>
        <w:fldChar w:fldCharType="end"/>
      </w:r>
      <w:r w:rsidRPr="00E64D15">
        <w:rPr>
          <w:rFonts w:cs="Times New Roman"/>
          <w:szCs w:val="24"/>
          <w:lang w:val="en-CA"/>
        </w:rPr>
        <w:t xml:space="preserve"> reported a higher sensitivity to moisture for binder with higher amount of PPA. An increase in moisture susceptibility of asphalt mixes with PPA modification was reported by other researchers as well </w:t>
      </w:r>
      <w:r w:rsidRPr="00E64D15">
        <w:rPr>
          <w:rFonts w:cs="Times New Roman"/>
          <w:szCs w:val="24"/>
          <w:lang w:val="en-CA"/>
        </w:rPr>
        <w:fldChar w:fldCharType="begin">
          <w:fldData xml:space="preserve">PEVuZE5vdGU+PENpdGU+PEF1dGhvcj5GZWU8L0F1dGhvcj48WWVhcj4yMDEwPC9ZZWFyPjxSZWNO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</w:fldData>
        </w:fldChar>
      </w:r>
      <w:r w:rsidR="00282238" w:rsidRPr="00E64D15">
        <w:rPr>
          <w:rFonts w:cs="Times New Roman"/>
          <w:szCs w:val="24"/>
          <w:lang w:val="en-CA"/>
        </w:rPr>
        <w:instrText xml:space="preserve"> ADDIN EN.CITE </w:instrText>
      </w:r>
      <w:r w:rsidR="00282238" w:rsidRPr="00E64D15">
        <w:rPr>
          <w:rFonts w:cs="Times New Roman"/>
          <w:szCs w:val="24"/>
          <w:lang w:val="en-CA"/>
        </w:rPr>
        <w:fldChar w:fldCharType="begin">
          <w:fldData xml:space="preserve">PEVuZE5vdGU+PENpdGU+PEF1dGhvcj5GZWU8L0F1dGhvcj48WWVhcj4yMDEwPC9ZZWFyPjxSZWNO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</w:fldData>
        </w:fldChar>
      </w:r>
      <w:r w:rsidR="00282238" w:rsidRPr="00E64D15">
        <w:rPr>
          <w:rFonts w:cs="Times New Roman"/>
          <w:szCs w:val="24"/>
          <w:lang w:val="en-CA"/>
        </w:rPr>
        <w:instrText xml:space="preserve"> ADDIN EN.CITE.DATA </w:instrText>
      </w:r>
      <w:r w:rsidR="00282238" w:rsidRPr="00E64D15">
        <w:rPr>
          <w:rFonts w:cs="Times New Roman"/>
          <w:szCs w:val="24"/>
          <w:lang w:val="en-CA"/>
        </w:rPr>
      </w:r>
      <w:r w:rsidR="00282238" w:rsidRPr="00E64D15">
        <w:rPr>
          <w:rFonts w:cs="Times New Roman"/>
          <w:szCs w:val="24"/>
          <w:lang w:val="en-CA"/>
        </w:rPr>
        <w:fldChar w:fldCharType="end"/>
      </w:r>
      <w:r w:rsidRPr="00E64D15">
        <w:rPr>
          <w:rFonts w:cs="Times New Roman"/>
          <w:szCs w:val="24"/>
          <w:lang w:val="en-CA"/>
        </w:rPr>
      </w:r>
      <w:r w:rsidRPr="00E64D15">
        <w:rPr>
          <w:rFonts w:cs="Times New Roman"/>
          <w:szCs w:val="24"/>
          <w:lang w:val="en-CA"/>
        </w:rPr>
        <w:fldChar w:fldCharType="separate"/>
      </w:r>
      <w:r w:rsidR="00282238" w:rsidRPr="00E64D15">
        <w:rPr>
          <w:rFonts w:cs="Times New Roman"/>
          <w:noProof/>
          <w:szCs w:val="24"/>
          <w:lang w:val="en-CA"/>
        </w:rPr>
        <w:t>(Orange et al., 2004; Fee et al., 2010; Al-Qadi et al., 2014)</w:t>
      </w:r>
      <w:r w:rsidRPr="00E64D15">
        <w:rPr>
          <w:rFonts w:cs="Times New Roman"/>
          <w:szCs w:val="24"/>
          <w:lang w:val="en-CA"/>
        </w:rPr>
        <w:fldChar w:fldCharType="end"/>
      </w:r>
      <w:r w:rsidRPr="00E64D15">
        <w:rPr>
          <w:rFonts w:cs="Times New Roman"/>
          <w:szCs w:val="24"/>
          <w:lang w:val="en-CA"/>
        </w:rPr>
        <w:t xml:space="preserve">. Therefore, </w:t>
      </w:r>
      <w:r w:rsidR="0022421A" w:rsidRPr="00E64D15">
        <w:rPr>
          <w:rFonts w:cs="Times New Roman"/>
          <w:szCs w:val="24"/>
          <w:lang w:val="en-CA"/>
        </w:rPr>
        <w:t xml:space="preserve">the present </w:t>
      </w:r>
      <w:r w:rsidRPr="00E64D15">
        <w:rPr>
          <w:rFonts w:cs="Times New Roman"/>
          <w:szCs w:val="24"/>
          <w:lang w:val="en-CA"/>
        </w:rPr>
        <w:t xml:space="preserve">study </w:t>
      </w:r>
      <w:r w:rsidR="0022421A" w:rsidRPr="00E64D15">
        <w:rPr>
          <w:rFonts w:cs="Times New Roman"/>
          <w:szCs w:val="24"/>
          <w:lang w:val="en-CA"/>
        </w:rPr>
        <w:t>attempts</w:t>
      </w:r>
      <w:r w:rsidRPr="00E64D15">
        <w:rPr>
          <w:rFonts w:cs="Times New Roman"/>
          <w:szCs w:val="24"/>
          <w:lang w:val="en-CA"/>
        </w:rPr>
        <w:t xml:space="preserve"> </w:t>
      </w:r>
      <w:r w:rsidR="0063212F">
        <w:rPr>
          <w:rFonts w:cs="Times New Roman"/>
          <w:szCs w:val="24"/>
          <w:lang w:val="en-CA"/>
        </w:rPr>
        <w:t xml:space="preserve">to </w:t>
      </w:r>
      <w:r w:rsidRPr="00E64D15">
        <w:rPr>
          <w:rFonts w:cs="Times New Roman"/>
          <w:szCs w:val="24"/>
          <w:lang w:val="en-CA"/>
        </w:rPr>
        <w:t>understand the interaction of PPA with binder constituents as well as moisture-induced damage potential of asphalt mixes.</w:t>
      </w:r>
    </w:p>
    <w:p w14:paraId="37C1B291" w14:textId="77777777" w:rsidR="00313BA2" w:rsidRPr="00E64D15" w:rsidRDefault="00313BA2" w:rsidP="0096102D">
      <w:pPr>
        <w:pStyle w:val="Heading4"/>
        <w:spacing w:before="0" w:after="0"/>
      </w:pPr>
      <w:bookmarkStart w:id="37" w:name="_Toc6529111"/>
      <w:r w:rsidRPr="00E64D15">
        <w:t>Reclaimed Asphalt Pavement (RAP)</w:t>
      </w:r>
      <w:bookmarkEnd w:id="37"/>
    </w:p>
    <w:p w14:paraId="1CEC2E1C" w14:textId="731095D8" w:rsidR="00313BA2" w:rsidRPr="00E64D15" w:rsidRDefault="00313BA2" w:rsidP="0096102D">
      <w:pPr>
        <w:ind w:firstLine="720"/>
        <w:rPr>
          <w:rFonts w:cs="Times New Roman"/>
          <w:szCs w:val="24"/>
        </w:rPr>
      </w:pPr>
      <w:r w:rsidRPr="00E64D15">
        <w:rPr>
          <w:rFonts w:cs="Times New Roman"/>
          <w:szCs w:val="24"/>
        </w:rPr>
        <w:t xml:space="preserve">Increased environmental awareness and scarcity of high-quality aggregates resulted in an increase in the use of recycled or reclaimed materials in asphalt </w:t>
      </w:r>
      <w:r w:rsidRPr="00E64D15">
        <w:rPr>
          <w:rFonts w:cs="Times New Roman"/>
          <w:szCs w:val="24"/>
        </w:rPr>
        <w:lastRenderedPageBreak/>
        <w:t xml:space="preserve">pavement. Also, </w:t>
      </w:r>
      <w:r w:rsidR="00180607" w:rsidRPr="00E64D15">
        <w:rPr>
          <w:rFonts w:cs="Times New Roman"/>
          <w:szCs w:val="24"/>
        </w:rPr>
        <w:t xml:space="preserve">a </w:t>
      </w:r>
      <w:r w:rsidRPr="00E64D15">
        <w:rPr>
          <w:rFonts w:cs="Times New Roman"/>
          <w:szCs w:val="24"/>
        </w:rPr>
        <w:t xml:space="preserve">significant reduction in the construction cost is possible with the use of RAP. In recent years, more than 99% of asphalt is being reused and recycled (NAPA 2011). </w:t>
      </w:r>
      <w:r w:rsidR="00BD322F" w:rsidRPr="00E64D15">
        <w:rPr>
          <w:rFonts w:cs="Times New Roman"/>
          <w:szCs w:val="24"/>
        </w:rPr>
        <w:t xml:space="preserve">Generally, </w:t>
      </w:r>
      <w:r w:rsidR="00991971" w:rsidRPr="00E64D15">
        <w:rPr>
          <w:rFonts w:cs="Times New Roman"/>
          <w:szCs w:val="24"/>
        </w:rPr>
        <w:t xml:space="preserve">RAP is used in </w:t>
      </w:r>
      <w:r w:rsidR="009B3E1A" w:rsidRPr="00E64D15">
        <w:rPr>
          <w:rFonts w:cs="Times New Roman"/>
          <w:szCs w:val="24"/>
        </w:rPr>
        <w:t>pro</w:t>
      </w:r>
      <w:r w:rsidR="00560424" w:rsidRPr="00E64D15">
        <w:rPr>
          <w:rFonts w:cs="Times New Roman"/>
          <w:szCs w:val="24"/>
        </w:rPr>
        <w:t xml:space="preserve">ducing </w:t>
      </w:r>
      <w:r w:rsidR="003C6235" w:rsidRPr="00E64D15">
        <w:rPr>
          <w:rFonts w:cs="Times New Roman"/>
          <w:szCs w:val="24"/>
        </w:rPr>
        <w:t>asphalt mix</w:t>
      </w:r>
      <w:r w:rsidR="00B43B44" w:rsidRPr="00E64D15">
        <w:rPr>
          <w:rFonts w:cs="Times New Roman"/>
          <w:szCs w:val="24"/>
        </w:rPr>
        <w:t>es</w:t>
      </w:r>
      <w:r w:rsidR="00F56E14" w:rsidRPr="00E64D15">
        <w:rPr>
          <w:rFonts w:cs="Times New Roman"/>
          <w:szCs w:val="24"/>
        </w:rPr>
        <w:t>,</w:t>
      </w:r>
      <w:r w:rsidR="00560424" w:rsidRPr="00E64D15">
        <w:rPr>
          <w:rFonts w:cs="Times New Roman"/>
          <w:szCs w:val="24"/>
        </w:rPr>
        <w:t xml:space="preserve"> and</w:t>
      </w:r>
      <w:r w:rsidR="003C6235" w:rsidRPr="00E64D15">
        <w:rPr>
          <w:rFonts w:cs="Times New Roman"/>
          <w:szCs w:val="24"/>
        </w:rPr>
        <w:t xml:space="preserve"> </w:t>
      </w:r>
      <w:r w:rsidR="009B3E1A" w:rsidRPr="00E64D15">
        <w:rPr>
          <w:rFonts w:cs="Times New Roman"/>
          <w:szCs w:val="24"/>
        </w:rPr>
        <w:t xml:space="preserve">constructing </w:t>
      </w:r>
      <w:r w:rsidR="003C6235" w:rsidRPr="00E64D15">
        <w:rPr>
          <w:rFonts w:cs="Times New Roman"/>
          <w:szCs w:val="24"/>
        </w:rPr>
        <w:t>base and shoulder</w:t>
      </w:r>
      <w:r w:rsidR="00F56E14" w:rsidRPr="00E64D15">
        <w:rPr>
          <w:rFonts w:cs="Times New Roman"/>
          <w:szCs w:val="24"/>
        </w:rPr>
        <w:t xml:space="preserve"> </w:t>
      </w:r>
      <w:r w:rsidR="007978FA" w:rsidRPr="00E64D15">
        <w:rPr>
          <w:rFonts w:cs="Times New Roman"/>
          <w:szCs w:val="24"/>
        </w:rPr>
        <w:t>for</w:t>
      </w:r>
      <w:r w:rsidR="00F56E14" w:rsidRPr="00E64D15">
        <w:rPr>
          <w:rFonts w:cs="Times New Roman"/>
          <w:szCs w:val="24"/>
        </w:rPr>
        <w:t xml:space="preserve"> new pavement</w:t>
      </w:r>
      <w:r w:rsidR="003C6235" w:rsidRPr="00E64D15">
        <w:rPr>
          <w:rFonts w:cs="Times New Roman"/>
          <w:szCs w:val="24"/>
        </w:rPr>
        <w:t>.</w:t>
      </w:r>
      <w:r w:rsidR="00991971" w:rsidRPr="00E64D15">
        <w:rPr>
          <w:rFonts w:cs="Times New Roman"/>
          <w:szCs w:val="24"/>
        </w:rPr>
        <w:t xml:space="preserve"> to </w:t>
      </w:r>
      <w:r w:rsidRPr="00E64D15">
        <w:rPr>
          <w:rFonts w:cs="Times New Roman"/>
          <w:szCs w:val="24"/>
        </w:rPr>
        <w:t xml:space="preserve">Several studies </w:t>
      </w:r>
      <w:r w:rsidR="00180607" w:rsidRPr="00E64D15">
        <w:rPr>
          <w:rFonts w:cs="Times New Roman"/>
          <w:szCs w:val="24"/>
        </w:rPr>
        <w:t xml:space="preserve">have </w:t>
      </w:r>
      <w:r w:rsidRPr="00E64D15">
        <w:rPr>
          <w:rFonts w:cs="Times New Roman"/>
          <w:szCs w:val="24"/>
        </w:rPr>
        <w:t>reported significant improvement in rutting resistance with the use of RAP in asphalt mixes. However, a reduction in fatigue life was observed with the incorporation of RAP in the asphalt mix</w:t>
      </w:r>
      <w:r w:rsidR="00180607" w:rsidRPr="00E64D15">
        <w:rPr>
          <w:rFonts w:cs="Times New Roman"/>
          <w:szCs w:val="24"/>
        </w:rPr>
        <w:t>, when the amount of RAP exceeded certain level</w:t>
      </w:r>
      <w:r w:rsidRPr="00E64D15">
        <w:rPr>
          <w:rFonts w:cs="Times New Roman"/>
          <w:szCs w:val="24"/>
        </w:rPr>
        <w:t xml:space="preserve"> </w:t>
      </w:r>
      <w:r w:rsidRPr="00E64D15">
        <w:rPr>
          <w:rFonts w:cs="Times New Roman"/>
          <w:szCs w:val="24"/>
        </w:rPr>
        <w:fldChar w:fldCharType="begin"/>
      </w:r>
      <w:r w:rsidR="00282238" w:rsidRPr="00E64D15">
        <w:rPr>
          <w:rFonts w:cs="Times New Roman"/>
          <w:szCs w:val="24"/>
        </w:rPr>
        <w:instrText xml:space="preserve"> ADDIN EN.CITE &lt;EndNote&gt;&lt;Cite&gt;&lt;Author&gt;Shu&lt;/Author&gt;&lt;Year&gt;2008&lt;/Year&gt;&lt;RecNum&gt;112&lt;/RecNum&gt;&lt;DisplayText&gt;(Shu et al., 2008; Mohammad et al., 2016)&lt;/DisplayText&gt;&lt;record&gt;&lt;rec-number&gt;112&lt;/rec-number&gt;&lt;foreign-keys&gt;&lt;key app="EN" db-id="d55vzfpwawdafteedfoxsf0lv0v0wp5va2aa" timestamp="1521350351"&gt;112&lt;/key&gt;&lt;/foreign-keys&gt;&lt;ref-type name="Journal Article"&gt;17&lt;/ref-type&gt;&lt;contributors&gt;&lt;authors&gt;&lt;author&gt;Shu, Xiang&lt;/author&gt;&lt;author&gt;Huang, Baoshan&lt;/author&gt;&lt;author&gt;Vukosavljevic, Dragon&lt;/author&gt;&lt;/authors&gt;&lt;/contributors&gt;&lt;titles&gt;&lt;title&gt;Laboratory evaluation of fatigue characteristics of recycled asphalt mixture&lt;/title&gt;&lt;secondary-title&gt;Construction and Building Materials&lt;/secondary-title&gt;&lt;/titles&gt;&lt;periodical&gt;&lt;full-title&gt;Construction and Building Materials&lt;/full-title&gt;&lt;/periodical&gt;&lt;pages&gt;1323-1330&lt;/pages&gt;&lt;volume&gt;22&lt;/volume&gt;&lt;number&gt;7&lt;/number&gt;&lt;dates&gt;&lt;year&gt;2008&lt;/year&gt;&lt;/dates&gt;&lt;isbn&gt;0950-0618&lt;/isbn&gt;&lt;urls&gt;&lt;/urls&gt;&lt;/record&gt;&lt;/Cite&gt;&lt;Cite&gt;&lt;Author&gt;Mohammad&lt;/Author&gt;&lt;Year&gt;2016&lt;/Year&gt;&lt;RecNum&gt;120&lt;/RecNum&gt;&lt;record&gt;&lt;rec-number&gt;120&lt;/rec-number&gt;&lt;foreign-keys&gt;&lt;key app="EN" db-id="d55vzfpwawdafteedfoxsf0lv0v0wp5va2aa" timestamp="1521419665"&gt;120&lt;/key&gt;&lt;/foreign-keys&gt;&lt;ref-type name="Report"&gt;27&lt;/ref-type&gt;&lt;contributors&gt;&lt;authors&gt;&lt;author&gt;Mohammad, Louay N&lt;/author&gt;&lt;author&gt;Kim, Minkyum&lt;/author&gt;&lt;author&gt;Challa, Harshavardhan&lt;/author&gt;&lt;/authors&gt;&lt;/contributors&gt;&lt;titles&gt;&lt;title&gt;Development of performance-based specifications for Louisiana asphalt mixtures&lt;/title&gt;&lt;/titles&gt;&lt;dates&gt;&lt;year&gt;2016&lt;/year&gt;&lt;/dates&gt;&lt;urls&gt;&lt;/urls&gt;&lt;/record&gt;&lt;/Cite&gt;&lt;/EndNote&gt;</w:instrText>
      </w:r>
      <w:r w:rsidRPr="00E64D15">
        <w:rPr>
          <w:rFonts w:cs="Times New Roman"/>
          <w:szCs w:val="24"/>
        </w:rPr>
        <w:fldChar w:fldCharType="separate"/>
      </w:r>
      <w:r w:rsidR="00282238" w:rsidRPr="00E64D15">
        <w:rPr>
          <w:rFonts w:cs="Times New Roman"/>
          <w:noProof/>
          <w:szCs w:val="24"/>
        </w:rPr>
        <w:t>(Shu et al., 2008; Mohammad et al., 2016)</w:t>
      </w:r>
      <w:r w:rsidRPr="00E64D15">
        <w:rPr>
          <w:rFonts w:cs="Times New Roman"/>
          <w:szCs w:val="24"/>
        </w:rPr>
        <w:fldChar w:fldCharType="end"/>
      </w:r>
      <w:r w:rsidRPr="00E64D15">
        <w:rPr>
          <w:rFonts w:cs="Times New Roman"/>
          <w:szCs w:val="24"/>
        </w:rPr>
        <w:t>. The effect of RAP on the moisture-induced damage potential of asphalt mixes w</w:t>
      </w:r>
      <w:r w:rsidR="00180607" w:rsidRPr="00E64D15">
        <w:rPr>
          <w:rFonts w:cs="Times New Roman"/>
          <w:szCs w:val="24"/>
        </w:rPr>
        <w:t>as</w:t>
      </w:r>
      <w:r w:rsidRPr="00E64D15">
        <w:rPr>
          <w:rFonts w:cs="Times New Roman"/>
          <w:szCs w:val="24"/>
        </w:rPr>
        <w:t xml:space="preserve"> evaluated by </w:t>
      </w:r>
      <w:r w:rsidRPr="00E64D15">
        <w:rPr>
          <w:rFonts w:cs="Times New Roman"/>
          <w:szCs w:val="24"/>
        </w:rPr>
        <w:fldChar w:fldCharType="begin"/>
      </w:r>
      <w:r w:rsidR="00DB3733" w:rsidRPr="00E64D15">
        <w:rPr>
          <w:rFonts w:cs="Times New Roman"/>
          <w:szCs w:val="24"/>
        </w:rPr>
        <w:instrText xml:space="preserve"> ADDIN EN.CITE &lt;EndNote&gt;&lt;Cite AuthorYear="1"&gt;&lt;Author&gt;Ghabchi&lt;/Author&gt;&lt;Year&gt;2014&lt;/Year&gt;&lt;RecNum&gt;113&lt;/RecNum&gt;&lt;DisplayText&gt;Ghabchi et al. (2014)&lt;/DisplayText&gt;&lt;record&gt;&lt;rec-number&gt;113&lt;/rec-number&gt;&lt;foreign-keys&gt;&lt;key app="EN" db-id="d55vzfpwawdafteedfoxsf0lv0v0wp5va2aa" timestamp="1521350423"&gt;113&lt;/key&gt;&lt;/foreign-keys&gt;&lt;ref-type name="Journal Article"&gt;17&lt;/ref-type&gt;&lt;contributors&gt;&lt;authors&gt;&lt;author&gt;Ghabchi, Rouzbeh&lt;/author&gt;&lt;author&gt;Singh, Dharamveer&lt;/author&gt;&lt;author&gt;Zaman, Musharraf&lt;/author&gt;&lt;/authors&gt;&lt;/contributors&gt;&lt;titles&gt;&lt;title&gt;Evaluation of Moisture Susceptibility of Asphalt Mixes Containing RAP and Different Types of Aggregates and Asphalt Binders Using the Surface Free Energy Method&lt;/title&gt;&lt;secondary-title&gt;Construction and Building Materials&lt;/secondary-title&gt;&lt;/titles&gt;&lt;periodical&gt;&lt;full-title&gt;Construction and Building Materials&lt;/full-title&gt;&lt;/periodical&gt;&lt;pages&gt;479-489&lt;/pages&gt;&lt;volume&gt;73&lt;/volume&gt;&lt;dates&gt;&lt;year&gt;2014&lt;/year&gt;&lt;/dates&gt;&lt;isbn&gt;0950-0618&lt;/isbn&gt;&lt;urls&gt;&lt;/urls&gt;&lt;/record&gt;&lt;/Cite&gt;&lt;/EndNote&gt;</w:instrText>
      </w:r>
      <w:r w:rsidRPr="00E64D15">
        <w:rPr>
          <w:rFonts w:cs="Times New Roman"/>
          <w:szCs w:val="24"/>
        </w:rPr>
        <w:fldChar w:fldCharType="separate"/>
      </w:r>
      <w:r w:rsidRPr="00E64D15">
        <w:rPr>
          <w:rFonts w:cs="Times New Roman"/>
          <w:noProof/>
          <w:szCs w:val="24"/>
        </w:rPr>
        <w:t>Ghabchi et al. (2014)</w:t>
      </w:r>
      <w:r w:rsidRPr="00E64D15">
        <w:rPr>
          <w:rFonts w:cs="Times New Roman"/>
          <w:szCs w:val="24"/>
        </w:rPr>
        <w:fldChar w:fldCharType="end"/>
      </w:r>
      <w:r w:rsidRPr="00E64D15">
        <w:rPr>
          <w:rFonts w:cs="Times New Roman"/>
          <w:szCs w:val="24"/>
        </w:rPr>
        <w:t xml:space="preserve"> using the SFE method. A reduction in the moisture-induced damage potential of the binder-aggregate system was observed with the addition of RAP binder. In a different study, </w:t>
      </w:r>
      <w:r w:rsidRPr="00E64D15">
        <w:rPr>
          <w:rFonts w:cs="Times New Roman"/>
          <w:szCs w:val="24"/>
        </w:rPr>
        <w:fldChar w:fldCharType="begin"/>
      </w:r>
      <w:r w:rsidR="00DB3733" w:rsidRPr="00E64D15">
        <w:rPr>
          <w:rFonts w:cs="Times New Roman"/>
          <w:szCs w:val="24"/>
        </w:rPr>
        <w:instrText xml:space="preserve"> ADDIN EN.CITE &lt;EndNote&gt;&lt;Cite AuthorYear="1"&gt;&lt;Author&gt;Ghabchi&lt;/Author&gt;&lt;Year&gt;2016&lt;/Year&gt;&lt;RecNum&gt;11&lt;/RecNum&gt;&lt;DisplayText&gt;Ghabchi et al. (2016)&lt;/DisplayText&gt;&lt;record&gt;&lt;rec-number&gt;11&lt;/rec-number&gt;&lt;foreign-keys&gt;&lt;key app="EN" db-id="d55vzfpwawdafteedfoxsf0lv0v0wp5va2aa" timestamp="1509900711"&gt;11&lt;/key&gt;&lt;/foreign-keys&gt;&lt;ref-type name="Journal Article"&gt;17&lt;/ref-type&gt;&lt;contributors&gt;&lt;authors&gt;&lt;author&gt;Ghabchi, Rouzbeh&lt;/author&gt;&lt;author&gt;Barman, Manik&lt;/author&gt;&lt;author&gt;Singh, Dharamveer&lt;/author&gt;&lt;author&gt;Zaman, Musharraf&lt;/author&gt;&lt;author&gt;Mubaraki, Muhammad Ali&lt;/author&gt;&lt;/authors&gt;&lt;/contributors&gt;&lt;titles&gt;&lt;title&gt;Comparison of Laboratory Performance of Asphalt Mixes Containing Different Proportions of RAS and RAP&lt;/title&gt;&lt;secondary-title&gt;Construction and Building Materials&lt;/secondary-title&gt;&lt;/titles&gt;&lt;periodical&gt;&lt;full-title&gt;Construction and Building Materials&lt;/full-title&gt;&lt;/periodical&gt;&lt;pages&gt;343-351&lt;/pages&gt;&lt;volume&gt;124&lt;/volume&gt;&lt;dates&gt;&lt;year&gt;2016&lt;/year&gt;&lt;/dates&gt;&lt;isbn&gt;0950-0618&lt;/isbn&gt;&lt;urls&gt;&lt;/urls&gt;&lt;/record&gt;&lt;/Cite&gt;&lt;/EndNote&gt;</w:instrText>
      </w:r>
      <w:r w:rsidRPr="00E64D15">
        <w:rPr>
          <w:rFonts w:cs="Times New Roman"/>
          <w:szCs w:val="24"/>
        </w:rPr>
        <w:fldChar w:fldCharType="separate"/>
      </w:r>
      <w:r w:rsidRPr="00E64D15">
        <w:rPr>
          <w:rFonts w:cs="Times New Roman"/>
          <w:noProof/>
          <w:szCs w:val="24"/>
        </w:rPr>
        <w:t>Ghabchi et al. (2016)</w:t>
      </w:r>
      <w:r w:rsidRPr="00E64D15">
        <w:rPr>
          <w:rFonts w:cs="Times New Roman"/>
          <w:szCs w:val="24"/>
        </w:rPr>
        <w:fldChar w:fldCharType="end"/>
      </w:r>
      <w:r w:rsidRPr="00E64D15">
        <w:rPr>
          <w:rFonts w:cs="Times New Roman"/>
          <w:szCs w:val="24"/>
        </w:rPr>
        <w:t xml:space="preserve"> evaluated the moisture-induced damage potential of asphalt mixes using TSR test. </w:t>
      </w:r>
      <w:r w:rsidR="00180607" w:rsidRPr="00E64D15">
        <w:rPr>
          <w:rFonts w:cs="Times New Roman"/>
          <w:szCs w:val="24"/>
        </w:rPr>
        <w:t>A</w:t>
      </w:r>
      <w:r w:rsidRPr="00E64D15">
        <w:rPr>
          <w:rFonts w:cs="Times New Roman"/>
          <w:szCs w:val="24"/>
        </w:rPr>
        <w:t xml:space="preserve">sphalt mixes with </w:t>
      </w:r>
      <w:r w:rsidR="00180607" w:rsidRPr="00E64D15">
        <w:rPr>
          <w:rFonts w:cs="Times New Roman"/>
          <w:szCs w:val="24"/>
        </w:rPr>
        <w:t xml:space="preserve">a </w:t>
      </w:r>
      <w:r w:rsidRPr="00E64D15">
        <w:rPr>
          <w:rFonts w:cs="Times New Roman"/>
          <w:szCs w:val="24"/>
        </w:rPr>
        <w:t>RAP content up to 25% exhibited satisfactory moisture-induced damage resistance. The physio-chemical changes of the binder with the addition aged materials such as RAP needs further evaluation to properly understand its effect on the moisture susceptibility of asphalt mixes.</w:t>
      </w:r>
    </w:p>
    <w:p w14:paraId="7D1523CE" w14:textId="77777777" w:rsidR="0018050F" w:rsidRPr="00E64D15" w:rsidRDefault="0018050F" w:rsidP="0018050F">
      <w:pPr>
        <w:pStyle w:val="Heading2"/>
      </w:pPr>
      <w:bookmarkStart w:id="38" w:name="_Toc71728411"/>
      <w:r w:rsidRPr="00E64D15">
        <w:t>SCOPE, ASSUMPTIONS AND LIMITATIONS OF THE CURRENT STUDY</w:t>
      </w:r>
      <w:bookmarkEnd w:id="38"/>
    </w:p>
    <w:p w14:paraId="2F0B8BC6" w14:textId="2B64DC07" w:rsidR="0018050F" w:rsidRPr="00E64D15" w:rsidRDefault="0018050F" w:rsidP="0018050F">
      <w:pPr>
        <w:ind w:firstLine="720"/>
      </w:pPr>
      <w:r w:rsidRPr="00E64D15">
        <w:t>In this study, the surface free energy method</w:t>
      </w:r>
      <w:r w:rsidR="00AD4B4A" w:rsidRPr="00E64D15">
        <w:t xml:space="preserve"> (SFE)</w:t>
      </w:r>
      <w:r w:rsidRPr="00E64D15">
        <w:t xml:space="preserve">, chemical analysis and laboratory-based performance tests were used to evaluate the effects of additives, aggregate types and aging on the moisture-induced damage potential of asphalt mixes. Attempts were made to understand the differences in the estimation </w:t>
      </w:r>
      <w:r w:rsidR="00AD4B4A" w:rsidRPr="00E64D15">
        <w:t xml:space="preserve">of SFE </w:t>
      </w:r>
      <w:r w:rsidRPr="00E64D15">
        <w:t xml:space="preserve">of binders using different methods. Also, the effect of probe liquid sets on the calculation of SFE components of binders was evaluated. Furthermore, the chemical and thermodynamic </w:t>
      </w:r>
      <w:r w:rsidRPr="00E64D15">
        <w:lastRenderedPageBreak/>
        <w:t xml:space="preserve">properties of asphalt binder and aggregates were used to evaluate the compatibility of different binder-aggregate systems. The effect of aging and additives on the moisture-induced damage performance of the binder-aggregate system was assessed by evaluating the changes in the energy parameters </w:t>
      </w:r>
      <w:r w:rsidR="00AD4B4A" w:rsidRPr="00E64D15">
        <w:t>determined by</w:t>
      </w:r>
      <w:r w:rsidRPr="00E64D15">
        <w:t xml:space="preserve"> the SFE method. In addition, the effects of aging and additives on the moisture susceptibility of asphalt mixes were evaluated using different laboratory-based performance tests. The correlations between different conventional and unconventional laboratory-based performance parameters with the SFE parameters were determined. </w:t>
      </w:r>
    </w:p>
    <w:p w14:paraId="68FE012C" w14:textId="5759BF20" w:rsidR="0018050F" w:rsidRPr="00E64D15" w:rsidRDefault="0018050F" w:rsidP="0018050F">
      <w:pPr>
        <w:ind w:firstLine="720"/>
      </w:pPr>
      <w:r w:rsidRPr="00E64D15">
        <w:t>In this study, the SFE components of the binders were determined using contact angle measurement</w:t>
      </w:r>
      <w:r w:rsidR="00AD4B4A" w:rsidRPr="00E64D15">
        <w:t>s</w:t>
      </w:r>
      <w:r w:rsidRPr="00E64D15">
        <w:t xml:space="preserve"> by the dynamic Wilhelmy plate test. The variability during contact angle measurement was reduced by keeping the measuring apparatus, conditions and measurement precision same for all binders. All the contact angle measurements were conducted at room temperature (77</w:t>
      </w:r>
      <w:r w:rsidRPr="00E64D15">
        <w:rPr>
          <w:rFonts w:cs="Times New Roman"/>
        </w:rPr>
        <w:t>°</w:t>
      </w:r>
      <w:r w:rsidRPr="00E64D15">
        <w:t>F). It was assumed that the surface composition of the binder used for contact angle measurement was similar to the binder surface at a binder-aggregate interface. Also, it was assumed that the binder surface used for measurement was physically and chemically uniform. The roughness of the binder surface was not considered in the calculation of contact angle with probe liquids. The SFE values of different probe liquids used in this study were obtained from</w:t>
      </w:r>
      <w:r w:rsidRPr="00E64D15">
        <w:rPr>
          <w:rFonts w:eastAsiaTheme="minorEastAsia"/>
          <w:noProof/>
        </w:rPr>
        <w:t xml:space="preserve"> </w:t>
      </w:r>
      <w:r w:rsidRPr="00E64D15">
        <w:rPr>
          <w:rFonts w:eastAsiaTheme="minorEastAsia"/>
          <w:noProof/>
        </w:rPr>
        <w:fldChar w:fldCharType="begin"/>
      </w:r>
      <w:r w:rsidRPr="00E64D15">
        <w:rPr>
          <w:rFonts w:eastAsiaTheme="minorEastAsia"/>
          <w:noProof/>
        </w:rPr>
        <w:instrText xml:space="preserve"> ADDIN EN.CITE &lt;EndNote&gt;&lt;Cite AuthorYear="1"&gt;&lt;Author&gt;Hefer&lt;/Author&gt;&lt;Year&gt;2006&lt;/Year&gt;&lt;RecNum&gt;24&lt;/RecNum&gt;&lt;DisplayText&gt;Hefer et al. (2006)&lt;/DisplayText&gt;&lt;record&gt;&lt;rec-number&gt;24&lt;/rec-number&gt;&lt;foreign-keys&gt;&lt;key app="EN" db-id="d55vzfpwawdafteedfoxsf0lv0v0wp5va2aa" timestamp="1509901126"&gt;24&lt;/key&gt;&lt;/foreign-keys&gt;&lt;ref-type name="Journal Article"&gt;17&lt;/ref-type&gt;&lt;contributors&gt;&lt;authors&gt;&lt;author&gt;Hefer, Arno W&lt;/author&gt;&lt;author&gt;Bhasin, Amit&lt;/author&gt;&lt;author&gt;Little, Dallas N&lt;/author&gt;&lt;/authors&gt;&lt;/contributors&gt;&lt;titles&gt;&lt;title&gt;Bitumen Surface Energy Characterization Using a Contact Angle Approach&lt;/title&gt;&lt;secondary-title&gt;Journal of Materials in Civil Engineering&lt;/secondary-title&gt;&lt;/titles&gt;&lt;periodical&gt;&lt;full-title&gt;Journal of Materials in Civil Engineering&lt;/full-title&gt;&lt;/periodical&gt;&lt;pages&gt;759-767&lt;/pages&gt;&lt;volume&gt;18&lt;/volume&gt;&lt;number&gt;6&lt;/number&gt;&lt;dates&gt;&lt;year&gt;2006&lt;/year&gt;&lt;/dates&gt;&lt;isbn&gt;0899-1561&lt;/isbn&gt;&lt;urls&gt;&lt;/urls&gt;&lt;/record&gt;&lt;/Cite&gt;&lt;/EndNote&gt;</w:instrText>
      </w:r>
      <w:r w:rsidRPr="00E64D15">
        <w:rPr>
          <w:rFonts w:eastAsiaTheme="minorEastAsia"/>
          <w:noProof/>
        </w:rPr>
        <w:fldChar w:fldCharType="separate"/>
      </w:r>
      <w:r w:rsidRPr="00E64D15">
        <w:rPr>
          <w:rFonts w:eastAsiaTheme="minorEastAsia"/>
          <w:noProof/>
        </w:rPr>
        <w:t>Hefer et al. (2006)</w:t>
      </w:r>
      <w:r w:rsidRPr="00E64D15">
        <w:rPr>
          <w:rFonts w:eastAsiaTheme="minorEastAsia"/>
          <w:noProof/>
        </w:rPr>
        <w:fldChar w:fldCharType="end"/>
      </w:r>
      <w:r w:rsidRPr="00E64D15">
        <w:rPr>
          <w:rFonts w:eastAsiaTheme="minorEastAsia"/>
          <w:noProof/>
        </w:rPr>
        <w:t xml:space="preserve"> and</w:t>
      </w:r>
      <w:r w:rsidRPr="00E64D15">
        <w:t xml:space="preserve"> considered to remain unchanged throughout the testing. Also, the binder surface was assumed to be </w:t>
      </w:r>
      <w:r w:rsidRPr="00E64D15">
        <w:rPr>
          <w:rFonts w:cs="Times New Roman"/>
          <w:szCs w:val="24"/>
        </w:rPr>
        <w:t>immiscible in the selected probe liquids</w:t>
      </w:r>
      <w:r w:rsidRPr="00E64D15">
        <w:t xml:space="preserve">. </w:t>
      </w:r>
    </w:p>
    <w:p w14:paraId="737FD171" w14:textId="29060C83" w:rsidR="0018050F" w:rsidRPr="00E64D15" w:rsidRDefault="0018050F" w:rsidP="0018050F">
      <w:pPr>
        <w:ind w:firstLine="720"/>
      </w:pPr>
      <w:r w:rsidRPr="00E64D15">
        <w:t xml:space="preserve">In this study, the effects of different aggregate, </w:t>
      </w:r>
      <w:r w:rsidR="00AD4B4A" w:rsidRPr="00E64D15">
        <w:t>namely</w:t>
      </w:r>
      <w:r w:rsidRPr="00E64D15">
        <w:t xml:space="preserve"> limestone, granite and rhyolite from local sources, on the moisture-induced damage potential were identified by investigating the changes in chemical and thermodynamic properties. The moisture </w:t>
      </w:r>
      <w:r w:rsidRPr="00E64D15">
        <w:lastRenderedPageBreak/>
        <w:t>sensitivity of a binder-aggregate system with aggregates from sources different than the ones used in the current study can vary depending on their compositions. Therefore, moisture-induced damage sensitivity of each binder-aggregate combination is recommended before constructing the asphalt pavement.</w:t>
      </w:r>
    </w:p>
    <w:p w14:paraId="0992E1CD" w14:textId="099AF831" w:rsidR="0018050F" w:rsidRPr="00E64D15" w:rsidRDefault="0018050F" w:rsidP="0018050F">
      <w:pPr>
        <w:ind w:firstLine="720"/>
        <w:rPr>
          <w:lang w:val="en-CA"/>
        </w:rPr>
      </w:pPr>
      <w:r w:rsidRPr="00E64D15">
        <w:rPr>
          <w:lang w:val="en-CA"/>
        </w:rPr>
        <w:t xml:space="preserve">Due to the limited scope of the of the current study, a smaller dataset was used to develop correlations between different conventional and unconventional laboratory-based performance parameters and </w:t>
      </w:r>
      <w:r w:rsidR="00AD4B4A" w:rsidRPr="00E64D15">
        <w:rPr>
          <w:lang w:val="en-CA"/>
        </w:rPr>
        <w:t xml:space="preserve">the </w:t>
      </w:r>
      <w:r w:rsidRPr="00E64D15">
        <w:rPr>
          <w:lang w:val="en-CA"/>
        </w:rPr>
        <w:t>SFE parameters. Future stud</w:t>
      </w:r>
      <w:r w:rsidR="00AD4B4A" w:rsidRPr="00E64D15">
        <w:rPr>
          <w:lang w:val="en-CA"/>
        </w:rPr>
        <w:t>ies</w:t>
      </w:r>
      <w:r w:rsidRPr="00E64D15">
        <w:rPr>
          <w:lang w:val="en-CA"/>
        </w:rPr>
        <w:t xml:space="preserve"> </w:t>
      </w:r>
      <w:r w:rsidR="00AD4B4A" w:rsidRPr="00E64D15">
        <w:rPr>
          <w:lang w:val="en-CA"/>
        </w:rPr>
        <w:t>are</w:t>
      </w:r>
      <w:r w:rsidRPr="00E64D15">
        <w:rPr>
          <w:lang w:val="en-CA"/>
        </w:rPr>
        <w:t xml:space="preserve"> needed to evaluate these relationships with a larger dataset consisting of different </w:t>
      </w:r>
      <w:r w:rsidR="00AD4B4A" w:rsidRPr="00E64D15">
        <w:rPr>
          <w:lang w:val="en-CA"/>
        </w:rPr>
        <w:t xml:space="preserve">types of </w:t>
      </w:r>
      <w:r w:rsidRPr="00E64D15">
        <w:rPr>
          <w:lang w:val="en-CA"/>
        </w:rPr>
        <w:t xml:space="preserve">binders, </w:t>
      </w:r>
      <w:r w:rsidR="00E64D15" w:rsidRPr="00E64D15">
        <w:rPr>
          <w:lang w:val="en-CA"/>
        </w:rPr>
        <w:t>aggregates,</w:t>
      </w:r>
      <w:r w:rsidRPr="00E64D15">
        <w:rPr>
          <w:lang w:val="en-CA"/>
        </w:rPr>
        <w:t xml:space="preserve"> and additives.</w:t>
      </w:r>
    </w:p>
    <w:p w14:paraId="2BB19BF3" w14:textId="705AE7B6" w:rsidR="00313BA2" w:rsidRPr="00E64D15" w:rsidRDefault="00E739D2" w:rsidP="00E57694">
      <w:pPr>
        <w:pStyle w:val="Heading2"/>
      </w:pPr>
      <w:bookmarkStart w:id="39" w:name="_Toc71728412"/>
      <w:r w:rsidRPr="00E64D15">
        <w:t>DISSERTATION FORMAT AND CONTENT</w:t>
      </w:r>
      <w:bookmarkEnd w:id="39"/>
    </w:p>
    <w:p w14:paraId="57B88075" w14:textId="20E42EA7" w:rsidR="00313BA2" w:rsidRPr="00E64D15" w:rsidRDefault="00313BA2" w:rsidP="00A51C87">
      <w:pPr>
        <w:ind w:firstLine="720"/>
        <w:rPr>
          <w:rFonts w:cs="Times New Roman"/>
          <w:szCs w:val="24"/>
        </w:rPr>
      </w:pPr>
      <w:r w:rsidRPr="00E64D15">
        <w:rPr>
          <w:rFonts w:cs="Times New Roman"/>
          <w:szCs w:val="24"/>
        </w:rPr>
        <w:t xml:space="preserve">The findings of this study are compiled in this dissertation as four journal publications (1 published and 3 under review) from Chapter 2 to Chapter 5. Chapter 1 and </w:t>
      </w:r>
      <w:r w:rsidR="00180607" w:rsidRPr="00E64D15">
        <w:rPr>
          <w:rFonts w:cs="Times New Roman"/>
          <w:szCs w:val="24"/>
        </w:rPr>
        <w:t>Chapter 6</w:t>
      </w:r>
      <w:r w:rsidRPr="00E64D15">
        <w:rPr>
          <w:rFonts w:cs="Times New Roman"/>
          <w:szCs w:val="24"/>
        </w:rPr>
        <w:t xml:space="preserve"> contain the general introduction and conclusions of this study, respectively.</w:t>
      </w:r>
    </w:p>
    <w:p w14:paraId="5C24F7C5" w14:textId="2E1C1A9F" w:rsidR="00313BA2" w:rsidRPr="00E64D15" w:rsidRDefault="00313BA2" w:rsidP="00A51C87">
      <w:pPr>
        <w:ind w:firstLine="720"/>
        <w:rPr>
          <w:rFonts w:cs="Times New Roman"/>
          <w:szCs w:val="24"/>
        </w:rPr>
      </w:pPr>
      <w:r w:rsidRPr="00E64D15">
        <w:rPr>
          <w:rFonts w:cs="Times New Roman"/>
          <w:szCs w:val="24"/>
        </w:rPr>
        <w:t xml:space="preserve">Chapter 1 presents the background and objectives of this study. Also, </w:t>
      </w:r>
      <w:r w:rsidR="00180607" w:rsidRPr="00E64D15">
        <w:rPr>
          <w:rFonts w:cs="Times New Roman"/>
          <w:szCs w:val="24"/>
        </w:rPr>
        <w:t xml:space="preserve">pertinent </w:t>
      </w:r>
      <w:r w:rsidRPr="00E64D15">
        <w:rPr>
          <w:rFonts w:cs="Times New Roman"/>
          <w:szCs w:val="24"/>
        </w:rPr>
        <w:t xml:space="preserve">literature related to moisture-induced damage theories, current practices for moisture-induced damage evaluation, effect of additives and aging on moisture-induced damage potential of asphalt mixes </w:t>
      </w:r>
      <w:r w:rsidR="00180607" w:rsidRPr="00E64D15">
        <w:rPr>
          <w:rFonts w:cs="Times New Roman"/>
          <w:szCs w:val="24"/>
        </w:rPr>
        <w:t>is</w:t>
      </w:r>
      <w:r w:rsidRPr="00E64D15">
        <w:rPr>
          <w:rFonts w:cs="Times New Roman"/>
          <w:szCs w:val="24"/>
        </w:rPr>
        <w:t xml:space="preserve"> included in this chapter.</w:t>
      </w:r>
    </w:p>
    <w:p w14:paraId="114236A8" w14:textId="290CF22F" w:rsidR="00313BA2" w:rsidRPr="00E64D15" w:rsidRDefault="00313BA2" w:rsidP="00A51C87">
      <w:pPr>
        <w:ind w:firstLine="720"/>
        <w:rPr>
          <w:rFonts w:cs="Times New Roman"/>
          <w:szCs w:val="24"/>
        </w:rPr>
      </w:pPr>
      <w:r w:rsidRPr="00E64D15">
        <w:rPr>
          <w:rFonts w:cs="Times New Roman"/>
          <w:szCs w:val="24"/>
        </w:rPr>
        <w:t xml:space="preserve">In Chapter 2, attempts were made to determine </w:t>
      </w:r>
      <w:r w:rsidR="00180607" w:rsidRPr="00E64D15">
        <w:rPr>
          <w:rFonts w:cs="Times New Roman"/>
          <w:szCs w:val="24"/>
        </w:rPr>
        <w:t>the</w:t>
      </w:r>
      <w:r w:rsidRPr="00E64D15">
        <w:rPr>
          <w:rFonts w:cs="Times New Roman"/>
          <w:szCs w:val="24"/>
        </w:rPr>
        <w:t xml:space="preserve"> SFE components of binders </w:t>
      </w:r>
      <w:r w:rsidR="00180607" w:rsidRPr="00E64D15">
        <w:rPr>
          <w:rFonts w:cs="Times New Roman"/>
          <w:szCs w:val="24"/>
        </w:rPr>
        <w:t xml:space="preserve">consistently </w:t>
      </w:r>
      <w:r w:rsidRPr="00E64D15">
        <w:rPr>
          <w:rFonts w:cs="Times New Roman"/>
          <w:szCs w:val="24"/>
        </w:rPr>
        <w:t xml:space="preserve">as </w:t>
      </w:r>
      <w:r w:rsidR="00180607" w:rsidRPr="00E64D15">
        <w:rPr>
          <w:rFonts w:cs="Times New Roman"/>
          <w:szCs w:val="24"/>
        </w:rPr>
        <w:t>they</w:t>
      </w:r>
      <w:r w:rsidRPr="00E64D15">
        <w:rPr>
          <w:rFonts w:cs="Times New Roman"/>
          <w:szCs w:val="24"/>
        </w:rPr>
        <w:t xml:space="preserve"> can significantly influence </w:t>
      </w:r>
      <w:r w:rsidR="00180607" w:rsidRPr="00E64D15">
        <w:rPr>
          <w:rFonts w:cs="Times New Roman"/>
          <w:szCs w:val="24"/>
        </w:rPr>
        <w:t xml:space="preserve">the </w:t>
      </w:r>
      <w:r w:rsidRPr="00E64D15">
        <w:rPr>
          <w:rFonts w:cs="Times New Roman"/>
          <w:szCs w:val="24"/>
        </w:rPr>
        <w:t xml:space="preserve">moisture-induced damage calculation of a binder-aggregate system. Suitable </w:t>
      </w:r>
      <w:r w:rsidR="00180607" w:rsidRPr="00E64D15">
        <w:rPr>
          <w:rFonts w:cs="Times New Roman"/>
          <w:szCs w:val="24"/>
        </w:rPr>
        <w:t xml:space="preserve">sets of </w:t>
      </w:r>
      <w:r w:rsidRPr="00E64D15">
        <w:rPr>
          <w:rFonts w:cs="Times New Roman"/>
          <w:szCs w:val="24"/>
        </w:rPr>
        <w:t>probe liquid</w:t>
      </w:r>
      <w:r w:rsidR="00180607" w:rsidRPr="00E64D15">
        <w:rPr>
          <w:rFonts w:cs="Times New Roman"/>
          <w:szCs w:val="24"/>
        </w:rPr>
        <w:t>s</w:t>
      </w:r>
      <w:r w:rsidRPr="00E64D15">
        <w:rPr>
          <w:rFonts w:cs="Times New Roman"/>
          <w:szCs w:val="24"/>
        </w:rPr>
        <w:t xml:space="preserve"> for the GvOC, Owens-Wendt and Wu methods were identified. Also, the differences between different surface free energy estimation methods were investigated.</w:t>
      </w:r>
    </w:p>
    <w:p w14:paraId="343788B3" w14:textId="70B3CDF0" w:rsidR="00313BA2" w:rsidRPr="00E64D15" w:rsidRDefault="00313BA2" w:rsidP="00A51C87">
      <w:pPr>
        <w:ind w:firstLine="720"/>
        <w:rPr>
          <w:rFonts w:cs="Times New Roman"/>
          <w:szCs w:val="24"/>
        </w:rPr>
      </w:pPr>
      <w:r w:rsidRPr="00E64D15">
        <w:rPr>
          <w:rFonts w:cs="Times New Roman"/>
          <w:szCs w:val="24"/>
        </w:rPr>
        <w:lastRenderedPageBreak/>
        <w:t>In Chapter 3, chemical and thermodynamic properties of asphalt binder and aggregates were used to evaluate the compatibilities of the binder-aggregate systems. Effects of different additives and aging on the moisture-induced damage of an unmodified and a polymer-modified binder were investigated. Also, the effects of aggregate type and aging on the moisture-induced damage were determined using the SFE method and chemical analys</w:t>
      </w:r>
      <w:r w:rsidR="00300762" w:rsidRPr="00E64D15">
        <w:rPr>
          <w:rFonts w:cs="Times New Roman"/>
          <w:szCs w:val="24"/>
        </w:rPr>
        <w:t>e</w:t>
      </w:r>
      <w:r w:rsidRPr="00E64D15">
        <w:rPr>
          <w:rFonts w:cs="Times New Roman"/>
          <w:szCs w:val="24"/>
        </w:rPr>
        <w:t>s.</w:t>
      </w:r>
    </w:p>
    <w:p w14:paraId="5184014F" w14:textId="277EE962" w:rsidR="00313BA2" w:rsidRPr="00E64D15" w:rsidRDefault="00313BA2" w:rsidP="00A51C87">
      <w:pPr>
        <w:ind w:firstLine="720"/>
        <w:rPr>
          <w:rFonts w:cs="Times New Roman"/>
          <w:szCs w:val="24"/>
        </w:rPr>
      </w:pPr>
      <w:r w:rsidRPr="00E64D15">
        <w:rPr>
          <w:rFonts w:cs="Times New Roman"/>
          <w:szCs w:val="24"/>
        </w:rPr>
        <w:t>Chapter 4 presents the moisture-induced damage evaluation of asphalt mixes prepared with different additives. Also, the moisture-induced damage potentials of short-term and long-term aged asphalt mixes were evaluated using a TSR and a new SCB-based parameter. Correlations between the moisture-induced damage performance parameters from laboratory performance tests and the SFE method were also investigated.</w:t>
      </w:r>
    </w:p>
    <w:p w14:paraId="50331C13" w14:textId="26632A02" w:rsidR="00313BA2" w:rsidRPr="00E64D15" w:rsidRDefault="00313BA2" w:rsidP="00A51C87">
      <w:pPr>
        <w:ind w:firstLine="720"/>
        <w:rPr>
          <w:rFonts w:cs="Times New Roman"/>
          <w:szCs w:val="24"/>
        </w:rPr>
      </w:pPr>
      <w:r w:rsidRPr="00E64D15">
        <w:rPr>
          <w:rFonts w:cs="Times New Roman"/>
          <w:szCs w:val="24"/>
        </w:rPr>
        <w:t xml:space="preserve">In Chapter 5, the effectiveness of several laboratory-based performance tests for evaluating moisture-induced damage </w:t>
      </w:r>
      <w:r w:rsidR="00300762" w:rsidRPr="00E64D15">
        <w:rPr>
          <w:rFonts w:cs="Times New Roman"/>
          <w:szCs w:val="24"/>
        </w:rPr>
        <w:t xml:space="preserve">potential </w:t>
      </w:r>
      <w:r w:rsidRPr="00E64D15">
        <w:rPr>
          <w:rFonts w:cs="Times New Roman"/>
          <w:szCs w:val="24"/>
        </w:rPr>
        <w:t xml:space="preserve">of asphalt mixes was investigated. Along with conventional parameters, </w:t>
      </w:r>
      <w:r w:rsidR="00300762" w:rsidRPr="00E64D15">
        <w:rPr>
          <w:rFonts w:cs="Times New Roman"/>
          <w:szCs w:val="24"/>
        </w:rPr>
        <w:t>several</w:t>
      </w:r>
      <w:r w:rsidRPr="00E64D15">
        <w:rPr>
          <w:rFonts w:cs="Times New Roman"/>
          <w:szCs w:val="24"/>
        </w:rPr>
        <w:t xml:space="preserve"> unconventional moisture-induced damage parameters from HWT, ITS and SCB </w:t>
      </w:r>
      <w:r w:rsidR="00300762" w:rsidRPr="00E64D15">
        <w:rPr>
          <w:rFonts w:cs="Times New Roman"/>
          <w:szCs w:val="24"/>
        </w:rPr>
        <w:t xml:space="preserve">tests </w:t>
      </w:r>
      <w:r w:rsidRPr="00E64D15">
        <w:rPr>
          <w:rFonts w:cs="Times New Roman"/>
          <w:szCs w:val="24"/>
        </w:rPr>
        <w:t xml:space="preserve">were introduced in this chapter.  </w:t>
      </w:r>
      <w:r w:rsidR="00300762" w:rsidRPr="00E64D15">
        <w:rPr>
          <w:rFonts w:cs="Times New Roman"/>
          <w:szCs w:val="24"/>
        </w:rPr>
        <w:t>C</w:t>
      </w:r>
      <w:r w:rsidRPr="00E64D15">
        <w:rPr>
          <w:rFonts w:cs="Times New Roman"/>
          <w:szCs w:val="24"/>
        </w:rPr>
        <w:t>omparison</w:t>
      </w:r>
      <w:r w:rsidR="00300762" w:rsidRPr="00E64D15">
        <w:rPr>
          <w:rFonts w:cs="Times New Roman"/>
          <w:szCs w:val="24"/>
        </w:rPr>
        <w:t>s</w:t>
      </w:r>
      <w:r w:rsidRPr="00E64D15">
        <w:rPr>
          <w:rFonts w:cs="Times New Roman"/>
          <w:szCs w:val="24"/>
        </w:rPr>
        <w:t xml:space="preserve"> of the conventional and unconventional laboratory-based performance parameters with the SFE parameters were presented as well.  </w:t>
      </w:r>
    </w:p>
    <w:p w14:paraId="5D79E6D5" w14:textId="063D30EF" w:rsidR="00B11290" w:rsidRDefault="00313BA2" w:rsidP="00B555D8">
      <w:pPr>
        <w:ind w:firstLine="720"/>
        <w:rPr>
          <w:rFonts w:cs="Times New Roman"/>
          <w:color w:val="000000"/>
          <w:szCs w:val="24"/>
        </w:rPr>
      </w:pPr>
      <w:r w:rsidRPr="00E64D15">
        <w:rPr>
          <w:rFonts w:cs="Times New Roman"/>
          <w:color w:val="000000"/>
          <w:szCs w:val="24"/>
        </w:rPr>
        <w:t xml:space="preserve">Chapter 6 presents </w:t>
      </w:r>
      <w:r w:rsidR="00300762" w:rsidRPr="00E64D15">
        <w:rPr>
          <w:rFonts w:cs="Times New Roman"/>
          <w:color w:val="000000"/>
          <w:szCs w:val="24"/>
        </w:rPr>
        <w:t>the overall</w:t>
      </w:r>
      <w:r w:rsidRPr="00E64D15">
        <w:rPr>
          <w:rFonts w:cs="Times New Roman"/>
          <w:color w:val="000000"/>
          <w:szCs w:val="24"/>
        </w:rPr>
        <w:t xml:space="preserve"> summary of the findings from this study. Also, a list of recommendations for future works is presented</w:t>
      </w:r>
      <w:r w:rsidRPr="00313BA2">
        <w:rPr>
          <w:rFonts w:cs="Times New Roman"/>
          <w:color w:val="000000"/>
          <w:szCs w:val="24"/>
        </w:rPr>
        <w:t xml:space="preserve"> in </w:t>
      </w:r>
      <w:r w:rsidR="00300762">
        <w:rPr>
          <w:rFonts w:cs="Times New Roman"/>
          <w:color w:val="000000"/>
          <w:szCs w:val="24"/>
        </w:rPr>
        <w:t>this chapter</w:t>
      </w:r>
      <w:r w:rsidRPr="00313BA2">
        <w:rPr>
          <w:rFonts w:cs="Times New Roman"/>
          <w:color w:val="000000"/>
          <w:szCs w:val="24"/>
        </w:rPr>
        <w:t>.</w:t>
      </w:r>
    </w:p>
    <w:p w14:paraId="542BFD34" w14:textId="77777777" w:rsidR="0091625F" w:rsidRDefault="0091625F" w:rsidP="008F7E29">
      <w:pPr>
        <w:ind w:firstLine="720"/>
      </w:pPr>
    </w:p>
    <w:p w14:paraId="56BA9901" w14:textId="77777777" w:rsidR="00AA705F" w:rsidRPr="00E00F59" w:rsidRDefault="00AA705F" w:rsidP="008F7E29">
      <w:pPr>
        <w:ind w:firstLine="720"/>
        <w:rPr>
          <w:lang w:val="en-CA"/>
        </w:rPr>
      </w:pPr>
    </w:p>
    <w:p w14:paraId="40924D59" w14:textId="029D3D47" w:rsidR="00974B1F" w:rsidRPr="00974B1F" w:rsidRDefault="00974B1F" w:rsidP="00824842">
      <w:pPr>
        <w:ind w:firstLine="720"/>
        <w:rPr>
          <w:lang w:bidi="en-US"/>
        </w:rPr>
      </w:pPr>
    </w:p>
    <w:p w14:paraId="1A1ABD46" w14:textId="77777777" w:rsidR="00F36D60" w:rsidRPr="002C7331" w:rsidRDefault="00F36D60" w:rsidP="0044605A">
      <w:pPr>
        <w:spacing w:line="240" w:lineRule="auto"/>
        <w:rPr>
          <w:rFonts w:ascii="Mongolian Baiti" w:hAnsi="Mongolian Baiti" w:cs="Mongolian Baiti"/>
          <w:b/>
          <w:bCs/>
        </w:rPr>
      </w:pPr>
      <w:r w:rsidRPr="002C7331">
        <w:rPr>
          <w:rFonts w:ascii="Mongolian Baiti" w:hAnsi="Mongolian Baiti" w:cs="Mongolian Baiti"/>
          <w:b/>
          <w:bCs/>
        </w:rPr>
        <w:lastRenderedPageBreak/>
        <w:t>CHAPTER</w:t>
      </w:r>
    </w:p>
    <w:p w14:paraId="0EDBE958" w14:textId="29142182" w:rsidR="00F36D60" w:rsidRPr="002C7331" w:rsidRDefault="00F36D60" w:rsidP="0044605A">
      <w:pPr>
        <w:pBdr>
          <w:bottom w:val="double" w:sz="4" w:space="1" w:color="auto"/>
        </w:pBdr>
        <w:spacing w:line="240" w:lineRule="auto"/>
        <w:rPr>
          <w:rFonts w:ascii="Mongolian Baiti" w:hAnsi="Mongolian Baiti" w:cs="Mongolian Baiti"/>
          <w:b/>
          <w:bCs/>
          <w:i/>
          <w:iCs/>
          <w:sz w:val="110"/>
          <w:szCs w:val="108"/>
        </w:rPr>
      </w:pPr>
      <w:r>
        <w:rPr>
          <w:rFonts w:ascii="Mongolian Baiti" w:hAnsi="Mongolian Baiti" w:cs="Mongolian Baiti"/>
          <w:b/>
          <w:bCs/>
          <w:i/>
          <w:iCs/>
          <w:sz w:val="110"/>
          <w:szCs w:val="108"/>
        </w:rPr>
        <w:t>2</w:t>
      </w:r>
    </w:p>
    <w:p w14:paraId="464D4A02" w14:textId="55C5D9A3" w:rsidR="00B555D8" w:rsidRPr="009C783A" w:rsidRDefault="00B936DE" w:rsidP="00E44786">
      <w:pPr>
        <w:pStyle w:val="Heading1"/>
      </w:pPr>
      <w:bookmarkStart w:id="40" w:name="_Toc71728413"/>
      <w:r w:rsidRPr="00B936DE">
        <w:t xml:space="preserve">EFFECTS OF SURFACE FREE ENERGY ESTIMATION </w:t>
      </w:r>
      <w:r w:rsidRPr="009C783A">
        <w:t>METHODS AND PROBE LIQUIDS ON THE MOISTURE-INDUCED DAMAGE POTENTIAL OF ASPHALT MIXES</w:t>
      </w:r>
      <w:r w:rsidR="000E4CAE" w:rsidRPr="009C783A">
        <w:rPr>
          <w:rStyle w:val="FootnoteReference"/>
        </w:rPr>
        <w:footnoteReference w:id="2"/>
      </w:r>
      <w:bookmarkEnd w:id="40"/>
    </w:p>
    <w:p w14:paraId="391CA7B1" w14:textId="77777777" w:rsidR="0003506A" w:rsidRPr="0098140B" w:rsidRDefault="0003506A" w:rsidP="00DA0E23">
      <w:pPr>
        <w:jc w:val="center"/>
        <w:rPr>
          <w:rFonts w:cs="Times New Roman"/>
          <w:b/>
          <w:bCs/>
          <w:szCs w:val="24"/>
        </w:rPr>
      </w:pPr>
      <w:r w:rsidRPr="0098140B">
        <w:rPr>
          <w:rFonts w:cs="Times New Roman"/>
          <w:b/>
          <w:bCs/>
          <w:szCs w:val="24"/>
        </w:rPr>
        <w:t>ABSTRACT</w:t>
      </w:r>
    </w:p>
    <w:p w14:paraId="1B5A1482" w14:textId="77777777" w:rsidR="0003506A" w:rsidRPr="0098140B" w:rsidRDefault="0003506A" w:rsidP="00DA0E23">
      <w:pPr>
        <w:rPr>
          <w:rFonts w:cs="Times New Roman"/>
          <w:szCs w:val="24"/>
        </w:rPr>
      </w:pPr>
      <w:r w:rsidRPr="0098140B">
        <w:rPr>
          <w:rFonts w:cs="Times New Roman"/>
          <w:szCs w:val="24"/>
        </w:rPr>
        <w:t xml:space="preserve">Determination of accurate and consistent surface free energy (SFE) of binders is an integral part of the moisture-induced damage evaluation of asphalt mixes using thermodynamic principles. Generally, the SFE of a binder is determined by measuring contact angles with different probe liquids using the dynamic Wilhelmy plate (DWP) or sessile drop (SD) test. A number of different theories are currently available to determine the SFE from contact angle measurements. These theories can be divided into two major categories, namely component-based approach and equation of state approach. Component-based approaches rely on dividing the SFE into smaller components, whereas the equation of state approach disqualifies the component-based approach and allow determination of total SFE of binders. Differences in assumptions and mathematical formulations used by these approaches are expected to influence the calculated values of the SFE. Also, for component-based approaches, the selection of probe liquids sets is expected to influence the conditioning of the equation sets, hence, </w:t>
      </w:r>
      <w:r w:rsidRPr="0098140B">
        <w:rPr>
          <w:rFonts w:cs="Times New Roman"/>
          <w:szCs w:val="24"/>
        </w:rPr>
        <w:lastRenderedPageBreak/>
        <w:t xml:space="preserve">affect the SFE of the binders. Therefore, in this study, differences in the SFE as well as energy parameters of binder-aggregate systems from different component-based approach (Good-van Oss-Choudhary (GvOC), Owens-Wendt and Wu method) and equation of state approach (Neumann method) were investigated. Also, the effects of the probe liquid sets on the SFE of binders were evaluated for GvOC, Owens-Wendt and Wu methods. Several different combinations of five probe liquids, namely water (W), glycerol (G), formamide (F), ethylene glycol (E) and diiodomethane (D) were used for this purpose. The probe liquid sets with consistent SFE components and energy parameters were identified. The results indicated that the consistent energy parameters can be obtained by using WGFDE, WGDE and WFED probe liquid sets by the GvOC and Owens-Wendt method, and WGFDE, WFGD and WFED probe liquid sets by the Wu method. Also, significant differences were observed in the SFE determined using component-based approach and equation of state approach. The results of this study will be helpful in the evaluation and screening of asphalt mixes for moisture-induced induced damage. </w:t>
      </w:r>
    </w:p>
    <w:p w14:paraId="604D60A3" w14:textId="4BE24E1D" w:rsidR="0003506A" w:rsidRPr="0098140B" w:rsidRDefault="0003506A" w:rsidP="00E57694">
      <w:pPr>
        <w:pStyle w:val="Heading2"/>
      </w:pPr>
      <w:bookmarkStart w:id="41" w:name="_Toc71728414"/>
      <w:r w:rsidRPr="0098140B">
        <w:t>INTRODUCTION</w:t>
      </w:r>
      <w:bookmarkEnd w:id="41"/>
    </w:p>
    <w:p w14:paraId="13813212" w14:textId="10F68610" w:rsidR="0003506A" w:rsidRPr="0098140B" w:rsidRDefault="0003506A" w:rsidP="00B036C0">
      <w:pPr>
        <w:ind w:firstLine="720"/>
        <w:rPr>
          <w:rFonts w:cs="Times New Roman"/>
          <w:color w:val="FF0000"/>
          <w:szCs w:val="24"/>
        </w:rPr>
      </w:pPr>
      <w:r w:rsidRPr="0098140B">
        <w:rPr>
          <w:rFonts w:cs="Times New Roman"/>
          <w:szCs w:val="24"/>
        </w:rPr>
        <w:t xml:space="preserve">Moisture-induced damage leads to the deterioration of the mechanical properties of asphalt mixes, and eventually, failure of flexible pavement. </w:t>
      </w:r>
      <w:r w:rsidRPr="0098140B">
        <w:rPr>
          <w:rFonts w:cs="Times New Roman"/>
          <w:iCs/>
          <w:szCs w:val="24"/>
        </w:rPr>
        <w:t xml:space="preserve">According to </w:t>
      </w:r>
      <w:r w:rsidRPr="0098140B">
        <w:rPr>
          <w:rFonts w:cs="Times New Roman"/>
          <w:iCs/>
          <w:szCs w:val="24"/>
        </w:rPr>
        <w:fldChar w:fldCharType="begin"/>
      </w:r>
      <w:r w:rsidR="00B96C8D" w:rsidRPr="0098140B">
        <w:rPr>
          <w:rFonts w:cs="Times New Roman"/>
          <w:iCs/>
          <w:szCs w:val="24"/>
        </w:rPr>
        <w:instrText xml:space="preserve"> ADDIN EN.CITE &lt;EndNote&gt;&lt;Cite AuthorYear="1"&gt;&lt;Author&gt;Caro&lt;/Author&gt;&lt;Year&gt;2008&lt;/Year&gt;&lt;RecNum&gt;81&lt;/RecNum&gt;&lt;DisplayText&gt;Caro et al. (2008a)&lt;/DisplayText&gt;&lt;record&gt;&lt;rec-number&gt;81&lt;/rec-number&gt;&lt;foreign-keys&gt;&lt;key app="EN" db-id="d55vzfpwawdafteedfoxsf0lv0v0wp5va2aa" timestamp="1519484635"&gt;81&lt;/key&gt;&lt;/foreign-keys&gt;&lt;ref-type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1: Mechanisms&lt;/title&gt;&lt;secondary-title&gt;International Journal of Pavement Engineering&lt;/secondary-title&gt;&lt;/titles&gt;&lt;periodical&gt;&lt;full-title&gt;International Journal of Pavement Engineering&lt;/full-title&gt;&lt;/periodical&gt;&lt;pages&gt;81-98&lt;/pages&gt;&lt;volume&gt;9&lt;/volume&gt;&lt;number&gt;2&lt;/number&gt;&lt;dates&gt;&lt;year&gt;2008&lt;/year&gt;&lt;/dates&gt;&lt;isbn&gt;1029-8436&lt;/isbn&gt;&lt;urls&gt;&lt;/urls&gt;&lt;/record&gt;&lt;/Cite&gt;&lt;/EndNote&gt;</w:instrText>
      </w:r>
      <w:r w:rsidRPr="0098140B">
        <w:rPr>
          <w:rFonts w:cs="Times New Roman"/>
          <w:iCs/>
          <w:szCs w:val="24"/>
        </w:rPr>
        <w:fldChar w:fldCharType="separate"/>
      </w:r>
      <w:r w:rsidR="00B96C8D" w:rsidRPr="0098140B">
        <w:rPr>
          <w:rFonts w:cs="Times New Roman"/>
          <w:iCs/>
          <w:noProof/>
          <w:szCs w:val="24"/>
        </w:rPr>
        <w:t>Caro et al. (2008a)</w:t>
      </w:r>
      <w:r w:rsidRPr="0098140B">
        <w:rPr>
          <w:rFonts w:cs="Times New Roman"/>
          <w:iCs/>
          <w:szCs w:val="24"/>
        </w:rPr>
        <w:fldChar w:fldCharType="end"/>
      </w:r>
      <w:r w:rsidRPr="0098140B">
        <w:rPr>
          <w:rFonts w:cs="Times New Roman"/>
          <w:iCs/>
          <w:szCs w:val="24"/>
        </w:rPr>
        <w:t xml:space="preserve">, moisture-induced damage is a two-step mechanism. The first step involves infiltration of the moisture into the pavement either in liquid or vapor state and reaching the binder-aggregate interface. The three primary modes of transport through which moisture can reach the binder-aggregate interface are penetration of surface water with hydrostatic pressure, infusion of water by capillary forces and permeation or diffusion </w:t>
      </w:r>
      <w:r w:rsidRPr="0098140B">
        <w:rPr>
          <w:rFonts w:cs="Times New Roman"/>
          <w:iCs/>
          <w:szCs w:val="24"/>
        </w:rPr>
        <w:lastRenderedPageBreak/>
        <w:t xml:space="preserve">of water vapor </w:t>
      </w:r>
      <w:r w:rsidRPr="0098140B">
        <w:rPr>
          <w:rFonts w:cs="Times New Roman"/>
          <w:iCs/>
          <w:szCs w:val="24"/>
        </w:rPr>
        <w:fldChar w:fldCharType="begin"/>
      </w:r>
      <w:r w:rsidR="00282238">
        <w:rPr>
          <w:rFonts w:cs="Times New Roman"/>
          <w:iCs/>
          <w:szCs w:val="24"/>
        </w:rPr>
        <w:instrText xml:space="preserve"> ADDIN EN.CITE &lt;EndNote&gt;&lt;Cite&gt;&lt;Author&gt;Masad&lt;/Author&gt;&lt;Year&gt;2007&lt;/Year&gt;&lt;RecNum&gt;96&lt;/RecNum&gt;&lt;DisplayText&gt;(Masad et al., 2007; Caro et al., 2008a)&lt;/DisplayText&gt;&lt;record&gt;&lt;rec-number&gt;96&lt;/rec-number&gt;&lt;foreign-keys&gt;&lt;key app="EN" db-id="d55vzfpwawdafteedfoxsf0lv0v0wp5va2aa" timestamp="1521113887"&gt;96&lt;/key&gt;&lt;/foreign-keys&gt;&lt;ref-type name="Journal Article"&gt;17&lt;/ref-type&gt;&lt;contributors&gt;&lt;authors&gt;&lt;author&gt;Masad, Eyad&lt;/author&gt;&lt;author&gt;Arambula, Edit&lt;/author&gt;&lt;author&gt;Ketcham, Richard&lt;/author&gt;&lt;author&gt;Abbas, Ala&lt;/author&gt;&lt;author&gt;Martin, Amy Epps&lt;/author&gt;&lt;/authors&gt;&lt;/contributors&gt;&lt;titles&gt;&lt;title&gt;Nondestructive measurements of moisture transport in asphalt mixtures&lt;/title&gt;&lt;secondary-title&gt;Asphalt Paving Technology-Proceedings&lt;/secondary-title&gt;&lt;/titles&gt;&lt;periodical&gt;&lt;full-title&gt;Asphalt Paving Technology-Proceedings&lt;/full-title&gt;&lt;/periodical&gt;&lt;pages&gt;919&lt;/pages&gt;&lt;volume&gt;76&lt;/volume&gt;&lt;dates&gt;&lt;year&gt;2007&lt;/year&gt;&lt;/dates&gt;&lt;isbn&gt;0270-2932&lt;/isbn&gt;&lt;urls&gt;&lt;/urls&gt;&lt;/record&gt;&lt;/Cite&gt;&lt;Cite&gt;&lt;Author&gt;Caro&lt;/Author&gt;&lt;Year&gt;2008&lt;/Year&gt;&lt;RecNum&gt;81&lt;/RecNum&gt;&lt;record&gt;&lt;rec-number&gt;81&lt;/rec-number&gt;&lt;foreign-keys&gt;&lt;key app="EN" db-id="d55vzfpwawdafteedfoxsf0lv0v0wp5va2aa" timestamp="1519484635"&gt;81&lt;/key&gt;&lt;/foreign-keys&gt;&lt;ref-type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1: Mechanisms&lt;/title&gt;&lt;secondary-title&gt;International Journal of Pavement Engineering&lt;/secondary-title&gt;&lt;/titles&gt;&lt;periodical&gt;&lt;full-title&gt;International Journal of Pavement Engineering&lt;/full-title&gt;&lt;/periodical&gt;&lt;pages&gt;81-98&lt;/pages&gt;&lt;volume&gt;9&lt;/volume&gt;&lt;number&gt;2&lt;/number&gt;&lt;dates&gt;&lt;year&gt;2008&lt;/year&gt;&lt;/dates&gt;&lt;isbn&gt;1029-8436&lt;/isbn&gt;&lt;urls&gt;&lt;/urls&gt;&lt;/record&gt;&lt;/Cite&gt;&lt;/EndNote&gt;</w:instrText>
      </w:r>
      <w:r w:rsidRPr="0098140B">
        <w:rPr>
          <w:rFonts w:cs="Times New Roman"/>
          <w:iCs/>
          <w:szCs w:val="24"/>
        </w:rPr>
        <w:fldChar w:fldCharType="separate"/>
      </w:r>
      <w:r w:rsidR="00282238">
        <w:rPr>
          <w:rFonts w:cs="Times New Roman"/>
          <w:iCs/>
          <w:noProof/>
          <w:szCs w:val="24"/>
        </w:rPr>
        <w:t>(Masad et al., 2007; Caro et al., 2008a)</w:t>
      </w:r>
      <w:r w:rsidRPr="0098140B">
        <w:rPr>
          <w:rFonts w:cs="Times New Roman"/>
          <w:iCs/>
          <w:szCs w:val="24"/>
        </w:rPr>
        <w:fldChar w:fldCharType="end"/>
      </w:r>
      <w:r w:rsidRPr="0098140B">
        <w:rPr>
          <w:rFonts w:cs="Times New Roman"/>
          <w:iCs/>
          <w:szCs w:val="24"/>
        </w:rPr>
        <w:t>. The second step includes the response of the system i.e., adhesive and/or cohesive failures and reduction in the structural capacity of the pavement. Until now, f</w:t>
      </w:r>
      <w:r w:rsidRPr="0098140B">
        <w:rPr>
          <w:rFonts w:cs="Times New Roman"/>
          <w:szCs w:val="24"/>
        </w:rPr>
        <w:t xml:space="preserve">ive different theories have been proposed by researchers to explain the adhesion bonding in binder-aggregate system: weak boundary layer theory, electrostatic theory, chemical bonding theory, mechanical bonding theory and thermodynamic theory </w:t>
      </w:r>
      <w:r w:rsidRPr="0098140B">
        <w:rPr>
          <w:rFonts w:cs="Times New Roman"/>
          <w:szCs w:val="24"/>
        </w:rPr>
        <w:fldChar w:fldCharType="begin"/>
      </w:r>
      <w:r w:rsidR="00282238">
        <w:rPr>
          <w:rFonts w:cs="Times New Roman"/>
          <w:szCs w:val="24"/>
        </w:rPr>
        <w:instrText xml:space="preserve"> ADDIN EN.CITE &lt;EndNote&gt;&lt;Cite&gt;&lt;Author&gt;Hefer&lt;/Author&gt;&lt;Year&gt;2005&lt;/Year&gt;&lt;RecNum&gt;87&lt;/RecNum&gt;&lt;DisplayText&gt;(Hefer et al., 2005; Caro et al., 2008a)&lt;/DisplayText&gt;&lt;record&gt;&lt;rec-number&gt;87&lt;/rec-number&gt;&lt;foreign-keys&gt;&lt;key app="EN" db-id="d55vzfpwawdafteedfoxsf0lv0v0wp5va2aa" timestamp="1519496321"&gt;87&lt;/key&gt;&lt;/foreign-keys&gt;&lt;ref-type name="Journal Article"&gt;17&lt;/ref-type&gt;&lt;contributors&gt;&lt;authors&gt;&lt;author&gt;Hefer, Arno W&lt;/author&gt;&lt;author&gt;Little, Dallas N&lt;/author&gt;&lt;author&gt;Lytton, Robert L&lt;/author&gt;&lt;/authors&gt;&lt;/contributors&gt;&lt;titles&gt;&lt;title&gt;A Synthesis of Theories and Mechanisms of Bitumen-Aggregate Adhesion Including Recent Advances in Quantifying the Effects of Water&lt;/title&gt;&lt;secondary-title&gt;Journal of the association of asphalt paving technologists&lt;/secondary-title&gt;&lt;/titles&gt;&lt;periodical&gt;&lt;full-title&gt;Journal of the Association of Asphalt Paving Technologists&lt;/full-title&gt;&lt;/periodical&gt;&lt;pages&gt;139-196&lt;/pages&gt;&lt;volume&gt;74&lt;/volume&gt;&lt;dates&gt;&lt;year&gt;2005&lt;/year&gt;&lt;/dates&gt;&lt;urls&gt;&lt;/urls&gt;&lt;/record&gt;&lt;/Cite&gt;&lt;Cite&gt;&lt;Author&gt;Caro&lt;/Author&gt;&lt;Year&gt;2008&lt;/Year&gt;&lt;RecNum&gt;81&lt;/RecNum&gt;&lt;record&gt;&lt;rec-number&gt;81&lt;/rec-number&gt;&lt;foreign-keys&gt;&lt;key app="EN" db-id="d55vzfpwawdafteedfoxsf0lv0v0wp5va2aa" timestamp="1519484635"&gt;81&lt;/key&gt;&lt;/foreign-keys&gt;&lt;ref-type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1: Mechanisms&lt;/title&gt;&lt;secondary-title&gt;International Journal of Pavement Engineering&lt;/secondary-title&gt;&lt;/titles&gt;&lt;periodical&gt;&lt;full-title&gt;International Journal of Pavement Engineering&lt;/full-title&gt;&lt;/periodical&gt;&lt;pages&gt;81-98&lt;/pages&gt;&lt;volume&gt;9&lt;/volume&gt;&lt;number&gt;2&lt;/number&gt;&lt;dates&gt;&lt;year&gt;2008&lt;/year&gt;&lt;/dates&gt;&lt;isbn&gt;1029-8436&lt;/isbn&gt;&lt;urls&gt;&lt;/urls&gt;&lt;/record&gt;&lt;/Cite&gt;&lt;/EndNote&gt;</w:instrText>
      </w:r>
      <w:r w:rsidRPr="0098140B">
        <w:rPr>
          <w:rFonts w:cs="Times New Roman"/>
          <w:szCs w:val="24"/>
        </w:rPr>
        <w:fldChar w:fldCharType="separate"/>
      </w:r>
      <w:r w:rsidR="00282238">
        <w:rPr>
          <w:rFonts w:cs="Times New Roman"/>
          <w:noProof/>
          <w:szCs w:val="24"/>
        </w:rPr>
        <w:t>(Hefer et al., 2005; Caro et al., 2008a)</w:t>
      </w:r>
      <w:r w:rsidRPr="0098140B">
        <w:rPr>
          <w:rFonts w:cs="Times New Roman"/>
          <w:szCs w:val="24"/>
        </w:rPr>
        <w:fldChar w:fldCharType="end"/>
      </w:r>
      <w:r w:rsidRPr="0098140B">
        <w:rPr>
          <w:rFonts w:cs="Times New Roman"/>
          <w:szCs w:val="24"/>
        </w:rPr>
        <w:t xml:space="preserve">. The details associated with the mechanisms and capabilities of these theories to evaluate moisture-induced damage on a quantitative basis were explained by </w:t>
      </w:r>
      <w:r w:rsidRPr="0098140B">
        <w:rPr>
          <w:rFonts w:cs="Times New Roman"/>
          <w:szCs w:val="24"/>
        </w:rPr>
        <w:fldChar w:fldCharType="begin"/>
      </w:r>
      <w:r w:rsidRPr="0098140B">
        <w:rPr>
          <w:rFonts w:cs="Times New Roman"/>
          <w:szCs w:val="24"/>
        </w:rPr>
        <w:instrText xml:space="preserve"> ADDIN EN.CITE &lt;EndNote&gt;&lt;Cite AuthorYear="1"&gt;&lt;Author&gt;Hefer&lt;/Author&gt;&lt;Year&gt;2005&lt;/Year&gt;&lt;RecNum&gt;87&lt;/RecNum&gt;&lt;DisplayText&gt;Hefer et al. (2005)&lt;/DisplayText&gt;&lt;record&gt;&lt;rec-number&gt;87&lt;/rec-number&gt;&lt;foreign-keys&gt;&lt;key app="EN" db-id="d55vzfpwawdafteedfoxsf0lv0v0wp5va2aa" timestamp="1519496321"&gt;87&lt;/key&gt;&lt;/foreign-keys&gt;&lt;ref-type name="Journal Article"&gt;17&lt;/ref-type&gt;&lt;contributors&gt;&lt;authors&gt;&lt;author&gt;Hefer, Arno W&lt;/author&gt;&lt;author&gt;Little, Dallas N&lt;/author&gt;&lt;author&gt;Lytton, Robert L&lt;/author&gt;&lt;/authors&gt;&lt;/contributors&gt;&lt;titles&gt;&lt;title&gt;A Synthesis of Theories and Mechanisms of Bitumen-Aggregate Adhesion Including Recent Advances in Quantifying the Effects of Water&lt;/title&gt;&lt;secondary-title&gt;Journal of the association of asphalt paving technologists&lt;/secondary-title&gt;&lt;/titles&gt;&lt;periodical&gt;&lt;full-title&gt;Journal of the Association of Asphalt Paving Technologists&lt;/full-title&gt;&lt;/periodical&gt;&lt;pages&gt;139-196&lt;/pages&gt;&lt;volume&gt;74&lt;/volume&gt;&lt;dates&gt;&lt;year&gt;2005&lt;/year&gt;&lt;/dates&gt;&lt;urls&gt;&lt;/urls&gt;&lt;/record&gt;&lt;/Cite&gt;&lt;/EndNote&gt;</w:instrText>
      </w:r>
      <w:r w:rsidRPr="0098140B">
        <w:rPr>
          <w:rFonts w:cs="Times New Roman"/>
          <w:szCs w:val="24"/>
        </w:rPr>
        <w:fldChar w:fldCharType="separate"/>
      </w:r>
      <w:r w:rsidRPr="0098140B">
        <w:rPr>
          <w:rFonts w:cs="Times New Roman"/>
          <w:noProof/>
          <w:szCs w:val="24"/>
        </w:rPr>
        <w:t>Hefer et al. (2005)</w:t>
      </w:r>
      <w:r w:rsidRPr="0098140B">
        <w:rPr>
          <w:rFonts w:cs="Times New Roman"/>
          <w:szCs w:val="24"/>
        </w:rPr>
        <w:fldChar w:fldCharType="end"/>
      </w:r>
      <w:r w:rsidRPr="0098140B">
        <w:rPr>
          <w:rFonts w:cs="Times New Roman"/>
          <w:szCs w:val="24"/>
        </w:rPr>
        <w:t xml:space="preserve">. Among these theories, the thermodynamic theory using the surface free energy (SFE) concept was reported to have the potential to quantify the adhesion of a binder-aggregate system </w:t>
      </w:r>
      <w:r w:rsidRPr="0098140B">
        <w:rPr>
          <w:rFonts w:cs="Times New Roman"/>
          <w:szCs w:val="24"/>
        </w:rPr>
        <w:fldChar w:fldCharType="begin"/>
      </w:r>
      <w:r w:rsidR="00282238">
        <w:rPr>
          <w:rFonts w:cs="Times New Roman"/>
          <w:szCs w:val="24"/>
        </w:rPr>
        <w:instrText xml:space="preserve"> ADDIN EN.CITE &lt;EndNote&gt;&lt;Cite&gt;&lt;Author&gt;Caro&lt;/Author&gt;&lt;Year&gt;2008&lt;/Year&gt;&lt;RecNum&gt;81&lt;/RecNum&gt;&lt;DisplayText&gt;(Bhasin et al., 2007b; Caro et al., 2008a)&lt;/DisplayText&gt;&lt;record&gt;&lt;rec-number&gt;81&lt;/rec-number&gt;&lt;foreign-keys&gt;&lt;key app="EN" db-id="d55vzfpwawdafteedfoxsf0lv0v0wp5va2aa" timestamp="1519484635"&gt;81&lt;/key&gt;&lt;/foreign-keys&gt;&lt;ref-type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1: Mechanisms&lt;/title&gt;&lt;secondary-title&gt;International Journal of Pavement Engineering&lt;/secondary-title&gt;&lt;/titles&gt;&lt;periodical&gt;&lt;full-title&gt;International Journal of Pavement Engineering&lt;/full-title&gt;&lt;/periodical&gt;&lt;pages&gt;81-98&lt;/pages&gt;&lt;volume&gt;9&lt;/volume&gt;&lt;number&gt;2&lt;/number&gt;&lt;dates&gt;&lt;year&gt;2008&lt;/year&gt;&lt;/dates&gt;&lt;isbn&gt;1029-8436&lt;/isbn&gt;&lt;urls&gt;&lt;/urls&gt;&lt;/record&gt;&lt;/Cite&gt;&lt;Cite&gt;&lt;Author&gt;Bhasin&lt;/Author&gt;&lt;Year&gt;2007&lt;/Year&gt;&lt;RecNum&gt;26&lt;/RecNum&gt;&lt;record&gt;&lt;rec-number&gt;26&lt;/rec-number&gt;&lt;foreign-keys&gt;&lt;key app="EN" db-id="d55vzfpwawdafteedfoxsf0lv0v0wp5va2aa" timestamp="1509901161"&gt;26&lt;/key&gt;&lt;/foreign-keys&gt;&lt;ref-type name="Journal Article"&gt;17&lt;/ref-type&gt;&lt;contributors&gt;&lt;authors&gt;&lt;author&gt;Bhasin, Amit&lt;/author&gt;&lt;author&gt;Little, Dallas&lt;/author&gt;&lt;author&gt;Vasconcelos, Kamilla&lt;/author&gt;&lt;author&gt;Masad, Eyad&lt;/author&gt;&lt;/authors&gt;&lt;/contributors&gt;&lt;titles&gt;&lt;title&gt;Surface Free Energy to Identify Moisture Sensitivity of Materials for Asphalt Mixes&lt;/title&gt;&lt;secondary-title&gt;Transportation Research Record: Journal of the Transportation Research Board&lt;/secondary-title&gt;&lt;/titles&gt;&lt;periodical&gt;&lt;full-title&gt;Transportation Research Record: Journal of the Transportation Research Board&lt;/full-title&gt;&lt;/periodical&gt;&lt;pages&gt;37-45&lt;/pages&gt;&lt;number&gt;2001&lt;/number&gt;&lt;dates&gt;&lt;year&gt;2007&lt;/year&gt;&lt;/dates&gt;&lt;isbn&gt;0361-1981&lt;/isbn&gt;&lt;urls&gt;&lt;/urls&gt;&lt;/record&gt;&lt;/Cite&gt;&lt;/EndNote&gt;</w:instrText>
      </w:r>
      <w:r w:rsidRPr="0098140B">
        <w:rPr>
          <w:rFonts w:cs="Times New Roman"/>
          <w:szCs w:val="24"/>
        </w:rPr>
        <w:fldChar w:fldCharType="separate"/>
      </w:r>
      <w:r w:rsidR="00282238">
        <w:rPr>
          <w:rFonts w:cs="Times New Roman"/>
          <w:noProof/>
          <w:szCs w:val="24"/>
        </w:rPr>
        <w:t>(Bhasin et al., 2007b; Caro et al., 2008a)</w:t>
      </w:r>
      <w:r w:rsidRPr="0098140B">
        <w:rPr>
          <w:rFonts w:cs="Times New Roman"/>
          <w:szCs w:val="24"/>
        </w:rPr>
        <w:fldChar w:fldCharType="end"/>
      </w:r>
      <w:r w:rsidRPr="0098140B">
        <w:rPr>
          <w:rFonts w:cs="Times New Roman"/>
          <w:szCs w:val="24"/>
        </w:rPr>
        <w:t xml:space="preserve">. Several energy parameters from the surface free energy (SFE) concept, namely work of adhesion, work of debonding and energy ratios, have been used by researchers to determine moisture susceptibilities of asphalt mixes </w:t>
      </w:r>
      <w:r w:rsidRPr="0098140B">
        <w:rPr>
          <w:rFonts w:cs="Times New Roman"/>
          <w:szCs w:val="24"/>
        </w:rPr>
        <w:fldChar w:fldCharType="begin">
          <w:fldData xml:space="preserve">PEVuZE5vdGU+PENpdGU+PEF1dGhvcj5aaGFuZzwvQXV0aG9yPjxZZWFyPjIwMTg8L1llYXI+PFJl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</w:fldData>
        </w:fldChar>
      </w:r>
      <w:r w:rsidR="00282238">
        <w:rPr>
          <w:rFonts w:cs="Times New Roman"/>
          <w:szCs w:val="24"/>
        </w:rPr>
        <w:instrText xml:space="preserve"> ADDIN EN.CITE </w:instrText>
      </w:r>
      <w:r w:rsidR="00282238">
        <w:rPr>
          <w:rFonts w:cs="Times New Roman"/>
          <w:szCs w:val="24"/>
        </w:rPr>
        <w:fldChar w:fldCharType="begin">
          <w:fldData xml:space="preserve">PEVuZE5vdGU+PENpdGU+PEF1dGhvcj5aaGFuZzwvQXV0aG9yPjxZZWFyPjIwMTg8L1llYXI+PFJl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</w:fldData>
        </w:fldChar>
      </w:r>
      <w:r w:rsidR="00282238">
        <w:rPr>
          <w:rFonts w:cs="Times New Roman"/>
          <w:szCs w:val="24"/>
        </w:rPr>
        <w:instrText xml:space="preserve"> ADDIN EN.CITE.DATA </w:instrText>
      </w:r>
      <w:r w:rsidR="00282238">
        <w:rPr>
          <w:rFonts w:cs="Times New Roman"/>
          <w:szCs w:val="24"/>
        </w:rPr>
      </w:r>
      <w:r w:rsidR="00282238">
        <w:rPr>
          <w:rFonts w:cs="Times New Roman"/>
          <w:szCs w:val="24"/>
        </w:rPr>
        <w:fldChar w:fldCharType="end"/>
      </w:r>
      <w:r w:rsidRPr="0098140B">
        <w:rPr>
          <w:rFonts w:cs="Times New Roman"/>
          <w:szCs w:val="24"/>
        </w:rPr>
      </w:r>
      <w:r w:rsidRPr="0098140B">
        <w:rPr>
          <w:rFonts w:cs="Times New Roman"/>
          <w:szCs w:val="24"/>
        </w:rPr>
        <w:fldChar w:fldCharType="separate"/>
      </w:r>
      <w:r w:rsidR="00282238">
        <w:rPr>
          <w:rFonts w:cs="Times New Roman"/>
          <w:noProof/>
          <w:szCs w:val="24"/>
        </w:rPr>
        <w:t>(Little and Bhasin, 2006; Bhasin et al., 2007b; Zhang and Liu, 2018)</w:t>
      </w:r>
      <w:r w:rsidRPr="0098140B">
        <w:rPr>
          <w:rFonts w:cs="Times New Roman"/>
          <w:szCs w:val="24"/>
        </w:rPr>
        <w:fldChar w:fldCharType="end"/>
      </w:r>
    </w:p>
    <w:p w14:paraId="5E6AA2BF" w14:textId="55A13723" w:rsidR="0003506A" w:rsidRPr="0098140B" w:rsidRDefault="0003506A" w:rsidP="006378AA">
      <w:pPr>
        <w:ind w:firstLine="720"/>
        <w:rPr>
          <w:rFonts w:cs="Times New Roman"/>
          <w:szCs w:val="24"/>
        </w:rPr>
      </w:pPr>
      <w:r w:rsidRPr="0098140B">
        <w:rPr>
          <w:rFonts w:cs="Times New Roman"/>
          <w:szCs w:val="24"/>
        </w:rPr>
        <w:t xml:space="preserve">Thermodynamic theory is one of the most widely used concepts in adhesion science </w:t>
      </w:r>
      <w:r w:rsidRPr="0098140B">
        <w:rPr>
          <w:rFonts w:cs="Times New Roman"/>
          <w:szCs w:val="24"/>
        </w:rPr>
        <w:fldChar w:fldCharType="begin"/>
      </w:r>
      <w:r w:rsidR="00282238">
        <w:rPr>
          <w:rFonts w:cs="Times New Roman"/>
          <w:szCs w:val="24"/>
        </w:rPr>
        <w:instrText xml:space="preserve"> ADDIN EN.CITE &lt;EndNote&gt;&lt;Cite&gt;&lt;Author&gt;Hefer&lt;/Author&gt;&lt;Year&gt;2005&lt;/Year&gt;&lt;RecNum&gt;87&lt;/RecNum&gt;&lt;DisplayText&gt;(Hefer et al., 2005)&lt;/DisplayText&gt;&lt;record&gt;&lt;rec-number&gt;87&lt;/rec-number&gt;&lt;foreign-keys&gt;&lt;key app="EN" db-id="d55vzfpwawdafteedfoxsf0lv0v0wp5va2aa" timestamp="1519496321"&gt;87&lt;/key&gt;&lt;/foreign-keys&gt;&lt;ref-type name="Journal Article"&gt;17&lt;/ref-type&gt;&lt;contributors&gt;&lt;authors&gt;&lt;author&gt;Hefer, Arno W&lt;/author&gt;&lt;author&gt;Little, Dallas N&lt;/author&gt;&lt;author&gt;Lytton, Robert L&lt;/author&gt;&lt;/authors&gt;&lt;/contributors&gt;&lt;titles&gt;&lt;title&gt;A Synthesis of Theories and Mechanisms of Bitumen-Aggregate Adhesion Including Recent Advances in Quantifying the Effects of Water&lt;/title&gt;&lt;secondary-title&gt;Journal of the association of asphalt paving technologists&lt;/secondary-title&gt;&lt;/titles&gt;&lt;periodical&gt;&lt;full-title&gt;Journal of the Association of Asphalt Paving Technologists&lt;/full-title&gt;&lt;/periodical&gt;&lt;pages&gt;139-196&lt;/pages&gt;&lt;volume&gt;74&lt;/volume&gt;&lt;dates&gt;&lt;year&gt;2005&lt;/year&gt;&lt;/dates&gt;&lt;urls&gt;&lt;/urls&gt;&lt;/record&gt;&lt;/Cite&gt;&lt;/EndNote&gt;</w:instrText>
      </w:r>
      <w:r w:rsidRPr="0098140B">
        <w:rPr>
          <w:rFonts w:cs="Times New Roman"/>
          <w:szCs w:val="24"/>
        </w:rPr>
        <w:fldChar w:fldCharType="separate"/>
      </w:r>
      <w:r w:rsidR="00282238">
        <w:rPr>
          <w:rFonts w:cs="Times New Roman"/>
          <w:noProof/>
          <w:szCs w:val="24"/>
        </w:rPr>
        <w:t>(Hefer et al., 2005)</w:t>
      </w:r>
      <w:r w:rsidRPr="0098140B">
        <w:rPr>
          <w:rFonts w:cs="Times New Roman"/>
          <w:szCs w:val="24"/>
        </w:rPr>
        <w:fldChar w:fldCharType="end"/>
      </w:r>
      <w:r w:rsidRPr="0098140B">
        <w:rPr>
          <w:rFonts w:cs="Times New Roman"/>
          <w:szCs w:val="24"/>
        </w:rPr>
        <w:t xml:space="preserve">. According to this theory, the physio-chemical adhesion between two materials is a function of the interfacial and surface free energies of those materials. Generally, molecules in bulk of a material are surrounded by other molecules and have higher bond energy than the molecule on the surface. Therefore, work needs to be done to bring a molecule from the bulk to surface, i.e., to create new surface. The surface free energy of a material depends on the nature and the aggregate state of material, and is strongly associated to the state of equilibrium of the atoms on the </w:t>
      </w:r>
      <w:r w:rsidRPr="0098140B">
        <w:rPr>
          <w:rFonts w:cs="Times New Roman"/>
          <w:szCs w:val="24"/>
        </w:rPr>
        <w:lastRenderedPageBreak/>
        <w:t xml:space="preserve">surface </w:t>
      </w:r>
      <w:r w:rsidRPr="00E64D15">
        <w:rPr>
          <w:rFonts w:cs="Times New Roman"/>
          <w:szCs w:val="24"/>
        </w:rPr>
        <w:fldChar w:fldCharType="begin"/>
      </w:r>
      <w:r w:rsidR="00282238" w:rsidRPr="00E64D15">
        <w:rPr>
          <w:rFonts w:cs="Times New Roman"/>
          <w:szCs w:val="24"/>
        </w:rPr>
        <w:instrText xml:space="preserve"> ADDIN EN.CITE &lt;EndNote&gt;&lt;Cite&gt;&lt;Author&gt;Schuster&lt;/Author&gt;&lt;Year&gt;2015&lt;/Year&gt;&lt;RecNum&gt;240&lt;/RecNum&gt;&lt;DisplayText&gt;(Schuster et al., 2015)&lt;/DisplayText&gt;&lt;record&gt;&lt;rec-number&gt;240&lt;/rec-number&gt;&lt;foreign-keys&gt;&lt;key app="EN" db-id="tfx2va9ropw5p7evdr2pf5rw2vszzx9t0xzs" timestamp="1601674899"&gt;240&lt;/key&gt;&lt;/foreign-keys&gt;&lt;ref-type name="Conference Paper"&gt;47&lt;/ref-type&gt;&lt;contributors&gt;&lt;authors&gt;&lt;author&gt;Schuster, Jonathan Maximiliano&lt;/author&gt;&lt;author&gt;Schvezov, Carlos Enrique&lt;/author&gt;&lt;author&gt;Rosenberger, Mario Roberto&lt;/author&gt;&lt;/authors&gt;&lt;/contributors&gt;&lt;titles&gt;&lt;title&gt;Influence of experimental variables on the measure of contact angle in metals using the sessile drop method&lt;/title&gt;&lt;secondary-title&gt;International Congress of Science and Technology of Metallurgy and Materials, SAM - CONAMET 2013&lt;/secondary-title&gt;&lt;/titles&gt;&lt;dates&gt;&lt;year&gt;2015&lt;/year&gt;&lt;/dates&gt;&lt;isbn&gt;2211-8128&lt;/isbn&gt;&lt;urls&gt;&lt;/urls&gt;&lt;/record&gt;&lt;/Cite&gt;&lt;/EndNote&gt;</w:instrText>
      </w:r>
      <w:r w:rsidRPr="00E64D15">
        <w:rPr>
          <w:rFonts w:cs="Times New Roman"/>
          <w:szCs w:val="24"/>
        </w:rPr>
        <w:fldChar w:fldCharType="separate"/>
      </w:r>
      <w:r w:rsidR="00282238" w:rsidRPr="00E64D15">
        <w:rPr>
          <w:rFonts w:cs="Times New Roman"/>
          <w:noProof/>
          <w:szCs w:val="24"/>
        </w:rPr>
        <w:t>(Schuster et al., 2015)</w:t>
      </w:r>
      <w:r w:rsidRPr="00E64D15">
        <w:rPr>
          <w:rFonts w:cs="Times New Roman"/>
          <w:szCs w:val="24"/>
        </w:rPr>
        <w:fldChar w:fldCharType="end"/>
      </w:r>
      <w:r w:rsidRPr="00E64D15">
        <w:rPr>
          <w:rFonts w:cs="Times New Roman"/>
          <w:szCs w:val="24"/>
        </w:rPr>
        <w:t>. A number of techniques, such as static drop shape techniques, Wilhelmy plate test, capillary wave method, drop weight method</w:t>
      </w:r>
      <w:r w:rsidR="00965B5A" w:rsidRPr="00E64D15">
        <w:rPr>
          <w:rFonts w:cs="Times New Roman"/>
          <w:szCs w:val="24"/>
        </w:rPr>
        <w:t xml:space="preserve"> and </w:t>
      </w:r>
      <w:r w:rsidRPr="00E64D15">
        <w:rPr>
          <w:rFonts w:cs="Times New Roman"/>
          <w:szCs w:val="24"/>
        </w:rPr>
        <w:t xml:space="preserve">oscillating jet method have been developed and are currently being used to measure directly the surface tension or SFE of liquids </w:t>
      </w:r>
      <w:r w:rsidRPr="00E64D15">
        <w:rPr>
          <w:rFonts w:cs="Times New Roman"/>
          <w:szCs w:val="24"/>
        </w:rPr>
        <w:fldChar w:fldCharType="begin"/>
      </w:r>
      <w:r w:rsidR="00282238" w:rsidRPr="00E64D15">
        <w:rPr>
          <w:rFonts w:cs="Times New Roman"/>
          <w:szCs w:val="24"/>
        </w:rPr>
        <w:instrText xml:space="preserve"> ADDIN EN.CITE &lt;EndNote&gt;&lt;Cite&gt;&lt;Author&gt;Lawrence&lt;/Author&gt;&lt;Year&gt;2010&lt;/Year&gt;&lt;RecNum&gt;243&lt;/RecNum&gt;&lt;DisplayText&gt;(Rusanov and Prokhorov, 1996; Hartland, 2004; Lawrence, 2010)&lt;/DisplayText&gt;&lt;record&gt;&lt;rec-number&gt;243&lt;/rec-number&gt;&lt;foreign-keys&gt;&lt;key app="EN" db-id="tfx2va9ropw5p7evdr2pf5rw2vszzx9t0xzs" timestamp="1601675905"&gt;243&lt;/key&gt;&lt;/foreign-keys&gt;&lt;ref-type name="Journal Article"&gt;17&lt;/ref-type&gt;&lt;contributors&gt;&lt;authors&gt;&lt;author&gt;Lawrence, Jeffrey Alan&lt;/author&gt;&lt;/authors&gt;&lt;/contributors&gt;&lt;titles&gt;&lt;title&gt;Self-Assembly and Chemical Patterning on Germanium (100)&lt;/title&gt;&lt;/titles&gt;&lt;dates&gt;&lt;year&gt;2010&lt;/year&gt;&lt;/dates&gt;&lt;urls&gt;&lt;/urls&gt;&lt;/record&gt;&lt;/Cite&gt;&lt;Cite&gt;&lt;Author&gt;Hartland&lt;/Author&gt;&lt;Year&gt;2004&lt;/Year&gt;&lt;RecNum&gt;244&lt;/RecNum&gt;&lt;record&gt;&lt;rec-number&gt;244&lt;/rec-number&gt;&lt;foreign-keys&gt;&lt;key app="EN" db-id="tfx2va9ropw5p7evdr2pf5rw2vszzx9t0xzs" timestamp="1601675960"&gt;244&lt;/key&gt;&lt;/foreign-keys&gt;&lt;ref-type name="Book"&gt;6&lt;/ref-type&gt;&lt;contributors&gt;&lt;authors&gt;&lt;author&gt;Hartland, Stanley&lt;/author&gt;&lt;/authors&gt;&lt;/contributors&gt;&lt;titles&gt;&lt;title&gt;Surface and interfacial tension: measurement, theory, and applications&lt;/title&gt;&lt;/titles&gt;&lt;dates&gt;&lt;year&gt;2004&lt;/year&gt;&lt;/dates&gt;&lt;publisher&gt;CRC Press&lt;/publisher&gt;&lt;isbn&gt;0824751361&lt;/isbn&gt;&lt;urls&gt;&lt;/urls&gt;&lt;/record&gt;&lt;/Cite&gt;&lt;Cite&gt;&lt;Author&gt;Rusanov&lt;/Author&gt;&lt;Year&gt;1996&lt;/Year&gt;&lt;RecNum&gt;245&lt;/RecNum&gt;&lt;record&gt;&lt;rec-number&gt;245&lt;/rec-number&gt;&lt;foreign-keys&gt;&lt;key app="EN" db-id="tfx2va9ropw5p7evdr2pf5rw2vszzx9t0xzs" timestamp="1601676121"&gt;245&lt;/key&gt;&lt;/foreign-keys&gt;&lt;ref-type name="Book"&gt;6&lt;/ref-type&gt;&lt;contributors&gt;&lt;authors&gt;&lt;author&gt;Rusanov, Anatoliĭ Ivanovich&lt;/author&gt;&lt;author&gt;Prokhorov, Viktor Aleksandrovich&lt;/author&gt;&lt;/authors&gt;&lt;/contributors&gt;&lt;titles&gt;&lt;title&gt;Interfacial tensiometry&lt;/title&gt;&lt;/titles&gt;&lt;dates&gt;&lt;year&gt;1996&lt;/year&gt;&lt;/dates&gt;&lt;publisher&gt;Elsevier&lt;/publisher&gt;&lt;isbn&gt;0080544657&lt;/isbn&gt;&lt;urls&gt;&lt;/urls&gt;&lt;/record&gt;&lt;/Cite&gt;&lt;/EndNote&gt;</w:instrText>
      </w:r>
      <w:r w:rsidRPr="00E64D15">
        <w:rPr>
          <w:rFonts w:cs="Times New Roman"/>
          <w:szCs w:val="24"/>
        </w:rPr>
        <w:fldChar w:fldCharType="separate"/>
      </w:r>
      <w:r w:rsidR="00282238" w:rsidRPr="00E64D15">
        <w:rPr>
          <w:rFonts w:cs="Times New Roman"/>
          <w:noProof/>
          <w:szCs w:val="24"/>
        </w:rPr>
        <w:t>(Rusanov and Prokhorov, 1996; Hartland, 2004; Lawrence, 2010)</w:t>
      </w:r>
      <w:r w:rsidRPr="00E64D15">
        <w:rPr>
          <w:rFonts w:cs="Times New Roman"/>
          <w:szCs w:val="24"/>
        </w:rPr>
        <w:fldChar w:fldCharType="end"/>
      </w:r>
      <w:r w:rsidRPr="00E64D15">
        <w:rPr>
          <w:rFonts w:cs="Times New Roman"/>
          <w:szCs w:val="24"/>
        </w:rPr>
        <w:t>. However, direct measurements of the SFE of solid surfaces are difficult due to the immobility of mol</w:t>
      </w:r>
      <w:r w:rsidRPr="0098140B">
        <w:rPr>
          <w:rFonts w:cs="Times New Roman"/>
          <w:szCs w:val="24"/>
        </w:rPr>
        <w:t xml:space="preserve">ecules in a solid phase. Therefore, indirect techniques are used to determine the SFE of solids. Several indirect techniques, such as force measurements between two elastic bodies, measurements of contact angle with different probe liquids, flotation of film technique, sedimentation experiment, capillary columns method and calculation of dispersion forces are being used by different researchers </w:t>
      </w:r>
      <w:r w:rsidRPr="0098140B">
        <w:rPr>
          <w:rFonts w:cs="Times New Roman"/>
          <w:szCs w:val="24"/>
        </w:rPr>
        <w:fldChar w:fldCharType="begin">
          <w:fldData xml:space="preserve">PEVuZE5vdGU+PENpdGU+PEF1dGhvcj5Gb3drZXM8L0F1dGhvcj48WWVhcj4xOTY0PC9ZZWFyPjxS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</w:fldData>
        </w:fldChar>
      </w:r>
      <w:r w:rsidR="00282238">
        <w:rPr>
          <w:rFonts w:cs="Times New Roman"/>
          <w:szCs w:val="24"/>
        </w:rPr>
        <w:instrText xml:space="preserve"> ADDIN EN.CITE </w:instrText>
      </w:r>
      <w:r w:rsidR="00282238">
        <w:rPr>
          <w:rFonts w:cs="Times New Roman"/>
          <w:szCs w:val="24"/>
        </w:rPr>
        <w:fldChar w:fldCharType="begin">
          <w:fldData xml:space="preserve">PEVuZE5vdGU+PENpdGU+PEF1dGhvcj5Gb3drZXM8L0F1dGhvcj48WWVhcj4xOTY0PC9ZZWFyPjxS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</w:fldData>
        </w:fldChar>
      </w:r>
      <w:r w:rsidR="00282238">
        <w:rPr>
          <w:rFonts w:cs="Times New Roman"/>
          <w:szCs w:val="24"/>
        </w:rPr>
        <w:instrText xml:space="preserve"> ADDIN EN.CITE.DATA </w:instrText>
      </w:r>
      <w:r w:rsidR="00282238">
        <w:rPr>
          <w:rFonts w:cs="Times New Roman"/>
          <w:szCs w:val="24"/>
        </w:rPr>
      </w:r>
      <w:r w:rsidR="00282238">
        <w:rPr>
          <w:rFonts w:cs="Times New Roman"/>
          <w:szCs w:val="24"/>
        </w:rPr>
        <w:fldChar w:fldCharType="end"/>
      </w:r>
      <w:r w:rsidRPr="0098140B">
        <w:rPr>
          <w:rFonts w:cs="Times New Roman"/>
          <w:szCs w:val="24"/>
        </w:rPr>
      </w:r>
      <w:r w:rsidRPr="0098140B">
        <w:rPr>
          <w:rFonts w:cs="Times New Roman"/>
          <w:szCs w:val="24"/>
        </w:rPr>
        <w:fldChar w:fldCharType="separate"/>
      </w:r>
      <w:r w:rsidR="00282238">
        <w:rPr>
          <w:rFonts w:cs="Times New Roman"/>
          <w:noProof/>
          <w:szCs w:val="24"/>
        </w:rPr>
        <w:t>(Fowkes, 1964; Owens and Wendt, 1969; Johnson et al., 1971; Israelachvili and Tabor, 1972; Vargha-Butler et al., 1985; Van Oss et al., 1988; Fuerstenau et al., 1990; Grundke et al., 1996)</w:t>
      </w:r>
      <w:r w:rsidRPr="0098140B">
        <w:rPr>
          <w:rFonts w:cs="Times New Roman"/>
          <w:szCs w:val="24"/>
        </w:rPr>
        <w:fldChar w:fldCharType="end"/>
      </w:r>
      <w:r w:rsidRPr="0098140B">
        <w:rPr>
          <w:rFonts w:cs="Times New Roman"/>
          <w:szCs w:val="24"/>
        </w:rPr>
        <w:t xml:space="preserve">. Among these methods, the measurement of contact angles with different probe liquids is most commonly used for calculating SFE of a solid surface. </w:t>
      </w:r>
    </w:p>
    <w:p w14:paraId="3BF25ACB" w14:textId="1BD8E913" w:rsidR="0003506A" w:rsidRPr="00E64D15" w:rsidRDefault="0003506A" w:rsidP="006378AA">
      <w:pPr>
        <w:ind w:firstLine="720"/>
        <w:rPr>
          <w:rFonts w:cs="Times New Roman"/>
          <w:szCs w:val="24"/>
        </w:rPr>
      </w:pPr>
      <w:r w:rsidRPr="0098140B">
        <w:rPr>
          <w:rFonts w:cs="Times New Roman"/>
          <w:szCs w:val="24"/>
        </w:rPr>
        <w:t xml:space="preserve">Calculation of the SFE of a solid surface from contact angles is based on the principle first proposed by Young approximately 200 years ago </w:t>
      </w:r>
      <w:r w:rsidRPr="0098140B">
        <w:rPr>
          <w:rFonts w:cs="Times New Roman"/>
          <w:szCs w:val="24"/>
        </w:rPr>
        <w:fldChar w:fldCharType="begin"/>
      </w:r>
      <w:r w:rsidR="00282238">
        <w:rPr>
          <w:rFonts w:cs="Times New Roman"/>
          <w:szCs w:val="24"/>
        </w:rPr>
        <w:instrText xml:space="preserve"> ADDIN EN.CITE &lt;EndNote&gt;&lt;Cite&gt;&lt;Author&gt;Young&lt;/Author&gt;&lt;Year&gt;1805&lt;/Year&gt;&lt;RecNum&gt;254&lt;/RecNum&gt;&lt;DisplayText&gt;(Young, 1805)&lt;/DisplayText&gt;&lt;record&gt;&lt;rec-number&gt;254&lt;/rec-number&gt;&lt;foreign-keys&gt;&lt;key app="EN" db-id="tfx2va9ropw5p7evdr2pf5rw2vszzx9t0xzs" timestamp="1601706642"&gt;254&lt;/key&gt;&lt;/foreign-keys&gt;&lt;ref-type name="Journal Article"&gt;17&lt;/ref-type&gt;&lt;contributors&gt;&lt;authors&gt;&lt;author&gt;Young, T&lt;/author&gt;&lt;/authors&gt;&lt;/contributors&gt;&lt;titles&gt;&lt;title&gt;Analysis of Interfacial forces&lt;/title&gt;&lt;secondary-title&gt;Philos. Trans. R. Soc. London&lt;/secondary-title&gt;&lt;/titles&gt;&lt;periodical&gt;&lt;full-title&gt;Philos. Trans. R. Soc. London&lt;/full-title&gt;&lt;/periodical&gt;&lt;pages&gt;65-69&lt;/pages&gt;&lt;volume&gt;95&lt;/volume&gt;&lt;dates&gt;&lt;year&gt;1805&lt;/year&gt;&lt;/dates&gt;&lt;urls&gt;&lt;/urls&gt;&lt;/record&gt;&lt;/Cite&gt;&lt;/EndNote&gt;</w:instrText>
      </w:r>
      <w:r w:rsidRPr="0098140B">
        <w:rPr>
          <w:rFonts w:cs="Times New Roman"/>
          <w:szCs w:val="24"/>
        </w:rPr>
        <w:fldChar w:fldCharType="separate"/>
      </w:r>
      <w:r w:rsidR="00282238">
        <w:rPr>
          <w:rFonts w:cs="Times New Roman"/>
          <w:noProof/>
          <w:szCs w:val="24"/>
        </w:rPr>
        <w:t>(Young, 1805)</w:t>
      </w:r>
      <w:r w:rsidRPr="0098140B">
        <w:rPr>
          <w:rFonts w:cs="Times New Roman"/>
          <w:szCs w:val="24"/>
        </w:rPr>
        <w:fldChar w:fldCharType="end"/>
      </w:r>
      <w:r w:rsidRPr="0098140B">
        <w:rPr>
          <w:rFonts w:cs="Times New Roman"/>
          <w:szCs w:val="24"/>
        </w:rPr>
        <w:t>.  Young’s equation (Equation (</w:t>
      </w:r>
      <w:r w:rsidR="00D44C03">
        <w:rPr>
          <w:rFonts w:cs="Times New Roman"/>
          <w:szCs w:val="24"/>
        </w:rPr>
        <w:t>2.</w:t>
      </w:r>
      <w:r w:rsidRPr="0098140B">
        <w:rPr>
          <w:rFonts w:cs="Times New Roman"/>
          <w:szCs w:val="24"/>
        </w:rPr>
        <w:t>1)) states that the contact angle (θ) of a probe liquid on a solid surface can be determined from the mechanical equilibrium of three interfacial tensions, namely the solid-vapor surface tension or SFE of the solid (</w:t>
      </w:r>
      <m:oMath>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S</m:t>
            </m:r>
          </m:sub>
        </m:sSub>
      </m:oMath>
      <w:r w:rsidRPr="0098140B">
        <w:rPr>
          <w:rFonts w:cs="Times New Roman"/>
          <w:szCs w:val="24"/>
        </w:rPr>
        <w:t>), the liquid-vapor surface tension or SFE of the probe liquid (</w:t>
      </w:r>
      <m:oMath>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L</m:t>
            </m:r>
          </m:sub>
        </m:sSub>
      </m:oMath>
      <w:r w:rsidRPr="0098140B">
        <w:rPr>
          <w:rFonts w:cs="Times New Roman"/>
          <w:szCs w:val="24"/>
        </w:rPr>
        <w:t>) and the solid-liquid interfacial tension (</w:t>
      </w:r>
      <m:oMath>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SL</m:t>
            </m:r>
          </m:sub>
        </m:sSub>
      </m:oMath>
      <w:r w:rsidRPr="0098140B">
        <w:rPr>
          <w:rFonts w:eastAsiaTheme="minorEastAsia" w:cs="Times New Roman"/>
          <w:szCs w:val="24"/>
        </w:rPr>
        <w:t>)</w:t>
      </w:r>
      <w:r w:rsidRPr="0098140B">
        <w:rPr>
          <w:rFonts w:cs="Times New Roman"/>
          <w:szCs w:val="24"/>
        </w:rPr>
        <w:t xml:space="preserve">. It should be noted that the subscripts ‘S’ and ‘L’ are used in this study to represent solid and liquid phase, respectively. The contact angle (θ) and the SFE of </w:t>
      </w:r>
      <w:r w:rsidRPr="0098140B">
        <w:rPr>
          <w:rFonts w:cs="Times New Roman"/>
          <w:szCs w:val="24"/>
        </w:rPr>
        <w:lastRenderedPageBreak/>
        <w:t>probe liquid (</w:t>
      </w:r>
      <m:oMath>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L</m:t>
            </m:r>
          </m:sub>
        </m:sSub>
      </m:oMath>
      <w:r w:rsidRPr="0098140B">
        <w:rPr>
          <w:rFonts w:cs="Times New Roman"/>
          <w:szCs w:val="24"/>
        </w:rPr>
        <w:t xml:space="preserve">) are the only </w:t>
      </w:r>
      <w:r w:rsidRPr="00E64D15">
        <w:rPr>
          <w:rFonts w:cs="Times New Roman"/>
          <w:szCs w:val="24"/>
        </w:rPr>
        <w:t>measurable quantities in Young's equation (Equation (</w:t>
      </w:r>
      <w:r w:rsidR="0071112C" w:rsidRPr="00E64D15">
        <w:rPr>
          <w:rFonts w:cs="Times New Roman"/>
          <w:szCs w:val="24"/>
        </w:rPr>
        <w:t>2.</w:t>
      </w:r>
      <w:r w:rsidRPr="00E64D15">
        <w:rPr>
          <w:rFonts w:cs="Times New Roman"/>
          <w:szCs w:val="24"/>
        </w:rPr>
        <w:t xml:space="preserve">1)). Additional assumptions related to the </w:t>
      </w:r>
      <m:oMath>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L</m:t>
            </m:r>
          </m:sub>
        </m:sSub>
      </m:oMath>
      <w:r w:rsidRPr="00E64D15">
        <w:rPr>
          <w:rFonts w:eastAsiaTheme="minorEastAsia" w:cs="Times New Roman"/>
          <w:szCs w:val="24"/>
        </w:rPr>
        <w:t xml:space="preserve">, </w:t>
      </w:r>
      <m:oMath>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S</m:t>
            </m:r>
          </m:sub>
        </m:sSub>
      </m:oMath>
      <w:r w:rsidRPr="00E64D15">
        <w:rPr>
          <w:rFonts w:eastAsiaTheme="minorEastAsia" w:cs="Times New Roman"/>
          <w:szCs w:val="24"/>
        </w:rPr>
        <w:t xml:space="preserve"> and </w:t>
      </w:r>
      <m:oMath>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SL</m:t>
            </m:r>
          </m:sub>
        </m:sSub>
      </m:oMath>
      <w:r w:rsidRPr="00E64D15">
        <w:rPr>
          <w:rFonts w:eastAsiaTheme="minorEastAsia" w:cs="Times New Roman"/>
          <w:szCs w:val="24"/>
        </w:rPr>
        <w:t xml:space="preserve"> are required to solve Equation (</w:t>
      </w:r>
      <w:r w:rsidR="0071112C" w:rsidRPr="00E64D15">
        <w:rPr>
          <w:rFonts w:cs="Times New Roman"/>
          <w:szCs w:val="24"/>
        </w:rPr>
        <w:t>2.</w:t>
      </w:r>
      <w:r w:rsidRPr="00E64D15">
        <w:rPr>
          <w:rFonts w:eastAsiaTheme="minorEastAsia" w:cs="Times New Roman"/>
          <w:szCs w:val="24"/>
        </w:rPr>
        <w:t>1). Dupr</w:t>
      </w:r>
      <w:r w:rsidR="005141AF" w:rsidRPr="005141AF">
        <w:rPr>
          <w:rFonts w:eastAsiaTheme="minorEastAsia" w:cs="Times New Roman"/>
          <w:szCs w:val="24"/>
        </w:rPr>
        <w:t>é</w:t>
      </w:r>
      <w:r w:rsidRPr="00E64D15">
        <w:rPr>
          <w:rFonts w:eastAsiaTheme="minorEastAsia" w:cs="Times New Roman"/>
          <w:szCs w:val="24"/>
        </w:rPr>
        <w:t xml:space="preserve"> proposed Equation (</w:t>
      </w:r>
      <w:r w:rsidR="0071112C" w:rsidRPr="00E64D15">
        <w:rPr>
          <w:rFonts w:cs="Times New Roman"/>
          <w:szCs w:val="24"/>
        </w:rPr>
        <w:t>2.</w:t>
      </w:r>
      <w:r w:rsidRPr="00E64D15">
        <w:rPr>
          <w:rFonts w:eastAsiaTheme="minorEastAsia" w:cs="Times New Roman"/>
          <w:szCs w:val="24"/>
        </w:rPr>
        <w:t>2) to compute the interfacial work of adhesion between a solid and a probe liquid (</w:t>
      </w: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W</m:t>
            </m:r>
          </m:e>
          <m:sub>
            <m:r>
              <w:rPr>
                <w:rFonts w:ascii="Cambria Math" w:eastAsiaTheme="minorEastAsia" w:hAnsi="Cambria Math" w:cs="Times New Roman"/>
                <w:szCs w:val="24"/>
              </w:rPr>
              <m:t>SL</m:t>
            </m:r>
          </m:sub>
        </m:sSub>
        <m:r>
          <w:rPr>
            <w:rFonts w:ascii="Cambria Math" w:eastAsiaTheme="minorEastAsia" w:hAnsi="Cambria Math" w:cs="Times New Roman"/>
            <w:szCs w:val="24"/>
          </w:rPr>
          <m:t>)</m:t>
        </m:r>
      </m:oMath>
      <w:r w:rsidRPr="00E64D15">
        <w:rPr>
          <w:rFonts w:eastAsiaTheme="minorEastAsia" w:cs="Times New Roman"/>
          <w:szCs w:val="24"/>
        </w:rPr>
        <w:t xml:space="preserve"> </w:t>
      </w:r>
      <w:r w:rsidRPr="00E64D15">
        <w:rPr>
          <w:rFonts w:eastAsiaTheme="minorEastAsia" w:cs="Times New Roman"/>
          <w:szCs w:val="24"/>
        </w:rPr>
        <w:fldChar w:fldCharType="begin"/>
      </w:r>
      <w:r w:rsidR="00282238" w:rsidRPr="00E64D15">
        <w:rPr>
          <w:rFonts w:eastAsiaTheme="minorEastAsia" w:cs="Times New Roman"/>
          <w:szCs w:val="24"/>
        </w:rPr>
        <w:instrText xml:space="preserve"> ADDIN EN.CITE &lt;EndNote&gt;&lt;Cite&gt;&lt;Author&gt;Dupré&lt;/Author&gt;&lt;Year&gt;1869&lt;/Year&gt;&lt;RecNum&gt;228&lt;/RecNum&gt;&lt;DisplayText&gt;(Dupré and Dupré, 1869)&lt;/DisplayText&gt;&lt;record&gt;&lt;rec-number&gt;228&lt;/rec-number&gt;&lt;foreign-keys&gt;&lt;key app="EN" db-id="d55vzfpwawdafteedfoxsf0lv0v0wp5va2aa" timestamp="1612938199"&gt;228&lt;/key&gt;&lt;/foreign-keys&gt;&lt;ref-type name="Book"&gt;6&lt;/ref-type&gt;&lt;contributors&gt;&lt;authors&gt;&lt;author&gt;Dupré, Athanase&lt;/author&gt;&lt;author&gt;Dupré, Paul&lt;/author&gt;&lt;/authors&gt;&lt;/contributors&gt;&lt;titles&gt;&lt;title&gt;Théorie mécanique de la chaleur&lt;/title&gt;&lt;/titles&gt;&lt;dates&gt;&lt;year&gt;1869&lt;/year&gt;&lt;/dates&gt;&lt;publisher&gt;Gauthier-Villars&lt;/publisher&gt;&lt;urls&gt;&lt;/urls&gt;&lt;/record&gt;&lt;/Cite&gt;&lt;/EndNote&gt;</w:instrText>
      </w:r>
      <w:r w:rsidRPr="00E64D15">
        <w:rPr>
          <w:rFonts w:eastAsiaTheme="minorEastAsia" w:cs="Times New Roman"/>
          <w:szCs w:val="24"/>
        </w:rPr>
        <w:fldChar w:fldCharType="separate"/>
      </w:r>
      <w:r w:rsidR="00282238" w:rsidRPr="00E64D15">
        <w:rPr>
          <w:rFonts w:eastAsiaTheme="minorEastAsia" w:cs="Times New Roman"/>
          <w:noProof/>
          <w:szCs w:val="24"/>
        </w:rPr>
        <w:t>(Dupré and Dupré, 1869)</w:t>
      </w:r>
      <w:r w:rsidRPr="00E64D15">
        <w:rPr>
          <w:rFonts w:eastAsiaTheme="minorEastAsia" w:cs="Times New Roman"/>
          <w:szCs w:val="24"/>
        </w:rPr>
        <w:fldChar w:fldCharType="end"/>
      </w:r>
      <w:r w:rsidRPr="00E64D15">
        <w:rPr>
          <w:rFonts w:eastAsiaTheme="minorEastAsia" w:cs="Times New Roman"/>
          <w:szCs w:val="24"/>
        </w:rPr>
        <w:t>. Also, Berthelot proposed Equation (</w:t>
      </w:r>
      <w:r w:rsidR="0071112C" w:rsidRPr="00E64D15">
        <w:rPr>
          <w:rFonts w:cs="Times New Roman"/>
          <w:szCs w:val="24"/>
        </w:rPr>
        <w:t>2.</w:t>
      </w:r>
      <w:r w:rsidRPr="00E64D15">
        <w:rPr>
          <w:rFonts w:eastAsiaTheme="minorEastAsia" w:cs="Times New Roman"/>
          <w:szCs w:val="24"/>
        </w:rPr>
        <w:t>3) at the end of the 19</w:t>
      </w:r>
      <w:r w:rsidRPr="00E64D15">
        <w:rPr>
          <w:rFonts w:eastAsiaTheme="minorEastAsia" w:cs="Times New Roman"/>
          <w:szCs w:val="24"/>
          <w:vertAlign w:val="superscript"/>
        </w:rPr>
        <w:t>th</w:t>
      </w:r>
      <w:r w:rsidRPr="00E64D15">
        <w:rPr>
          <w:rFonts w:eastAsiaTheme="minorEastAsia" w:cs="Times New Roman"/>
          <w:szCs w:val="24"/>
        </w:rPr>
        <w:t xml:space="preserve"> century to define the </w:t>
      </w: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W</m:t>
            </m:r>
          </m:e>
          <m:sub>
            <m:r>
              <w:rPr>
                <w:rFonts w:ascii="Cambria Math" w:eastAsiaTheme="minorEastAsia" w:hAnsi="Cambria Math" w:cs="Times New Roman"/>
                <w:szCs w:val="24"/>
              </w:rPr>
              <m:t>SL</m:t>
            </m:r>
          </m:sub>
        </m:sSub>
      </m:oMath>
      <w:r w:rsidRPr="00E64D15">
        <w:rPr>
          <w:rFonts w:eastAsiaTheme="minorEastAsia" w:cs="Times New Roman"/>
          <w:szCs w:val="24"/>
        </w:rPr>
        <w:t xml:space="preserve"> of a solid-liquid system </w:t>
      </w:r>
      <w:r w:rsidRPr="00E64D15">
        <w:rPr>
          <w:rFonts w:eastAsiaTheme="minorEastAsia" w:cs="Times New Roman"/>
          <w:szCs w:val="24"/>
        </w:rPr>
        <w:fldChar w:fldCharType="begin"/>
      </w:r>
      <w:r w:rsidR="00282238" w:rsidRPr="00E64D15">
        <w:rPr>
          <w:rFonts w:eastAsiaTheme="minorEastAsia" w:cs="Times New Roman"/>
          <w:szCs w:val="24"/>
        </w:rPr>
        <w:instrText xml:space="preserve"> ADDIN EN.CITE &lt;EndNote&gt;&lt;Cite&gt;&lt;Author&gt;Kwok&lt;/Author&gt;&lt;Year&gt;1999&lt;/Year&gt;&lt;RecNum&gt;227&lt;/RecNum&gt;&lt;DisplayText&gt;(Kwok and Neumann, 1999)&lt;/DisplayText&gt;&lt;record&gt;&lt;rec-number&gt;227&lt;/rec-number&gt;&lt;foreign-keys&gt;&lt;key app="EN" db-id="d55vzfpwawdafteedfoxsf0lv0v0wp5va2aa" timestamp="1612937237"&gt;227&lt;/key&gt;&lt;/foreign-keys&gt;&lt;ref-type name="Journal Article"&gt;17&lt;/ref-type&gt;&lt;contributors&gt;&lt;authors&gt;&lt;author&gt;Kwok, Daniel Y&lt;/author&gt;&lt;author&gt;Neumann, August W&lt;/author&gt;&lt;/authors&gt;&lt;/contributors&gt;&lt;titles&gt;&lt;title&gt;Contact angle measurement and contact angle interpretation&lt;/title&gt;&lt;secondary-title&gt;Advances in colloid and interface science&lt;/secondary-title&gt;&lt;/titles&gt;&lt;periodical&gt;&lt;full-title&gt;Advances in colloid and interface science&lt;/full-title&gt;&lt;/periodical&gt;&lt;pages&gt;167-249&lt;/pages&gt;&lt;volume&gt;81&lt;/volume&gt;&lt;number&gt;3&lt;/number&gt;&lt;dates&gt;&lt;year&gt;1999&lt;/year&gt;&lt;/dates&gt;&lt;isbn&gt;0001-8686&lt;/isbn&gt;&lt;urls&gt;&lt;/urls&gt;&lt;/record&gt;&lt;/Cite&gt;&lt;/EndNote&gt;</w:instrText>
      </w:r>
      <w:r w:rsidRPr="00E64D15">
        <w:rPr>
          <w:rFonts w:eastAsiaTheme="minorEastAsia" w:cs="Times New Roman"/>
          <w:szCs w:val="24"/>
        </w:rPr>
        <w:fldChar w:fldCharType="separate"/>
      </w:r>
      <w:r w:rsidR="00282238" w:rsidRPr="00E64D15">
        <w:rPr>
          <w:rFonts w:eastAsiaTheme="minorEastAsia" w:cs="Times New Roman"/>
          <w:noProof/>
          <w:szCs w:val="24"/>
        </w:rPr>
        <w:t>(Kwok and Neumann, 1999)</w:t>
      </w:r>
      <w:r w:rsidRPr="00E64D15">
        <w:rPr>
          <w:rFonts w:eastAsiaTheme="minorEastAsia" w:cs="Times New Roman"/>
          <w:szCs w:val="24"/>
        </w:rPr>
        <w:fldChar w:fldCharType="end"/>
      </w:r>
      <w:r w:rsidRPr="00E64D15">
        <w:rPr>
          <w:rFonts w:eastAsiaTheme="minorEastAsia" w:cs="Times New Roman"/>
          <w:szCs w:val="24"/>
        </w:rPr>
        <w:t xml:space="preserve">. The </w:t>
      </w: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W</m:t>
            </m:r>
          </m:e>
          <m:sub>
            <m:r>
              <w:rPr>
                <w:rFonts w:ascii="Cambria Math" w:eastAsiaTheme="minorEastAsia" w:hAnsi="Cambria Math" w:cs="Times New Roman"/>
                <w:szCs w:val="24"/>
              </w:rPr>
              <m:t>SS</m:t>
            </m:r>
          </m:sub>
        </m:sSub>
      </m:oMath>
      <w:r w:rsidRPr="00E64D15">
        <w:rPr>
          <w:rFonts w:eastAsiaTheme="minorEastAsia" w:cs="Times New Roman"/>
          <w:szCs w:val="24"/>
        </w:rPr>
        <w:t xml:space="preserve"> and </w:t>
      </w: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W</m:t>
            </m:r>
          </m:e>
          <m:sub>
            <m:r>
              <w:rPr>
                <w:rFonts w:ascii="Cambria Math" w:eastAsiaTheme="minorEastAsia" w:hAnsi="Cambria Math" w:cs="Times New Roman"/>
                <w:szCs w:val="24"/>
              </w:rPr>
              <m:t>LL</m:t>
            </m:r>
          </m:sub>
        </m:sSub>
      </m:oMath>
      <w:r w:rsidRPr="00E64D15">
        <w:rPr>
          <w:rFonts w:eastAsiaTheme="minorEastAsia" w:cs="Times New Roman"/>
          <w:szCs w:val="24"/>
        </w:rPr>
        <w:t xml:space="preserve"> in Equation (</w:t>
      </w:r>
      <w:r w:rsidR="0071112C" w:rsidRPr="00E64D15">
        <w:rPr>
          <w:rFonts w:cs="Times New Roman"/>
          <w:szCs w:val="24"/>
        </w:rPr>
        <w:t>2.</w:t>
      </w:r>
      <w:r w:rsidRPr="00E64D15">
        <w:rPr>
          <w:rFonts w:eastAsiaTheme="minorEastAsia" w:cs="Times New Roman"/>
          <w:szCs w:val="24"/>
        </w:rPr>
        <w:t xml:space="preserve">3) represent the free energy of cohesion for solid and liquid and can be replaced with </w:t>
      </w:r>
      <m:oMath>
        <m:sSub>
          <m:sSubPr>
            <m:ctrlPr>
              <w:rPr>
                <w:rFonts w:ascii="Cambria Math" w:hAnsi="Cambria Math" w:cs="Times New Roman"/>
                <w:i/>
                <w:szCs w:val="24"/>
              </w:rPr>
            </m:ctrlPr>
          </m:sSubPr>
          <m:e>
            <m:r>
              <m:rPr>
                <m:sty m:val="p"/>
              </m:rPr>
              <w:rPr>
                <w:rFonts w:ascii="Cambria Math" w:hAnsi="Cambria Math" w:cs="Times New Roman"/>
                <w:szCs w:val="24"/>
              </w:rPr>
              <m:t>2Γ</m:t>
            </m:r>
          </m:e>
          <m:sub>
            <m:r>
              <w:rPr>
                <w:rFonts w:ascii="Cambria Math" w:hAnsi="Cambria Math" w:cs="Times New Roman"/>
                <w:szCs w:val="24"/>
              </w:rPr>
              <m:t>S</m:t>
            </m:r>
          </m:sub>
        </m:sSub>
      </m:oMath>
      <w:r w:rsidRPr="00E64D15">
        <w:rPr>
          <w:rFonts w:eastAsiaTheme="minorEastAsia" w:cs="Times New Roman"/>
          <w:szCs w:val="24"/>
        </w:rPr>
        <w:t xml:space="preserve"> and </w:t>
      </w:r>
      <m:oMath>
        <m:sSub>
          <m:sSubPr>
            <m:ctrlPr>
              <w:rPr>
                <w:rFonts w:ascii="Cambria Math" w:hAnsi="Cambria Math" w:cs="Times New Roman"/>
                <w:i/>
                <w:szCs w:val="24"/>
              </w:rPr>
            </m:ctrlPr>
          </m:sSubPr>
          <m:e>
            <m:r>
              <m:rPr>
                <m:sty m:val="p"/>
              </m:rPr>
              <w:rPr>
                <w:rFonts w:ascii="Cambria Math" w:hAnsi="Cambria Math" w:cs="Times New Roman"/>
                <w:szCs w:val="24"/>
              </w:rPr>
              <m:t>2Γ</m:t>
            </m:r>
          </m:e>
          <m:sub>
            <m:r>
              <w:rPr>
                <w:rFonts w:ascii="Cambria Math" w:hAnsi="Cambria Math" w:cs="Times New Roman"/>
                <w:szCs w:val="24"/>
              </w:rPr>
              <m:t>L</m:t>
            </m:r>
          </m:sub>
        </m:sSub>
      </m:oMath>
      <w:r w:rsidRPr="00E64D15">
        <w:rPr>
          <w:rFonts w:eastAsiaTheme="minorEastAsia" w:cs="Times New Roman"/>
          <w:szCs w:val="24"/>
        </w:rPr>
        <w:t>, respectively. Berthelot then combined Equation (</w:t>
      </w:r>
      <w:r w:rsidR="0071112C" w:rsidRPr="00E64D15">
        <w:rPr>
          <w:rFonts w:cs="Times New Roman"/>
          <w:szCs w:val="24"/>
        </w:rPr>
        <w:t>2.</w:t>
      </w:r>
      <w:r w:rsidRPr="00E64D15">
        <w:rPr>
          <w:rFonts w:eastAsiaTheme="minorEastAsia" w:cs="Times New Roman"/>
          <w:szCs w:val="24"/>
        </w:rPr>
        <w:t>2) with Equation (</w:t>
      </w:r>
      <w:r w:rsidR="0071112C" w:rsidRPr="00E64D15">
        <w:rPr>
          <w:rFonts w:cs="Times New Roman"/>
          <w:szCs w:val="24"/>
        </w:rPr>
        <w:t>2.</w:t>
      </w:r>
      <w:r w:rsidRPr="00E64D15">
        <w:rPr>
          <w:rFonts w:eastAsiaTheme="minorEastAsia" w:cs="Times New Roman"/>
          <w:szCs w:val="24"/>
        </w:rPr>
        <w:t xml:space="preserve">3) to formulate a hypothesis, known as Berthelot hypothesis as presented in Equation (4) </w:t>
      </w:r>
      <w:r w:rsidRPr="00E64D15">
        <w:rPr>
          <w:rFonts w:eastAsiaTheme="minorEastAsia" w:cs="Times New Roman"/>
          <w:szCs w:val="24"/>
        </w:rPr>
        <w:fldChar w:fldCharType="begin"/>
      </w:r>
      <w:r w:rsidR="00282238" w:rsidRPr="00E64D15">
        <w:rPr>
          <w:rFonts w:eastAsiaTheme="minorEastAsia" w:cs="Times New Roman"/>
          <w:szCs w:val="24"/>
        </w:rPr>
        <w:instrText xml:space="preserve"> ADDIN EN.CITE &lt;EndNote&gt;&lt;Cite&gt;&lt;Author&gt;Kwok&lt;/Author&gt;&lt;Year&gt;1999&lt;/Year&gt;&lt;RecNum&gt;227&lt;/RecNum&gt;&lt;DisplayText&gt;(Kwok and Neumann, 1999)&lt;/DisplayText&gt;&lt;record&gt;&lt;rec-number&gt;227&lt;/rec-number&gt;&lt;foreign-keys&gt;&lt;key app="EN" db-id="d55vzfpwawdafteedfoxsf0lv0v0wp5va2aa" timestamp="1612937237"&gt;227&lt;/key&gt;&lt;/foreign-keys&gt;&lt;ref-type name="Journal Article"&gt;17&lt;/ref-type&gt;&lt;contributors&gt;&lt;authors&gt;&lt;author&gt;Kwok, Daniel Y&lt;/author&gt;&lt;author&gt;Neumann, August W&lt;/author&gt;&lt;/authors&gt;&lt;/contributors&gt;&lt;titles&gt;&lt;title&gt;Contact angle measurement and contact angle interpretation&lt;/title&gt;&lt;secondary-title&gt;Advances in colloid and interface science&lt;/secondary-title&gt;&lt;/titles&gt;&lt;periodical&gt;&lt;full-title&gt;Advances in colloid and interface science&lt;/full-title&gt;&lt;/periodical&gt;&lt;pages&gt;167-249&lt;/pages&gt;&lt;volume&gt;81&lt;/volume&gt;&lt;number&gt;3&lt;/number&gt;&lt;dates&gt;&lt;year&gt;1999&lt;/year&gt;&lt;/dates&gt;&lt;isbn&gt;0001-8686&lt;/isbn&gt;&lt;urls&gt;&lt;/urls&gt;&lt;/record&gt;&lt;/Cite&gt;&lt;/EndNote&gt;</w:instrText>
      </w:r>
      <w:r w:rsidRPr="00E64D15">
        <w:rPr>
          <w:rFonts w:eastAsiaTheme="minorEastAsia" w:cs="Times New Roman"/>
          <w:szCs w:val="24"/>
        </w:rPr>
        <w:fldChar w:fldCharType="separate"/>
      </w:r>
      <w:r w:rsidR="00282238" w:rsidRPr="00E64D15">
        <w:rPr>
          <w:rFonts w:eastAsiaTheme="minorEastAsia" w:cs="Times New Roman"/>
          <w:noProof/>
          <w:szCs w:val="24"/>
        </w:rPr>
        <w:t>(Kwok and Neumann, 1999)</w:t>
      </w:r>
      <w:r w:rsidRPr="00E64D15">
        <w:rPr>
          <w:rFonts w:eastAsiaTheme="minorEastAsia" w:cs="Times New Roman"/>
          <w:szCs w:val="24"/>
        </w:rPr>
        <w:fldChar w:fldCharType="end"/>
      </w:r>
      <w:r w:rsidRPr="00E64D15">
        <w:rPr>
          <w:rFonts w:eastAsiaTheme="minorEastAsia" w:cs="Times New Roman"/>
          <w:szCs w:val="24"/>
        </w:rPr>
        <w:t xml:space="preserve">. The </w:t>
      </w:r>
      <w:r w:rsidRPr="00E64D15">
        <w:rPr>
          <w:rFonts w:cs="Times New Roman"/>
          <w:szCs w:val="24"/>
        </w:rPr>
        <w:t>SFE of a solid (</w:t>
      </w:r>
      <m:oMath>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S</m:t>
            </m:r>
          </m:sub>
        </m:sSub>
      </m:oMath>
      <w:r w:rsidRPr="008155AA">
        <w:rPr>
          <w:rFonts w:cs="Times New Roman"/>
          <w:szCs w:val="24"/>
        </w:rPr>
        <w:t>)</w:t>
      </w:r>
      <w:r w:rsidRPr="008155AA">
        <w:rPr>
          <w:rFonts w:eastAsiaTheme="minorEastAsia" w:cs="Times New Roman"/>
          <w:szCs w:val="24"/>
        </w:rPr>
        <w:t xml:space="preserve"> can be determined by combining Equation (</w:t>
      </w:r>
      <w:r w:rsidR="0055481F" w:rsidRPr="008155AA">
        <w:rPr>
          <w:rFonts w:cs="Times New Roman"/>
          <w:szCs w:val="24"/>
        </w:rPr>
        <w:t>2.</w:t>
      </w:r>
      <w:r w:rsidRPr="008155AA">
        <w:rPr>
          <w:rFonts w:eastAsiaTheme="minorEastAsia" w:cs="Times New Roman"/>
          <w:szCs w:val="24"/>
        </w:rPr>
        <w:t>1) with Equation (</w:t>
      </w:r>
      <w:r w:rsidR="0055481F" w:rsidRPr="008155AA">
        <w:rPr>
          <w:rFonts w:cs="Times New Roman"/>
          <w:szCs w:val="24"/>
        </w:rPr>
        <w:t>2.</w:t>
      </w:r>
      <w:r w:rsidRPr="008155AA">
        <w:rPr>
          <w:rFonts w:eastAsiaTheme="minorEastAsia" w:cs="Times New Roman"/>
          <w:szCs w:val="24"/>
        </w:rPr>
        <w:t>4), as presented in Equation (</w:t>
      </w:r>
      <w:r w:rsidR="0055481F" w:rsidRPr="008155AA">
        <w:rPr>
          <w:rFonts w:cs="Times New Roman"/>
          <w:szCs w:val="24"/>
        </w:rPr>
        <w:t>2.</w:t>
      </w:r>
      <w:r w:rsidRPr="008155AA">
        <w:rPr>
          <w:rFonts w:eastAsiaTheme="minorEastAsia" w:cs="Times New Roman"/>
          <w:szCs w:val="24"/>
        </w:rPr>
        <w:t>5)</w:t>
      </w:r>
      <w:r w:rsidRPr="008155AA">
        <w:rPr>
          <w:rFonts w:cs="Times New Roman"/>
          <w:szCs w:val="24"/>
        </w:rPr>
        <w:t>.</w:t>
      </w:r>
      <w:r w:rsidR="008155AA" w:rsidRPr="008155AA">
        <w:rPr>
          <w:rFonts w:cs="Times New Roman"/>
          <w:szCs w:val="24"/>
        </w:rPr>
        <w:t xml:space="preserve"> Equation (2.5) is the Young-Dupré equation with </w:t>
      </w: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W</m:t>
            </m:r>
          </m:e>
          <m:sub>
            <m:r>
              <w:rPr>
                <w:rFonts w:ascii="Cambria Math" w:eastAsiaTheme="minorEastAsia" w:hAnsi="Cambria Math" w:cs="Times New Roman"/>
                <w:szCs w:val="24"/>
              </w:rPr>
              <m:t>SL</m:t>
            </m:r>
          </m:sub>
        </m:sSub>
      </m:oMath>
      <w:r w:rsidR="008155AA" w:rsidRPr="008155AA">
        <w:rPr>
          <w:rFonts w:cs="Times New Roman"/>
          <w:szCs w:val="24"/>
        </w:rPr>
        <w:t xml:space="preserve"> replaced using Equation (2.3).</w:t>
      </w:r>
    </w:p>
    <w:p w14:paraId="5B91FCAE" w14:textId="0657D277" w:rsidR="0003506A" w:rsidRPr="00E64D15" w:rsidRDefault="007F7885" w:rsidP="006378AA">
      <w:pPr>
        <w:jc w:val="center"/>
        <w:rPr>
          <w:rFonts w:eastAsiaTheme="minorEastAsia" w:cs="Times New Roman"/>
          <w:szCs w:val="24"/>
        </w:rPr>
      </w:pPr>
      <m:oMath>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S</m:t>
            </m:r>
          </m:sub>
        </m:sSub>
        <m:r>
          <w:rPr>
            <w:rFonts w:ascii="Cambria Math" w:hAnsi="Cambria Math" w:cs="Times New Roman"/>
            <w:szCs w:val="24"/>
          </w:rPr>
          <m:t>=</m:t>
        </m:r>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SL</m:t>
            </m:r>
          </m:sub>
        </m:sSub>
        <m:r>
          <w:rPr>
            <w:rFonts w:ascii="Cambria Math" w:hAnsi="Cambria Math" w:cs="Times New Roman"/>
            <w:szCs w:val="24"/>
          </w:rPr>
          <m:t>+</m:t>
        </m:r>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L</m:t>
            </m:r>
          </m:sub>
        </m:sSub>
        <m:r>
          <w:rPr>
            <w:rFonts w:ascii="Cambria Math" w:hAnsi="Cambria Math" w:cs="Times New Roman"/>
            <w:szCs w:val="24"/>
          </w:rPr>
          <m:t>cosθ</m:t>
        </m:r>
      </m:oMath>
      <w:r w:rsidR="0003506A" w:rsidRPr="00E64D15">
        <w:rPr>
          <w:rFonts w:eastAsiaTheme="minorEastAsia" w:cs="Times New Roman"/>
          <w:szCs w:val="24"/>
        </w:rPr>
        <w:t xml:space="preserve">                      (</w:t>
      </w:r>
      <w:r w:rsidR="0055481F" w:rsidRPr="00E64D15">
        <w:rPr>
          <w:rFonts w:cs="Times New Roman"/>
          <w:szCs w:val="24"/>
        </w:rPr>
        <w:t>2.</w:t>
      </w:r>
      <w:r w:rsidR="0003506A" w:rsidRPr="00E64D15">
        <w:rPr>
          <w:rFonts w:eastAsiaTheme="minorEastAsia" w:cs="Times New Roman"/>
          <w:szCs w:val="24"/>
        </w:rPr>
        <w:t>1)</w:t>
      </w:r>
    </w:p>
    <w:p w14:paraId="0A977E60" w14:textId="7231C404" w:rsidR="0003506A" w:rsidRPr="00E64D15" w:rsidRDefault="0003506A" w:rsidP="006378AA">
      <w:pPr>
        <w:jc w:val="center"/>
        <w:rPr>
          <w:rFonts w:eastAsiaTheme="minorEastAsia" w:cs="Times New Roman"/>
          <w:szCs w:val="24"/>
        </w:rPr>
      </w:pPr>
      <m:oMath>
        <m:r>
          <w:rPr>
            <w:rFonts w:ascii="Cambria Math" w:eastAsiaTheme="minorEastAsia" w:hAnsi="Cambria Math" w:cs="Times New Roman"/>
            <w:szCs w:val="24"/>
          </w:rPr>
          <m:t xml:space="preserve"> </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W</m:t>
            </m:r>
          </m:e>
          <m:sub>
            <m:r>
              <w:rPr>
                <w:rFonts w:ascii="Cambria Math" w:eastAsiaTheme="minorEastAsia" w:hAnsi="Cambria Math" w:cs="Times New Roman"/>
                <w:szCs w:val="24"/>
              </w:rPr>
              <m:t>SL</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S</m:t>
            </m:r>
          </m:sub>
        </m:sSub>
        <m:r>
          <w:rPr>
            <w:rFonts w:ascii="Cambria Math" w:eastAsiaTheme="minorEastAsia" w:hAnsi="Cambria Math" w:cs="Times New Roman"/>
            <w:szCs w:val="24"/>
          </w:rPr>
          <m:t>+</m:t>
        </m:r>
        <m:sSub>
          <m:sSubPr>
            <m:ctrlPr>
              <w:rPr>
                <w:rFonts w:ascii="Cambria Math" w:eastAsiaTheme="minorEastAsia" w:hAnsi="Cambria Math" w:cs="Times New Roman"/>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L</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SL</m:t>
            </m:r>
          </m:sub>
        </m:sSub>
      </m:oMath>
      <w:r w:rsidRPr="00E64D15">
        <w:rPr>
          <w:rFonts w:eastAsiaTheme="minorEastAsia" w:cs="Times New Roman"/>
          <w:szCs w:val="24"/>
        </w:rPr>
        <w:t xml:space="preserve">                   (</w:t>
      </w:r>
      <w:r w:rsidR="0055481F" w:rsidRPr="00E64D15">
        <w:rPr>
          <w:rFonts w:cs="Times New Roman"/>
          <w:szCs w:val="24"/>
        </w:rPr>
        <w:t>2.</w:t>
      </w:r>
      <w:r w:rsidRPr="00E64D15">
        <w:rPr>
          <w:rFonts w:eastAsiaTheme="minorEastAsia" w:cs="Times New Roman"/>
          <w:szCs w:val="24"/>
        </w:rPr>
        <w:t>2)</w:t>
      </w:r>
    </w:p>
    <w:p w14:paraId="70D7D036" w14:textId="7A39D4C5" w:rsidR="0003506A" w:rsidRPr="00E64D15" w:rsidRDefault="007F7885" w:rsidP="006378AA">
      <w:pPr>
        <w:jc w:val="center"/>
        <w:rPr>
          <w:rFonts w:eastAsiaTheme="minorEastAsia" w:cs="Times New Roman"/>
          <w:szCs w:val="24"/>
        </w:rPr>
      </w:pP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W</m:t>
            </m:r>
          </m:e>
          <m:sub>
            <m:r>
              <w:rPr>
                <w:rFonts w:ascii="Cambria Math" w:eastAsiaTheme="minorEastAsia" w:hAnsi="Cambria Math" w:cs="Times New Roman"/>
                <w:szCs w:val="24"/>
              </w:rPr>
              <m:t>SL</m:t>
            </m:r>
          </m:sub>
        </m:sSub>
        <m:r>
          <w:rPr>
            <w:rFonts w:ascii="Cambria Math" w:eastAsiaTheme="minorEastAsia" w:hAnsi="Cambria Math" w:cs="Times New Roman"/>
            <w:szCs w:val="24"/>
          </w:rPr>
          <m:t>=</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W</m:t>
                </m:r>
              </m:e>
              <m:sub>
                <m:r>
                  <w:rPr>
                    <w:rFonts w:ascii="Cambria Math" w:eastAsiaTheme="minorEastAsia" w:hAnsi="Cambria Math" w:cs="Times New Roman"/>
                    <w:szCs w:val="24"/>
                  </w:rPr>
                  <m:t>SS</m:t>
                </m:r>
              </m:sub>
            </m:sSub>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W</m:t>
                </m:r>
              </m:e>
              <m:sub>
                <m:r>
                  <w:rPr>
                    <w:rFonts w:ascii="Cambria Math" w:eastAsiaTheme="minorEastAsia" w:hAnsi="Cambria Math" w:cs="Times New Roman"/>
                    <w:szCs w:val="24"/>
                  </w:rPr>
                  <m:t>LL</m:t>
                </m:r>
              </m:sub>
            </m:sSub>
            <m:r>
              <w:rPr>
                <w:rFonts w:ascii="Cambria Math" w:eastAsiaTheme="minorEastAsia" w:hAnsi="Cambria Math" w:cs="Times New Roman"/>
                <w:szCs w:val="24"/>
              </w:rPr>
              <m:t>)</m:t>
            </m:r>
          </m:e>
          <m:sup>
            <m:r>
              <w:rPr>
                <w:rFonts w:ascii="Cambria Math" w:eastAsiaTheme="minorEastAsia" w:hAnsi="Cambria Math" w:cs="Times New Roman"/>
                <w:szCs w:val="24"/>
              </w:rPr>
              <m:t>0.5</m:t>
            </m:r>
          </m:sup>
        </m:sSup>
      </m:oMath>
      <w:r w:rsidR="0003506A" w:rsidRPr="00E64D15">
        <w:rPr>
          <w:rFonts w:eastAsiaTheme="minorEastAsia" w:cs="Times New Roman"/>
          <w:szCs w:val="24"/>
        </w:rPr>
        <w:t xml:space="preserve">                    (</w:t>
      </w:r>
      <w:r w:rsidR="0055481F" w:rsidRPr="00E64D15">
        <w:rPr>
          <w:rFonts w:cs="Times New Roman"/>
          <w:szCs w:val="24"/>
        </w:rPr>
        <w:t>2.</w:t>
      </w:r>
      <w:r w:rsidR="0003506A" w:rsidRPr="00E64D15">
        <w:rPr>
          <w:rFonts w:eastAsiaTheme="minorEastAsia" w:cs="Times New Roman"/>
          <w:szCs w:val="24"/>
        </w:rPr>
        <w:t>3)</w:t>
      </w:r>
    </w:p>
    <w:p w14:paraId="225B8F52" w14:textId="17A48B92" w:rsidR="0003506A" w:rsidRPr="00E64D15" w:rsidRDefault="007F7885" w:rsidP="006378AA">
      <w:pPr>
        <w:jc w:val="center"/>
        <w:rPr>
          <w:rFonts w:eastAsiaTheme="minorEastAsia" w:cs="Times New Roman"/>
          <w:szCs w:val="24"/>
        </w:rPr>
      </w:pP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SL</m:t>
            </m:r>
          </m:sub>
        </m:sSub>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S</m:t>
            </m:r>
          </m:sub>
        </m:sSub>
        <m:r>
          <w:rPr>
            <w:rFonts w:ascii="Cambria Math" w:eastAsiaTheme="minorEastAsia" w:hAnsi="Cambria Math" w:cs="Times New Roman"/>
            <w:szCs w:val="24"/>
          </w:rPr>
          <m:t>+</m:t>
        </m:r>
        <m:sSub>
          <m:sSubPr>
            <m:ctrlPr>
              <w:rPr>
                <w:rFonts w:ascii="Cambria Math" w:eastAsiaTheme="minorEastAsia" w:hAnsi="Cambria Math" w:cs="Times New Roman"/>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L</m:t>
            </m:r>
          </m:sub>
        </m:sSub>
        <m:r>
          <w:rPr>
            <w:rFonts w:ascii="Cambria Math" w:eastAsiaTheme="minorEastAsia" w:hAnsi="Cambria Math" w:cs="Times New Roman"/>
            <w:szCs w:val="24"/>
          </w:rPr>
          <m:t>-</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2(</m:t>
            </m:r>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S</m:t>
                </m:r>
              </m:sub>
            </m:sSub>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L</m:t>
                </m:r>
              </m:sub>
            </m:sSub>
            <m:r>
              <w:rPr>
                <w:rFonts w:ascii="Cambria Math" w:eastAsiaTheme="minorEastAsia" w:hAnsi="Cambria Math" w:cs="Times New Roman"/>
                <w:szCs w:val="24"/>
              </w:rPr>
              <m:t>)</m:t>
            </m:r>
          </m:e>
          <m:sup>
            <m:r>
              <w:rPr>
                <w:rFonts w:ascii="Cambria Math" w:eastAsiaTheme="minorEastAsia" w:hAnsi="Cambria Math" w:cs="Times New Roman"/>
                <w:szCs w:val="24"/>
              </w:rPr>
              <m:t>0.5</m:t>
            </m:r>
          </m:sup>
        </m:sSup>
      </m:oMath>
      <w:r w:rsidR="0003506A" w:rsidRPr="00E64D15">
        <w:rPr>
          <w:rFonts w:eastAsiaTheme="minorEastAsia" w:cs="Times New Roman"/>
          <w:szCs w:val="24"/>
        </w:rPr>
        <w:t xml:space="preserve">         (</w:t>
      </w:r>
      <w:r w:rsidR="0055481F" w:rsidRPr="00E64D15">
        <w:rPr>
          <w:rFonts w:cs="Times New Roman"/>
          <w:szCs w:val="24"/>
        </w:rPr>
        <w:t>2.</w:t>
      </w:r>
      <w:r w:rsidR="0003506A" w:rsidRPr="00E64D15">
        <w:rPr>
          <w:rFonts w:eastAsiaTheme="minorEastAsia" w:cs="Times New Roman"/>
          <w:szCs w:val="24"/>
        </w:rPr>
        <w:t>4)</w:t>
      </w:r>
    </w:p>
    <w:p w14:paraId="2D95FF40" w14:textId="1E8B1936" w:rsidR="0003506A" w:rsidRPr="00E64D15" w:rsidRDefault="007F7885" w:rsidP="006378AA">
      <w:pPr>
        <w:jc w:val="center"/>
        <w:rPr>
          <w:rFonts w:eastAsiaTheme="minorEastAsia" w:cs="Times New Roman"/>
          <w:szCs w:val="24"/>
        </w:rPr>
      </w:pPr>
      <m:oMath>
        <m:sSub>
          <m:sSubPr>
            <m:ctrlPr>
              <w:rPr>
                <w:rFonts w:ascii="Cambria Math" w:eastAsiaTheme="minorEastAsia" w:hAnsi="Cambria Math" w:cs="Times New Roman"/>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L</m:t>
            </m:r>
          </m:sub>
        </m:sSub>
        <m:d>
          <m:dPr>
            <m:ctrlPr>
              <w:rPr>
                <w:rFonts w:ascii="Cambria Math" w:eastAsiaTheme="minorEastAsia" w:hAnsi="Cambria Math" w:cs="Times New Roman"/>
                <w:i/>
                <w:szCs w:val="24"/>
              </w:rPr>
            </m:ctrlPr>
          </m:dPr>
          <m:e>
            <m:r>
              <w:rPr>
                <w:rFonts w:ascii="Cambria Math" w:eastAsiaTheme="minorEastAsia" w:hAnsi="Cambria Math" w:cs="Times New Roman"/>
                <w:szCs w:val="24"/>
              </w:rPr>
              <m:t>1+cosθ</m:t>
            </m:r>
          </m:e>
        </m:d>
        <m:r>
          <w:rPr>
            <w:rFonts w:ascii="Cambria Math" w:eastAsiaTheme="minorEastAsia" w:hAnsi="Cambria Math" w:cs="Times New Roman"/>
            <w:szCs w:val="24"/>
          </w:rPr>
          <m:t>=</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2(</m:t>
            </m:r>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S</m:t>
                </m:r>
              </m:sub>
            </m:sSub>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L</m:t>
                </m:r>
              </m:sub>
            </m:sSub>
            <m:r>
              <w:rPr>
                <w:rFonts w:ascii="Cambria Math" w:eastAsiaTheme="minorEastAsia" w:hAnsi="Cambria Math" w:cs="Times New Roman"/>
                <w:szCs w:val="24"/>
              </w:rPr>
              <m:t>)</m:t>
            </m:r>
          </m:e>
          <m:sup>
            <m:r>
              <w:rPr>
                <w:rFonts w:ascii="Cambria Math" w:eastAsiaTheme="minorEastAsia" w:hAnsi="Cambria Math" w:cs="Times New Roman"/>
                <w:szCs w:val="24"/>
              </w:rPr>
              <m:t>0.5</m:t>
            </m:r>
          </m:sup>
        </m:sSup>
      </m:oMath>
      <w:r w:rsidR="0003506A" w:rsidRPr="00E64D15">
        <w:rPr>
          <w:rFonts w:eastAsiaTheme="minorEastAsia" w:cs="Times New Roman"/>
          <w:szCs w:val="24"/>
        </w:rPr>
        <w:t xml:space="preserve">     </w:t>
      </w:r>
      <w:r w:rsidR="008231C2" w:rsidRPr="00E64D15">
        <w:rPr>
          <w:rFonts w:eastAsiaTheme="minorEastAsia" w:cs="Times New Roman"/>
          <w:szCs w:val="24"/>
        </w:rPr>
        <w:t xml:space="preserve"> </w:t>
      </w:r>
      <w:r w:rsidR="0003506A" w:rsidRPr="00E64D15">
        <w:rPr>
          <w:rFonts w:eastAsiaTheme="minorEastAsia" w:cs="Times New Roman"/>
          <w:szCs w:val="24"/>
        </w:rPr>
        <w:t xml:space="preserve">  (</w:t>
      </w:r>
      <w:r w:rsidR="0055481F" w:rsidRPr="00E64D15">
        <w:rPr>
          <w:rFonts w:cs="Times New Roman"/>
          <w:szCs w:val="24"/>
        </w:rPr>
        <w:t>2.</w:t>
      </w:r>
      <w:r w:rsidR="0003506A" w:rsidRPr="00E64D15">
        <w:rPr>
          <w:rFonts w:eastAsiaTheme="minorEastAsia" w:cs="Times New Roman"/>
          <w:szCs w:val="24"/>
        </w:rPr>
        <w:t>5)</w:t>
      </w:r>
    </w:p>
    <w:p w14:paraId="6E6E1882" w14:textId="7505D963" w:rsidR="0003506A" w:rsidRPr="0098140B" w:rsidRDefault="0003506A" w:rsidP="006378AA">
      <w:pPr>
        <w:ind w:firstLine="720"/>
        <w:rPr>
          <w:rFonts w:cs="Times New Roman"/>
          <w:szCs w:val="24"/>
        </w:rPr>
      </w:pPr>
      <w:r w:rsidRPr="00E64D15">
        <w:rPr>
          <w:rFonts w:cs="Times New Roman"/>
          <w:szCs w:val="24"/>
        </w:rPr>
        <w:t>Two major approaches, namely component-based approach and equation</w:t>
      </w:r>
      <w:r w:rsidRPr="0098140B">
        <w:rPr>
          <w:rFonts w:cs="Times New Roman"/>
          <w:szCs w:val="24"/>
        </w:rPr>
        <w:t xml:space="preserve"> of state approach have been used to determine the SFE of solids from contact angle measurements through Young's equation (Equation (</w:t>
      </w:r>
      <w:r w:rsidR="0055481F">
        <w:rPr>
          <w:rFonts w:cs="Times New Roman"/>
          <w:szCs w:val="24"/>
        </w:rPr>
        <w:t>2.</w:t>
      </w:r>
      <w:r w:rsidRPr="0098140B">
        <w:rPr>
          <w:rFonts w:cs="Times New Roman"/>
          <w:szCs w:val="24"/>
        </w:rPr>
        <w:t>1)) and Berthelot’s hypothesis (Equation (</w:t>
      </w:r>
      <w:r w:rsidR="0055481F">
        <w:rPr>
          <w:rFonts w:cs="Times New Roman"/>
          <w:szCs w:val="24"/>
        </w:rPr>
        <w:t>2.</w:t>
      </w:r>
      <w:r w:rsidRPr="0098140B">
        <w:rPr>
          <w:rFonts w:cs="Times New Roman"/>
          <w:szCs w:val="24"/>
        </w:rPr>
        <w:t xml:space="preserve">4)). </w:t>
      </w:r>
      <w:r w:rsidRPr="0098140B">
        <w:rPr>
          <w:rFonts w:cs="Times New Roman"/>
          <w:szCs w:val="24"/>
        </w:rPr>
        <w:fldChar w:fldCharType="begin"/>
      </w:r>
      <w:r w:rsidRPr="0098140B">
        <w:rPr>
          <w:rFonts w:cs="Times New Roman"/>
          <w:szCs w:val="24"/>
        </w:rPr>
        <w:instrText xml:space="preserve"> ADDIN EN.CITE &lt;EndNote&gt;&lt;Cite AuthorYear="1"&gt;&lt;Author&gt;Fowkes&lt;/Author&gt;&lt;Year&gt;1964&lt;/Year&gt;&lt;RecNum&gt;246&lt;/RecNum&gt;&lt;DisplayText&gt;Fowkes (1964)&lt;/DisplayText&gt;&lt;record&gt;&lt;rec-number&gt;246&lt;/rec-number&gt;&lt;foreign-keys&gt;&lt;key app="EN" db-id="tfx2va9ropw5p7evdr2pf5rw2vszzx9t0xzs" timestamp="1601699923"&gt;246&lt;/key&gt;&lt;/foreign-keys&gt;&lt;ref-type name="Journal Article"&gt;17&lt;/ref-type&gt;&lt;contributors&gt;&lt;authors&gt;&lt;author&gt;Fowkes, FM&lt;/author&gt;&lt;/authors&gt;&lt;/contributors&gt;&lt;titles&gt;&lt;title&gt;Attractive Forces at Interfaces, Ind. Eng. Chem. 56 (12), 40-52&lt;/title&gt;&lt;/titles&gt;&lt;dates&gt;&lt;year&gt;1964&lt;/year&gt;&lt;/dates&gt;&lt;urls&gt;&lt;/urls&gt;&lt;/record&gt;&lt;/Cite&gt;&lt;/EndNote&gt;</w:instrText>
      </w:r>
      <w:r w:rsidRPr="0098140B">
        <w:rPr>
          <w:rFonts w:cs="Times New Roman"/>
          <w:szCs w:val="24"/>
        </w:rPr>
        <w:fldChar w:fldCharType="separate"/>
      </w:r>
      <w:r w:rsidRPr="0098140B">
        <w:rPr>
          <w:rFonts w:cs="Times New Roman"/>
          <w:noProof/>
          <w:szCs w:val="24"/>
        </w:rPr>
        <w:t>Fowkes (1964)</w:t>
      </w:r>
      <w:r w:rsidRPr="0098140B">
        <w:rPr>
          <w:rFonts w:cs="Times New Roman"/>
          <w:szCs w:val="24"/>
        </w:rPr>
        <w:fldChar w:fldCharType="end"/>
      </w:r>
      <w:r w:rsidRPr="0098140B">
        <w:rPr>
          <w:rFonts w:cs="Times New Roman"/>
          <w:szCs w:val="24"/>
        </w:rPr>
        <w:t xml:space="preserve"> first proposed the idea of expressing surface free energy as a sum of components. He divided the total SFE of a solid into different </w:t>
      </w:r>
      <w:r w:rsidRPr="0098140B">
        <w:rPr>
          <w:rFonts w:cs="Times New Roman"/>
          <w:szCs w:val="24"/>
        </w:rPr>
        <w:lastRenderedPageBreak/>
        <w:t>components, namely dispersion (d), polar (p), hydrogen (h), induction (i), acid-base components (ab) and all remaining interactions (o) (Equation (</w:t>
      </w:r>
      <w:r w:rsidR="0055481F">
        <w:rPr>
          <w:rFonts w:cs="Times New Roman"/>
          <w:szCs w:val="24"/>
        </w:rPr>
        <w:t>2.</w:t>
      </w:r>
      <w:r w:rsidRPr="0098140B">
        <w:rPr>
          <w:rFonts w:cs="Times New Roman"/>
          <w:szCs w:val="24"/>
        </w:rPr>
        <w:t xml:space="preserve">6)). However, according to </w:t>
      </w:r>
      <w:r w:rsidRPr="0098140B">
        <w:rPr>
          <w:rFonts w:cs="Times New Roman"/>
          <w:szCs w:val="24"/>
        </w:rPr>
        <w:fldChar w:fldCharType="begin"/>
      </w:r>
      <w:r w:rsidRPr="0098140B">
        <w:rPr>
          <w:rFonts w:cs="Times New Roman"/>
          <w:szCs w:val="24"/>
        </w:rPr>
        <w:instrText xml:space="preserve"> ADDIN EN.CITE &lt;EndNote&gt;&lt;Cite AuthorYear="1"&gt;&lt;Author&gt;Fowkes&lt;/Author&gt;&lt;Year&gt;1964&lt;/Year&gt;&lt;RecNum&gt;246&lt;/RecNum&gt;&lt;DisplayText&gt;Fowkes (1964)&lt;/DisplayText&gt;&lt;record&gt;&lt;rec-number&gt;246&lt;/rec-number&gt;&lt;foreign-keys&gt;&lt;key app="EN" db-id="tfx2va9ropw5p7evdr2pf5rw2vszzx9t0xzs" timestamp="1601699923"&gt;246&lt;/key&gt;&lt;/foreign-keys&gt;&lt;ref-type name="Journal Article"&gt;17&lt;/ref-type&gt;&lt;contributors&gt;&lt;authors&gt;&lt;author&gt;Fowkes, FM&lt;/author&gt;&lt;/authors&gt;&lt;/contributors&gt;&lt;titles&gt;&lt;title&gt;Attractive Forces at Interfaces, Ind. Eng. Chem. 56 (12), 40-52&lt;/title&gt;&lt;/titles&gt;&lt;dates&gt;&lt;year&gt;1964&lt;/year&gt;&lt;/dates&gt;&lt;urls&gt;&lt;/urls&gt;&lt;/record&gt;&lt;/Cite&gt;&lt;/EndNote&gt;</w:instrText>
      </w:r>
      <w:r w:rsidRPr="0098140B">
        <w:rPr>
          <w:rFonts w:cs="Times New Roman"/>
          <w:szCs w:val="24"/>
        </w:rPr>
        <w:fldChar w:fldCharType="separate"/>
      </w:r>
      <w:r w:rsidRPr="0098140B">
        <w:rPr>
          <w:rFonts w:cs="Times New Roman"/>
          <w:noProof/>
          <w:szCs w:val="24"/>
        </w:rPr>
        <w:t>Fowkes (1964)</w:t>
      </w:r>
      <w:r w:rsidRPr="0098140B">
        <w:rPr>
          <w:rFonts w:cs="Times New Roman"/>
          <w:szCs w:val="24"/>
        </w:rPr>
        <w:fldChar w:fldCharType="end"/>
      </w:r>
      <w:r w:rsidRPr="0098140B">
        <w:rPr>
          <w:rFonts w:cs="Times New Roman"/>
          <w:szCs w:val="24"/>
        </w:rPr>
        <w:t xml:space="preserve">, the adhesive bond of a two-phase (solid-liquid) system entirely depends on the London dispersion surface energy resulting from the attractions between adjacent atom and molecules. </w:t>
      </w:r>
      <w:r w:rsidRPr="0098140B">
        <w:rPr>
          <w:rFonts w:cs="Times New Roman"/>
          <w:szCs w:val="24"/>
        </w:rPr>
        <w:fldChar w:fldCharType="begin"/>
      </w:r>
      <w:r w:rsidRPr="0098140B">
        <w:rPr>
          <w:rFonts w:cs="Times New Roman"/>
          <w:szCs w:val="24"/>
        </w:rPr>
        <w:instrText xml:space="preserve"> ADDIN EN.CITE &lt;EndNote&gt;&lt;Cite AuthorYear="1"&gt;&lt;Author&gt;Fowkes&lt;/Author&gt;&lt;Year&gt;1964&lt;/Year&gt;&lt;RecNum&gt;246&lt;/RecNum&gt;&lt;DisplayText&gt;Fowkes (1964)&lt;/DisplayText&gt;&lt;record&gt;&lt;rec-number&gt;246&lt;/rec-number&gt;&lt;foreign-keys&gt;&lt;key app="EN" db-id="tfx2va9ropw5p7evdr2pf5rw2vszzx9t0xzs" timestamp="1601699923"&gt;246&lt;/key&gt;&lt;/foreign-keys&gt;&lt;ref-type name="Journal Article"&gt;17&lt;/ref-type&gt;&lt;contributors&gt;&lt;authors&gt;&lt;author&gt;Fowkes, FM&lt;/author&gt;&lt;/authors&gt;&lt;/contributors&gt;&lt;titles&gt;&lt;title&gt;Attractive Forces at Interfaces, Ind. Eng. Chem. 56 (12), 40-52&lt;/title&gt;&lt;/titles&gt;&lt;dates&gt;&lt;year&gt;1964&lt;/year&gt;&lt;/dates&gt;&lt;urls&gt;&lt;/urls&gt;&lt;/record&gt;&lt;/Cite&gt;&lt;/EndNote&gt;</w:instrText>
      </w:r>
      <w:r w:rsidRPr="0098140B">
        <w:rPr>
          <w:rFonts w:cs="Times New Roman"/>
          <w:szCs w:val="24"/>
        </w:rPr>
        <w:fldChar w:fldCharType="separate"/>
      </w:r>
      <w:r w:rsidRPr="0098140B">
        <w:rPr>
          <w:rFonts w:cs="Times New Roman"/>
          <w:noProof/>
          <w:szCs w:val="24"/>
        </w:rPr>
        <w:t>Fowkes (1964)</w:t>
      </w:r>
      <w:r w:rsidRPr="0098140B">
        <w:rPr>
          <w:rFonts w:cs="Times New Roman"/>
          <w:szCs w:val="24"/>
        </w:rPr>
        <w:fldChar w:fldCharType="end"/>
      </w:r>
      <w:r w:rsidRPr="0098140B">
        <w:rPr>
          <w:rFonts w:cs="Times New Roman"/>
          <w:szCs w:val="24"/>
        </w:rPr>
        <w:t xml:space="preserve"> proposed Equation (</w:t>
      </w:r>
      <w:r w:rsidR="0055481F">
        <w:rPr>
          <w:rFonts w:cs="Times New Roman"/>
          <w:szCs w:val="24"/>
        </w:rPr>
        <w:t>2.</w:t>
      </w:r>
      <w:r w:rsidRPr="0098140B">
        <w:rPr>
          <w:rFonts w:cs="Times New Roman"/>
          <w:szCs w:val="24"/>
        </w:rPr>
        <w:t xml:space="preserve">7), the modified </w:t>
      </w:r>
      <w:r w:rsidRPr="0098140B">
        <w:rPr>
          <w:rFonts w:eastAsiaTheme="minorEastAsia" w:cs="Times New Roman"/>
          <w:szCs w:val="24"/>
        </w:rPr>
        <w:t xml:space="preserve">Berthelot hypothesis, to represent </w:t>
      </w:r>
      <w:r w:rsidRPr="0098140B">
        <w:rPr>
          <w:rFonts w:cs="Times New Roman"/>
          <w:szCs w:val="24"/>
        </w:rPr>
        <w:t xml:space="preserve">the interfacial bond energy of a solid-liquid system. The dispersion component of a solid can be determined easily from </w:t>
      </w:r>
      <w:r w:rsidR="0055481F">
        <w:rPr>
          <w:rFonts w:cs="Times New Roman"/>
          <w:szCs w:val="24"/>
        </w:rPr>
        <w:t>E</w:t>
      </w:r>
      <w:r w:rsidRPr="0098140B">
        <w:rPr>
          <w:rFonts w:cs="Times New Roman"/>
          <w:szCs w:val="24"/>
        </w:rPr>
        <w:t>quation (</w:t>
      </w:r>
      <w:r w:rsidR="0055481F">
        <w:rPr>
          <w:rFonts w:cs="Times New Roman"/>
          <w:szCs w:val="24"/>
        </w:rPr>
        <w:t>2.</w:t>
      </w:r>
      <w:r w:rsidRPr="0098140B">
        <w:rPr>
          <w:rFonts w:cs="Times New Roman"/>
          <w:szCs w:val="24"/>
        </w:rPr>
        <w:t xml:space="preserve">7) using a probe liquid with only dispersion component. </w:t>
      </w:r>
    </w:p>
    <w:p w14:paraId="10AF2066" w14:textId="7C71A312" w:rsidR="0003506A" w:rsidRPr="0098140B" w:rsidRDefault="007F7885" w:rsidP="006378AA">
      <w:pPr>
        <w:jc w:val="center"/>
        <w:rPr>
          <w:rFonts w:eastAsiaTheme="minorEastAsia" w:cs="Times New Roman"/>
          <w:szCs w:val="24"/>
        </w:rPr>
      </w:pP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S</m:t>
            </m:r>
          </m:sub>
        </m:sSub>
        <m:r>
          <w:rPr>
            <w:rFonts w:ascii="Cambria Math" w:eastAsiaTheme="minorEastAsia" w:hAnsi="Cambria Math" w:cs="Times New Roman"/>
            <w:szCs w:val="24"/>
          </w:rPr>
          <m:t>=</m:t>
        </m:r>
        <m:sSubSup>
          <m:sSubSupPr>
            <m:ctrlPr>
              <w:rPr>
                <w:rFonts w:ascii="Cambria Math" w:eastAsiaTheme="minorEastAsia" w:hAnsi="Cambria Math" w:cs="Times New Roman"/>
                <w:i/>
                <w:szCs w:val="24"/>
              </w:rPr>
            </m:ctrlPr>
          </m:sSubSup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S</m:t>
            </m:r>
          </m:sub>
          <m:sup>
            <m:r>
              <w:rPr>
                <w:rFonts w:ascii="Cambria Math" w:eastAsiaTheme="minorEastAsia" w:hAnsi="Cambria Math" w:cs="Times New Roman"/>
                <w:szCs w:val="24"/>
              </w:rPr>
              <m:t>d</m:t>
            </m:r>
          </m:sup>
        </m:sSubSup>
        <m:r>
          <w:rPr>
            <w:rFonts w:ascii="Cambria Math" w:eastAsiaTheme="minorEastAsia" w:hAnsi="Cambria Math" w:cs="Times New Roman"/>
            <w:szCs w:val="24"/>
          </w:rPr>
          <m:t>+</m:t>
        </m:r>
        <m:sSubSup>
          <m:sSubSupPr>
            <m:ctrlPr>
              <w:rPr>
                <w:rFonts w:ascii="Cambria Math" w:eastAsiaTheme="minorEastAsia" w:hAnsi="Cambria Math" w:cs="Times New Roman"/>
                <w:i/>
                <w:szCs w:val="24"/>
              </w:rPr>
            </m:ctrlPr>
          </m:sSubSup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S</m:t>
            </m:r>
          </m:sub>
          <m:sup>
            <m:r>
              <w:rPr>
                <w:rFonts w:ascii="Cambria Math" w:eastAsiaTheme="minorEastAsia" w:hAnsi="Cambria Math" w:cs="Times New Roman"/>
                <w:szCs w:val="24"/>
              </w:rPr>
              <m:t>p</m:t>
            </m:r>
          </m:sup>
        </m:sSubSup>
        <m:r>
          <w:rPr>
            <w:rFonts w:ascii="Cambria Math" w:eastAsiaTheme="minorEastAsia" w:hAnsi="Cambria Math" w:cs="Times New Roman"/>
            <w:szCs w:val="24"/>
          </w:rPr>
          <m:t>+</m:t>
        </m:r>
        <m:sSubSup>
          <m:sSubSupPr>
            <m:ctrlPr>
              <w:rPr>
                <w:rFonts w:ascii="Cambria Math" w:eastAsiaTheme="minorEastAsia" w:hAnsi="Cambria Math" w:cs="Times New Roman"/>
                <w:i/>
                <w:szCs w:val="24"/>
              </w:rPr>
            </m:ctrlPr>
          </m:sSubSup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S</m:t>
            </m:r>
          </m:sub>
          <m:sup>
            <m:r>
              <w:rPr>
                <w:rFonts w:ascii="Cambria Math" w:eastAsiaTheme="minorEastAsia" w:hAnsi="Cambria Math" w:cs="Times New Roman"/>
                <w:szCs w:val="24"/>
              </w:rPr>
              <m:t>h</m:t>
            </m:r>
          </m:sup>
        </m:sSubSup>
        <m:r>
          <w:rPr>
            <w:rFonts w:ascii="Cambria Math" w:eastAsiaTheme="minorEastAsia" w:hAnsi="Cambria Math" w:cs="Times New Roman"/>
            <w:szCs w:val="24"/>
          </w:rPr>
          <m:t>+</m:t>
        </m:r>
        <m:sSubSup>
          <m:sSubSupPr>
            <m:ctrlPr>
              <w:rPr>
                <w:rFonts w:ascii="Cambria Math" w:eastAsiaTheme="minorEastAsia" w:hAnsi="Cambria Math" w:cs="Times New Roman"/>
                <w:i/>
                <w:szCs w:val="24"/>
              </w:rPr>
            </m:ctrlPr>
          </m:sSubSup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S</m:t>
            </m:r>
          </m:sub>
          <m:sup>
            <m:r>
              <w:rPr>
                <w:rFonts w:ascii="Cambria Math" w:eastAsiaTheme="minorEastAsia" w:hAnsi="Cambria Math" w:cs="Times New Roman"/>
                <w:szCs w:val="24"/>
              </w:rPr>
              <m:t>i</m:t>
            </m:r>
          </m:sup>
        </m:sSubSup>
        <m:r>
          <w:rPr>
            <w:rFonts w:ascii="Cambria Math" w:eastAsiaTheme="minorEastAsia" w:hAnsi="Cambria Math" w:cs="Times New Roman"/>
            <w:szCs w:val="24"/>
          </w:rPr>
          <m:t>+</m:t>
        </m:r>
        <m:sSubSup>
          <m:sSubSupPr>
            <m:ctrlPr>
              <w:rPr>
                <w:rFonts w:ascii="Cambria Math" w:eastAsiaTheme="minorEastAsia" w:hAnsi="Cambria Math" w:cs="Times New Roman"/>
                <w:i/>
                <w:szCs w:val="24"/>
              </w:rPr>
            </m:ctrlPr>
          </m:sSubSup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S</m:t>
            </m:r>
          </m:sub>
          <m:sup>
            <m:r>
              <w:rPr>
                <w:rFonts w:ascii="Cambria Math" w:eastAsiaTheme="minorEastAsia" w:hAnsi="Cambria Math" w:cs="Times New Roman"/>
                <w:szCs w:val="24"/>
              </w:rPr>
              <m:t>ab</m:t>
            </m:r>
          </m:sup>
        </m:sSubSup>
        <m:r>
          <w:rPr>
            <w:rFonts w:ascii="Cambria Math" w:eastAsiaTheme="minorEastAsia" w:hAnsi="Cambria Math" w:cs="Times New Roman"/>
            <w:szCs w:val="24"/>
          </w:rPr>
          <m:t>+</m:t>
        </m:r>
        <m:sSubSup>
          <m:sSubSupPr>
            <m:ctrlPr>
              <w:rPr>
                <w:rFonts w:ascii="Cambria Math" w:eastAsiaTheme="minorEastAsia" w:hAnsi="Cambria Math" w:cs="Times New Roman"/>
                <w:i/>
                <w:szCs w:val="24"/>
              </w:rPr>
            </m:ctrlPr>
          </m:sSubSup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S</m:t>
            </m:r>
          </m:sub>
          <m:sup>
            <m:r>
              <w:rPr>
                <w:rFonts w:ascii="Cambria Math" w:eastAsiaTheme="minorEastAsia" w:hAnsi="Cambria Math" w:cs="Times New Roman"/>
                <w:szCs w:val="24"/>
              </w:rPr>
              <m:t>o</m:t>
            </m:r>
          </m:sup>
        </m:sSubSup>
      </m:oMath>
      <w:r w:rsidR="0003506A" w:rsidRPr="0098140B">
        <w:rPr>
          <w:rFonts w:eastAsiaTheme="minorEastAsia" w:cs="Times New Roman"/>
          <w:szCs w:val="24"/>
        </w:rPr>
        <w:t xml:space="preserve">       (</w:t>
      </w:r>
      <w:r w:rsidR="0055481F">
        <w:rPr>
          <w:rFonts w:cs="Times New Roman"/>
          <w:szCs w:val="24"/>
        </w:rPr>
        <w:t>2.</w:t>
      </w:r>
      <w:r w:rsidR="0003506A" w:rsidRPr="0098140B">
        <w:rPr>
          <w:rFonts w:eastAsiaTheme="minorEastAsia" w:cs="Times New Roman"/>
          <w:szCs w:val="24"/>
        </w:rPr>
        <w:t xml:space="preserve">6)    </w:t>
      </w:r>
    </w:p>
    <w:p w14:paraId="297AB58F" w14:textId="2E89F056" w:rsidR="0003506A" w:rsidRPr="0098140B" w:rsidRDefault="007F7885" w:rsidP="006378AA">
      <w:pPr>
        <w:ind w:firstLine="720"/>
        <w:jc w:val="center"/>
        <w:rPr>
          <w:rFonts w:eastAsiaTheme="minorEastAsia" w:cs="Times New Roman"/>
          <w:szCs w:val="24"/>
        </w:rPr>
      </w:pPr>
      <m:oMath>
        <m:sSub>
          <m:sSubPr>
            <m:ctrlPr>
              <w:rPr>
                <w:rFonts w:ascii="Cambria Math" w:eastAsiaTheme="minorEastAsia" w:hAnsi="Cambria Math" w:cs="Times New Roman"/>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L</m:t>
            </m:r>
          </m:sub>
        </m:sSub>
        <m:d>
          <m:dPr>
            <m:ctrlPr>
              <w:rPr>
                <w:rFonts w:ascii="Cambria Math" w:eastAsiaTheme="minorEastAsia" w:hAnsi="Cambria Math" w:cs="Times New Roman"/>
                <w:i/>
                <w:szCs w:val="24"/>
              </w:rPr>
            </m:ctrlPr>
          </m:dPr>
          <m:e>
            <m:r>
              <w:rPr>
                <w:rFonts w:ascii="Cambria Math" w:eastAsiaTheme="minorEastAsia" w:hAnsi="Cambria Math" w:cs="Times New Roman"/>
                <w:szCs w:val="24"/>
              </w:rPr>
              <m:t>1+cosθ</m:t>
            </m:r>
          </m:e>
        </m:d>
        <m:r>
          <w:rPr>
            <w:rFonts w:ascii="Cambria Math" w:eastAsiaTheme="minorEastAsia" w:hAnsi="Cambria Math" w:cs="Times New Roman"/>
            <w:szCs w:val="24"/>
          </w:rPr>
          <m:t>=</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2(</m:t>
            </m:r>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S</m:t>
                </m:r>
              </m:sub>
              <m:sup>
                <m:r>
                  <w:rPr>
                    <w:rFonts w:ascii="Cambria Math" w:hAnsi="Cambria Math" w:cs="Times New Roman"/>
                    <w:szCs w:val="24"/>
                  </w:rPr>
                  <m:t>d</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L</m:t>
                </m:r>
              </m:sub>
              <m:sup>
                <m:r>
                  <w:rPr>
                    <w:rFonts w:ascii="Cambria Math" w:hAnsi="Cambria Math" w:cs="Times New Roman"/>
                    <w:szCs w:val="24"/>
                  </w:rPr>
                  <m:t>d</m:t>
                </m:r>
              </m:sup>
            </m:sSubSup>
            <m:r>
              <w:rPr>
                <w:rFonts w:ascii="Cambria Math" w:eastAsiaTheme="minorEastAsia" w:hAnsi="Cambria Math" w:cs="Times New Roman"/>
                <w:szCs w:val="24"/>
              </w:rPr>
              <m:t>)</m:t>
            </m:r>
          </m:e>
          <m:sup>
            <m:r>
              <w:rPr>
                <w:rFonts w:ascii="Cambria Math" w:eastAsiaTheme="minorEastAsia" w:hAnsi="Cambria Math" w:cs="Times New Roman"/>
                <w:szCs w:val="24"/>
              </w:rPr>
              <m:t>0.5</m:t>
            </m:r>
          </m:sup>
        </m:sSup>
      </m:oMath>
      <w:r w:rsidR="0003506A" w:rsidRPr="0098140B">
        <w:rPr>
          <w:rFonts w:eastAsiaTheme="minorEastAsia" w:cs="Times New Roman"/>
          <w:szCs w:val="24"/>
        </w:rPr>
        <w:t xml:space="preserve">          (</w:t>
      </w:r>
      <w:r w:rsidR="0055481F">
        <w:rPr>
          <w:rFonts w:cs="Times New Roman"/>
          <w:szCs w:val="24"/>
        </w:rPr>
        <w:t>2.</w:t>
      </w:r>
      <w:r w:rsidR="0003506A" w:rsidRPr="0098140B">
        <w:rPr>
          <w:rFonts w:eastAsiaTheme="minorEastAsia" w:cs="Times New Roman"/>
          <w:szCs w:val="24"/>
        </w:rPr>
        <w:t>7)</w:t>
      </w:r>
    </w:p>
    <w:p w14:paraId="6393F3E2" w14:textId="4191BACD" w:rsidR="0003506A" w:rsidRPr="0098140B" w:rsidRDefault="0003506A" w:rsidP="006378AA">
      <w:pPr>
        <w:rPr>
          <w:rFonts w:cs="Times New Roman"/>
          <w:szCs w:val="24"/>
        </w:rPr>
      </w:pPr>
      <w:r w:rsidRPr="0098140B">
        <w:rPr>
          <w:rFonts w:cs="Times New Roman"/>
          <w:szCs w:val="24"/>
        </w:rPr>
        <w:tab/>
      </w:r>
      <w:r w:rsidRPr="0098140B">
        <w:rPr>
          <w:rFonts w:cs="Times New Roman"/>
          <w:szCs w:val="24"/>
        </w:rPr>
        <w:fldChar w:fldCharType="begin"/>
      </w:r>
      <w:r w:rsidRPr="0098140B">
        <w:rPr>
          <w:rFonts w:cs="Times New Roman"/>
          <w:szCs w:val="24"/>
        </w:rPr>
        <w:instrText xml:space="preserve"> ADDIN EN.CITE &lt;EndNote&gt;&lt;Cite AuthorYear="1"&gt;&lt;Author&gt;Owens&lt;/Author&gt;&lt;Year&gt;1969&lt;/Year&gt;&lt;RecNum&gt;247&lt;/RecNum&gt;&lt;DisplayText&gt;Owens and Wendt (1969)&lt;/DisplayText&gt;&lt;record&gt;&lt;rec-number&gt;247&lt;/rec-number&gt;&lt;foreign-keys&gt;&lt;key app="EN" db-id="tfx2va9ropw5p7evdr2pf5rw2vszzx9t0xzs" timestamp="1601700045"&gt;247&lt;/key&gt;&lt;/foreign-keys&gt;&lt;ref-type name="Journal Article"&gt;17&lt;/ref-type&gt;&lt;contributors&gt;&lt;authors&gt;&lt;author&gt;Owens, Daniel K&lt;/author&gt;&lt;author&gt;Wendt, RC&lt;/author&gt;&lt;/authors&gt;&lt;/contributors&gt;&lt;titles&gt;&lt;title&gt;Estimation of the surface free energy of polymers&lt;/title&gt;&lt;secondary-title&gt;Journal of applied polymer science&lt;/secondary-title&gt;&lt;/titles&gt;&lt;periodical&gt;&lt;full-title&gt;Journal of applied polymer science&lt;/full-title&gt;&lt;/periodical&gt;&lt;pages&gt;1741-1747&lt;/pages&gt;&lt;volume&gt;13&lt;/volume&gt;&lt;number&gt;8&lt;/number&gt;&lt;dates&gt;&lt;year&gt;1969&lt;/year&gt;&lt;/dates&gt;&lt;isbn&gt;0021-8995&lt;/isbn&gt;&lt;urls&gt;&lt;/urls&gt;&lt;/record&gt;&lt;/Cite&gt;&lt;/EndNote&gt;</w:instrText>
      </w:r>
      <w:r w:rsidRPr="0098140B">
        <w:rPr>
          <w:rFonts w:cs="Times New Roman"/>
          <w:szCs w:val="24"/>
        </w:rPr>
        <w:fldChar w:fldCharType="separate"/>
      </w:r>
      <w:r w:rsidRPr="0098140B">
        <w:rPr>
          <w:rFonts w:cs="Times New Roman"/>
          <w:noProof/>
          <w:szCs w:val="24"/>
        </w:rPr>
        <w:t>Owens and Wendt (1969)</w:t>
      </w:r>
      <w:r w:rsidRPr="0098140B">
        <w:rPr>
          <w:rFonts w:cs="Times New Roman"/>
          <w:szCs w:val="24"/>
        </w:rPr>
        <w:fldChar w:fldCharType="end"/>
      </w:r>
      <w:r w:rsidRPr="0098140B">
        <w:rPr>
          <w:rFonts w:cs="Times New Roman"/>
          <w:szCs w:val="24"/>
        </w:rPr>
        <w:t xml:space="preserve"> later used a two components approach, namely dispersion (d) and polar (p) components, to define SFE of a solid (Equation (</w:t>
      </w:r>
      <w:r w:rsidR="0055481F">
        <w:rPr>
          <w:rFonts w:cs="Times New Roman"/>
          <w:szCs w:val="24"/>
        </w:rPr>
        <w:t>2.</w:t>
      </w:r>
      <w:r w:rsidRPr="0098140B">
        <w:rPr>
          <w:rFonts w:cs="Times New Roman"/>
          <w:szCs w:val="24"/>
        </w:rPr>
        <w:t xml:space="preserve">8)). The dispersion component comprises of London interactions (similar to Fowkes) whereas polar components </w:t>
      </w:r>
      <w:r w:rsidR="00AC1253" w:rsidRPr="0098140B">
        <w:rPr>
          <w:rFonts w:cs="Times New Roman"/>
          <w:szCs w:val="24"/>
        </w:rPr>
        <w:t>consist</w:t>
      </w:r>
      <w:r w:rsidRPr="0098140B">
        <w:rPr>
          <w:rFonts w:cs="Times New Roman"/>
          <w:szCs w:val="24"/>
        </w:rPr>
        <w:t xml:space="preserve"> of the remaining components (polar, hydrogen, inductive and acid-base interactions). Also, in the Owens-Wendt model, the adhesive bond energy between two materials is represented in the form of a geometric mean of SFE components (Equation (</w:t>
      </w:r>
      <w:r w:rsidR="0055481F">
        <w:rPr>
          <w:rFonts w:cs="Times New Roman"/>
          <w:szCs w:val="24"/>
        </w:rPr>
        <w:t>2.</w:t>
      </w:r>
      <w:r w:rsidRPr="0098140B">
        <w:rPr>
          <w:rFonts w:cs="Times New Roman"/>
          <w:szCs w:val="24"/>
        </w:rPr>
        <w:t xml:space="preserve">9)). Wu </w:t>
      </w:r>
      <w:r w:rsidRPr="0098140B">
        <w:rPr>
          <w:rFonts w:cs="Times New Roman"/>
          <w:szCs w:val="24"/>
        </w:rPr>
        <w:fldChar w:fldCharType="begin"/>
      </w:r>
      <w:r w:rsidR="00282238">
        <w:rPr>
          <w:rFonts w:cs="Times New Roman"/>
          <w:szCs w:val="24"/>
        </w:rPr>
        <w:instrText xml:space="preserve"> ADDIN EN.CITE &lt;EndNote&gt;&lt;Cite&gt;&lt;Author&gt;Wu&lt;/Author&gt;&lt;Year&gt;1971&lt;/Year&gt;&lt;RecNum&gt;255&lt;/RecNum&gt;&lt;DisplayText&gt;(Wu, 1971; Wu, 1973)&lt;/DisplayText&gt;&lt;record&gt;&lt;rec-number&gt;255&lt;/rec-number&gt;&lt;foreign-keys&gt;&lt;key app="EN" db-id="tfx2va9ropw5p7evdr2pf5rw2vszzx9t0xzs" timestamp="1601709543"&gt;255&lt;/key&gt;&lt;/foreign-keys&gt;&lt;ref-type name="Conference Proceedings"&gt;10&lt;/ref-type&gt;&lt;contributors&gt;&lt;authors&gt;&lt;author&gt;Wu, Souheng&lt;/author&gt;&lt;/authors&gt;&lt;/contributors&gt;&lt;titles&gt;&lt;title&gt;Calculation of interfacial tension in polymer systems&lt;/title&gt;&lt;secondary-title&gt;Journal of Polymer Science Part C: Polymer Symposia&lt;/secondary-title&gt;&lt;/titles&gt;&lt;pages&gt;19-30&lt;/pages&gt;&lt;volume&gt;34&lt;/volume&gt;&lt;number&gt;1&lt;/number&gt;&lt;dates&gt;&lt;year&gt;1971&lt;/year&gt;&lt;/dates&gt;&lt;publisher&gt;Wiley Online Library&lt;/publisher&gt;&lt;isbn&gt;0449-2994&lt;/isbn&gt;&lt;urls&gt;&lt;/urls&gt;&lt;/record&gt;&lt;/Cite&gt;&lt;Cite&gt;&lt;Author&gt;Wu&lt;/Author&gt;&lt;Year&gt;1973&lt;/Year&gt;&lt;RecNum&gt;256&lt;/RecNum&gt;&lt;record&gt;&lt;rec-number&gt;256&lt;/rec-number&gt;&lt;foreign-keys&gt;&lt;key app="EN" db-id="tfx2va9ropw5p7evdr2pf5rw2vszzx9t0xzs" timestamp="1601709590"&gt;256&lt;/key&gt;&lt;/foreign-keys&gt;&lt;ref-type name="Journal Article"&gt;17&lt;/ref-type&gt;&lt;contributors&gt;&lt;authors&gt;&lt;author&gt;Wu, Souheng&lt;/author&gt;&lt;/authors&gt;&lt;/contributors&gt;&lt;titles&gt;&lt;title&gt;Polar and nonpolar interactions in adhesion&lt;/title&gt;&lt;secondary-title&gt;The Journal of Adhesion&lt;/secondary-title&gt;&lt;/titles&gt;&lt;periodical&gt;&lt;full-title&gt;The Journal of Adhesion&lt;/full-title&gt;&lt;/periodical&gt;&lt;pages&gt;39-55&lt;/pages&gt;&lt;volume&gt;5&lt;/volume&gt;&lt;number&gt;1&lt;/number&gt;&lt;dates&gt;&lt;year&gt;1973&lt;/year&gt;&lt;/dates&gt;&lt;isbn&gt;0021-8464&lt;/isbn&gt;&lt;urls&gt;&lt;/urls&gt;&lt;/record&gt;&lt;/Cite&gt;&lt;/EndNote&gt;</w:instrText>
      </w:r>
      <w:r w:rsidRPr="0098140B">
        <w:rPr>
          <w:rFonts w:cs="Times New Roman"/>
          <w:szCs w:val="24"/>
        </w:rPr>
        <w:fldChar w:fldCharType="separate"/>
      </w:r>
      <w:r w:rsidR="00282238">
        <w:rPr>
          <w:rFonts w:cs="Times New Roman"/>
          <w:noProof/>
          <w:szCs w:val="24"/>
        </w:rPr>
        <w:t>(Wu, 1971; Wu, 1973)</w:t>
      </w:r>
      <w:r w:rsidRPr="0098140B">
        <w:rPr>
          <w:rFonts w:cs="Times New Roman"/>
          <w:szCs w:val="24"/>
        </w:rPr>
        <w:fldChar w:fldCharType="end"/>
      </w:r>
      <w:r w:rsidRPr="0098140B">
        <w:rPr>
          <w:rFonts w:cs="Times New Roman"/>
          <w:szCs w:val="24"/>
        </w:rPr>
        <w:t xml:space="preserve"> modified the Owens-Wendt model by using the harmonic mean of the SFE components (Equation (</w:t>
      </w:r>
      <w:r w:rsidR="0055481F">
        <w:rPr>
          <w:rFonts w:cs="Times New Roman"/>
          <w:szCs w:val="24"/>
        </w:rPr>
        <w:t>2.</w:t>
      </w:r>
      <w:r w:rsidRPr="0098140B">
        <w:rPr>
          <w:rFonts w:cs="Times New Roman"/>
          <w:szCs w:val="24"/>
        </w:rPr>
        <w:t xml:space="preserve">10)). In the 1980’s, </w:t>
      </w:r>
      <w:r w:rsidRPr="0098140B">
        <w:rPr>
          <w:rFonts w:cs="Times New Roman"/>
          <w:szCs w:val="24"/>
        </w:rPr>
        <w:fldChar w:fldCharType="begin"/>
      </w:r>
      <w:r w:rsidRPr="0098140B">
        <w:rPr>
          <w:rFonts w:cs="Times New Roman"/>
          <w:szCs w:val="24"/>
        </w:rPr>
        <w:instrText xml:space="preserve"> ADDIN EN.CITE &lt;EndNote&gt;&lt;Cite AuthorYear="1"&gt;&lt;Author&gt;Van Oss&lt;/Author&gt;&lt;Year&gt;1988&lt;/Year&gt;&lt;RecNum&gt;31&lt;/RecNum&gt;&lt;DisplayText&gt;Van Oss et al. (1988)&lt;/DisplayText&gt;&lt;record&gt;&lt;rec-number&gt;31&lt;/rec-number&gt;&lt;foreign-keys&gt;&lt;key app="EN" db-id="d55vzfpwawdafteedfoxsf0lv0v0wp5va2aa" timestamp="1509901250"&gt;31&lt;/key&gt;&lt;/foreign-keys&gt;&lt;ref-type name="Journal Article"&gt;17&lt;/ref-type&gt;&lt;contributors&gt;&lt;authors&gt;&lt;author&gt;Van Oss, Carel J&lt;/author&gt;&lt;author&gt;Chaudhury, Manoj K&lt;/author&gt;&lt;author&gt;Good, Robert J&lt;/author&gt;&lt;/authors&gt;&lt;/contributors&gt;&lt;titles&gt;&lt;title&gt;Interfacial Lifshitz-Van Der Waals and Polar Interactions in Macroscopic Systems&lt;/title&gt;&lt;secondary-title&gt;Chemical Reviews&lt;/secondary-title&gt;&lt;/titles&gt;&lt;periodical&gt;&lt;full-title&gt;Chemical Reviews&lt;/full-title&gt;&lt;/periodical&gt;&lt;pages&gt;927-941&lt;/pages&gt;&lt;volume&gt;88&lt;/volume&gt;&lt;number&gt;6&lt;/number&gt;&lt;dates&gt;&lt;year&gt;1988&lt;/year&gt;&lt;/dates&gt;&lt;isbn&gt;0009-2665&lt;/isbn&gt;&lt;urls&gt;&lt;/urls&gt;&lt;/record&gt;&lt;/Cite&gt;&lt;/EndNote&gt;</w:instrText>
      </w:r>
      <w:r w:rsidRPr="0098140B">
        <w:rPr>
          <w:rFonts w:cs="Times New Roman"/>
          <w:szCs w:val="24"/>
        </w:rPr>
        <w:fldChar w:fldCharType="separate"/>
      </w:r>
      <w:r w:rsidRPr="0098140B">
        <w:rPr>
          <w:rFonts w:cs="Times New Roman"/>
          <w:noProof/>
          <w:szCs w:val="24"/>
        </w:rPr>
        <w:t>Van Oss et al. (1988)</w:t>
      </w:r>
      <w:r w:rsidRPr="0098140B">
        <w:rPr>
          <w:rFonts w:cs="Times New Roman"/>
          <w:szCs w:val="24"/>
        </w:rPr>
        <w:fldChar w:fldCharType="end"/>
      </w:r>
      <w:r w:rsidRPr="0098140B">
        <w:rPr>
          <w:rFonts w:cs="Times New Roman"/>
          <w:szCs w:val="24"/>
        </w:rPr>
        <w:t xml:space="preserve"> introduced the concept of dividing SFE into three components, namely acid (</w:t>
      </w:r>
      <m:oMath>
        <m:sSup>
          <m:sSupPr>
            <m:ctrlPr>
              <w:rPr>
                <w:rFonts w:ascii="Cambria Math" w:hAnsi="Cambria Math" w:cs="Times New Roman"/>
                <w:i/>
                <w:szCs w:val="24"/>
              </w:rPr>
            </m:ctrlPr>
          </m:sSupPr>
          <m:e>
            <m:r>
              <m:rPr>
                <m:sty m:val="p"/>
              </m:rPr>
              <w:rPr>
                <w:rFonts w:ascii="Cambria Math" w:hAnsi="Cambria Math" w:cs="Times New Roman"/>
                <w:szCs w:val="24"/>
              </w:rPr>
              <m:t>Γ</m:t>
            </m:r>
          </m:e>
          <m:sup>
            <m:r>
              <w:rPr>
                <w:rFonts w:ascii="Cambria Math" w:hAnsi="Cambria Math" w:cs="Times New Roman"/>
                <w:szCs w:val="24"/>
              </w:rPr>
              <m:t>+</m:t>
            </m:r>
          </m:sup>
        </m:sSup>
        <m:r>
          <w:rPr>
            <w:rFonts w:ascii="Cambria Math" w:hAnsi="Cambria Math" w:cs="Times New Roman"/>
            <w:szCs w:val="24"/>
          </w:rPr>
          <m:t>)</m:t>
        </m:r>
      </m:oMath>
      <w:r w:rsidRPr="0098140B">
        <w:rPr>
          <w:rFonts w:eastAsiaTheme="minorEastAsia" w:cs="Times New Roman"/>
          <w:szCs w:val="24"/>
        </w:rPr>
        <w:t>,</w:t>
      </w:r>
      <w:r w:rsidRPr="0098140B">
        <w:rPr>
          <w:rFonts w:cs="Times New Roman"/>
          <w:szCs w:val="24"/>
        </w:rPr>
        <w:t xml:space="preserve"> base (</w:t>
      </w:r>
      <m:oMath>
        <m:sSup>
          <m:sSupPr>
            <m:ctrlPr>
              <w:rPr>
                <w:rFonts w:ascii="Cambria Math" w:hAnsi="Cambria Math" w:cs="Times New Roman"/>
                <w:i/>
                <w:szCs w:val="24"/>
              </w:rPr>
            </m:ctrlPr>
          </m:sSupPr>
          <m:e>
            <m:r>
              <m:rPr>
                <m:sty m:val="p"/>
              </m:rPr>
              <w:rPr>
                <w:rFonts w:ascii="Cambria Math" w:hAnsi="Cambria Math" w:cs="Times New Roman"/>
                <w:szCs w:val="24"/>
              </w:rPr>
              <m:t>Γ</m:t>
            </m:r>
          </m:e>
          <m:sup>
            <m:r>
              <w:rPr>
                <w:rFonts w:ascii="Cambria Math" w:hAnsi="Cambria Math" w:cs="Times New Roman"/>
                <w:szCs w:val="24"/>
              </w:rPr>
              <m:t>+</m:t>
            </m:r>
          </m:sup>
        </m:sSup>
        <m:r>
          <w:rPr>
            <w:rFonts w:ascii="Cambria Math" w:hAnsi="Cambria Math" w:cs="Times New Roman"/>
            <w:szCs w:val="24"/>
          </w:rPr>
          <m:t>)</m:t>
        </m:r>
      </m:oMath>
      <w:r w:rsidRPr="0098140B">
        <w:rPr>
          <w:rFonts w:eastAsiaTheme="minorEastAsia" w:cs="Times New Roman"/>
          <w:szCs w:val="24"/>
        </w:rPr>
        <w:t>,</w:t>
      </w:r>
      <w:r w:rsidRPr="0098140B">
        <w:rPr>
          <w:rFonts w:cs="Times New Roman"/>
          <w:szCs w:val="24"/>
        </w:rPr>
        <w:t xml:space="preserve">  and Lewis van-der-Waals components (</w:t>
      </w:r>
      <m:oMath>
        <m:sSup>
          <m:sSupPr>
            <m:ctrlPr>
              <w:rPr>
                <w:rFonts w:ascii="Cambria Math" w:hAnsi="Cambria Math" w:cs="Times New Roman"/>
                <w:i/>
                <w:szCs w:val="24"/>
              </w:rPr>
            </m:ctrlPr>
          </m:sSupPr>
          <m:e>
            <m:r>
              <m:rPr>
                <m:sty m:val="p"/>
              </m:rPr>
              <w:rPr>
                <w:rFonts w:ascii="Cambria Math" w:hAnsi="Cambria Math" w:cs="Times New Roman"/>
                <w:szCs w:val="24"/>
              </w:rPr>
              <m:t>Γ</m:t>
            </m:r>
          </m:e>
          <m:sup>
            <m:r>
              <w:rPr>
                <w:rFonts w:ascii="Cambria Math" w:hAnsi="Cambria Math" w:cs="Times New Roman"/>
                <w:szCs w:val="24"/>
              </w:rPr>
              <m:t>LW</m:t>
            </m:r>
          </m:sup>
        </m:sSup>
        <m:r>
          <w:rPr>
            <w:rFonts w:ascii="Cambria Math" w:hAnsi="Cambria Math" w:cs="Times New Roman"/>
            <w:szCs w:val="24"/>
          </w:rPr>
          <m:t>)</m:t>
        </m:r>
      </m:oMath>
      <w:r w:rsidRPr="0098140B">
        <w:rPr>
          <w:rFonts w:cs="Times New Roman"/>
          <w:szCs w:val="24"/>
        </w:rPr>
        <w:t xml:space="preserve"> using Equation (</w:t>
      </w:r>
      <w:r w:rsidR="0055481F">
        <w:rPr>
          <w:rFonts w:cs="Times New Roman"/>
          <w:szCs w:val="24"/>
        </w:rPr>
        <w:t>2.</w:t>
      </w:r>
      <w:r w:rsidRPr="0098140B">
        <w:rPr>
          <w:rFonts w:cs="Times New Roman"/>
          <w:szCs w:val="24"/>
        </w:rPr>
        <w:t>11), and postulated experimental determination of the acid-base surface free energy interactions. The SFE components of a solid can be determined from the contact angles of the probe liquids on the solid surface using Equation (</w:t>
      </w:r>
      <w:r w:rsidR="0055481F">
        <w:rPr>
          <w:rFonts w:cs="Times New Roman"/>
          <w:szCs w:val="24"/>
        </w:rPr>
        <w:t>2.</w:t>
      </w:r>
      <w:r w:rsidRPr="0098140B">
        <w:rPr>
          <w:rFonts w:cs="Times New Roman"/>
          <w:szCs w:val="24"/>
        </w:rPr>
        <w:t xml:space="preserve">12). </w:t>
      </w:r>
      <w:r w:rsidRPr="0098140B">
        <w:rPr>
          <w:rFonts w:cs="Times New Roman"/>
          <w:szCs w:val="24"/>
        </w:rPr>
        <w:lastRenderedPageBreak/>
        <w:t>At least a set of three probe liquids is required to determine the three unknown SFE components of a solid using Equation (</w:t>
      </w:r>
      <w:r w:rsidR="0055481F">
        <w:rPr>
          <w:rFonts w:cs="Times New Roman"/>
          <w:szCs w:val="24"/>
        </w:rPr>
        <w:t>2.</w:t>
      </w:r>
      <w:r w:rsidRPr="0098140B">
        <w:rPr>
          <w:rFonts w:cs="Times New Roman"/>
          <w:szCs w:val="24"/>
        </w:rPr>
        <w:t>12).</w:t>
      </w:r>
    </w:p>
    <w:p w14:paraId="3E000323" w14:textId="6D0DAE56" w:rsidR="0003506A" w:rsidRPr="0098140B" w:rsidRDefault="007F7885" w:rsidP="006378AA">
      <w:pPr>
        <w:ind w:firstLine="720"/>
        <w:jc w:val="center"/>
        <w:rPr>
          <w:rFonts w:eastAsiaTheme="minorEastAsia" w:cs="Times New Roman"/>
          <w:szCs w:val="24"/>
        </w:rPr>
      </w:pP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S</m:t>
            </m:r>
          </m:sub>
        </m:sSub>
        <m:r>
          <w:rPr>
            <w:rFonts w:ascii="Cambria Math" w:eastAsiaTheme="minorEastAsia" w:hAnsi="Cambria Math" w:cs="Times New Roman"/>
            <w:szCs w:val="24"/>
          </w:rPr>
          <m:t>=</m:t>
        </m:r>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S</m:t>
            </m:r>
          </m:sub>
          <m:sup>
            <m:r>
              <w:rPr>
                <w:rFonts w:ascii="Cambria Math" w:hAnsi="Cambria Math" w:cs="Times New Roman"/>
                <w:szCs w:val="24"/>
              </w:rPr>
              <m:t>d</m:t>
            </m:r>
          </m:sup>
        </m:sSubSup>
        <m:r>
          <w:rPr>
            <w:rFonts w:ascii="Cambria Math" w:hAnsi="Cambria Math" w:cs="Times New Roman"/>
            <w:szCs w:val="24"/>
          </w:rPr>
          <m:t>+</m:t>
        </m:r>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S</m:t>
            </m:r>
          </m:sub>
          <m:sup>
            <m:r>
              <w:rPr>
                <w:rFonts w:ascii="Cambria Math" w:hAnsi="Cambria Math" w:cs="Times New Roman"/>
                <w:szCs w:val="24"/>
              </w:rPr>
              <m:t>p</m:t>
            </m:r>
          </m:sup>
        </m:sSubSup>
      </m:oMath>
      <w:r w:rsidR="0003506A" w:rsidRPr="0098140B">
        <w:rPr>
          <w:rFonts w:eastAsiaTheme="minorEastAsia" w:cs="Times New Roman"/>
          <w:szCs w:val="24"/>
        </w:rPr>
        <w:t xml:space="preserve">           </w:t>
      </w:r>
      <w:r w:rsidR="009303D3">
        <w:rPr>
          <w:rFonts w:eastAsiaTheme="minorEastAsia" w:cs="Times New Roman"/>
          <w:szCs w:val="24"/>
        </w:rPr>
        <w:t xml:space="preserve">                                         </w:t>
      </w:r>
      <w:r w:rsidR="0003506A" w:rsidRPr="0098140B">
        <w:rPr>
          <w:rFonts w:eastAsiaTheme="minorEastAsia" w:cs="Times New Roman"/>
          <w:szCs w:val="24"/>
        </w:rPr>
        <w:t xml:space="preserve">   (</w:t>
      </w:r>
      <w:r w:rsidR="00E245D6">
        <w:rPr>
          <w:rFonts w:cs="Times New Roman"/>
          <w:szCs w:val="24"/>
        </w:rPr>
        <w:t>2.</w:t>
      </w:r>
      <w:r w:rsidR="0003506A" w:rsidRPr="0098140B">
        <w:rPr>
          <w:rFonts w:eastAsiaTheme="minorEastAsia" w:cs="Times New Roman"/>
          <w:szCs w:val="24"/>
        </w:rPr>
        <w:t>8)</w:t>
      </w:r>
    </w:p>
    <w:p w14:paraId="21852DFC" w14:textId="40E5F8A0" w:rsidR="0003506A" w:rsidRPr="0098140B" w:rsidRDefault="007F7885" w:rsidP="006378AA">
      <w:pPr>
        <w:jc w:val="center"/>
        <w:rPr>
          <w:rFonts w:eastAsiaTheme="minorEastAsia" w:cs="Times New Roman"/>
          <w:szCs w:val="24"/>
        </w:rPr>
      </w:pPr>
      <m:oMath>
        <m:sSub>
          <m:sSubPr>
            <m:ctrlPr>
              <w:rPr>
                <w:rFonts w:ascii="Cambria Math" w:eastAsiaTheme="minorEastAsia" w:hAnsi="Cambria Math" w:cs="Times New Roman"/>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L</m:t>
            </m:r>
          </m:sub>
        </m:sSub>
        <m:d>
          <m:dPr>
            <m:ctrlPr>
              <w:rPr>
                <w:rFonts w:ascii="Cambria Math" w:eastAsiaTheme="minorEastAsia" w:hAnsi="Cambria Math" w:cs="Times New Roman"/>
                <w:i/>
                <w:szCs w:val="24"/>
              </w:rPr>
            </m:ctrlPr>
          </m:dPr>
          <m:e>
            <m:r>
              <w:rPr>
                <w:rFonts w:ascii="Cambria Math" w:eastAsiaTheme="minorEastAsia" w:hAnsi="Cambria Math" w:cs="Times New Roman"/>
                <w:szCs w:val="24"/>
              </w:rPr>
              <m:t>1+cosθ</m:t>
            </m:r>
          </m:e>
        </m:d>
        <m:r>
          <w:rPr>
            <w:rFonts w:ascii="Cambria Math" w:eastAsiaTheme="minorEastAsia" w:hAnsi="Cambria Math" w:cs="Times New Roman"/>
            <w:szCs w:val="24"/>
          </w:rPr>
          <m:t>=</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2(</m:t>
            </m:r>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S</m:t>
                </m:r>
              </m:sub>
              <m:sup>
                <m:r>
                  <w:rPr>
                    <w:rFonts w:ascii="Cambria Math" w:hAnsi="Cambria Math" w:cs="Times New Roman"/>
                    <w:szCs w:val="24"/>
                  </w:rPr>
                  <m:t>d</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L</m:t>
                </m:r>
              </m:sub>
              <m:sup>
                <m:r>
                  <w:rPr>
                    <w:rFonts w:ascii="Cambria Math" w:hAnsi="Cambria Math" w:cs="Times New Roman"/>
                    <w:szCs w:val="24"/>
                  </w:rPr>
                  <m:t>d</m:t>
                </m:r>
              </m:sup>
            </m:sSubSup>
            <m:r>
              <w:rPr>
                <w:rFonts w:ascii="Cambria Math" w:eastAsiaTheme="minorEastAsia" w:hAnsi="Cambria Math" w:cs="Times New Roman"/>
                <w:szCs w:val="24"/>
              </w:rPr>
              <m:t>)</m:t>
            </m:r>
          </m:e>
          <m:sup>
            <m:r>
              <w:rPr>
                <w:rFonts w:ascii="Cambria Math" w:eastAsiaTheme="minorEastAsia" w:hAnsi="Cambria Math" w:cs="Times New Roman"/>
                <w:szCs w:val="24"/>
              </w:rPr>
              <m:t>0.5</m:t>
            </m:r>
          </m:sup>
        </m:sSup>
        <m:r>
          <w:rPr>
            <w:rFonts w:ascii="Cambria Math" w:eastAsiaTheme="minorEastAsia" w:hAnsi="Cambria Math" w:cs="Times New Roman"/>
            <w:szCs w:val="24"/>
          </w:rPr>
          <m:t>+</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2(</m:t>
            </m:r>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S</m:t>
                </m:r>
              </m:sub>
              <m:sup>
                <m:r>
                  <w:rPr>
                    <w:rFonts w:ascii="Cambria Math" w:hAnsi="Cambria Math" w:cs="Times New Roman"/>
                    <w:szCs w:val="24"/>
                  </w:rPr>
                  <m:t>p</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L</m:t>
                </m:r>
              </m:sub>
              <m:sup>
                <m:r>
                  <w:rPr>
                    <w:rFonts w:ascii="Cambria Math" w:hAnsi="Cambria Math" w:cs="Times New Roman"/>
                    <w:szCs w:val="24"/>
                  </w:rPr>
                  <m:t>p</m:t>
                </m:r>
              </m:sup>
            </m:sSubSup>
            <m:r>
              <w:rPr>
                <w:rFonts w:ascii="Cambria Math" w:eastAsiaTheme="minorEastAsia" w:hAnsi="Cambria Math" w:cs="Times New Roman"/>
                <w:szCs w:val="24"/>
              </w:rPr>
              <m:t>)</m:t>
            </m:r>
          </m:e>
          <m:sup>
            <m:r>
              <w:rPr>
                <w:rFonts w:ascii="Cambria Math" w:eastAsiaTheme="minorEastAsia" w:hAnsi="Cambria Math" w:cs="Times New Roman"/>
                <w:szCs w:val="24"/>
              </w:rPr>
              <m:t>0.5</m:t>
            </m:r>
          </m:sup>
        </m:sSup>
      </m:oMath>
      <w:r w:rsidR="0003506A" w:rsidRPr="0098140B">
        <w:rPr>
          <w:rFonts w:eastAsiaTheme="minorEastAsia" w:cs="Times New Roman"/>
          <w:szCs w:val="24"/>
        </w:rPr>
        <w:t xml:space="preserve">    </w:t>
      </w:r>
      <w:r w:rsidR="009303D3">
        <w:rPr>
          <w:rFonts w:eastAsiaTheme="minorEastAsia" w:cs="Times New Roman"/>
          <w:szCs w:val="24"/>
        </w:rPr>
        <w:t xml:space="preserve">              </w:t>
      </w:r>
      <w:r w:rsidR="0003506A" w:rsidRPr="0098140B">
        <w:rPr>
          <w:rFonts w:eastAsiaTheme="minorEastAsia" w:cs="Times New Roman"/>
          <w:szCs w:val="24"/>
        </w:rPr>
        <w:t xml:space="preserve">   (</w:t>
      </w:r>
      <w:r w:rsidR="00E245D6">
        <w:rPr>
          <w:rFonts w:cs="Times New Roman"/>
          <w:szCs w:val="24"/>
        </w:rPr>
        <w:t>2.</w:t>
      </w:r>
      <w:r w:rsidR="0003506A" w:rsidRPr="0098140B">
        <w:rPr>
          <w:rFonts w:eastAsiaTheme="minorEastAsia" w:cs="Times New Roman"/>
          <w:szCs w:val="24"/>
        </w:rPr>
        <w:t>9)</w:t>
      </w:r>
    </w:p>
    <w:p w14:paraId="0D41CEFA" w14:textId="517FF4CE" w:rsidR="0003506A" w:rsidRPr="0098140B" w:rsidRDefault="007F7885" w:rsidP="006378AA">
      <w:pPr>
        <w:jc w:val="center"/>
        <w:rPr>
          <w:rFonts w:eastAsiaTheme="minorEastAsia" w:cs="Times New Roman"/>
          <w:szCs w:val="24"/>
        </w:rPr>
      </w:pPr>
      <m:oMath>
        <m:sSub>
          <m:sSubPr>
            <m:ctrlPr>
              <w:rPr>
                <w:rFonts w:ascii="Cambria Math" w:eastAsiaTheme="minorEastAsia" w:hAnsi="Cambria Math" w:cs="Times New Roman"/>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L</m:t>
            </m:r>
          </m:sub>
        </m:sSub>
        <m:d>
          <m:dPr>
            <m:ctrlPr>
              <w:rPr>
                <w:rFonts w:ascii="Cambria Math" w:eastAsiaTheme="minorEastAsia" w:hAnsi="Cambria Math" w:cs="Times New Roman"/>
                <w:i/>
                <w:szCs w:val="24"/>
              </w:rPr>
            </m:ctrlPr>
          </m:dPr>
          <m:e>
            <m:r>
              <w:rPr>
                <w:rFonts w:ascii="Cambria Math" w:eastAsiaTheme="minorEastAsia" w:hAnsi="Cambria Math" w:cs="Times New Roman"/>
                <w:szCs w:val="24"/>
              </w:rPr>
              <m:t>1+cosθ</m:t>
            </m:r>
          </m:e>
        </m:d>
        <m:r>
          <w:rPr>
            <w:rFonts w:ascii="Cambria Math" w:eastAsiaTheme="minorEastAsia" w:hAnsi="Cambria Math" w:cs="Times New Roman"/>
            <w:szCs w:val="24"/>
          </w:rPr>
          <m:t>=4</m:t>
        </m:r>
        <m:d>
          <m:dPr>
            <m:begChr m:val="["/>
            <m:endChr m:val="]"/>
            <m:ctrlPr>
              <w:rPr>
                <w:rFonts w:ascii="Cambria Math" w:eastAsiaTheme="minorEastAsia" w:hAnsi="Cambria Math" w:cs="Times New Roman"/>
                <w:i/>
                <w:szCs w:val="24"/>
              </w:rPr>
            </m:ctrlPr>
          </m:dPr>
          <m:e>
            <m:f>
              <m:fPr>
                <m:ctrlPr>
                  <w:rPr>
                    <w:rFonts w:ascii="Cambria Math" w:eastAsiaTheme="minorEastAsia" w:hAnsi="Cambria Math" w:cs="Times New Roman"/>
                    <w:i/>
                    <w:szCs w:val="24"/>
                  </w:rPr>
                </m:ctrlPr>
              </m:fPr>
              <m:num>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S</m:t>
                    </m:r>
                  </m:sub>
                  <m:sup>
                    <m:r>
                      <w:rPr>
                        <w:rFonts w:ascii="Cambria Math" w:hAnsi="Cambria Math" w:cs="Times New Roman"/>
                        <w:szCs w:val="24"/>
                      </w:rPr>
                      <m:t>d</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L</m:t>
                    </m:r>
                  </m:sub>
                  <m:sup>
                    <m:r>
                      <w:rPr>
                        <w:rFonts w:ascii="Cambria Math" w:hAnsi="Cambria Math" w:cs="Times New Roman"/>
                        <w:szCs w:val="24"/>
                      </w:rPr>
                      <m:t>d</m:t>
                    </m:r>
                  </m:sup>
                </m:sSubSup>
              </m:num>
              <m:den>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S</m:t>
                    </m:r>
                  </m:sub>
                  <m:sup>
                    <m:r>
                      <w:rPr>
                        <w:rFonts w:ascii="Cambria Math" w:hAnsi="Cambria Math" w:cs="Times New Roman"/>
                        <w:szCs w:val="24"/>
                      </w:rPr>
                      <m:t>d</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L</m:t>
                    </m:r>
                  </m:sub>
                  <m:sup>
                    <m:r>
                      <w:rPr>
                        <w:rFonts w:ascii="Cambria Math" w:hAnsi="Cambria Math" w:cs="Times New Roman"/>
                        <w:szCs w:val="24"/>
                      </w:rPr>
                      <m:t>d</m:t>
                    </m:r>
                  </m:sup>
                </m:sSubSup>
              </m:den>
            </m:f>
            <m:r>
              <w:rPr>
                <w:rFonts w:ascii="Cambria Math" w:eastAsiaTheme="minorEastAsia" w:hAnsi="Cambria Math" w:cs="Times New Roman"/>
                <w:szCs w:val="24"/>
              </w:rPr>
              <m:t>+</m:t>
            </m:r>
            <m:f>
              <m:fPr>
                <m:ctrlPr>
                  <w:rPr>
                    <w:rFonts w:ascii="Cambria Math" w:eastAsiaTheme="minorEastAsia" w:hAnsi="Cambria Math" w:cs="Times New Roman"/>
                    <w:i/>
                    <w:szCs w:val="24"/>
                  </w:rPr>
                </m:ctrlPr>
              </m:fPr>
              <m:num>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S</m:t>
                    </m:r>
                  </m:sub>
                  <m:sup>
                    <m:r>
                      <w:rPr>
                        <w:rFonts w:ascii="Cambria Math" w:hAnsi="Cambria Math" w:cs="Times New Roman"/>
                        <w:szCs w:val="24"/>
                      </w:rPr>
                      <m:t>p</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L</m:t>
                    </m:r>
                  </m:sub>
                  <m:sup>
                    <m:r>
                      <w:rPr>
                        <w:rFonts w:ascii="Cambria Math" w:hAnsi="Cambria Math" w:cs="Times New Roman"/>
                        <w:szCs w:val="24"/>
                      </w:rPr>
                      <m:t>p</m:t>
                    </m:r>
                  </m:sup>
                </m:sSubSup>
              </m:num>
              <m:den>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S</m:t>
                    </m:r>
                  </m:sub>
                  <m:sup>
                    <m:r>
                      <w:rPr>
                        <w:rFonts w:ascii="Cambria Math" w:hAnsi="Cambria Math" w:cs="Times New Roman"/>
                        <w:szCs w:val="24"/>
                      </w:rPr>
                      <m:t>p</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L</m:t>
                    </m:r>
                  </m:sub>
                  <m:sup>
                    <m:r>
                      <w:rPr>
                        <w:rFonts w:ascii="Cambria Math" w:hAnsi="Cambria Math" w:cs="Times New Roman"/>
                        <w:szCs w:val="24"/>
                      </w:rPr>
                      <m:t>p</m:t>
                    </m:r>
                  </m:sup>
                </m:sSubSup>
              </m:den>
            </m:f>
          </m:e>
        </m:d>
      </m:oMath>
      <w:r w:rsidR="0003506A" w:rsidRPr="0098140B">
        <w:rPr>
          <w:rFonts w:eastAsiaTheme="minorEastAsia" w:cs="Times New Roman"/>
          <w:szCs w:val="24"/>
        </w:rPr>
        <w:t xml:space="preserve">    </w:t>
      </w:r>
      <w:r w:rsidR="009303D3">
        <w:rPr>
          <w:rFonts w:eastAsiaTheme="minorEastAsia" w:cs="Times New Roman"/>
          <w:szCs w:val="24"/>
        </w:rPr>
        <w:t xml:space="preserve">                              </w:t>
      </w:r>
      <w:r w:rsidR="0003506A" w:rsidRPr="0098140B">
        <w:rPr>
          <w:rFonts w:eastAsiaTheme="minorEastAsia" w:cs="Times New Roman"/>
          <w:szCs w:val="24"/>
        </w:rPr>
        <w:t xml:space="preserve">  (</w:t>
      </w:r>
      <w:r w:rsidR="00E245D6">
        <w:rPr>
          <w:rFonts w:cs="Times New Roman"/>
          <w:szCs w:val="24"/>
        </w:rPr>
        <w:t>2.</w:t>
      </w:r>
      <w:r w:rsidR="0003506A" w:rsidRPr="0098140B">
        <w:rPr>
          <w:rFonts w:eastAsiaTheme="minorEastAsia" w:cs="Times New Roman"/>
          <w:szCs w:val="24"/>
        </w:rPr>
        <w:t>10)</w:t>
      </w:r>
    </w:p>
    <w:p w14:paraId="30AE09AA" w14:textId="34DF6525" w:rsidR="0003506A" w:rsidRPr="0098140B" w:rsidRDefault="007F7885" w:rsidP="006378AA">
      <w:pPr>
        <w:jc w:val="center"/>
        <w:rPr>
          <w:rFonts w:eastAsiaTheme="minorEastAsia" w:cs="Times New Roman"/>
          <w:szCs w:val="24"/>
        </w:rPr>
      </w:pP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S</m:t>
            </m:r>
          </m:sub>
        </m:sSub>
        <m:r>
          <w:rPr>
            <w:rFonts w:ascii="Cambria Math" w:eastAsiaTheme="minorEastAsia" w:hAnsi="Cambria Math" w:cs="Times New Roman"/>
            <w:szCs w:val="24"/>
          </w:rPr>
          <m:t>=</m:t>
        </m:r>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S</m:t>
            </m:r>
          </m:sub>
          <m:sup>
            <m:r>
              <w:rPr>
                <w:rFonts w:ascii="Cambria Math" w:hAnsi="Cambria Math" w:cs="Times New Roman"/>
                <w:szCs w:val="24"/>
              </w:rPr>
              <m:t>LW</m:t>
            </m:r>
          </m:sup>
        </m:sSubSup>
        <m:r>
          <w:rPr>
            <w:rFonts w:ascii="Cambria Math" w:hAnsi="Cambria Math" w:cs="Times New Roman"/>
            <w:szCs w:val="24"/>
          </w:rPr>
          <m:t>+2</m:t>
        </m:r>
        <m:sSup>
          <m:sSupPr>
            <m:ctrlPr>
              <w:rPr>
                <w:rFonts w:ascii="Cambria Math" w:hAnsi="Cambria Math" w:cs="Times New Roman"/>
                <w:i/>
                <w:szCs w:val="24"/>
              </w:rPr>
            </m:ctrlPr>
          </m:sSupPr>
          <m:e>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S</m:t>
                </m:r>
              </m:sub>
              <m:sup>
                <m:r>
                  <w:rPr>
                    <w:rFonts w:ascii="Cambria Math" w:hAnsi="Cambria Math" w:cs="Times New Roman"/>
                    <w:szCs w:val="24"/>
                  </w:rPr>
                  <m:t>+</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S</m:t>
                </m:r>
              </m:sub>
              <m:sup>
                <m:r>
                  <w:rPr>
                    <w:rFonts w:ascii="Cambria Math" w:hAnsi="Cambria Math" w:cs="Times New Roman"/>
                    <w:szCs w:val="24"/>
                  </w:rPr>
                  <m:t>-</m:t>
                </m:r>
              </m:sup>
            </m:sSubSup>
            <m:r>
              <w:rPr>
                <w:rFonts w:ascii="Cambria Math" w:hAnsi="Cambria Math" w:cs="Times New Roman"/>
                <w:szCs w:val="24"/>
              </w:rPr>
              <m:t>)</m:t>
            </m:r>
          </m:e>
          <m:sup>
            <m:r>
              <w:rPr>
                <w:rFonts w:ascii="Cambria Math" w:hAnsi="Cambria Math" w:cs="Times New Roman"/>
                <w:szCs w:val="24"/>
              </w:rPr>
              <m:t>0.5</m:t>
            </m:r>
          </m:sup>
        </m:sSup>
      </m:oMath>
      <w:r w:rsidR="0003506A" w:rsidRPr="0098140B">
        <w:rPr>
          <w:rFonts w:eastAsiaTheme="minorEastAsia" w:cs="Times New Roman"/>
          <w:szCs w:val="24"/>
        </w:rPr>
        <w:t xml:space="preserve">                 </w:t>
      </w:r>
      <w:r w:rsidR="009303D3">
        <w:rPr>
          <w:rFonts w:eastAsiaTheme="minorEastAsia" w:cs="Times New Roman"/>
          <w:szCs w:val="24"/>
        </w:rPr>
        <w:t xml:space="preserve">                               </w:t>
      </w:r>
      <w:r w:rsidR="0003506A" w:rsidRPr="0098140B">
        <w:rPr>
          <w:rFonts w:eastAsiaTheme="minorEastAsia" w:cs="Times New Roman"/>
          <w:szCs w:val="24"/>
        </w:rPr>
        <w:t xml:space="preserve">     (</w:t>
      </w:r>
      <w:r w:rsidR="00E245D6">
        <w:rPr>
          <w:rFonts w:cs="Times New Roman"/>
          <w:szCs w:val="24"/>
        </w:rPr>
        <w:t>2.</w:t>
      </w:r>
      <w:r w:rsidR="0003506A" w:rsidRPr="0098140B">
        <w:rPr>
          <w:rFonts w:eastAsiaTheme="minorEastAsia" w:cs="Times New Roman"/>
          <w:szCs w:val="24"/>
        </w:rPr>
        <w:t>11)</w:t>
      </w:r>
    </w:p>
    <w:p w14:paraId="1FB5851E" w14:textId="7937FBE7" w:rsidR="0003506A" w:rsidRPr="0098140B" w:rsidRDefault="007F7885" w:rsidP="006378AA">
      <w:pPr>
        <w:jc w:val="center"/>
        <w:rPr>
          <w:rFonts w:eastAsiaTheme="minorEastAsia" w:cs="Times New Roman"/>
          <w:szCs w:val="24"/>
        </w:rPr>
      </w:pPr>
      <m:oMath>
        <m:sSub>
          <m:sSubPr>
            <m:ctrlPr>
              <w:rPr>
                <w:rFonts w:ascii="Cambria Math" w:eastAsiaTheme="minorEastAsia" w:hAnsi="Cambria Math" w:cs="Times New Roman"/>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L</m:t>
            </m:r>
          </m:sub>
        </m:sSub>
        <m:d>
          <m:dPr>
            <m:ctrlPr>
              <w:rPr>
                <w:rFonts w:ascii="Cambria Math" w:eastAsiaTheme="minorEastAsia" w:hAnsi="Cambria Math" w:cs="Times New Roman"/>
                <w:i/>
                <w:szCs w:val="24"/>
              </w:rPr>
            </m:ctrlPr>
          </m:dPr>
          <m:e>
            <m:r>
              <w:rPr>
                <w:rFonts w:ascii="Cambria Math" w:eastAsiaTheme="minorEastAsia" w:hAnsi="Cambria Math" w:cs="Times New Roman"/>
                <w:szCs w:val="24"/>
              </w:rPr>
              <m:t>1+cosθ</m:t>
            </m:r>
          </m:e>
        </m:d>
        <m:r>
          <w:rPr>
            <w:rFonts w:ascii="Cambria Math" w:eastAsiaTheme="minorEastAsia" w:hAnsi="Cambria Math" w:cs="Times New Roman"/>
            <w:szCs w:val="24"/>
          </w:rPr>
          <m:t>=</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2(</m:t>
            </m:r>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S</m:t>
                </m:r>
              </m:sub>
              <m:sup>
                <m:r>
                  <w:rPr>
                    <w:rFonts w:ascii="Cambria Math" w:hAnsi="Cambria Math" w:cs="Times New Roman"/>
                    <w:szCs w:val="24"/>
                  </w:rPr>
                  <m:t>LW</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L</m:t>
                </m:r>
              </m:sub>
              <m:sup>
                <m:r>
                  <w:rPr>
                    <w:rFonts w:ascii="Cambria Math" w:hAnsi="Cambria Math" w:cs="Times New Roman"/>
                    <w:szCs w:val="24"/>
                  </w:rPr>
                  <m:t>LW</m:t>
                </m:r>
              </m:sup>
            </m:sSubSup>
            <m:r>
              <w:rPr>
                <w:rFonts w:ascii="Cambria Math" w:eastAsiaTheme="minorEastAsia" w:hAnsi="Cambria Math" w:cs="Times New Roman"/>
                <w:szCs w:val="24"/>
              </w:rPr>
              <m:t>)</m:t>
            </m:r>
          </m:e>
          <m:sup>
            <m:r>
              <w:rPr>
                <w:rFonts w:ascii="Cambria Math" w:eastAsiaTheme="minorEastAsia" w:hAnsi="Cambria Math" w:cs="Times New Roman"/>
                <w:szCs w:val="24"/>
              </w:rPr>
              <m:t>0.5</m:t>
            </m:r>
          </m:sup>
        </m:sSup>
        <m:r>
          <w:rPr>
            <w:rFonts w:ascii="Cambria Math" w:eastAsiaTheme="minorEastAsia" w:hAnsi="Cambria Math" w:cs="Times New Roman"/>
            <w:szCs w:val="24"/>
          </w:rPr>
          <m:t>+</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2</m:t>
            </m:r>
            <m:d>
              <m:dPr>
                <m:ctrlPr>
                  <w:rPr>
                    <w:rFonts w:ascii="Cambria Math" w:eastAsiaTheme="minorEastAsia" w:hAnsi="Cambria Math" w:cs="Times New Roman"/>
                    <w:i/>
                    <w:szCs w:val="24"/>
                  </w:rPr>
                </m:ctrlPr>
              </m:dPr>
              <m:e>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S</m:t>
                    </m:r>
                  </m:sub>
                  <m:sup>
                    <m:r>
                      <w:rPr>
                        <w:rFonts w:ascii="Cambria Math" w:hAnsi="Cambria Math" w:cs="Times New Roman"/>
                        <w:szCs w:val="24"/>
                      </w:rPr>
                      <m:t>+</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L</m:t>
                    </m:r>
                  </m:sub>
                  <m:sup>
                    <m:r>
                      <w:rPr>
                        <w:rFonts w:ascii="Cambria Math" w:hAnsi="Cambria Math" w:cs="Times New Roman"/>
                        <w:szCs w:val="24"/>
                      </w:rPr>
                      <m:t>-</m:t>
                    </m:r>
                  </m:sup>
                </m:sSubSup>
              </m:e>
            </m:d>
          </m:e>
          <m:sup>
            <m:r>
              <w:rPr>
                <w:rFonts w:ascii="Cambria Math" w:eastAsiaTheme="minorEastAsia" w:hAnsi="Cambria Math" w:cs="Times New Roman"/>
                <w:szCs w:val="24"/>
              </w:rPr>
              <m:t>0.5</m:t>
            </m:r>
          </m:sup>
        </m:sSup>
        <m:r>
          <w:rPr>
            <w:rFonts w:ascii="Cambria Math" w:eastAsiaTheme="minorEastAsia" w:hAnsi="Cambria Math" w:cs="Times New Roman"/>
            <w:szCs w:val="24"/>
          </w:rPr>
          <m:t>+</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2(</m:t>
            </m:r>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S</m:t>
                </m:r>
              </m:sub>
              <m:sup>
                <m:r>
                  <w:rPr>
                    <w:rFonts w:ascii="Cambria Math" w:hAnsi="Cambria Math" w:cs="Times New Roman"/>
                    <w:szCs w:val="24"/>
                  </w:rPr>
                  <m:t>-</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L</m:t>
                </m:r>
              </m:sub>
              <m:sup>
                <m:r>
                  <w:rPr>
                    <w:rFonts w:ascii="Cambria Math" w:hAnsi="Cambria Math" w:cs="Times New Roman"/>
                    <w:szCs w:val="24"/>
                  </w:rPr>
                  <m:t>+</m:t>
                </m:r>
              </m:sup>
            </m:sSubSup>
            <m:r>
              <w:rPr>
                <w:rFonts w:ascii="Cambria Math" w:eastAsiaTheme="minorEastAsia" w:hAnsi="Cambria Math" w:cs="Times New Roman"/>
                <w:szCs w:val="24"/>
              </w:rPr>
              <m:t>)</m:t>
            </m:r>
          </m:e>
          <m:sup>
            <m:r>
              <w:rPr>
                <w:rFonts w:ascii="Cambria Math" w:eastAsiaTheme="minorEastAsia" w:hAnsi="Cambria Math" w:cs="Times New Roman"/>
                <w:szCs w:val="24"/>
              </w:rPr>
              <m:t>0.5</m:t>
            </m:r>
          </m:sup>
        </m:sSup>
      </m:oMath>
      <w:r w:rsidR="0003506A" w:rsidRPr="0098140B">
        <w:rPr>
          <w:rFonts w:eastAsiaTheme="minorEastAsia" w:cs="Times New Roman"/>
          <w:szCs w:val="24"/>
        </w:rPr>
        <w:t xml:space="preserve">     (</w:t>
      </w:r>
      <w:r w:rsidR="00E245D6">
        <w:rPr>
          <w:rFonts w:cs="Times New Roman"/>
          <w:szCs w:val="24"/>
        </w:rPr>
        <w:t>2.</w:t>
      </w:r>
      <w:r w:rsidR="0003506A" w:rsidRPr="0098140B">
        <w:rPr>
          <w:rFonts w:eastAsiaTheme="minorEastAsia" w:cs="Times New Roman"/>
          <w:szCs w:val="24"/>
        </w:rPr>
        <w:t>12)</w:t>
      </w:r>
    </w:p>
    <w:p w14:paraId="11C098E2" w14:textId="3A1D6373" w:rsidR="0003506A" w:rsidRPr="0098140B" w:rsidRDefault="0003506A" w:rsidP="006378AA">
      <w:pPr>
        <w:rPr>
          <w:rFonts w:eastAsiaTheme="minorEastAsia" w:cs="Times New Roman"/>
          <w:szCs w:val="24"/>
        </w:rPr>
      </w:pPr>
      <w:r w:rsidRPr="0098140B">
        <w:rPr>
          <w:rFonts w:eastAsiaTheme="minorEastAsia" w:cs="Times New Roman"/>
          <w:szCs w:val="24"/>
        </w:rPr>
        <w:t>Equations (</w:t>
      </w:r>
      <w:r w:rsidR="00E245D6">
        <w:rPr>
          <w:rFonts w:cs="Times New Roman"/>
          <w:szCs w:val="24"/>
        </w:rPr>
        <w:t>2.</w:t>
      </w:r>
      <w:r w:rsidRPr="0098140B">
        <w:rPr>
          <w:rFonts w:eastAsiaTheme="minorEastAsia" w:cs="Times New Roman"/>
          <w:szCs w:val="24"/>
        </w:rPr>
        <w:t>8), (</w:t>
      </w:r>
      <w:r w:rsidR="00E245D6">
        <w:rPr>
          <w:rFonts w:cs="Times New Roman"/>
          <w:szCs w:val="24"/>
        </w:rPr>
        <w:t>2.</w:t>
      </w:r>
      <w:r w:rsidRPr="0098140B">
        <w:rPr>
          <w:rFonts w:eastAsiaTheme="minorEastAsia" w:cs="Times New Roman"/>
          <w:szCs w:val="24"/>
        </w:rPr>
        <w:t>9) and (</w:t>
      </w:r>
      <w:r w:rsidR="00E245D6">
        <w:rPr>
          <w:rFonts w:cs="Times New Roman"/>
          <w:szCs w:val="24"/>
        </w:rPr>
        <w:t>2.</w:t>
      </w:r>
      <w:r w:rsidRPr="0098140B">
        <w:rPr>
          <w:rFonts w:eastAsiaTheme="minorEastAsia" w:cs="Times New Roman"/>
          <w:szCs w:val="24"/>
        </w:rPr>
        <w:t xml:space="preserve">11) derive from the Young-Dupré equation with different expressions for the work of adhesion </w:t>
      </w:r>
      <m:oMath>
        <m:sSub>
          <m:sSubPr>
            <m:ctrlPr>
              <w:rPr>
                <w:rFonts w:ascii="Cambria Math" w:eastAsiaTheme="minorEastAsia" w:hAnsi="Cambria Math" w:cs="Times New Roman"/>
                <w:i/>
                <w:szCs w:val="24"/>
              </w:rPr>
            </m:ctrlPr>
          </m:sSubPr>
          <m:e>
            <m:r>
              <w:rPr>
                <w:rFonts w:ascii="Cambria Math" w:eastAsiaTheme="minorEastAsia" w:hAnsi="Cambria Math" w:cs="Times New Roman"/>
                <w:szCs w:val="24"/>
              </w:rPr>
              <m:t>W</m:t>
            </m:r>
          </m:e>
          <m:sub>
            <m:r>
              <w:rPr>
                <w:rFonts w:ascii="Cambria Math" w:eastAsiaTheme="minorEastAsia" w:hAnsi="Cambria Math" w:cs="Times New Roman"/>
                <w:szCs w:val="24"/>
              </w:rPr>
              <m:t>SL</m:t>
            </m:r>
          </m:sub>
        </m:sSub>
      </m:oMath>
      <w:r w:rsidRPr="0098140B">
        <w:rPr>
          <w:rFonts w:eastAsiaTheme="minorEastAsia" w:cs="Times New Roman"/>
          <w:szCs w:val="24"/>
        </w:rPr>
        <w:t>.</w:t>
      </w:r>
    </w:p>
    <w:p w14:paraId="24B5C66F" w14:textId="19302035" w:rsidR="0003506A" w:rsidRPr="0098140B" w:rsidRDefault="0003506A" w:rsidP="006378AA">
      <w:pPr>
        <w:ind w:firstLine="720"/>
        <w:rPr>
          <w:rFonts w:cs="Times New Roman"/>
          <w:szCs w:val="24"/>
        </w:rPr>
      </w:pPr>
      <w:r w:rsidRPr="0098140B">
        <w:rPr>
          <w:rFonts w:cs="Times New Roman"/>
          <w:szCs w:val="24"/>
        </w:rPr>
        <w:t xml:space="preserve">Alternatively, the equation of state approach disqualifies the component-based approach, stating that the </w:t>
      </w:r>
      <w:r w:rsidRPr="00E64D15">
        <w:rPr>
          <w:rFonts w:cs="Times New Roman"/>
          <w:szCs w:val="24"/>
        </w:rPr>
        <w:t>interfacial free energy can be completely determined by the SFE of the probe liquid and the SFE of the solid in conjunction with Young’s principle (Equation (</w:t>
      </w:r>
      <w:r w:rsidR="00E245D6" w:rsidRPr="00E64D15">
        <w:rPr>
          <w:rFonts w:cs="Times New Roman"/>
          <w:szCs w:val="24"/>
        </w:rPr>
        <w:t>2.</w:t>
      </w:r>
      <w:r w:rsidRPr="00E64D15">
        <w:rPr>
          <w:rFonts w:cs="Times New Roman"/>
          <w:szCs w:val="24"/>
        </w:rPr>
        <w:t>13)). Ne</w:t>
      </w:r>
      <w:r w:rsidR="00212D80" w:rsidRPr="00E64D15">
        <w:rPr>
          <w:rFonts w:cs="Times New Roman"/>
          <w:szCs w:val="24"/>
        </w:rPr>
        <w:t>u</w:t>
      </w:r>
      <w:r w:rsidRPr="00E64D15">
        <w:rPr>
          <w:rFonts w:cs="Times New Roman"/>
          <w:szCs w:val="24"/>
        </w:rPr>
        <w:t>ma</w:t>
      </w:r>
      <w:r w:rsidR="00E64D15" w:rsidRPr="00E64D15">
        <w:rPr>
          <w:rFonts w:cs="Times New Roman"/>
          <w:szCs w:val="24"/>
        </w:rPr>
        <w:t>n</w:t>
      </w:r>
      <w:r w:rsidRPr="00E64D15">
        <w:rPr>
          <w:rFonts w:cs="Times New Roman"/>
          <w:szCs w:val="24"/>
        </w:rPr>
        <w:t>n and</w:t>
      </w:r>
      <w:r w:rsidRPr="0098140B">
        <w:rPr>
          <w:rFonts w:cs="Times New Roman"/>
          <w:szCs w:val="24"/>
        </w:rPr>
        <w:t xml:space="preserve"> his colleagues </w:t>
      </w:r>
      <w:r w:rsidRPr="0098140B">
        <w:rPr>
          <w:rFonts w:cs="Times New Roman"/>
          <w:szCs w:val="24"/>
        </w:rPr>
        <w:fldChar w:fldCharType="begin">
          <w:fldData xml:space="preserve">PEVuZE5vdGU+PENpdGU+PEF1dGhvcj5OZXVtYW5uPC9BdXRob3I+PFllYXI+MTk3NDwvWWVhcj48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</w:fldData>
        </w:fldChar>
      </w:r>
      <w:r w:rsidR="00282238">
        <w:rPr>
          <w:rFonts w:cs="Times New Roman"/>
          <w:szCs w:val="24"/>
        </w:rPr>
        <w:instrText xml:space="preserve"> ADDIN EN.CITE </w:instrText>
      </w:r>
      <w:r w:rsidR="00282238">
        <w:rPr>
          <w:rFonts w:cs="Times New Roman"/>
          <w:szCs w:val="24"/>
        </w:rPr>
        <w:fldChar w:fldCharType="begin">
          <w:fldData xml:space="preserve">PEVuZE5vdGU+PENpdGU+PEF1dGhvcj5OZXVtYW5uPC9BdXRob3I+PFllYXI+MTk3NDwvWWVhcj48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</w:fldData>
        </w:fldChar>
      </w:r>
      <w:r w:rsidR="00282238">
        <w:rPr>
          <w:rFonts w:cs="Times New Roman"/>
          <w:szCs w:val="24"/>
        </w:rPr>
        <w:instrText xml:space="preserve"> ADDIN EN.CITE.DATA </w:instrText>
      </w:r>
      <w:r w:rsidR="00282238">
        <w:rPr>
          <w:rFonts w:cs="Times New Roman"/>
          <w:szCs w:val="24"/>
        </w:rPr>
      </w:r>
      <w:r w:rsidR="00282238">
        <w:rPr>
          <w:rFonts w:cs="Times New Roman"/>
          <w:szCs w:val="24"/>
        </w:rPr>
        <w:fldChar w:fldCharType="end"/>
      </w:r>
      <w:r w:rsidRPr="0098140B">
        <w:rPr>
          <w:rFonts w:cs="Times New Roman"/>
          <w:szCs w:val="24"/>
        </w:rPr>
      </w:r>
      <w:r w:rsidRPr="0098140B">
        <w:rPr>
          <w:rFonts w:cs="Times New Roman"/>
          <w:szCs w:val="24"/>
        </w:rPr>
        <w:fldChar w:fldCharType="separate"/>
      </w:r>
      <w:r w:rsidR="00282238">
        <w:rPr>
          <w:rFonts w:cs="Times New Roman"/>
          <w:noProof/>
          <w:szCs w:val="24"/>
        </w:rPr>
        <w:t>(Neumann et al., 1974; Li and Neumann, 1990; Li and Neumann, 1992)</w:t>
      </w:r>
      <w:r w:rsidRPr="0098140B">
        <w:rPr>
          <w:rFonts w:cs="Times New Roman"/>
          <w:szCs w:val="24"/>
        </w:rPr>
        <w:fldChar w:fldCharType="end"/>
      </w:r>
      <w:r w:rsidRPr="0098140B">
        <w:rPr>
          <w:rFonts w:cs="Times New Roman"/>
          <w:szCs w:val="24"/>
        </w:rPr>
        <w:t xml:space="preserve"> used the equation of state approach and proposed Equation (</w:t>
      </w:r>
      <w:r w:rsidR="00E245D6">
        <w:rPr>
          <w:rFonts w:cs="Times New Roman"/>
          <w:szCs w:val="24"/>
        </w:rPr>
        <w:t>2.</w:t>
      </w:r>
      <w:r w:rsidRPr="0098140B">
        <w:rPr>
          <w:rFonts w:cs="Times New Roman"/>
          <w:szCs w:val="24"/>
        </w:rPr>
        <w:t xml:space="preserve">14) to define the relation between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SL</m:t>
            </m:r>
          </m:sub>
        </m:sSub>
      </m:oMath>
      <w:r w:rsidRPr="0098140B">
        <w:rPr>
          <w:rFonts w:eastAsiaTheme="minorEastAsia" w:cs="Times New Roman"/>
          <w:szCs w:val="24"/>
        </w:rPr>
        <w:t xml:space="preserve">,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S</m:t>
            </m:r>
          </m:sub>
        </m:sSub>
      </m:oMath>
      <w:r w:rsidRPr="0098140B">
        <w:rPr>
          <w:rFonts w:eastAsiaTheme="minorEastAsia" w:cs="Times New Roman"/>
          <w:szCs w:val="24"/>
        </w:rPr>
        <w:t xml:space="preserve"> and </w:t>
      </w:r>
      <m:oMath>
        <m:sSub>
          <m:sSubPr>
            <m:ctrlPr>
              <w:rPr>
                <w:rFonts w:ascii="Cambria Math" w:eastAsiaTheme="minorEastAsia" w:hAnsi="Cambria Math" w:cs="Times New Roman"/>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L</m:t>
            </m:r>
          </m:sub>
        </m:sSub>
      </m:oMath>
      <w:r w:rsidRPr="0098140B">
        <w:rPr>
          <w:rFonts w:eastAsiaTheme="minorEastAsia" w:cs="Times New Roman"/>
          <w:szCs w:val="24"/>
        </w:rPr>
        <w:t>. In Equation (</w:t>
      </w:r>
      <w:r w:rsidR="00E245D6">
        <w:rPr>
          <w:rFonts w:cs="Times New Roman"/>
          <w:szCs w:val="24"/>
        </w:rPr>
        <w:t>2.</w:t>
      </w:r>
      <w:r w:rsidRPr="0098140B">
        <w:rPr>
          <w:rFonts w:eastAsiaTheme="minorEastAsia" w:cs="Times New Roman"/>
          <w:szCs w:val="24"/>
        </w:rPr>
        <w:t xml:space="preserve">14) β is a constant parameter. </w:t>
      </w:r>
      <w:r w:rsidRPr="0098140B">
        <w:rPr>
          <w:rFonts w:cs="Times New Roman"/>
          <w:szCs w:val="24"/>
        </w:rPr>
        <w:t xml:space="preserve">The use of this approach eliminates the dependency of the SFE on probe liquid set. However, a number of studies reported concerns over this equation of state approach in spite of its associated benefits </w:t>
      </w:r>
      <w:r w:rsidRPr="0098140B">
        <w:rPr>
          <w:rFonts w:cs="Times New Roman"/>
          <w:szCs w:val="24"/>
        </w:rPr>
        <w:fldChar w:fldCharType="begin">
          <w:fldData xml:space="preserve">PEVuZE5vdGU+PENpdGU+PEF1dGhvcj5EZWxsYSBWb2xwZTwvQXV0aG9yPjxZZWFyPjIwMDQ8L1ll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</w:fldData>
        </w:fldChar>
      </w:r>
      <w:r w:rsidR="00282238">
        <w:rPr>
          <w:rFonts w:cs="Times New Roman"/>
          <w:szCs w:val="24"/>
        </w:rPr>
        <w:instrText xml:space="preserve"> ADDIN EN.CITE </w:instrText>
      </w:r>
      <w:r w:rsidR="00282238">
        <w:rPr>
          <w:rFonts w:cs="Times New Roman"/>
          <w:szCs w:val="24"/>
        </w:rPr>
        <w:fldChar w:fldCharType="begin">
          <w:fldData xml:space="preserve">PEVuZE5vdGU+PENpdGU+PEF1dGhvcj5EZWxsYSBWb2xwZTwvQXV0aG9yPjxZZWFyPjIwMDQ8L1ll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</w:fldData>
        </w:fldChar>
      </w:r>
      <w:r w:rsidR="00282238">
        <w:rPr>
          <w:rFonts w:cs="Times New Roman"/>
          <w:szCs w:val="24"/>
        </w:rPr>
        <w:instrText xml:space="preserve"> ADDIN EN.CITE.DATA </w:instrText>
      </w:r>
      <w:r w:rsidR="00282238">
        <w:rPr>
          <w:rFonts w:cs="Times New Roman"/>
          <w:szCs w:val="24"/>
        </w:rPr>
      </w:r>
      <w:r w:rsidR="00282238">
        <w:rPr>
          <w:rFonts w:cs="Times New Roman"/>
          <w:szCs w:val="24"/>
        </w:rPr>
        <w:fldChar w:fldCharType="end"/>
      </w:r>
      <w:r w:rsidRPr="0098140B">
        <w:rPr>
          <w:rFonts w:cs="Times New Roman"/>
          <w:szCs w:val="24"/>
        </w:rPr>
      </w:r>
      <w:r w:rsidRPr="0098140B">
        <w:rPr>
          <w:rFonts w:cs="Times New Roman"/>
          <w:szCs w:val="24"/>
        </w:rPr>
        <w:fldChar w:fldCharType="separate"/>
      </w:r>
      <w:r w:rsidR="00282238">
        <w:rPr>
          <w:rFonts w:cs="Times New Roman"/>
          <w:noProof/>
          <w:szCs w:val="24"/>
        </w:rPr>
        <w:t>(Morrison, 1991; Chibowski and Perea-Carpio, 2002; Della Volpe et al., 2004)</w:t>
      </w:r>
      <w:r w:rsidRPr="0098140B">
        <w:rPr>
          <w:rFonts w:cs="Times New Roman"/>
          <w:szCs w:val="24"/>
        </w:rPr>
        <w:fldChar w:fldCharType="end"/>
      </w:r>
      <w:r w:rsidRPr="0098140B">
        <w:rPr>
          <w:rFonts w:cs="Times New Roman"/>
          <w:szCs w:val="24"/>
        </w:rPr>
        <w:t xml:space="preserve">. In a more recent study, </w:t>
      </w:r>
      <w:r w:rsidRPr="0098140B">
        <w:rPr>
          <w:rFonts w:cs="Times New Roman"/>
          <w:szCs w:val="24"/>
        </w:rPr>
        <w:fldChar w:fldCharType="begin"/>
      </w:r>
      <w:r w:rsidRPr="0098140B">
        <w:rPr>
          <w:rFonts w:cs="Times New Roman"/>
          <w:szCs w:val="24"/>
        </w:rPr>
        <w:instrText xml:space="preserve"> ADDIN EN.CITE &lt;EndNote&gt;&lt;Cite AuthorYear="1"&gt;&lt;Author&gt;Zhang&lt;/Author&gt;&lt;Year&gt;2020&lt;/Year&gt;&lt;RecNum&gt;229&lt;/RecNum&gt;&lt;DisplayText&gt;Zhang (2020)&lt;/DisplayText&gt;&lt;record&gt;&lt;rec-number&gt;229&lt;/rec-number&gt;&lt;foreign-keys&gt;&lt;key app="EN" db-id="d55vzfpwawdafteedfoxsf0lv0v0wp5va2aa" timestamp="1612944893"&gt;229&lt;/key&gt;&lt;/foreign-keys&gt;&lt;ref-type name="Journal Article"&gt;17&lt;/ref-type&gt;&lt;contributors&gt;&lt;authors&gt;&lt;author&gt;Zhang, Derun&lt;/author&gt;&lt;/authors&gt;&lt;/contributors&gt;&lt;titles&gt;&lt;title&gt;An Equation-of-State approach to measure the surface free energy (SFE) of bituminous binders&lt;/title&gt;&lt;secondary-title&gt;Measurement&lt;/secondary-title&gt;&lt;/titles&gt;&lt;periodical&gt;&lt;full-title&gt;Measurement&lt;/full-title&gt;&lt;/periodical&gt;&lt;pages&gt;107715&lt;/pages&gt;&lt;volume&gt;158&lt;/volume&gt;&lt;dates&gt;&lt;year&gt;2020&lt;/year&gt;&lt;/dates&gt;&lt;isbn&gt;0263-2241&lt;/isbn&gt;&lt;urls&gt;&lt;/urls&gt;&lt;/record&gt;&lt;/Cite&gt;&lt;/EndNote&gt;</w:instrText>
      </w:r>
      <w:r w:rsidRPr="0098140B">
        <w:rPr>
          <w:rFonts w:cs="Times New Roman"/>
          <w:szCs w:val="24"/>
        </w:rPr>
        <w:fldChar w:fldCharType="separate"/>
      </w:r>
      <w:r w:rsidRPr="0098140B">
        <w:rPr>
          <w:rFonts w:cs="Times New Roman"/>
          <w:noProof/>
          <w:szCs w:val="24"/>
        </w:rPr>
        <w:t>Zhang (2020)</w:t>
      </w:r>
      <w:r w:rsidRPr="0098140B">
        <w:rPr>
          <w:rFonts w:cs="Times New Roman"/>
          <w:szCs w:val="24"/>
        </w:rPr>
        <w:fldChar w:fldCharType="end"/>
      </w:r>
      <w:r w:rsidRPr="0098140B">
        <w:rPr>
          <w:rFonts w:cs="Times New Roman"/>
          <w:szCs w:val="24"/>
        </w:rPr>
        <w:t xml:space="preserve"> proposed a modified version of the equation of state approach to determine the SFE of binders. </w:t>
      </w:r>
    </w:p>
    <w:p w14:paraId="6C8A49DE" w14:textId="2FB164E8" w:rsidR="0003506A" w:rsidRPr="0098140B" w:rsidRDefault="007F7885" w:rsidP="006378AA">
      <w:pPr>
        <w:jc w:val="center"/>
        <w:rPr>
          <w:rFonts w:eastAsiaTheme="minorEastAsia" w:cs="Times New Roman"/>
          <w:szCs w:val="24"/>
        </w:rPr>
      </w:pPr>
      <m:oMath>
        <m:sSub>
          <m:sSubPr>
            <m:ctrlPr>
              <w:rPr>
                <w:rFonts w:ascii="Cambria Math" w:eastAsiaTheme="minorEastAsia" w:hAnsi="Cambria Math" w:cs="Times New Roman"/>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SL</m:t>
            </m:r>
          </m:sub>
        </m:sSub>
        <m:r>
          <w:rPr>
            <w:rFonts w:ascii="Cambria Math" w:eastAsiaTheme="minorEastAsia" w:hAnsi="Cambria Math" w:cs="Times New Roman"/>
            <w:szCs w:val="24"/>
          </w:rPr>
          <m:t>=F(</m:t>
        </m:r>
        <m:sSub>
          <m:sSubPr>
            <m:ctrlPr>
              <w:rPr>
                <w:rFonts w:ascii="Cambria Math" w:eastAsiaTheme="minorEastAsia" w:hAnsi="Cambria Math" w:cs="Times New Roman"/>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L</m:t>
            </m:r>
          </m:sub>
        </m:sSub>
        <m:r>
          <w:rPr>
            <w:rFonts w:ascii="Cambria Math" w:eastAsiaTheme="minorEastAsia" w:hAnsi="Cambria Math" w:cs="Times New Roman"/>
            <w:szCs w:val="24"/>
          </w:rPr>
          <m:t>,</m:t>
        </m:r>
        <m:sSub>
          <m:sSubPr>
            <m:ctrlPr>
              <w:rPr>
                <w:rFonts w:ascii="Cambria Math" w:eastAsiaTheme="minorEastAsia" w:hAnsi="Cambria Math" w:cs="Times New Roman"/>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S</m:t>
            </m:r>
          </m:sub>
        </m:sSub>
        <m:r>
          <w:rPr>
            <w:rFonts w:ascii="Cambria Math" w:eastAsiaTheme="minorEastAsia" w:hAnsi="Cambria Math" w:cs="Times New Roman"/>
            <w:szCs w:val="24"/>
          </w:rPr>
          <m:t>)</m:t>
        </m:r>
      </m:oMath>
      <w:r w:rsidR="0003506A" w:rsidRPr="0098140B">
        <w:rPr>
          <w:rFonts w:eastAsiaTheme="minorEastAsia" w:cs="Times New Roman"/>
          <w:szCs w:val="24"/>
        </w:rPr>
        <w:t xml:space="preserve">                          </w:t>
      </w:r>
      <w:r w:rsidR="00A92A60">
        <w:rPr>
          <w:rFonts w:eastAsiaTheme="minorEastAsia" w:cs="Times New Roman"/>
          <w:szCs w:val="24"/>
        </w:rPr>
        <w:t xml:space="preserve">                   </w:t>
      </w:r>
      <w:r w:rsidR="0003506A" w:rsidRPr="0098140B">
        <w:rPr>
          <w:rFonts w:eastAsiaTheme="minorEastAsia" w:cs="Times New Roman"/>
          <w:szCs w:val="24"/>
        </w:rPr>
        <w:t xml:space="preserve">   (</w:t>
      </w:r>
      <w:r w:rsidR="00D87C74">
        <w:rPr>
          <w:rFonts w:cs="Times New Roman"/>
          <w:szCs w:val="24"/>
        </w:rPr>
        <w:t>2.</w:t>
      </w:r>
      <w:r w:rsidR="0003506A" w:rsidRPr="0098140B">
        <w:rPr>
          <w:rFonts w:eastAsiaTheme="minorEastAsia" w:cs="Times New Roman"/>
          <w:szCs w:val="24"/>
        </w:rPr>
        <w:t>13)</w:t>
      </w:r>
    </w:p>
    <w:p w14:paraId="1040B6AC" w14:textId="4378E5D5" w:rsidR="0003506A" w:rsidRPr="0098140B" w:rsidRDefault="007F7885" w:rsidP="006378AA">
      <w:pPr>
        <w:jc w:val="center"/>
        <w:rPr>
          <w:rFonts w:eastAsiaTheme="minorEastAsia" w:cs="Times New Roman"/>
          <w:szCs w:val="24"/>
        </w:rPr>
      </w:pPr>
      <m:oMath>
        <m:sSub>
          <m:sSubPr>
            <m:ctrlPr>
              <w:rPr>
                <w:rFonts w:ascii="Cambria Math" w:eastAsiaTheme="minorEastAsia" w:hAnsi="Cambria Math" w:cs="Times New Roman"/>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L</m:t>
            </m:r>
          </m:sub>
        </m:sSub>
        <m:d>
          <m:dPr>
            <m:ctrlPr>
              <w:rPr>
                <w:rFonts w:ascii="Cambria Math" w:eastAsiaTheme="minorEastAsia" w:hAnsi="Cambria Math" w:cs="Times New Roman"/>
                <w:i/>
                <w:szCs w:val="24"/>
              </w:rPr>
            </m:ctrlPr>
          </m:dPr>
          <m:e>
            <m:r>
              <w:rPr>
                <w:rFonts w:ascii="Cambria Math" w:eastAsiaTheme="minorEastAsia" w:hAnsi="Cambria Math" w:cs="Times New Roman"/>
                <w:szCs w:val="24"/>
              </w:rPr>
              <m:t>1+cosθ</m:t>
            </m:r>
          </m:e>
        </m:d>
        <m:r>
          <w:rPr>
            <w:rFonts w:ascii="Cambria Math" w:eastAsiaTheme="minorEastAsia" w:hAnsi="Cambria Math" w:cs="Times New Roman"/>
            <w:szCs w:val="24"/>
          </w:rPr>
          <m:t>=</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2(</m:t>
            </m:r>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S</m:t>
                </m:r>
              </m:sub>
            </m:sSub>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L</m:t>
                </m:r>
              </m:sub>
            </m:sSub>
            <m:r>
              <w:rPr>
                <w:rFonts w:ascii="Cambria Math" w:eastAsiaTheme="minorEastAsia" w:hAnsi="Cambria Math" w:cs="Times New Roman"/>
                <w:szCs w:val="24"/>
              </w:rPr>
              <m:t>)</m:t>
            </m:r>
          </m:e>
          <m:sup>
            <m:r>
              <w:rPr>
                <w:rFonts w:ascii="Cambria Math" w:eastAsiaTheme="minorEastAsia" w:hAnsi="Cambria Math" w:cs="Times New Roman"/>
                <w:szCs w:val="24"/>
              </w:rPr>
              <m:t>0.5</m:t>
            </m:r>
          </m:sup>
        </m:sSup>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e</m:t>
            </m:r>
          </m:e>
          <m:sup>
            <m:r>
              <w:rPr>
                <w:rFonts w:ascii="Cambria Math" w:eastAsiaTheme="minorEastAsia" w:hAnsi="Cambria Math" w:cs="Times New Roman"/>
                <w:szCs w:val="24"/>
              </w:rPr>
              <m:t>-β</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L</m:t>
                    </m:r>
                  </m:sub>
                </m:sSub>
                <m:r>
                  <w:rPr>
                    <w:rFonts w:ascii="Cambria Math" w:eastAsiaTheme="minorEastAsia" w:hAnsi="Cambria Math" w:cs="Times New Roman"/>
                    <w:szCs w:val="24"/>
                  </w:rPr>
                  <m:t>-</m:t>
                </m:r>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S</m:t>
                    </m:r>
                  </m:sub>
                </m:sSub>
                <m:r>
                  <w:rPr>
                    <w:rFonts w:ascii="Cambria Math" w:eastAsiaTheme="minorEastAsia" w:hAnsi="Cambria Math" w:cs="Times New Roman"/>
                    <w:szCs w:val="24"/>
                  </w:rPr>
                  <m:t>)</m:t>
                </m:r>
              </m:e>
              <m:sup>
                <m:r>
                  <w:rPr>
                    <w:rFonts w:ascii="Cambria Math" w:eastAsiaTheme="minorEastAsia" w:hAnsi="Cambria Math" w:cs="Times New Roman"/>
                    <w:szCs w:val="24"/>
                  </w:rPr>
                  <m:t>2</m:t>
                </m:r>
              </m:sup>
            </m:sSup>
          </m:sup>
        </m:sSup>
      </m:oMath>
      <w:r w:rsidR="0003506A" w:rsidRPr="0098140B">
        <w:rPr>
          <w:rFonts w:eastAsiaTheme="minorEastAsia" w:cs="Times New Roman"/>
          <w:szCs w:val="24"/>
        </w:rPr>
        <w:t xml:space="preserve">           (</w:t>
      </w:r>
      <w:r w:rsidR="00D87C74">
        <w:rPr>
          <w:rFonts w:cs="Times New Roman"/>
          <w:szCs w:val="24"/>
        </w:rPr>
        <w:t>2.</w:t>
      </w:r>
      <w:r w:rsidR="0003506A" w:rsidRPr="0098140B">
        <w:rPr>
          <w:rFonts w:eastAsiaTheme="minorEastAsia" w:cs="Times New Roman"/>
          <w:szCs w:val="24"/>
        </w:rPr>
        <w:t>14)</w:t>
      </w:r>
    </w:p>
    <w:p w14:paraId="1DACA30D" w14:textId="450C9F31" w:rsidR="0003506A" w:rsidRPr="0098140B" w:rsidRDefault="0003506A" w:rsidP="006378AA">
      <w:pPr>
        <w:ind w:firstLine="720"/>
        <w:rPr>
          <w:rFonts w:cs="Times New Roman"/>
          <w:szCs w:val="24"/>
        </w:rPr>
      </w:pPr>
      <w:r w:rsidRPr="0098140B">
        <w:rPr>
          <w:rFonts w:cs="Times New Roman"/>
          <w:szCs w:val="24"/>
        </w:rPr>
        <w:t xml:space="preserve">Although all these approaches rely on the </w:t>
      </w:r>
      <w:r w:rsidRPr="0098140B">
        <w:rPr>
          <w:rFonts w:eastAsiaTheme="minorEastAsia" w:cs="Times New Roman"/>
          <w:szCs w:val="24"/>
        </w:rPr>
        <w:t>Young-Dupré</w:t>
      </w:r>
      <w:r w:rsidRPr="0098140B">
        <w:rPr>
          <w:rFonts w:cs="Times New Roman"/>
          <w:szCs w:val="24"/>
        </w:rPr>
        <w:t xml:space="preserve"> equation and constancy of the interfacial tensions during contact angle measurement, the measured value of the SFE may vary due to the difference in mathematical relations between contact angles and SFE, used in each estimation method </w:t>
      </w:r>
      <w:r w:rsidRPr="0098140B">
        <w:rPr>
          <w:rFonts w:cs="Times New Roman"/>
          <w:szCs w:val="24"/>
        </w:rPr>
        <w:fldChar w:fldCharType="begin">
          <w:fldData xml:space="preserve">PEVuZE5vdGU+PENpdGU+PEF1dGhvcj5EZWxsYSBWb2xwZTwvQXV0aG9yPjxZZWFyPjIwMDA8L1ll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</w:fldData>
        </w:fldChar>
      </w:r>
      <w:r w:rsidR="00282238">
        <w:rPr>
          <w:rFonts w:cs="Times New Roman"/>
          <w:szCs w:val="24"/>
        </w:rPr>
        <w:instrText xml:space="preserve"> ADDIN EN.CITE </w:instrText>
      </w:r>
      <w:r w:rsidR="00282238">
        <w:rPr>
          <w:rFonts w:cs="Times New Roman"/>
          <w:szCs w:val="24"/>
        </w:rPr>
        <w:fldChar w:fldCharType="begin">
          <w:fldData xml:space="preserve">PEVuZE5vdGU+PENpdGU+PEF1dGhvcj5EZWxsYSBWb2xwZTwvQXV0aG9yPjxZZWFyPjIwMDA8L1ll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</w:fldData>
        </w:fldChar>
      </w:r>
      <w:r w:rsidR="00282238">
        <w:rPr>
          <w:rFonts w:cs="Times New Roman"/>
          <w:szCs w:val="24"/>
        </w:rPr>
        <w:instrText xml:space="preserve"> ADDIN EN.CITE.DATA </w:instrText>
      </w:r>
      <w:r w:rsidR="00282238">
        <w:rPr>
          <w:rFonts w:cs="Times New Roman"/>
          <w:szCs w:val="24"/>
        </w:rPr>
      </w:r>
      <w:r w:rsidR="00282238">
        <w:rPr>
          <w:rFonts w:cs="Times New Roman"/>
          <w:szCs w:val="24"/>
        </w:rPr>
        <w:fldChar w:fldCharType="end"/>
      </w:r>
      <w:r w:rsidRPr="0098140B">
        <w:rPr>
          <w:rFonts w:cs="Times New Roman"/>
          <w:szCs w:val="24"/>
        </w:rPr>
      </w:r>
      <w:r w:rsidRPr="0098140B">
        <w:rPr>
          <w:rFonts w:cs="Times New Roman"/>
          <w:szCs w:val="24"/>
        </w:rPr>
        <w:fldChar w:fldCharType="separate"/>
      </w:r>
      <w:r w:rsidR="00282238">
        <w:rPr>
          <w:rFonts w:cs="Times New Roman"/>
          <w:noProof/>
          <w:szCs w:val="24"/>
        </w:rPr>
        <w:t>(Della Volpe and Siboni, 2000; Żenkiewicz, 2006; Żenkiewicz, 2007; Rudawska and Jacniacka, 2018)</w:t>
      </w:r>
      <w:r w:rsidRPr="0098140B">
        <w:rPr>
          <w:rFonts w:cs="Times New Roman"/>
          <w:szCs w:val="24"/>
        </w:rPr>
        <w:fldChar w:fldCharType="end"/>
      </w:r>
      <w:r w:rsidRPr="0098140B">
        <w:rPr>
          <w:rFonts w:cs="Times New Roman"/>
          <w:szCs w:val="24"/>
        </w:rPr>
        <w:t xml:space="preserve">. Among the aforementioned approaches, the three component-based adhesion model by </w:t>
      </w:r>
      <w:r w:rsidRPr="0098140B">
        <w:rPr>
          <w:rFonts w:cs="Times New Roman"/>
          <w:szCs w:val="24"/>
        </w:rPr>
        <w:fldChar w:fldCharType="begin"/>
      </w:r>
      <w:r w:rsidRPr="0098140B">
        <w:rPr>
          <w:rFonts w:cs="Times New Roman"/>
          <w:szCs w:val="24"/>
        </w:rPr>
        <w:instrText xml:space="preserve"> ADDIN EN.CITE &lt;EndNote&gt;&lt;Cite AuthorYear="1"&gt;&lt;Author&gt;Van Oss&lt;/Author&gt;&lt;Year&gt;1988&lt;/Year&gt;&lt;RecNum&gt;31&lt;/RecNum&gt;&lt;DisplayText&gt;Van Oss et al. (1988)&lt;/DisplayText&gt;&lt;record&gt;&lt;rec-number&gt;31&lt;/rec-number&gt;&lt;foreign-keys&gt;&lt;key app="EN" db-id="d55vzfpwawdafteedfoxsf0lv0v0wp5va2aa" timestamp="1509901250"&gt;31&lt;/key&gt;&lt;/foreign-keys&gt;&lt;ref-type name="Journal Article"&gt;17&lt;/ref-type&gt;&lt;contributors&gt;&lt;authors&gt;&lt;author&gt;Van Oss, Carel J&lt;/author&gt;&lt;author&gt;Chaudhury, Manoj K&lt;/author&gt;&lt;author&gt;Good, Robert J&lt;/author&gt;&lt;/authors&gt;&lt;/contributors&gt;&lt;titles&gt;&lt;title&gt;Interfacial Lifshitz-Van Der Waals and Polar Interactions in Macroscopic Systems&lt;/title&gt;&lt;secondary-title&gt;Chemical Reviews&lt;/secondary-title&gt;&lt;/titles&gt;&lt;periodical&gt;&lt;full-title&gt;Chemical Reviews&lt;/full-title&gt;&lt;/periodical&gt;&lt;pages&gt;927-941&lt;/pages&gt;&lt;volume&gt;88&lt;/volume&gt;&lt;number&gt;6&lt;/number&gt;&lt;dates&gt;&lt;year&gt;1988&lt;/year&gt;&lt;/dates&gt;&lt;isbn&gt;0009-2665&lt;/isbn&gt;&lt;urls&gt;&lt;/urls&gt;&lt;/record&gt;&lt;/Cite&gt;&lt;/EndNote&gt;</w:instrText>
      </w:r>
      <w:r w:rsidRPr="0098140B">
        <w:rPr>
          <w:rFonts w:cs="Times New Roman"/>
          <w:szCs w:val="24"/>
        </w:rPr>
        <w:fldChar w:fldCharType="separate"/>
      </w:r>
      <w:r w:rsidRPr="0098140B">
        <w:rPr>
          <w:rFonts w:cs="Times New Roman"/>
          <w:noProof/>
          <w:szCs w:val="24"/>
        </w:rPr>
        <w:t>Van Oss et al. (1988)</w:t>
      </w:r>
      <w:r w:rsidRPr="0098140B">
        <w:rPr>
          <w:rFonts w:cs="Times New Roman"/>
          <w:szCs w:val="24"/>
        </w:rPr>
        <w:fldChar w:fldCharType="end"/>
      </w:r>
      <w:r w:rsidRPr="0098140B">
        <w:rPr>
          <w:rFonts w:cs="Times New Roman"/>
          <w:szCs w:val="24"/>
        </w:rPr>
        <w:t xml:space="preserve">, known as Good-van Oss-Choudhury (GvOC) theory, was found to be commonly used by the researchers to quantify the adhesion and debonding of binder-aggregate system in presence of moisture </w:t>
      </w:r>
      <w:r w:rsidRPr="0098140B">
        <w:rPr>
          <w:rFonts w:cs="Times New Roman"/>
          <w:szCs w:val="24"/>
        </w:rPr>
        <w:fldChar w:fldCharType="begin">
          <w:fldData xml:space="preserve">PEVuZE5vdGU+PENpdGU+PEF1dGhvcj5IZWZlcjwvQXV0aG9yPjxZZWFyPjIwMDY8L1llYXI+PFJl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</w:fldData>
        </w:fldChar>
      </w:r>
      <w:r w:rsidR="00282238">
        <w:rPr>
          <w:rFonts w:cs="Times New Roman"/>
          <w:szCs w:val="24"/>
        </w:rPr>
        <w:instrText xml:space="preserve"> ADDIN EN.CITE </w:instrText>
      </w:r>
      <w:r w:rsidR="00282238">
        <w:rPr>
          <w:rFonts w:cs="Times New Roman"/>
          <w:szCs w:val="24"/>
        </w:rPr>
        <w:fldChar w:fldCharType="begin">
          <w:fldData xml:space="preserve">PEVuZE5vdGU+PENpdGU+PEF1dGhvcj5IZWZlcjwvQXV0aG9yPjxZZWFyPjIwMDY8L1llYXI+PFJl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</w:fldData>
        </w:fldChar>
      </w:r>
      <w:r w:rsidR="00282238">
        <w:rPr>
          <w:rFonts w:cs="Times New Roman"/>
          <w:szCs w:val="24"/>
        </w:rPr>
        <w:instrText xml:space="preserve"> ADDIN EN.CITE.DATA </w:instrText>
      </w:r>
      <w:r w:rsidR="00282238">
        <w:rPr>
          <w:rFonts w:cs="Times New Roman"/>
          <w:szCs w:val="24"/>
        </w:rPr>
      </w:r>
      <w:r w:rsidR="00282238">
        <w:rPr>
          <w:rFonts w:cs="Times New Roman"/>
          <w:szCs w:val="24"/>
        </w:rPr>
        <w:fldChar w:fldCharType="end"/>
      </w:r>
      <w:r w:rsidRPr="0098140B">
        <w:rPr>
          <w:rFonts w:cs="Times New Roman"/>
          <w:szCs w:val="24"/>
        </w:rPr>
      </w:r>
      <w:r w:rsidRPr="0098140B">
        <w:rPr>
          <w:rFonts w:cs="Times New Roman"/>
          <w:szCs w:val="24"/>
        </w:rPr>
        <w:fldChar w:fldCharType="separate"/>
      </w:r>
      <w:r w:rsidR="00282238">
        <w:rPr>
          <w:rFonts w:cs="Times New Roman"/>
          <w:noProof/>
          <w:szCs w:val="24"/>
        </w:rPr>
        <w:t>(Bhasin et al., 2006; Hefer et al., 2006; Bhasin et al., 2007a; Wasiuddin et al., 2007a; Wasiuddin et al., 2007c; Arabani et al., 2011; Buddhala et al., 2011; Alvarez et al., 2012b; Moghadas Nejad et al., 2012; Ghabchi et al., 2013; Ghabchi et al., 2014)</w:t>
      </w:r>
      <w:r w:rsidRPr="0098140B">
        <w:rPr>
          <w:rFonts w:cs="Times New Roman"/>
          <w:szCs w:val="24"/>
        </w:rPr>
        <w:fldChar w:fldCharType="end"/>
      </w:r>
      <w:r w:rsidRPr="0098140B">
        <w:rPr>
          <w:rFonts w:cs="Times New Roman"/>
          <w:szCs w:val="24"/>
        </w:rPr>
        <w:t xml:space="preserve">. Other estimation methods, such as Owens-Wendt method, Wu method and equation of state approach were used to estimate binder’s SFE at a limited scale </w:t>
      </w:r>
      <w:r w:rsidRPr="0098140B">
        <w:rPr>
          <w:rFonts w:cs="Times New Roman"/>
          <w:szCs w:val="24"/>
        </w:rPr>
        <w:fldChar w:fldCharType="begin"/>
      </w:r>
      <w:r w:rsidR="00282238">
        <w:rPr>
          <w:rFonts w:cs="Times New Roman"/>
          <w:szCs w:val="24"/>
        </w:rPr>
        <w:instrText xml:space="preserve"> ADDIN EN.CITE &lt;EndNote&gt;&lt;Cite&gt;&lt;Author&gt;Zhang&lt;/Author&gt;&lt;Year&gt;2018&lt;/Year&gt;&lt;RecNum&gt;217&lt;/RecNum&gt;&lt;DisplayText&gt;(Zhang and Liu, 2018; Zhang, 2020)&lt;/DisplayText&gt;&lt;record&gt;&lt;rec-number&gt;217&lt;/rec-number&gt;&lt;foreign-keys&gt;&lt;key app="EN" db-id="d55vzfpwawdafteedfoxsf0lv0v0wp5va2aa" timestamp="1564614866"&gt;217&lt;/key&gt;&lt;/foreign-keys&gt;&lt;ref-type name="Journal Article"&gt;17&lt;/ref-type&gt;&lt;contributors&gt;&lt;authors&gt;&lt;author&gt;Zhang, Derun&lt;/author&gt;&lt;author&gt;Liu, Hanqi&lt;/author&gt;&lt;/authors&gt;&lt;/contributors&gt;&lt;titles&gt;&lt;title&gt;Proposed Approach for Determining Consistent Energy Parameters Based on the Surface Free Energy Theory&lt;/title&gt;&lt;secondary-title&gt;Journal of Materials in Civil Engineering&lt;/secondary-title&gt;&lt;/titles&gt;&lt;periodical&gt;&lt;full-title&gt;Journal of Materials in Civil Engineering&lt;/full-title&gt;&lt;/periodical&gt;&lt;pages&gt;04018287&lt;/pages&gt;&lt;volume&gt;30&lt;/volume&gt;&lt;number&gt;11&lt;/number&gt;&lt;dates&gt;&lt;year&gt;2018&lt;/year&gt;&lt;/dates&gt;&lt;isbn&gt;0899-1561&lt;/isbn&gt;&lt;urls&gt;&lt;/urls&gt;&lt;/record&gt;&lt;/Cite&gt;&lt;Cite&gt;&lt;Author&gt;Zhang&lt;/Author&gt;&lt;Year&gt;2020&lt;/Year&gt;&lt;RecNum&gt;229&lt;/RecNum&gt;&lt;record&gt;&lt;rec-number&gt;229&lt;/rec-number&gt;&lt;foreign-keys&gt;&lt;key app="EN" db-id="d55vzfpwawdafteedfoxsf0lv0v0wp5va2aa" timestamp="1612944893"&gt;229&lt;/key&gt;&lt;/foreign-keys&gt;&lt;ref-type name="Journal Article"&gt;17&lt;/ref-type&gt;&lt;contributors&gt;&lt;authors&gt;&lt;author&gt;Zhang, Derun&lt;/author&gt;&lt;/authors&gt;&lt;/contributors&gt;&lt;titles&gt;&lt;title&gt;An Equation-of-State approach to measure the surface free energy (SFE) of bituminous binders&lt;/title&gt;&lt;secondary-title&gt;Measurement&lt;/secondary-title&gt;&lt;/titles&gt;&lt;periodical&gt;&lt;full-title&gt;Measurement&lt;/full-title&gt;&lt;/periodical&gt;&lt;pages&gt;107715&lt;/pages&gt;&lt;volume&gt;158&lt;/volume&gt;&lt;dates&gt;&lt;year&gt;2020&lt;/year&gt;&lt;/dates&gt;&lt;isbn&gt;0263-2241&lt;/isbn&gt;&lt;urls&gt;&lt;/urls&gt;&lt;/record&gt;&lt;/Cite&gt;&lt;/EndNote&gt;</w:instrText>
      </w:r>
      <w:r w:rsidRPr="0098140B">
        <w:rPr>
          <w:rFonts w:cs="Times New Roman"/>
          <w:szCs w:val="24"/>
        </w:rPr>
        <w:fldChar w:fldCharType="separate"/>
      </w:r>
      <w:r w:rsidR="00282238">
        <w:rPr>
          <w:rFonts w:cs="Times New Roman"/>
          <w:noProof/>
          <w:szCs w:val="24"/>
        </w:rPr>
        <w:t>(Zhang and Liu, 2018; Zhang, 2020)</w:t>
      </w:r>
      <w:r w:rsidRPr="0098140B">
        <w:rPr>
          <w:rFonts w:cs="Times New Roman"/>
          <w:szCs w:val="24"/>
        </w:rPr>
        <w:fldChar w:fldCharType="end"/>
      </w:r>
      <w:r w:rsidRPr="0098140B">
        <w:rPr>
          <w:rFonts w:cs="Times New Roman"/>
          <w:szCs w:val="24"/>
        </w:rPr>
        <w:t xml:space="preserve">. Also, to the authors’ knowledge, no study has been conducted to compare the SFE components of the binder and energy parameters of binder-aggregate system obtained from different methods. </w:t>
      </w:r>
    </w:p>
    <w:p w14:paraId="11173F56" w14:textId="3654669F" w:rsidR="00EF555D" w:rsidRPr="0098140B" w:rsidRDefault="0003506A" w:rsidP="006378AA">
      <w:pPr>
        <w:ind w:firstLine="720"/>
        <w:rPr>
          <w:rFonts w:cs="Times New Roman"/>
          <w:szCs w:val="24"/>
        </w:rPr>
      </w:pPr>
      <w:r w:rsidRPr="0098140B">
        <w:rPr>
          <w:rFonts w:cs="Times New Roman"/>
          <w:szCs w:val="24"/>
        </w:rPr>
        <w:t xml:space="preserve">Several studies have reported that the SFE of a solid obtained from a component-based approach can be significantly influenced by the selection of probe liquid set </w:t>
      </w:r>
      <w:r w:rsidRPr="0098140B">
        <w:rPr>
          <w:rFonts w:cs="Times New Roman"/>
          <w:szCs w:val="24"/>
        </w:rPr>
        <w:fldChar w:fldCharType="begin">
          <w:fldData xml:space="preserve">PEVuZE5vdGU+PENpdGU+PEF1dGhvcj5Ib2xsw6RuZGVyPC9BdXRob3I+PFllYXI+MTk5NTwvWWVh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</w:fldData>
        </w:fldChar>
      </w:r>
      <w:r w:rsidR="00282238">
        <w:rPr>
          <w:rFonts w:cs="Times New Roman"/>
          <w:szCs w:val="24"/>
        </w:rPr>
        <w:instrText xml:space="preserve"> ADDIN EN.CITE </w:instrText>
      </w:r>
      <w:r w:rsidR="00282238">
        <w:rPr>
          <w:rFonts w:cs="Times New Roman"/>
          <w:szCs w:val="24"/>
        </w:rPr>
        <w:fldChar w:fldCharType="begin">
          <w:fldData xml:space="preserve">PEVuZE5vdGU+PENpdGU+PEF1dGhvcj5Ib2xsw6RuZGVyPC9BdXRob3I+PFllYXI+MTk5NTwvWWVh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</w:fldData>
        </w:fldChar>
      </w:r>
      <w:r w:rsidR="00282238">
        <w:rPr>
          <w:rFonts w:cs="Times New Roman"/>
          <w:szCs w:val="24"/>
        </w:rPr>
        <w:instrText xml:space="preserve"> ADDIN EN.CITE.DATA </w:instrText>
      </w:r>
      <w:r w:rsidR="00282238">
        <w:rPr>
          <w:rFonts w:cs="Times New Roman"/>
          <w:szCs w:val="24"/>
        </w:rPr>
      </w:r>
      <w:r w:rsidR="00282238">
        <w:rPr>
          <w:rFonts w:cs="Times New Roman"/>
          <w:szCs w:val="24"/>
        </w:rPr>
        <w:fldChar w:fldCharType="end"/>
      </w:r>
      <w:r w:rsidRPr="0098140B">
        <w:rPr>
          <w:rFonts w:cs="Times New Roman"/>
          <w:szCs w:val="24"/>
        </w:rPr>
      </w:r>
      <w:r w:rsidRPr="0098140B">
        <w:rPr>
          <w:rFonts w:cs="Times New Roman"/>
          <w:szCs w:val="24"/>
        </w:rPr>
        <w:fldChar w:fldCharType="separate"/>
      </w:r>
      <w:r w:rsidR="00282238">
        <w:rPr>
          <w:rFonts w:cs="Times New Roman"/>
          <w:noProof/>
          <w:szCs w:val="24"/>
        </w:rPr>
        <w:t>(Holländer, 1995; Della Volpe and Siboni, 2000; Żenkiewicz, 2007)</w:t>
      </w:r>
      <w:r w:rsidRPr="0098140B">
        <w:rPr>
          <w:rFonts w:cs="Times New Roman"/>
          <w:szCs w:val="24"/>
        </w:rPr>
        <w:fldChar w:fldCharType="end"/>
      </w:r>
      <w:r w:rsidRPr="0098140B">
        <w:rPr>
          <w:rFonts w:cs="Times New Roman"/>
          <w:szCs w:val="24"/>
        </w:rPr>
        <w:t xml:space="preserve">. In case of binder-aggregate systems, these inaccuracies in the SFE components of the binder will influence the calculation of energy parameters, which will influence the moisture-induced damage potential of asphalt mixes. Therefore, selection of a proper probe liquid </w:t>
      </w:r>
      <w:r w:rsidRPr="0098140B">
        <w:rPr>
          <w:rFonts w:cs="Times New Roman"/>
          <w:szCs w:val="24"/>
        </w:rPr>
        <w:lastRenderedPageBreak/>
        <w:t xml:space="preserve">set is important to obtaining accurate and consistent SFE components of binder and energy parameters of the binder-aggregate system. According to </w:t>
      </w:r>
      <w:r w:rsidRPr="0098140B">
        <w:rPr>
          <w:rFonts w:cs="Times New Roman"/>
          <w:szCs w:val="24"/>
        </w:rPr>
        <w:fldChar w:fldCharType="begin"/>
      </w:r>
      <w:r w:rsidRPr="0098140B">
        <w:rPr>
          <w:rFonts w:cs="Times New Roman"/>
          <w:szCs w:val="24"/>
        </w:rPr>
        <w:instrText xml:space="preserve"> ADDIN EN.CITE &lt;EndNote&gt;&lt;Cite AuthorYear="1"&gt;&lt;Author&gt;Bhasin&lt;/Author&gt;&lt;Year&gt;2007&lt;/Year&gt;&lt;RecNum&gt;7&lt;/RecNum&gt;&lt;DisplayText&gt;Bhasin (2007)&lt;/DisplayText&gt;&lt;record&gt;&lt;rec-number&gt;7&lt;/rec-number&gt;&lt;foreign-keys&gt;&lt;key app="EN" db-id="d55vzfpwawdafteedfoxsf0lv0v0wp5va2aa" timestamp="1509900362"&gt;7&lt;/key&gt;&lt;/foreign-keys&gt;&lt;ref-type name="Thesis"&gt;32&lt;/ref-type&gt;&lt;contributors&gt;&lt;authors&gt;&lt;author&gt;Bhasin, Amit&lt;/author&gt;&lt;/authors&gt;&lt;/contributors&gt;&lt;titles&gt;&lt;title&gt;Development of Methods to Quantify Bitumen-Aggregate Adhesion and Loss of Adhesion Due to Water&lt;/title&gt;&lt;/titles&gt;&lt;dates&gt;&lt;year&gt;2007&lt;/year&gt;&lt;/dates&gt;&lt;publisher&gt;Texas A&amp;amp;M University&lt;/publisher&gt;&lt;urls&gt;&lt;/urls&gt;&lt;/record&gt;&lt;/Cite&gt;&lt;/EndNote&gt;</w:instrText>
      </w:r>
      <w:r w:rsidRPr="0098140B">
        <w:rPr>
          <w:rFonts w:cs="Times New Roman"/>
          <w:szCs w:val="24"/>
        </w:rPr>
        <w:fldChar w:fldCharType="separate"/>
      </w:r>
      <w:r w:rsidRPr="0098140B">
        <w:rPr>
          <w:rFonts w:cs="Times New Roman"/>
          <w:noProof/>
          <w:szCs w:val="24"/>
        </w:rPr>
        <w:t>Bhasin (2007)</w:t>
      </w:r>
      <w:r w:rsidRPr="0098140B">
        <w:rPr>
          <w:rFonts w:cs="Times New Roman"/>
          <w:szCs w:val="24"/>
        </w:rPr>
        <w:fldChar w:fldCharType="end"/>
      </w:r>
      <w:r w:rsidRPr="0098140B">
        <w:rPr>
          <w:rFonts w:cs="Times New Roman"/>
          <w:szCs w:val="24"/>
        </w:rPr>
        <w:t xml:space="preserve">, probe liquids for contact angle measurement should not react with the binder and have SFE components larger than the tested binder. Also, probe liquids used in the same set should have distinctly different SFE components. Until now, five probe liquids, namely water (W), glycerol (G), formamide (F), ethylene glycol (E) and diiodomethane (D) have been found to satisfy all the criteria of probe liquids for determination of SFE of binders. Previous studies have used a number of different combinations of these five probe liquids to calculate the surface free energies as well as moisture susceptibilities of the binder-aggregate system </w:t>
      </w:r>
      <w:r w:rsidRPr="0098140B">
        <w:rPr>
          <w:rFonts w:cs="Times New Roman"/>
          <w:szCs w:val="24"/>
        </w:rPr>
        <w:fldChar w:fldCharType="begin">
          <w:fldData xml:space="preserve">PEVuZE5vdGU+PENpdGU+PEF1dGhvcj5IZWZlcjwvQXV0aG9yPjxZZWFyPjIwMDY8L1llYXI+PFJl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</w:fldData>
        </w:fldChar>
      </w:r>
      <w:r w:rsidR="00282238">
        <w:rPr>
          <w:rFonts w:cs="Times New Roman"/>
          <w:szCs w:val="24"/>
        </w:rPr>
        <w:instrText xml:space="preserve"> ADDIN EN.CITE </w:instrText>
      </w:r>
      <w:r w:rsidR="00282238">
        <w:rPr>
          <w:rFonts w:cs="Times New Roman"/>
          <w:szCs w:val="24"/>
        </w:rPr>
        <w:fldChar w:fldCharType="begin">
          <w:fldData xml:space="preserve">PEVuZE5vdGU+PENpdGU+PEF1dGhvcj5IZWZlcjwvQXV0aG9yPjxZZWFyPjIwMDY8L1llYXI+PFJl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</w:fldData>
        </w:fldChar>
      </w:r>
      <w:r w:rsidR="00282238">
        <w:rPr>
          <w:rFonts w:cs="Times New Roman"/>
          <w:szCs w:val="24"/>
        </w:rPr>
        <w:instrText xml:space="preserve"> ADDIN EN.CITE.DATA </w:instrText>
      </w:r>
      <w:r w:rsidR="00282238">
        <w:rPr>
          <w:rFonts w:cs="Times New Roman"/>
          <w:szCs w:val="24"/>
        </w:rPr>
      </w:r>
      <w:r w:rsidR="00282238">
        <w:rPr>
          <w:rFonts w:cs="Times New Roman"/>
          <w:szCs w:val="24"/>
        </w:rPr>
        <w:fldChar w:fldCharType="end"/>
      </w:r>
      <w:r w:rsidRPr="0098140B">
        <w:rPr>
          <w:rFonts w:cs="Times New Roman"/>
          <w:szCs w:val="24"/>
        </w:rPr>
      </w:r>
      <w:r w:rsidRPr="0098140B">
        <w:rPr>
          <w:rFonts w:cs="Times New Roman"/>
          <w:szCs w:val="24"/>
        </w:rPr>
        <w:fldChar w:fldCharType="separate"/>
      </w:r>
      <w:r w:rsidR="00282238">
        <w:rPr>
          <w:rFonts w:cs="Times New Roman"/>
          <w:noProof/>
          <w:szCs w:val="24"/>
        </w:rPr>
        <w:t>(Bhasin et al., 2006; Hefer et al., 2006; Bhasin et al., 2007a; Wasiuddin et al., 2007a; Wasiuddin et al., 2007c; Arabani et al., 2011; Buddhala et al., 2011; Alvarez et al., 2012b; Moghadas Nejad et al., 2012; Ghabchi et al., 2013; Ghabchi et al., 2014)</w:t>
      </w:r>
      <w:r w:rsidRPr="0098140B">
        <w:rPr>
          <w:rFonts w:cs="Times New Roman"/>
          <w:szCs w:val="24"/>
        </w:rPr>
        <w:fldChar w:fldCharType="end"/>
      </w:r>
      <w:r w:rsidRPr="0098140B">
        <w:rPr>
          <w:rFonts w:cs="Times New Roman"/>
          <w:szCs w:val="24"/>
        </w:rPr>
        <w:t xml:space="preserve">. Most of these studies, however, did not attempt to identify proper probe liquid sets that result in consistent SFE for the tested binders. </w:t>
      </w:r>
      <w:r w:rsidRPr="0098140B">
        <w:rPr>
          <w:rFonts w:cs="Times New Roman"/>
          <w:szCs w:val="24"/>
        </w:rPr>
        <w:fldChar w:fldCharType="begin"/>
      </w:r>
      <w:r w:rsidRPr="0098140B">
        <w:rPr>
          <w:rFonts w:cs="Times New Roman"/>
          <w:szCs w:val="24"/>
        </w:rPr>
        <w:instrText xml:space="preserve"> ADDIN EN.CITE &lt;EndNote&gt;&lt;Cite AuthorYear="1"&gt;&lt;Author&gt;Holländer&lt;/Author&gt;&lt;Year&gt;1995&lt;/Year&gt;&lt;RecNum&gt;342&lt;/RecNum&gt;&lt;DisplayText&gt;Holländer (1995)&lt;/DisplayText&gt;&lt;record&gt;&lt;rec-number&gt;342&lt;/rec-number&gt;&lt;foreign-keys&gt;&lt;key app="EN" db-id="tfx2va9ropw5p7evdr2pf5rw2vszzx9t0xzs" timestamp="1613170493"&gt;342&lt;/key&gt;&lt;/foreign-keys&gt;&lt;ref-type name="Journal Article"&gt;17&lt;/ref-type&gt;&lt;contributors&gt;&lt;authors&gt;&lt;author&gt;Holländer, A&lt;/author&gt;&lt;/authors&gt;&lt;/contributors&gt;&lt;titles&gt;&lt;title&gt;On the selection of test liquids for the evaluation of acid-base properties of solid surfaces by contact angle goniometry&lt;/title&gt;&lt;secondary-title&gt;J. Colloid Interface Sci. &lt;/secondary-title&gt;&lt;/titles&gt;&lt;pages&gt;493-496&lt;/pages&gt;&lt;volume&gt;169&lt;/volume&gt;&lt;number&gt;2&lt;/number&gt;&lt;dates&gt;&lt;year&gt;1995&lt;/year&gt;&lt;/dates&gt;&lt;urls&gt;&lt;/urls&gt;&lt;/record&gt;&lt;/Cite&gt;&lt;/EndNote&gt;</w:instrText>
      </w:r>
      <w:r w:rsidRPr="0098140B">
        <w:rPr>
          <w:rFonts w:cs="Times New Roman"/>
          <w:szCs w:val="24"/>
        </w:rPr>
        <w:fldChar w:fldCharType="separate"/>
      </w:r>
      <w:r w:rsidRPr="0098140B">
        <w:rPr>
          <w:rFonts w:cs="Times New Roman"/>
          <w:noProof/>
          <w:szCs w:val="24"/>
        </w:rPr>
        <w:t>Holländer (1995)</w:t>
      </w:r>
      <w:r w:rsidRPr="0098140B">
        <w:rPr>
          <w:rFonts w:cs="Times New Roman"/>
          <w:szCs w:val="24"/>
        </w:rPr>
        <w:fldChar w:fldCharType="end"/>
      </w:r>
      <w:r w:rsidRPr="0098140B">
        <w:rPr>
          <w:rFonts w:cs="Times New Roman"/>
          <w:szCs w:val="24"/>
        </w:rPr>
        <w:t xml:space="preserve"> proposed a parameter called </w:t>
      </w:r>
      <m:oMath>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y</m:t>
            </m:r>
          </m:sub>
        </m:sSub>
      </m:oMath>
      <w:r w:rsidRPr="0098140B">
        <w:rPr>
          <w:rFonts w:eastAsiaTheme="minorEastAsia" w:cs="Times New Roman"/>
          <w:szCs w:val="24"/>
        </w:rPr>
        <w:t>,</w:t>
      </w:r>
      <w:r w:rsidRPr="0098140B">
        <w:rPr>
          <w:rFonts w:cs="Times New Roman"/>
          <w:szCs w:val="24"/>
        </w:rPr>
        <w:t xml:space="preserve"> based on the difference in the ratios of acid-base components of probe liquids, to determine compatible probe liquid pairs. According to </w:t>
      </w:r>
      <w:r w:rsidRPr="0098140B">
        <w:rPr>
          <w:rFonts w:cs="Times New Roman"/>
          <w:szCs w:val="24"/>
        </w:rPr>
        <w:fldChar w:fldCharType="begin"/>
      </w:r>
      <w:r w:rsidRPr="0098140B">
        <w:rPr>
          <w:rFonts w:cs="Times New Roman"/>
          <w:szCs w:val="24"/>
        </w:rPr>
        <w:instrText xml:space="preserve"> ADDIN EN.CITE &lt;EndNote&gt;&lt;Cite AuthorYear="1"&gt;&lt;Author&gt;Holländer&lt;/Author&gt;&lt;Year&gt;1995&lt;/Year&gt;&lt;RecNum&gt;342&lt;/RecNum&gt;&lt;DisplayText&gt;Holländer (1995)&lt;/DisplayText&gt;&lt;record&gt;&lt;rec-number&gt;342&lt;/rec-number&gt;&lt;foreign-keys&gt;&lt;key app="EN" db-id="tfx2va9ropw5p7evdr2pf5rw2vszzx9t0xzs" timestamp="1613170493"&gt;342&lt;/key&gt;&lt;/foreign-keys&gt;&lt;ref-type name="Journal Article"&gt;17&lt;/ref-type&gt;&lt;contributors&gt;&lt;authors&gt;&lt;author&gt;Holländer, A&lt;/author&gt;&lt;/authors&gt;&lt;/contributors&gt;&lt;titles&gt;&lt;title&gt;On the selection of test liquids for the evaluation of acid-base properties of solid surfaces by contact angle goniometry&lt;/title&gt;&lt;secondary-title&gt;J. Colloid Interface Sci. &lt;/secondary-title&gt;&lt;/titles&gt;&lt;pages&gt;493-496&lt;/pages&gt;&lt;volume&gt;169&lt;/volume&gt;&lt;number&gt;2&lt;/number&gt;&lt;dates&gt;&lt;year&gt;1995&lt;/year&gt;&lt;/dates&gt;&lt;urls&gt;&lt;/urls&gt;&lt;/record&gt;&lt;/Cite&gt;&lt;/EndNote&gt;</w:instrText>
      </w:r>
      <w:r w:rsidRPr="0098140B">
        <w:rPr>
          <w:rFonts w:cs="Times New Roman"/>
          <w:szCs w:val="24"/>
        </w:rPr>
        <w:fldChar w:fldCharType="separate"/>
      </w:r>
      <w:r w:rsidRPr="0098140B">
        <w:rPr>
          <w:rFonts w:cs="Times New Roman"/>
          <w:noProof/>
          <w:szCs w:val="24"/>
        </w:rPr>
        <w:t>Holländer (1995)</w:t>
      </w:r>
      <w:r w:rsidRPr="0098140B">
        <w:rPr>
          <w:rFonts w:cs="Times New Roman"/>
          <w:szCs w:val="24"/>
        </w:rPr>
        <w:fldChar w:fldCharType="end"/>
      </w:r>
      <w:r w:rsidRPr="0098140B">
        <w:rPr>
          <w:rFonts w:cs="Times New Roman"/>
          <w:szCs w:val="24"/>
        </w:rPr>
        <w:t xml:space="preserve">, probe liquid pair with a higher </w:t>
      </w:r>
      <m:oMath>
        <m:sSub>
          <m:sSubPr>
            <m:ctrlPr>
              <w:rPr>
                <w:rFonts w:ascii="Cambria Math" w:hAnsi="Cambria Math" w:cs="Times New Roman"/>
                <w:i/>
                <w:szCs w:val="24"/>
              </w:rPr>
            </m:ctrlPr>
          </m:sSubPr>
          <m:e>
            <m:r>
              <w:rPr>
                <w:rFonts w:ascii="Cambria Math" w:hAnsi="Cambria Math" w:cs="Times New Roman"/>
                <w:szCs w:val="24"/>
              </w:rPr>
              <m:t>∆Q</m:t>
            </m:r>
          </m:e>
          <m:sub>
            <m:r>
              <w:rPr>
                <w:rFonts w:ascii="Cambria Math" w:hAnsi="Cambria Math" w:cs="Times New Roman"/>
                <w:szCs w:val="24"/>
              </w:rPr>
              <m:t>y</m:t>
            </m:r>
          </m:sub>
        </m:sSub>
      </m:oMath>
      <w:r w:rsidRPr="0098140B">
        <w:rPr>
          <w:rFonts w:cs="Times New Roman"/>
          <w:szCs w:val="24"/>
        </w:rPr>
        <w:t xml:space="preserve"> will result in a reliable and consistent acid-base parameters of solid surface. </w:t>
      </w:r>
      <w:r w:rsidRPr="0098140B">
        <w:rPr>
          <w:rFonts w:cs="Times New Roman"/>
          <w:szCs w:val="24"/>
        </w:rPr>
        <w:fldChar w:fldCharType="begin"/>
      </w:r>
      <w:r w:rsidRPr="0098140B">
        <w:rPr>
          <w:rFonts w:cs="Times New Roman"/>
          <w:szCs w:val="24"/>
        </w:rPr>
        <w:instrText xml:space="preserve"> ADDIN EN.CITE &lt;EndNote&gt;&lt;Cite AuthorYear="1"&gt;&lt;Author&gt;Hefer&lt;/Author&gt;&lt;Year&gt;2006&lt;/Year&gt;&lt;RecNum&gt;24&lt;/RecNum&gt;&lt;DisplayText&gt;Hefer et al. (2006)&lt;/DisplayText&gt;&lt;record&gt;&lt;rec-number&gt;24&lt;/rec-number&gt;&lt;foreign-keys&gt;&lt;key app="EN" db-id="d55vzfpwawdafteedfoxsf0lv0v0wp5va2aa" timestamp="1509901126"&gt;24&lt;/key&gt;&lt;/foreign-keys&gt;&lt;ref-type name="Journal Article"&gt;17&lt;/ref-type&gt;&lt;contributors&gt;&lt;authors&gt;&lt;author&gt;Hefer, Arno W&lt;/author&gt;&lt;author&gt;Bhasin, Amit&lt;/author&gt;&lt;author&gt;Little, Dallas N&lt;/author&gt;&lt;/authors&gt;&lt;/contributors&gt;&lt;titles&gt;&lt;title&gt;Bitumen Surface Energy Characterization Using a Contact Angle Approach&lt;/title&gt;&lt;secondary-title&gt;Journal of Materials in Civil Engineering&lt;/secondary-title&gt;&lt;/titles&gt;&lt;periodical&gt;&lt;full-title&gt;Journal of Materials in Civil Engineering&lt;/full-title&gt;&lt;/periodical&gt;&lt;pages&gt;759-767&lt;/pages&gt;&lt;volume&gt;18&lt;/volume&gt;&lt;number&gt;6&lt;/number&gt;&lt;dates&gt;&lt;year&gt;2006&lt;/year&gt;&lt;/dates&gt;&lt;isbn&gt;0899-1561&lt;/isbn&gt;&lt;urls&gt;&lt;/urls&gt;&lt;/record&gt;&lt;/Cite&gt;&lt;/EndNote&gt;</w:instrText>
      </w:r>
      <w:r w:rsidRPr="0098140B">
        <w:rPr>
          <w:rFonts w:cs="Times New Roman"/>
          <w:szCs w:val="24"/>
        </w:rPr>
        <w:fldChar w:fldCharType="separate"/>
      </w:r>
      <w:r w:rsidRPr="0098140B">
        <w:rPr>
          <w:rFonts w:cs="Times New Roman"/>
          <w:noProof/>
          <w:szCs w:val="24"/>
        </w:rPr>
        <w:t>Hefer et al. (2006)</w:t>
      </w:r>
      <w:r w:rsidRPr="0098140B">
        <w:rPr>
          <w:rFonts w:cs="Times New Roman"/>
          <w:szCs w:val="24"/>
        </w:rPr>
        <w:fldChar w:fldCharType="end"/>
      </w:r>
      <w:r w:rsidRPr="0098140B">
        <w:rPr>
          <w:rFonts w:cs="Times New Roman"/>
          <w:szCs w:val="24"/>
        </w:rPr>
        <w:t xml:space="preserve"> first used a condition number approach and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L</m:t>
            </m:r>
          </m:sub>
        </m:sSub>
      </m:oMath>
      <w:r w:rsidRPr="0098140B">
        <w:rPr>
          <w:rFonts w:eastAsiaTheme="minorEastAsia" w:cs="Times New Roman"/>
          <w:szCs w:val="24"/>
        </w:rPr>
        <w:t xml:space="preserve"> versus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L</m:t>
            </m:r>
          </m:sub>
        </m:sSub>
        <m:r>
          <w:rPr>
            <w:rFonts w:ascii="Cambria Math" w:eastAsiaTheme="minorEastAsia" w:hAnsi="Cambria Math" w:cs="Times New Roman"/>
            <w:szCs w:val="24"/>
          </w:rPr>
          <m:t>cosθ</m:t>
        </m:r>
      </m:oMath>
      <w:r w:rsidRPr="0098140B">
        <w:rPr>
          <w:rFonts w:eastAsiaTheme="minorEastAsia" w:cs="Times New Roman"/>
          <w:szCs w:val="24"/>
        </w:rPr>
        <w:t xml:space="preserve"> plot </w:t>
      </w:r>
      <w:r w:rsidRPr="0098140B">
        <w:rPr>
          <w:rFonts w:cs="Times New Roman"/>
          <w:szCs w:val="24"/>
        </w:rPr>
        <w:t xml:space="preserve">for selection of probe liquids for contact angle of binder using the GvOC method. </w:t>
      </w:r>
      <w:r w:rsidRPr="0098140B">
        <w:rPr>
          <w:rFonts w:eastAsiaTheme="minorEastAsia" w:cs="Times New Roman"/>
          <w:szCs w:val="24"/>
        </w:rPr>
        <w:t>A lower value of condition number was required to reduce the sensitivity to measurement error. Also, p</w:t>
      </w:r>
      <w:r w:rsidRPr="0098140B">
        <w:rPr>
          <w:rFonts w:eastAsia="Times New Roman" w:cs="Times New Roman"/>
          <w:color w:val="000000"/>
          <w:szCs w:val="24"/>
        </w:rPr>
        <w:t xml:space="preserve">robe liquid set with </w:t>
      </w:r>
      <w:r w:rsidRPr="0098140B">
        <w:rPr>
          <w:rFonts w:eastAsiaTheme="minorEastAsia" w:cs="Times New Roman"/>
          <w:szCs w:val="24"/>
        </w:rPr>
        <w:t xml:space="preserve">a higher </w:t>
      </w:r>
      <w:r w:rsidRPr="0098140B">
        <w:rPr>
          <w:rFonts w:eastAsia="Times New Roman" w:cs="Times New Roman"/>
          <w:color w:val="000000"/>
          <w:szCs w:val="24"/>
        </w:rPr>
        <w:t>R</w:t>
      </w:r>
      <w:r w:rsidRPr="0098140B">
        <w:rPr>
          <w:rFonts w:eastAsia="Times New Roman" w:cs="Times New Roman"/>
          <w:color w:val="000000"/>
          <w:szCs w:val="24"/>
          <w:vertAlign w:val="superscript"/>
        </w:rPr>
        <w:t>2</w:t>
      </w:r>
      <w:r w:rsidRPr="0098140B">
        <w:rPr>
          <w:rFonts w:eastAsia="Times New Roman" w:cs="Times New Roman"/>
          <w:color w:val="000000"/>
          <w:szCs w:val="24"/>
        </w:rPr>
        <w:t xml:space="preserve"> value from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L</m:t>
            </m:r>
          </m:sub>
        </m:sSub>
      </m:oMath>
      <w:r w:rsidRPr="0098140B">
        <w:rPr>
          <w:rFonts w:eastAsiaTheme="minorEastAsia" w:cs="Times New Roman"/>
          <w:szCs w:val="24"/>
        </w:rPr>
        <w:t xml:space="preserve"> versus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L</m:t>
            </m:r>
          </m:sub>
        </m:sSub>
        <m:r>
          <w:rPr>
            <w:rFonts w:ascii="Cambria Math" w:eastAsiaTheme="minorEastAsia" w:hAnsi="Cambria Math" w:cs="Times New Roman"/>
            <w:szCs w:val="24"/>
          </w:rPr>
          <m:t>cosθ</m:t>
        </m:r>
      </m:oMath>
      <w:r w:rsidRPr="0098140B">
        <w:rPr>
          <w:rFonts w:eastAsiaTheme="minorEastAsia" w:cs="Times New Roman"/>
          <w:szCs w:val="24"/>
        </w:rPr>
        <w:t xml:space="preserve"> plot was considered </w:t>
      </w:r>
      <w:r w:rsidRPr="0098140B">
        <w:rPr>
          <w:rFonts w:eastAsia="Times New Roman" w:cs="Times New Roman"/>
          <w:color w:val="000000"/>
          <w:szCs w:val="24"/>
        </w:rPr>
        <w:t>a better candidate for determining the SFE components.</w:t>
      </w:r>
      <w:r w:rsidRPr="0098140B">
        <w:rPr>
          <w:rFonts w:eastAsiaTheme="minorEastAsia" w:cs="Times New Roman"/>
          <w:szCs w:val="24"/>
        </w:rPr>
        <w:t xml:space="preserve"> According to </w:t>
      </w:r>
      <w:r w:rsidRPr="0098140B">
        <w:rPr>
          <w:rFonts w:cs="Times New Roman"/>
          <w:szCs w:val="24"/>
        </w:rPr>
        <w:fldChar w:fldCharType="begin"/>
      </w:r>
      <w:r w:rsidRPr="0098140B">
        <w:rPr>
          <w:rFonts w:cs="Times New Roman"/>
          <w:szCs w:val="24"/>
        </w:rPr>
        <w:instrText xml:space="preserve"> ADDIN EN.CITE &lt;EndNote&gt;&lt;Cite AuthorYear="1"&gt;&lt;Author&gt;Hefer&lt;/Author&gt;&lt;Year&gt;2006&lt;/Year&gt;&lt;RecNum&gt;24&lt;/RecNum&gt;&lt;DisplayText&gt;Hefer et al. (2006)&lt;/DisplayText&gt;&lt;record&gt;&lt;rec-number&gt;24&lt;/rec-number&gt;&lt;foreign-keys&gt;&lt;key app="EN" db-id="d55vzfpwawdafteedfoxsf0lv0v0wp5va2aa" timestamp="1509901126"&gt;24&lt;/key&gt;&lt;/foreign-keys&gt;&lt;ref-type name="Journal Article"&gt;17&lt;/ref-type&gt;&lt;contributors&gt;&lt;authors&gt;&lt;author&gt;Hefer, Arno W&lt;/author&gt;&lt;author&gt;Bhasin, Amit&lt;/author&gt;&lt;author&gt;Little, Dallas N&lt;/author&gt;&lt;/authors&gt;&lt;/contributors&gt;&lt;titles&gt;&lt;title&gt;Bitumen Surface Energy Characterization Using a Contact Angle Approach&lt;/title&gt;&lt;secondary-title&gt;Journal of Materials in Civil Engineering&lt;/secondary-title&gt;&lt;/titles&gt;&lt;periodical&gt;&lt;full-title&gt;Journal of Materials in Civil Engineering&lt;/full-title&gt;&lt;/periodical&gt;&lt;pages&gt;759-767&lt;/pages&gt;&lt;volume&gt;18&lt;/volume&gt;&lt;number&gt;6&lt;/number&gt;&lt;dates&gt;&lt;year&gt;2006&lt;/year&gt;&lt;/dates&gt;&lt;isbn&gt;0899-1561&lt;/isbn&gt;&lt;urls&gt;&lt;/urls&gt;&lt;/record&gt;&lt;/Cite&gt;&lt;/EndNote&gt;</w:instrText>
      </w:r>
      <w:r w:rsidRPr="0098140B">
        <w:rPr>
          <w:rFonts w:cs="Times New Roman"/>
          <w:szCs w:val="24"/>
        </w:rPr>
        <w:fldChar w:fldCharType="separate"/>
      </w:r>
      <w:r w:rsidRPr="0098140B">
        <w:rPr>
          <w:rFonts w:cs="Times New Roman"/>
          <w:noProof/>
          <w:szCs w:val="24"/>
        </w:rPr>
        <w:t>Hefer et al. (2006)</w:t>
      </w:r>
      <w:r w:rsidRPr="0098140B">
        <w:rPr>
          <w:rFonts w:cs="Times New Roman"/>
          <w:szCs w:val="24"/>
        </w:rPr>
        <w:fldChar w:fldCharType="end"/>
      </w:r>
      <w:r w:rsidRPr="0098140B">
        <w:rPr>
          <w:rFonts w:cs="Times New Roman"/>
          <w:szCs w:val="24"/>
        </w:rPr>
        <w:t>, a combination of a</w:t>
      </w:r>
      <w:r w:rsidRPr="0098140B">
        <w:rPr>
          <w:rFonts w:eastAsiaTheme="minorEastAsia" w:cs="Times New Roman"/>
          <w:szCs w:val="24"/>
        </w:rPr>
        <w:t xml:space="preserve">ll </w:t>
      </w:r>
      <w:r w:rsidRPr="0098140B">
        <w:rPr>
          <w:rFonts w:eastAsiaTheme="minorEastAsia" w:cs="Times New Roman"/>
          <w:szCs w:val="24"/>
        </w:rPr>
        <w:lastRenderedPageBreak/>
        <w:t xml:space="preserve">five probe liquids is expected to increase the reliability of the calculated SFE components of the binders. </w:t>
      </w:r>
      <w:r w:rsidRPr="0098140B">
        <w:rPr>
          <w:rFonts w:cs="Times New Roman"/>
          <w:szCs w:val="24"/>
        </w:rPr>
        <w:fldChar w:fldCharType="begin"/>
      </w:r>
      <w:r w:rsidRPr="0098140B">
        <w:rPr>
          <w:rFonts w:cs="Times New Roman"/>
          <w:szCs w:val="24"/>
        </w:rPr>
        <w:instrText xml:space="preserve"> ADDIN EN.CITE &lt;EndNote&gt;&lt;Cite AuthorYear="1"&gt;&lt;Author&gt;Singh&lt;/Author&gt;&lt;Year&gt;2018&lt;/Year&gt;&lt;RecNum&gt;230&lt;/RecNum&gt;&lt;DisplayText&gt;Singh and Mishra (2018)&lt;/DisplayText&gt;&lt;record&gt;&lt;rec-number&gt;230&lt;/rec-number&gt;&lt;foreign-keys&gt;&lt;key app="EN" db-id="d55vzfpwawdafteedfoxsf0lv0v0wp5va2aa" timestamp="1612945914"&gt;230&lt;/key&gt;&lt;/foreign-keys&gt;&lt;ref-type name="Journal Article"&gt;17&lt;/ref-type&gt;&lt;contributors&gt;&lt;authors&gt;&lt;author&gt;Singh, Dharamveer&lt;/author&gt;&lt;author&gt;Mishra, Vinamra&lt;/author&gt;&lt;/authors&gt;&lt;/contributors&gt;&lt;titles&gt;&lt;title&gt;Different methods of selecting probe liquids to measure the surface free energy of asphalt binders&lt;/title&gt;&lt;secondary-title&gt;Construction and Building Materials&lt;/secondary-title&gt;&lt;/titles&gt;&lt;periodical&gt;&lt;full-title&gt;Construction and Building Materials&lt;/full-title&gt;&lt;/periodical&gt;&lt;pages&gt;448-457&lt;/pages&gt;&lt;volume&gt;175&lt;/volume&gt;&lt;dates&gt;&lt;year&gt;2018&lt;/year&gt;&lt;/dates&gt;&lt;isbn&gt;0950-0618&lt;/isbn&gt;&lt;urls&gt;&lt;/urls&gt;&lt;/record&gt;&lt;/Cite&gt;&lt;/EndNote&gt;</w:instrText>
      </w:r>
      <w:r w:rsidRPr="0098140B">
        <w:rPr>
          <w:rFonts w:cs="Times New Roman"/>
          <w:szCs w:val="24"/>
        </w:rPr>
        <w:fldChar w:fldCharType="separate"/>
      </w:r>
      <w:r w:rsidRPr="0098140B">
        <w:rPr>
          <w:rFonts w:cs="Times New Roman"/>
          <w:noProof/>
          <w:szCs w:val="24"/>
        </w:rPr>
        <w:t>Singh and Mishra (2018)</w:t>
      </w:r>
      <w:r w:rsidRPr="0098140B">
        <w:rPr>
          <w:rFonts w:cs="Times New Roman"/>
          <w:szCs w:val="24"/>
        </w:rPr>
        <w:fldChar w:fldCharType="end"/>
      </w:r>
      <w:r w:rsidRPr="0098140B">
        <w:rPr>
          <w:rFonts w:cs="Times New Roman"/>
          <w:szCs w:val="24"/>
        </w:rPr>
        <w:t xml:space="preserve"> used similar approaches</w:t>
      </w:r>
      <w:r w:rsidRPr="0098140B">
        <w:rPr>
          <w:rFonts w:eastAsiaTheme="minorEastAsia" w:cs="Times New Roman"/>
          <w:szCs w:val="24"/>
        </w:rPr>
        <w:t xml:space="preserve"> </w:t>
      </w:r>
      <w:r w:rsidRPr="0098140B">
        <w:rPr>
          <w:rFonts w:cs="Times New Roman"/>
          <w:szCs w:val="24"/>
        </w:rPr>
        <w:t>to determine proper liquid set for the GvOC method.</w:t>
      </w:r>
      <w:r w:rsidRPr="0098140B">
        <w:rPr>
          <w:rFonts w:eastAsiaTheme="minorEastAsia" w:cs="Times New Roman"/>
          <w:szCs w:val="24"/>
        </w:rPr>
        <w:t xml:space="preserve"> It was found that the </w:t>
      </w:r>
      <w:r w:rsidRPr="0098140B">
        <w:rPr>
          <w:rFonts w:cs="Times New Roman"/>
          <w:szCs w:val="24"/>
        </w:rPr>
        <w:t xml:space="preserve">condition number approach is more appropriate than the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L</m:t>
            </m:r>
          </m:sub>
        </m:sSub>
      </m:oMath>
      <w:r w:rsidRPr="0098140B">
        <w:rPr>
          <w:rFonts w:eastAsiaTheme="minorEastAsia" w:cs="Times New Roman"/>
          <w:szCs w:val="24"/>
        </w:rPr>
        <w:t xml:space="preserve"> versus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L</m:t>
            </m:r>
          </m:sub>
        </m:sSub>
        <m:r>
          <w:rPr>
            <w:rFonts w:ascii="Cambria Math" w:eastAsiaTheme="minorEastAsia" w:hAnsi="Cambria Math" w:cs="Times New Roman"/>
            <w:szCs w:val="24"/>
          </w:rPr>
          <m:t>cosθ</m:t>
        </m:r>
      </m:oMath>
      <w:r w:rsidRPr="0098140B">
        <w:rPr>
          <w:rFonts w:eastAsiaTheme="minorEastAsia" w:cs="Times New Roman"/>
          <w:szCs w:val="24"/>
        </w:rPr>
        <w:t xml:space="preserve"> plot for this purpose. According to </w:t>
      </w:r>
      <w:r w:rsidRPr="0098140B">
        <w:rPr>
          <w:rFonts w:cs="Times New Roman"/>
          <w:szCs w:val="24"/>
        </w:rPr>
        <w:fldChar w:fldCharType="begin"/>
      </w:r>
      <w:r w:rsidRPr="0098140B">
        <w:rPr>
          <w:rFonts w:cs="Times New Roman"/>
          <w:szCs w:val="24"/>
        </w:rPr>
        <w:instrText xml:space="preserve"> ADDIN EN.CITE &lt;EndNote&gt;&lt;Cite AuthorYear="1"&gt;&lt;Author&gt;Singh&lt;/Author&gt;&lt;Year&gt;2018&lt;/Year&gt;&lt;RecNum&gt;230&lt;/RecNum&gt;&lt;DisplayText&gt;Singh and Mishra (2018)&lt;/DisplayText&gt;&lt;record&gt;&lt;rec-number&gt;230&lt;/rec-number&gt;&lt;foreign-keys&gt;&lt;key app="EN" db-id="d55vzfpwawdafteedfoxsf0lv0v0wp5va2aa" timestamp="1612945914"&gt;230&lt;/key&gt;&lt;/foreign-keys&gt;&lt;ref-type name="Journal Article"&gt;17&lt;/ref-type&gt;&lt;contributors&gt;&lt;authors&gt;&lt;author&gt;Singh, Dharamveer&lt;/author&gt;&lt;author&gt;Mishra, Vinamra&lt;/author&gt;&lt;/authors&gt;&lt;/contributors&gt;&lt;titles&gt;&lt;title&gt;Different methods of selecting probe liquids to measure the surface free energy of asphalt binders&lt;/title&gt;&lt;secondary-title&gt;Construction and Building Materials&lt;/secondary-title&gt;&lt;/titles&gt;&lt;periodical&gt;&lt;full-title&gt;Construction and Building Materials&lt;/full-title&gt;&lt;/periodical&gt;&lt;pages&gt;448-457&lt;/pages&gt;&lt;volume&gt;175&lt;/volume&gt;&lt;dates&gt;&lt;year&gt;2018&lt;/year&gt;&lt;/dates&gt;&lt;isbn&gt;0950-0618&lt;/isbn&gt;&lt;urls&gt;&lt;/urls&gt;&lt;/record&gt;&lt;/Cite&gt;&lt;/EndNote&gt;</w:instrText>
      </w:r>
      <w:r w:rsidRPr="0098140B">
        <w:rPr>
          <w:rFonts w:cs="Times New Roman"/>
          <w:szCs w:val="24"/>
        </w:rPr>
        <w:fldChar w:fldCharType="separate"/>
      </w:r>
      <w:r w:rsidRPr="0098140B">
        <w:rPr>
          <w:rFonts w:cs="Times New Roman"/>
          <w:noProof/>
          <w:szCs w:val="24"/>
        </w:rPr>
        <w:t>Singh and Mishra (2018)</w:t>
      </w:r>
      <w:r w:rsidRPr="0098140B">
        <w:rPr>
          <w:rFonts w:cs="Times New Roman"/>
          <w:szCs w:val="24"/>
        </w:rPr>
        <w:fldChar w:fldCharType="end"/>
      </w:r>
      <w:r w:rsidRPr="0098140B">
        <w:rPr>
          <w:rFonts w:cs="Times New Roman"/>
          <w:szCs w:val="24"/>
        </w:rPr>
        <w:t xml:space="preserve">, WFE, WGD and WDE set can be used to determine the SFE of binders. Recently, </w:t>
      </w:r>
      <w:r w:rsidRPr="0098140B">
        <w:rPr>
          <w:rFonts w:cs="Times New Roman"/>
          <w:szCs w:val="24"/>
        </w:rPr>
        <w:fldChar w:fldCharType="begin"/>
      </w:r>
      <w:r w:rsidRPr="0098140B">
        <w:rPr>
          <w:rFonts w:cs="Times New Roman"/>
          <w:szCs w:val="24"/>
        </w:rPr>
        <w:instrText xml:space="preserve"> ADDIN EN.CITE &lt;EndNote&gt;&lt;Cite AuthorYear="1"&gt;&lt;Author&gt;Zhang&lt;/Author&gt;&lt;Year&gt;2018&lt;/Year&gt;&lt;RecNum&gt;217&lt;/RecNum&gt;&lt;DisplayText&gt;Zhang and Liu (2018)&lt;/DisplayText&gt;&lt;record&gt;&lt;rec-number&gt;217&lt;/rec-number&gt;&lt;foreign-keys&gt;&lt;key app="EN" db-id="d55vzfpwawdafteedfoxsf0lv0v0wp5va2aa" timestamp="1564614866"&gt;217&lt;/key&gt;&lt;/foreign-keys&gt;&lt;ref-type name="Journal Article"&gt;17&lt;/ref-type&gt;&lt;contributors&gt;&lt;authors&gt;&lt;author&gt;Zhang, Derun&lt;/author&gt;&lt;author&gt;Liu, Hanqi&lt;/author&gt;&lt;/authors&gt;&lt;/contributors&gt;&lt;titles&gt;&lt;title&gt;Proposed Approach for Determining Consistent Energy Parameters Based on the Surface Free Energy Theory&lt;/title&gt;&lt;secondary-title&gt;Journal of Materials in Civil Engineering&lt;/secondary-title&gt;&lt;/titles&gt;&lt;periodical&gt;&lt;full-title&gt;Journal of Materials in Civil Engineering&lt;/full-title&gt;&lt;/periodical&gt;&lt;pages&gt;04018287&lt;/pages&gt;&lt;volume&gt;30&lt;/volume&gt;&lt;number&gt;11&lt;/number&gt;&lt;dates&gt;&lt;year&gt;2018&lt;/year&gt;&lt;/dates&gt;&lt;isbn&gt;0899-1561&lt;/isbn&gt;&lt;urls&gt;&lt;/urls&gt;&lt;/record&gt;&lt;/Cite&gt;&lt;/EndNote&gt;</w:instrText>
      </w:r>
      <w:r w:rsidRPr="0098140B">
        <w:rPr>
          <w:rFonts w:cs="Times New Roman"/>
          <w:szCs w:val="24"/>
        </w:rPr>
        <w:fldChar w:fldCharType="separate"/>
      </w:r>
      <w:r w:rsidRPr="0098140B">
        <w:rPr>
          <w:rFonts w:cs="Times New Roman"/>
          <w:noProof/>
          <w:szCs w:val="24"/>
        </w:rPr>
        <w:t>Zhang and Liu (2018)</w:t>
      </w:r>
      <w:r w:rsidRPr="0098140B">
        <w:rPr>
          <w:rFonts w:cs="Times New Roman"/>
          <w:szCs w:val="24"/>
        </w:rPr>
        <w:fldChar w:fldCharType="end"/>
      </w:r>
      <w:r w:rsidRPr="0098140B">
        <w:rPr>
          <w:rFonts w:cs="Times New Roman"/>
          <w:szCs w:val="24"/>
        </w:rPr>
        <w:t xml:space="preserve"> used both the condition number and</w:t>
      </w:r>
      <w:r w:rsidRPr="0098140B">
        <w:rPr>
          <w:rFonts w:eastAsiaTheme="minorEastAsia" w:cs="Times New Roman"/>
          <w:szCs w:val="24"/>
        </w:rPr>
        <w:t xml:space="preserve">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L</m:t>
            </m:r>
          </m:sub>
        </m:sSub>
      </m:oMath>
      <w:r w:rsidRPr="0098140B">
        <w:rPr>
          <w:rFonts w:eastAsiaTheme="minorEastAsia" w:cs="Times New Roman"/>
          <w:szCs w:val="24"/>
        </w:rPr>
        <w:t xml:space="preserve"> versus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L</m:t>
            </m:r>
          </m:sub>
        </m:sSub>
        <m:r>
          <w:rPr>
            <w:rFonts w:ascii="Cambria Math" w:eastAsiaTheme="minorEastAsia" w:hAnsi="Cambria Math" w:cs="Times New Roman"/>
            <w:szCs w:val="24"/>
          </w:rPr>
          <m:t>cosθ</m:t>
        </m:r>
      </m:oMath>
      <w:r w:rsidRPr="0098140B">
        <w:rPr>
          <w:rFonts w:eastAsiaTheme="minorEastAsia" w:cs="Times New Roman"/>
          <w:szCs w:val="24"/>
        </w:rPr>
        <w:t xml:space="preserve"> </w:t>
      </w:r>
      <w:r w:rsidRPr="0098140B">
        <w:rPr>
          <w:rFonts w:cs="Times New Roman"/>
          <w:szCs w:val="24"/>
        </w:rPr>
        <w:t xml:space="preserve">and found the condition number approach inadequate for determination of probe liquid set. </w:t>
      </w:r>
      <w:r w:rsidRPr="0098140B">
        <w:rPr>
          <w:rFonts w:cs="Times New Roman"/>
          <w:szCs w:val="24"/>
        </w:rPr>
        <w:fldChar w:fldCharType="begin"/>
      </w:r>
      <w:r w:rsidRPr="0098140B">
        <w:rPr>
          <w:rFonts w:cs="Times New Roman"/>
          <w:szCs w:val="24"/>
        </w:rPr>
        <w:instrText xml:space="preserve"> ADDIN EN.CITE &lt;EndNote&gt;&lt;Cite AuthorYear="1"&gt;&lt;Author&gt;Zhang&lt;/Author&gt;&lt;Year&gt;2018&lt;/Year&gt;&lt;RecNum&gt;217&lt;/RecNum&gt;&lt;DisplayText&gt;Zhang and Liu (2018)&lt;/DisplayText&gt;&lt;record&gt;&lt;rec-number&gt;217&lt;/rec-number&gt;&lt;foreign-keys&gt;&lt;key app="EN" db-id="d55vzfpwawdafteedfoxsf0lv0v0wp5va2aa" timestamp="1564614866"&gt;217&lt;/key&gt;&lt;/foreign-keys&gt;&lt;ref-type name="Journal Article"&gt;17&lt;/ref-type&gt;&lt;contributors&gt;&lt;authors&gt;&lt;author&gt;Zhang, Derun&lt;/author&gt;&lt;author&gt;Liu, Hanqi&lt;/author&gt;&lt;/authors&gt;&lt;/contributors&gt;&lt;titles&gt;&lt;title&gt;Proposed Approach for Determining Consistent Energy Parameters Based on the Surface Free Energy Theory&lt;/title&gt;&lt;secondary-title&gt;Journal of Materials in Civil Engineering&lt;/secondary-title&gt;&lt;/titles&gt;&lt;periodical&gt;&lt;full-title&gt;Journal of Materials in Civil Engineering&lt;/full-title&gt;&lt;/periodical&gt;&lt;pages&gt;04018287&lt;/pages&gt;&lt;volume&gt;30&lt;/volume&gt;&lt;number&gt;11&lt;/number&gt;&lt;dates&gt;&lt;year&gt;2018&lt;/year&gt;&lt;/dates&gt;&lt;isbn&gt;0899-1561&lt;/isbn&gt;&lt;urls&gt;&lt;/urls&gt;&lt;/record&gt;&lt;/Cite&gt;&lt;/EndNote&gt;</w:instrText>
      </w:r>
      <w:r w:rsidRPr="0098140B">
        <w:rPr>
          <w:rFonts w:cs="Times New Roman"/>
          <w:szCs w:val="24"/>
        </w:rPr>
        <w:fldChar w:fldCharType="separate"/>
      </w:r>
      <w:r w:rsidRPr="0098140B">
        <w:rPr>
          <w:rFonts w:cs="Times New Roman"/>
          <w:noProof/>
          <w:szCs w:val="24"/>
        </w:rPr>
        <w:t>Zhang and Liu (2018)</w:t>
      </w:r>
      <w:r w:rsidRPr="0098140B">
        <w:rPr>
          <w:rFonts w:cs="Times New Roman"/>
          <w:szCs w:val="24"/>
        </w:rPr>
        <w:fldChar w:fldCharType="end"/>
      </w:r>
      <w:r w:rsidRPr="0098140B">
        <w:rPr>
          <w:rFonts w:cs="Times New Roman"/>
          <w:szCs w:val="24"/>
        </w:rPr>
        <w:t xml:space="preserve"> proposed to use the Owens-Wendt model with WFGED and WFED probe liquid sets to determine consistent energy parameters for a binder-aggregate system. The inconsistencies from previous studies indicate the need for additional research on the selection of proper probe liquids sets. As most of the studies were confined to the GvOC method, research is needed to evaluate the effect of probe liquids on the SFE components obtained by other methods. </w:t>
      </w:r>
    </w:p>
    <w:p w14:paraId="2DED62EC" w14:textId="75F29A43" w:rsidR="00BA1B41" w:rsidRPr="0098140B" w:rsidRDefault="00BA1B41" w:rsidP="00E57694">
      <w:pPr>
        <w:pStyle w:val="Heading2"/>
      </w:pPr>
      <w:bookmarkStart w:id="42" w:name="_Toc71728415"/>
      <w:r w:rsidRPr="0098140B">
        <w:t>OBJECTIVES</w:t>
      </w:r>
      <w:bookmarkEnd w:id="42"/>
    </w:p>
    <w:p w14:paraId="02F7F6E7" w14:textId="1EFE535A" w:rsidR="0003506A" w:rsidRPr="0098140B" w:rsidRDefault="00BA1B41" w:rsidP="006378AA">
      <w:pPr>
        <w:ind w:firstLine="720"/>
        <w:rPr>
          <w:rFonts w:cs="Times New Roman"/>
          <w:szCs w:val="24"/>
        </w:rPr>
      </w:pPr>
      <w:r w:rsidRPr="0098140B">
        <w:rPr>
          <w:rFonts w:cs="Times New Roman"/>
          <w:szCs w:val="24"/>
        </w:rPr>
        <w:t>I</w:t>
      </w:r>
      <w:r w:rsidR="0003506A" w:rsidRPr="0098140B">
        <w:rPr>
          <w:rFonts w:cs="Times New Roman"/>
          <w:szCs w:val="24"/>
        </w:rPr>
        <w:t>n the present study, the effect of probe liquid sets on the calculation of SFE components is investigated for different component-based methods, namely GvOC, Owens-Wendt and Wu method. A number of different combinations of water (W), glycerol (G), formamide (F), ethylene glycol (E) and diiodomethane (D) is used for this purpose. Also, an attempt is made to identify the differences in the SFE components calculated using the GvOC, Owens-Wendt and Wu methods and the Neumann’s equation of state approach. The specific objectives of this study are:</w:t>
      </w:r>
    </w:p>
    <w:p w14:paraId="7DC7B2D6" w14:textId="77777777" w:rsidR="0003506A" w:rsidRPr="0098140B" w:rsidRDefault="0003506A" w:rsidP="00D377F8">
      <w:pPr>
        <w:pStyle w:val="ListParagraph"/>
        <w:numPr>
          <w:ilvl w:val="0"/>
          <w:numId w:val="1"/>
        </w:numPr>
      </w:pPr>
      <w:r w:rsidRPr="0098140B">
        <w:t>To evaluate the effects of probe liquid sets on the calculation of SFE components by GvOC, Owens-Wendt and Wu methods;</w:t>
      </w:r>
    </w:p>
    <w:p w14:paraId="7124C16A" w14:textId="77777777" w:rsidR="0003506A" w:rsidRPr="0098140B" w:rsidRDefault="0003506A" w:rsidP="00D377F8">
      <w:pPr>
        <w:pStyle w:val="ListParagraph"/>
        <w:numPr>
          <w:ilvl w:val="0"/>
          <w:numId w:val="1"/>
        </w:numPr>
      </w:pPr>
      <w:r w:rsidRPr="0098140B">
        <w:lastRenderedPageBreak/>
        <w:t>To identify suitable probe liquid sets to obtain consistent energy parameters using GvOC, Owens-Wendt and Wu methods; and</w:t>
      </w:r>
    </w:p>
    <w:p w14:paraId="2A1CF23A" w14:textId="77777777" w:rsidR="0003506A" w:rsidRPr="0098140B" w:rsidRDefault="0003506A" w:rsidP="00D377F8">
      <w:pPr>
        <w:pStyle w:val="ListParagraph"/>
        <w:numPr>
          <w:ilvl w:val="0"/>
          <w:numId w:val="1"/>
        </w:numPr>
      </w:pPr>
      <w:r w:rsidRPr="0098140B">
        <w:t>To investigate the difference between the component-based approach and the equation of state approach by comparing energy parameters of a binder-aggregate system.</w:t>
      </w:r>
    </w:p>
    <w:p w14:paraId="33855225" w14:textId="7EE5ABFF" w:rsidR="0003506A" w:rsidRPr="0098140B" w:rsidRDefault="0003506A" w:rsidP="00E57694">
      <w:pPr>
        <w:pStyle w:val="Heading2"/>
      </w:pPr>
      <w:bookmarkStart w:id="43" w:name="_Toc71728416"/>
      <w:r w:rsidRPr="0098140B">
        <w:t>MATERIALS AND METHODS</w:t>
      </w:r>
      <w:bookmarkEnd w:id="43"/>
    </w:p>
    <w:p w14:paraId="1CAD1C53" w14:textId="16C16B99" w:rsidR="0003506A" w:rsidRPr="0098140B" w:rsidRDefault="0003506A" w:rsidP="0055690E">
      <w:pPr>
        <w:ind w:firstLine="720"/>
        <w:rPr>
          <w:rFonts w:cs="Times New Roman"/>
          <w:szCs w:val="24"/>
        </w:rPr>
      </w:pPr>
      <w:r w:rsidRPr="0098140B">
        <w:rPr>
          <w:rFonts w:cs="Times New Roman"/>
          <w:szCs w:val="24"/>
        </w:rPr>
        <w:t xml:space="preserve">Four commonly used asphalt binders, namely S1, S2, S3 and S4 from different Oklahoma refineries were collected for the purpose of this study. The binders were selected to cover a wide range of performance grades (PG). The S1 and S2 binders were graded as PG 64-22 and were collected from two different sources. The S3 and S4 binders were graded as PG 76-28 and PG 58-28, respectively. In this study, the dynamic Wilhelmy plate (DWP) test was used to determine the dynamic contact angles of the binders. Figure </w:t>
      </w:r>
      <w:r w:rsidR="001D08FC" w:rsidRPr="0098140B">
        <w:rPr>
          <w:rFonts w:cs="Times New Roman"/>
          <w:szCs w:val="24"/>
        </w:rPr>
        <w:t>2.</w:t>
      </w:r>
      <w:r w:rsidRPr="0098140B">
        <w:rPr>
          <w:rFonts w:cs="Times New Roman"/>
          <w:szCs w:val="24"/>
        </w:rPr>
        <w:t>1 presents the sample preparation and testing procedure used in this study. Samples for DWP test were prepared by uniformly coating asphalt binders on 24 x 50 mm glass plates. For this purpose, binder was heated in an oven until it became liquid. Then the glass plate was submerged vertically approximately 10 mm into the liquid binder. The excess binder was then drained by keeping the glass plate oriented vertically for approximately 30 seconds. The glass plate was then inverted and kept vertically oriented inside an oven for approximately 3-4 minutes to ensure uniform coating. Coated glass plates were transferred to a desiccator to reduce exposure to moisture. All the samples were tested within 24-36 hours after preparation. Before testing, the glass plates were examined carefully for anomalies such as bubbles and non-homogeneous substances. Samples with any visible anomalies were discarded as a smooth and uniform surface is required to reduce testing variability. The width and thickness of each sample were measured and recorded after testing using a caliper.</w:t>
      </w:r>
    </w:p>
    <w:p w14:paraId="77C9081F" w14:textId="53944F08" w:rsidR="0003506A" w:rsidRPr="0098140B" w:rsidRDefault="0003506A" w:rsidP="0055690E">
      <w:pPr>
        <w:ind w:firstLine="720"/>
        <w:rPr>
          <w:rFonts w:cs="Times New Roman"/>
          <w:szCs w:val="24"/>
        </w:rPr>
      </w:pPr>
      <w:r w:rsidRPr="0098140B">
        <w:rPr>
          <w:rFonts w:cs="Times New Roman"/>
          <w:szCs w:val="24"/>
        </w:rPr>
        <w:t>As mentioned earlier, selection of appropriate probe liquids is important to obtain consistent contact angles as well as SFE parameters of binders. All five of the aforementioned probe liquids, namely water (W), glycer</w:t>
      </w:r>
      <w:r w:rsidR="00E525E8">
        <w:rPr>
          <w:rFonts w:cs="Times New Roman"/>
          <w:szCs w:val="24"/>
        </w:rPr>
        <w:t>ol</w:t>
      </w:r>
      <w:r w:rsidRPr="0098140B">
        <w:rPr>
          <w:rFonts w:cs="Times New Roman"/>
          <w:szCs w:val="24"/>
        </w:rPr>
        <w:t xml:space="preserve"> (G), formamide (F), ethylene glycol (E) and diiodomethane (D) were used in this study as they satisfied the criteria required to measure the contact angles of binders. The acid, base and Lewis van-der-Waals SFE components of these probe liquids were obtained from </w:t>
      </w:r>
      <w:r w:rsidRPr="0098140B">
        <w:rPr>
          <w:rFonts w:cs="Times New Roman"/>
          <w:szCs w:val="24"/>
        </w:rPr>
        <w:fldChar w:fldCharType="begin"/>
      </w:r>
      <w:r w:rsidRPr="0098140B">
        <w:rPr>
          <w:rFonts w:cs="Times New Roman"/>
          <w:szCs w:val="24"/>
        </w:rPr>
        <w:instrText xml:space="preserve"> ADDIN EN.CITE &lt;EndNote&gt;&lt;Cite AuthorYear="1"&gt;&lt;Author&gt;Hefer&lt;/Author&gt;&lt;Year&gt;2006&lt;/Year&gt;&lt;RecNum&gt;24&lt;/RecNum&gt;&lt;DisplayText&gt;Hefer et al. (2006)&lt;/DisplayText&gt;&lt;record&gt;&lt;rec-number&gt;24&lt;/rec-number&gt;&lt;foreign-keys&gt;&lt;key app="EN" db-id="d55vzfpwawdafteedfoxsf0lv0v0wp5va2aa" timestamp="1509901126"&gt;24&lt;/key&gt;&lt;/foreign-keys&gt;&lt;ref-type name="Journal Article"&gt;17&lt;/ref-type&gt;&lt;contributors&gt;&lt;authors&gt;&lt;author&gt;Hefer, Arno W&lt;/author&gt;&lt;author&gt;Bhasin, Amit&lt;/author&gt;&lt;author&gt;Little, Dallas N&lt;/author&gt;&lt;/authors&gt;&lt;/contributors&gt;&lt;titles&gt;&lt;title&gt;Bitumen Surface Energy Characterization Using a Contact Angle Approach&lt;/title&gt;&lt;secondary-title&gt;Journal of Materials in Civil Engineering&lt;/secondary-title&gt;&lt;/titles&gt;&lt;periodical&gt;&lt;full-title&gt;Journal of Materials in Civil Engineering&lt;/full-title&gt;&lt;/periodical&gt;&lt;pages&gt;759-767&lt;/pages&gt;&lt;volume&gt;18&lt;/volume&gt;&lt;number&gt;6&lt;/number&gt;&lt;dates&gt;&lt;year&gt;2006&lt;/year&gt;&lt;/dates&gt;&lt;isbn&gt;0899-1561&lt;/isbn&gt;&lt;urls&gt;&lt;/urls&gt;&lt;/record&gt;&lt;/Cite&gt;&lt;/EndNote&gt;</w:instrText>
      </w:r>
      <w:r w:rsidRPr="0098140B">
        <w:rPr>
          <w:rFonts w:cs="Times New Roman"/>
          <w:szCs w:val="24"/>
        </w:rPr>
        <w:fldChar w:fldCharType="separate"/>
      </w:r>
      <w:r w:rsidRPr="0098140B">
        <w:rPr>
          <w:rFonts w:cs="Times New Roman"/>
          <w:noProof/>
          <w:szCs w:val="24"/>
        </w:rPr>
        <w:t>Hefer et al. (2006)</w:t>
      </w:r>
      <w:r w:rsidRPr="0098140B">
        <w:rPr>
          <w:rFonts w:cs="Times New Roman"/>
          <w:szCs w:val="24"/>
        </w:rPr>
        <w:fldChar w:fldCharType="end"/>
      </w:r>
      <w:r w:rsidRPr="0098140B">
        <w:rPr>
          <w:rFonts w:cs="Times New Roman"/>
          <w:szCs w:val="24"/>
        </w:rPr>
        <w:t xml:space="preserve"> and are presented in Table </w:t>
      </w:r>
      <w:r w:rsidR="0098054A" w:rsidRPr="0098140B">
        <w:rPr>
          <w:rFonts w:cs="Times New Roman"/>
          <w:szCs w:val="24"/>
        </w:rPr>
        <w:t>2.</w:t>
      </w:r>
      <w:r w:rsidRPr="0098140B">
        <w:rPr>
          <w:rFonts w:cs="Times New Roman"/>
          <w:szCs w:val="24"/>
        </w:rPr>
        <w:t xml:space="preserve">1. According to </w:t>
      </w:r>
      <w:r w:rsidRPr="0098140B">
        <w:rPr>
          <w:rFonts w:cs="Times New Roman"/>
          <w:szCs w:val="24"/>
        </w:rPr>
        <w:fldChar w:fldCharType="begin"/>
      </w:r>
      <w:r w:rsidRPr="0098140B">
        <w:rPr>
          <w:rFonts w:cs="Times New Roman"/>
          <w:szCs w:val="24"/>
        </w:rPr>
        <w:instrText xml:space="preserve"> ADDIN EN.CITE &lt;EndNote&gt;&lt;Cite AuthorYear="1"&gt;&lt;Author&gt;Zhang&lt;/Author&gt;&lt;Year&gt;2018&lt;/Year&gt;&lt;RecNum&gt;217&lt;/RecNum&gt;&lt;DisplayText&gt;Zhang and Liu (2018)&lt;/DisplayText&gt;&lt;record&gt;&lt;rec-number&gt;217&lt;/rec-number&gt;&lt;foreign-keys&gt;&lt;key app="EN" db-id="d55vzfpwawdafteedfoxsf0lv0v0wp5va2aa" timestamp="1564614866"&gt;217&lt;/key&gt;&lt;/foreign-keys&gt;&lt;ref-type name="Journal Article"&gt;17&lt;/ref-type&gt;&lt;contributors&gt;&lt;authors&gt;&lt;author&gt;Zhang, Derun&lt;/author&gt;&lt;author&gt;Liu, Hanqi&lt;/author&gt;&lt;/authors&gt;&lt;/contributors&gt;&lt;titles&gt;&lt;title&gt;Proposed Approach for Determining Consistent Energy Parameters Based on the Surface Free Energy Theory&lt;/title&gt;&lt;secondary-title&gt;Journal of Materials in Civil Engineering&lt;/secondary-title&gt;&lt;/titles&gt;&lt;periodical&gt;&lt;full-title&gt;Journal of Materials in Civil Engineering&lt;/full-title&gt;&lt;/periodical&gt;&lt;pages&gt;04018287&lt;/pages&gt;&lt;volume&gt;30&lt;/volume&gt;&lt;number&gt;11&lt;/number&gt;&lt;dates&gt;&lt;year&gt;2018&lt;/year&gt;&lt;/dates&gt;&lt;isbn&gt;0899-1561&lt;/isbn&gt;&lt;urls&gt;&lt;/urls&gt;&lt;/record&gt;&lt;/Cite&gt;&lt;/EndNote&gt;</w:instrText>
      </w:r>
      <w:r w:rsidRPr="0098140B">
        <w:rPr>
          <w:rFonts w:cs="Times New Roman"/>
          <w:szCs w:val="24"/>
        </w:rPr>
        <w:fldChar w:fldCharType="separate"/>
      </w:r>
      <w:r w:rsidRPr="0098140B">
        <w:rPr>
          <w:rFonts w:cs="Times New Roman"/>
          <w:noProof/>
          <w:szCs w:val="24"/>
        </w:rPr>
        <w:t>Zhang and Liu (2018)</w:t>
      </w:r>
      <w:r w:rsidRPr="0098140B">
        <w:rPr>
          <w:rFonts w:cs="Times New Roman"/>
          <w:szCs w:val="24"/>
        </w:rPr>
        <w:fldChar w:fldCharType="end"/>
      </w:r>
      <w:r w:rsidRPr="0098140B">
        <w:rPr>
          <w:rFonts w:cs="Times New Roman"/>
          <w:szCs w:val="24"/>
        </w:rPr>
        <w:t xml:space="preserve">, the </w:t>
      </w:r>
      <w:r w:rsidRPr="0098140B">
        <w:rPr>
          <w:rFonts w:eastAsiaTheme="minorEastAsia" w:cs="Times New Roman"/>
          <w:szCs w:val="24"/>
        </w:rPr>
        <w:t>dispersion (</w:t>
      </w:r>
      <m:oMath>
        <m:sSubSup>
          <m:sSubSupPr>
            <m:ctrlPr>
              <w:rPr>
                <w:rFonts w:ascii="Cambria Math" w:eastAsia="Times New Roman" w:hAnsi="Cambria Math" w:cs="Times New Roman"/>
                <w:i/>
                <w:color w:val="000000"/>
                <w:szCs w:val="24"/>
              </w:rPr>
            </m:ctrlPr>
          </m:sSubSupPr>
          <m:e>
            <m:r>
              <m:rPr>
                <m:sty m:val="p"/>
              </m:rPr>
              <w:rPr>
                <w:rFonts w:ascii="Cambria Math" w:eastAsia="Times New Roman" w:hAnsi="Cambria Math" w:cs="Times New Roman"/>
                <w:color w:val="000000"/>
                <w:szCs w:val="24"/>
              </w:rPr>
              <m:t>Γ</m:t>
            </m:r>
          </m:e>
          <m:sub>
            <m:r>
              <w:rPr>
                <w:rFonts w:ascii="Cambria Math" w:eastAsia="Times New Roman" w:hAnsi="Cambria Math" w:cs="Times New Roman"/>
                <w:color w:val="000000"/>
                <w:szCs w:val="24"/>
              </w:rPr>
              <m:t>L</m:t>
            </m:r>
          </m:sub>
          <m:sup>
            <m:r>
              <w:rPr>
                <w:rFonts w:ascii="Cambria Math" w:eastAsia="Times New Roman" w:hAnsi="Cambria Math" w:cs="Times New Roman"/>
                <w:color w:val="000000"/>
                <w:szCs w:val="24"/>
              </w:rPr>
              <m:t>d</m:t>
            </m:r>
          </m:sup>
        </m:sSubSup>
      </m:oMath>
      <w:r w:rsidRPr="0098140B">
        <w:rPr>
          <w:rFonts w:eastAsiaTheme="minorEastAsia" w:cs="Times New Roman"/>
          <w:color w:val="000000"/>
          <w:szCs w:val="24"/>
        </w:rPr>
        <w:t xml:space="preserve">) </w:t>
      </w:r>
      <w:r w:rsidRPr="0098140B">
        <w:rPr>
          <w:rFonts w:eastAsiaTheme="minorEastAsia" w:cs="Times New Roman"/>
          <w:szCs w:val="24"/>
        </w:rPr>
        <w:t>and polar (</w:t>
      </w:r>
      <m:oMath>
        <m:sSubSup>
          <m:sSubSupPr>
            <m:ctrlPr>
              <w:rPr>
                <w:rFonts w:ascii="Cambria Math" w:eastAsia="Times New Roman" w:hAnsi="Cambria Math" w:cs="Times New Roman"/>
                <w:i/>
                <w:color w:val="000000"/>
                <w:szCs w:val="24"/>
              </w:rPr>
            </m:ctrlPr>
          </m:sSubSupPr>
          <m:e>
            <m:r>
              <m:rPr>
                <m:sty m:val="p"/>
              </m:rPr>
              <w:rPr>
                <w:rFonts w:ascii="Cambria Math" w:eastAsia="Times New Roman" w:hAnsi="Cambria Math" w:cs="Times New Roman"/>
                <w:color w:val="000000"/>
                <w:szCs w:val="24"/>
              </w:rPr>
              <m:t>Γ</m:t>
            </m:r>
          </m:e>
          <m:sub>
            <m:r>
              <w:rPr>
                <w:rFonts w:ascii="Cambria Math" w:eastAsia="Times New Roman" w:hAnsi="Cambria Math" w:cs="Times New Roman"/>
                <w:color w:val="000000"/>
                <w:szCs w:val="24"/>
              </w:rPr>
              <m:t>L</m:t>
            </m:r>
          </m:sub>
          <m:sup>
            <m:r>
              <w:rPr>
                <w:rFonts w:ascii="Cambria Math" w:eastAsia="Times New Roman" w:hAnsi="Cambria Math" w:cs="Times New Roman"/>
                <w:color w:val="000000"/>
                <w:szCs w:val="24"/>
              </w:rPr>
              <m:t>p</m:t>
            </m:r>
          </m:sup>
        </m:sSubSup>
      </m:oMath>
      <w:r w:rsidRPr="0098140B">
        <w:rPr>
          <w:rFonts w:eastAsiaTheme="minorEastAsia" w:cs="Times New Roman"/>
          <w:szCs w:val="24"/>
        </w:rPr>
        <w:t xml:space="preserve">) components are similar to </w:t>
      </w:r>
      <w:r w:rsidRPr="0098140B">
        <w:rPr>
          <w:rFonts w:cs="Times New Roman"/>
          <w:szCs w:val="24"/>
        </w:rPr>
        <w:t>Lewis van-der-Waals (</w:t>
      </w:r>
      <m:oMath>
        <m:sSup>
          <m:sSupPr>
            <m:ctrlPr>
              <w:rPr>
                <w:rFonts w:ascii="Cambria Math" w:hAnsi="Cambria Math" w:cs="Times New Roman"/>
                <w:i/>
                <w:szCs w:val="24"/>
              </w:rPr>
            </m:ctrlPr>
          </m:sSupPr>
          <m:e>
            <m:r>
              <m:rPr>
                <m:sty m:val="p"/>
              </m:rPr>
              <w:rPr>
                <w:rFonts w:ascii="Cambria Math" w:hAnsi="Cambria Math" w:cs="Times New Roman"/>
                <w:szCs w:val="24"/>
              </w:rPr>
              <m:t>Γ</m:t>
            </m:r>
          </m:e>
          <m:sup>
            <m:r>
              <w:rPr>
                <w:rFonts w:ascii="Cambria Math" w:hAnsi="Cambria Math" w:cs="Times New Roman"/>
                <w:szCs w:val="24"/>
              </w:rPr>
              <m:t>LW</m:t>
            </m:r>
          </m:sup>
        </m:sSup>
        <m:r>
          <w:rPr>
            <w:rFonts w:ascii="Cambria Math" w:hAnsi="Cambria Math" w:cs="Times New Roman"/>
            <w:szCs w:val="24"/>
          </w:rPr>
          <m:t>)</m:t>
        </m:r>
      </m:oMath>
      <w:r w:rsidRPr="0098140B">
        <w:rPr>
          <w:rFonts w:eastAsiaTheme="minorEastAsia" w:cs="Times New Roman"/>
          <w:szCs w:val="24"/>
        </w:rPr>
        <w:t xml:space="preserve"> and acid-base (</w:t>
      </w:r>
      <m:oMath>
        <m:sSubSup>
          <m:sSubSupPr>
            <m:ctrlPr>
              <w:rPr>
                <w:rFonts w:ascii="Cambria Math" w:eastAsia="Times New Roman" w:hAnsi="Cambria Math" w:cs="Times New Roman"/>
                <w:i/>
                <w:color w:val="000000"/>
                <w:szCs w:val="24"/>
              </w:rPr>
            </m:ctrlPr>
          </m:sSubSupPr>
          <m:e>
            <m:r>
              <m:rPr>
                <m:sty m:val="p"/>
              </m:rPr>
              <w:rPr>
                <w:rFonts w:ascii="Cambria Math" w:eastAsia="Times New Roman" w:hAnsi="Cambria Math" w:cs="Times New Roman"/>
                <w:color w:val="000000"/>
                <w:szCs w:val="24"/>
              </w:rPr>
              <m:t>Γ</m:t>
            </m:r>
          </m:e>
          <m:sub>
            <m:r>
              <w:rPr>
                <w:rFonts w:ascii="Cambria Math" w:eastAsia="Times New Roman" w:hAnsi="Cambria Math" w:cs="Times New Roman"/>
                <w:color w:val="000000"/>
                <w:szCs w:val="24"/>
              </w:rPr>
              <m:t>L</m:t>
            </m:r>
          </m:sub>
          <m:sup>
            <m:r>
              <w:rPr>
                <w:rFonts w:ascii="Cambria Math" w:eastAsia="Times New Roman" w:hAnsi="Cambria Math" w:cs="Times New Roman"/>
                <w:color w:val="000000"/>
                <w:szCs w:val="24"/>
              </w:rPr>
              <m:t>AB</m:t>
            </m:r>
          </m:sup>
        </m:sSubSup>
      </m:oMath>
      <w:r w:rsidRPr="0098140B">
        <w:rPr>
          <w:rFonts w:eastAsiaTheme="minorEastAsia" w:cs="Times New Roman"/>
          <w:szCs w:val="24"/>
        </w:rPr>
        <w:t xml:space="preserve">) components of the liquids. </w:t>
      </w:r>
      <w:r w:rsidRPr="0098140B">
        <w:rPr>
          <w:rFonts w:cs="Times New Roman"/>
          <w:szCs w:val="24"/>
        </w:rPr>
        <w:t xml:space="preserve">The </w:t>
      </w:r>
      <m:oMath>
        <m:sSubSup>
          <m:sSubSupPr>
            <m:ctrlPr>
              <w:rPr>
                <w:rFonts w:ascii="Cambria Math" w:eastAsia="Times New Roman" w:hAnsi="Cambria Math" w:cs="Times New Roman"/>
                <w:i/>
                <w:color w:val="000000"/>
                <w:szCs w:val="24"/>
              </w:rPr>
            </m:ctrlPr>
          </m:sSubSupPr>
          <m:e>
            <m:r>
              <m:rPr>
                <m:sty m:val="p"/>
              </m:rPr>
              <w:rPr>
                <w:rFonts w:ascii="Cambria Math" w:eastAsia="Times New Roman" w:hAnsi="Cambria Math" w:cs="Times New Roman"/>
                <w:color w:val="000000"/>
                <w:szCs w:val="24"/>
              </w:rPr>
              <m:t>Γ</m:t>
            </m:r>
          </m:e>
          <m:sub>
            <m:r>
              <w:rPr>
                <w:rFonts w:ascii="Cambria Math" w:eastAsia="Times New Roman" w:hAnsi="Cambria Math" w:cs="Times New Roman"/>
                <w:color w:val="000000"/>
                <w:szCs w:val="24"/>
              </w:rPr>
              <m:t>L</m:t>
            </m:r>
          </m:sub>
          <m:sup>
            <m:r>
              <w:rPr>
                <w:rFonts w:ascii="Cambria Math" w:eastAsia="Times New Roman" w:hAnsi="Cambria Math" w:cs="Times New Roman"/>
                <w:color w:val="000000"/>
                <w:szCs w:val="24"/>
              </w:rPr>
              <m:t>d</m:t>
            </m:r>
          </m:sup>
        </m:sSubSup>
      </m:oMath>
      <w:r w:rsidRPr="0098140B">
        <w:rPr>
          <w:rFonts w:eastAsiaTheme="minorEastAsia" w:cs="Times New Roman"/>
          <w:color w:val="000000"/>
          <w:szCs w:val="24"/>
        </w:rPr>
        <w:t xml:space="preserve"> </w:t>
      </w:r>
      <w:r w:rsidRPr="0098140B">
        <w:rPr>
          <w:rFonts w:eastAsiaTheme="minorEastAsia" w:cs="Times New Roman"/>
          <w:szCs w:val="24"/>
        </w:rPr>
        <w:t xml:space="preserve">and </w:t>
      </w:r>
      <m:oMath>
        <m:sSubSup>
          <m:sSubSupPr>
            <m:ctrlPr>
              <w:rPr>
                <w:rFonts w:ascii="Cambria Math" w:eastAsia="Times New Roman" w:hAnsi="Cambria Math" w:cs="Times New Roman"/>
                <w:i/>
                <w:color w:val="000000"/>
                <w:szCs w:val="24"/>
              </w:rPr>
            </m:ctrlPr>
          </m:sSubSupPr>
          <m:e>
            <m:r>
              <m:rPr>
                <m:sty m:val="p"/>
              </m:rPr>
              <w:rPr>
                <w:rFonts w:ascii="Cambria Math" w:eastAsia="Times New Roman" w:hAnsi="Cambria Math" w:cs="Times New Roman"/>
                <w:color w:val="000000"/>
                <w:szCs w:val="24"/>
              </w:rPr>
              <m:t>Γ</m:t>
            </m:r>
          </m:e>
          <m:sub>
            <m:r>
              <w:rPr>
                <w:rFonts w:ascii="Cambria Math" w:eastAsia="Times New Roman" w:hAnsi="Cambria Math" w:cs="Times New Roman"/>
                <w:color w:val="000000"/>
                <w:szCs w:val="24"/>
              </w:rPr>
              <m:t>L</m:t>
            </m:r>
          </m:sub>
          <m:sup>
            <m:r>
              <w:rPr>
                <w:rFonts w:ascii="Cambria Math" w:eastAsia="Times New Roman" w:hAnsi="Cambria Math" w:cs="Times New Roman"/>
                <w:color w:val="000000"/>
                <w:szCs w:val="24"/>
              </w:rPr>
              <m:t>p</m:t>
            </m:r>
          </m:sup>
        </m:sSubSup>
      </m:oMath>
      <w:r w:rsidRPr="0098140B">
        <w:rPr>
          <w:rFonts w:eastAsiaTheme="minorEastAsia" w:cs="Times New Roman"/>
          <w:szCs w:val="24"/>
        </w:rPr>
        <w:t xml:space="preserve"> components are required to determine the SFE components of binders using the </w:t>
      </w:r>
      <w:r w:rsidRPr="0098140B">
        <w:rPr>
          <w:rFonts w:cs="Times New Roman"/>
          <w:szCs w:val="24"/>
        </w:rPr>
        <w:t>Owens-Wendt and Wu method.</w:t>
      </w:r>
    </w:p>
    <w:p w14:paraId="2C36ED7F" w14:textId="536DD4F0" w:rsidR="0003506A" w:rsidRPr="0098140B" w:rsidRDefault="0003506A" w:rsidP="0055690E">
      <w:pPr>
        <w:ind w:firstLine="720"/>
        <w:rPr>
          <w:rFonts w:cs="Times New Roman"/>
          <w:szCs w:val="24"/>
        </w:rPr>
      </w:pPr>
      <w:r w:rsidRPr="0098140B">
        <w:rPr>
          <w:rFonts w:cs="Times New Roman"/>
          <w:szCs w:val="24"/>
        </w:rPr>
        <w:t>A Cahn DCA 220 micro balance was used to determine the contact angles of binder samples with probe liquids. The device worked by registering the difference in force as the sample was submerged into and retracted from a probe liquid container. For this purpose, the asphalt coated glass plate sample was hung using a hanger attached to the balance. The probe liquid container was placed on a platform below the sample. The platform was raised to submerge and then lowered to retract the binder sample as test progressed. The speed of the platform movement was maintained at 20 mm/min. Each sample was submerged to a depth of 4 mm for this measurement. The dynamic contact angle during the submersion and retraction phases was determined using the registered force, depth of penetration for a buoyant force correction and SFE of probe liquid using Equation (</w:t>
      </w:r>
      <w:r w:rsidR="0077276B">
        <w:rPr>
          <w:rFonts w:cs="Times New Roman"/>
          <w:szCs w:val="24"/>
        </w:rPr>
        <w:t>2.</w:t>
      </w:r>
      <w:r w:rsidRPr="0098140B">
        <w:rPr>
          <w:rFonts w:cs="Times New Roman"/>
          <w:szCs w:val="24"/>
        </w:rPr>
        <w:t xml:space="preserve">15). The contact angles during submersion and retraction phase are known as advancing and receding contact angle, respectively. The advancing contact angle was used for calculating SFE parameters in this study as the receding contact angles generally exhibit higher variability </w:t>
      </w:r>
      <w:r w:rsidRPr="0098140B">
        <w:rPr>
          <w:rFonts w:cs="Times New Roman"/>
          <w:szCs w:val="24"/>
        </w:rPr>
        <w:fldChar w:fldCharType="begin"/>
      </w:r>
      <w:r w:rsidR="00282238">
        <w:rPr>
          <w:rFonts w:cs="Times New Roman"/>
          <w:szCs w:val="24"/>
        </w:rPr>
        <w:instrText xml:space="preserve"> ADDIN EN.CITE &lt;EndNote&gt;&lt;Cite&gt;&lt;Author&gt;Hefer&lt;/Author&gt;&lt;Year&gt;2006&lt;/Year&gt;&lt;RecNum&gt;24&lt;/RecNum&gt;&lt;DisplayText&gt;(Hefer et al., 2006)&lt;/DisplayText&gt;&lt;record&gt;&lt;rec-number&gt;24&lt;/rec-number&gt;&lt;foreign-keys&gt;&lt;key app="EN" db-id="d55vzfpwawdafteedfoxsf0lv0v0wp5va2aa" timestamp="1509901126"&gt;24&lt;/key&gt;&lt;/foreign-keys&gt;&lt;ref-type name="Journal Article"&gt;17&lt;/ref-type&gt;&lt;contributors&gt;&lt;authors&gt;&lt;author&gt;Hefer, Arno W&lt;/author&gt;&lt;author&gt;Bhasin, Amit&lt;/author&gt;&lt;author&gt;Little, Dallas N&lt;/author&gt;&lt;/authors&gt;&lt;/contributors&gt;&lt;titles&gt;&lt;title&gt;Bitumen Surface Energy Characterization Using a Contact Angle Approach&lt;/title&gt;&lt;secondary-title&gt;Journal of Materials in Civil Engineering&lt;/secondary-title&gt;&lt;/titles&gt;&lt;periodical&gt;&lt;full-title&gt;Journal of Materials in Civil Engineering&lt;/full-title&gt;&lt;/periodical&gt;&lt;pages&gt;759-767&lt;/pages&gt;&lt;volume&gt;18&lt;/volume&gt;&lt;number&gt;6&lt;/number&gt;&lt;dates&gt;&lt;year&gt;2006&lt;/year&gt;&lt;/dates&gt;&lt;isbn&gt;0899-1561&lt;/isbn&gt;&lt;urls&gt;&lt;/urls&gt;&lt;/record&gt;&lt;/Cite&gt;&lt;/EndNote&gt;</w:instrText>
      </w:r>
      <w:r w:rsidRPr="0098140B">
        <w:rPr>
          <w:rFonts w:cs="Times New Roman"/>
          <w:szCs w:val="24"/>
        </w:rPr>
        <w:fldChar w:fldCharType="separate"/>
      </w:r>
      <w:r w:rsidR="00282238">
        <w:rPr>
          <w:rFonts w:cs="Times New Roman"/>
          <w:noProof/>
          <w:szCs w:val="24"/>
        </w:rPr>
        <w:t>(Hefer et al., 2006)</w:t>
      </w:r>
      <w:r w:rsidRPr="0098140B">
        <w:rPr>
          <w:rFonts w:cs="Times New Roman"/>
          <w:szCs w:val="24"/>
        </w:rPr>
        <w:fldChar w:fldCharType="end"/>
      </w:r>
      <w:r w:rsidRPr="0098140B">
        <w:rPr>
          <w:rFonts w:cs="Times New Roman"/>
          <w:szCs w:val="24"/>
        </w:rPr>
        <w:t>. Five replicates were tested for each binder-liquid combination. Calibration of the micro-balance was performed at the beginning of each day’s work to ensure reliability of the test results for the contact angle θ.</w:t>
      </w:r>
    </w:p>
    <w:p w14:paraId="5241E5FF" w14:textId="68EFA7E0" w:rsidR="0003506A" w:rsidRPr="0098140B" w:rsidRDefault="007F7885" w:rsidP="0055690E">
      <w:pPr>
        <w:jc w:val="center"/>
        <w:rPr>
          <w:rFonts w:cs="Times New Roman"/>
          <w:szCs w:val="24"/>
        </w:rPr>
      </w:pPr>
      <m:oMath>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L</m:t>
            </m:r>
          </m:sub>
        </m:sSub>
        <m:r>
          <w:rPr>
            <w:rFonts w:ascii="Cambria Math" w:hAnsi="Cambria Math" w:cs="Times New Roman"/>
            <w:szCs w:val="24"/>
          </w:rPr>
          <m:t>cosθ=</m:t>
        </m:r>
        <m:f>
          <m:fPr>
            <m:ctrlPr>
              <w:rPr>
                <w:rFonts w:ascii="Cambria Math" w:hAnsi="Cambria Math" w:cs="Times New Roman"/>
                <w:i/>
                <w:szCs w:val="24"/>
              </w:rPr>
            </m:ctrlPr>
          </m:fPr>
          <m:num>
            <m:r>
              <w:rPr>
                <w:rFonts w:ascii="Cambria Math" w:hAnsi="Cambria Math" w:cs="Times New Roman"/>
                <w:szCs w:val="24"/>
              </w:rPr>
              <m:t>F+V</m:t>
            </m:r>
            <m:sSub>
              <m:sSubPr>
                <m:ctrlPr>
                  <w:rPr>
                    <w:rFonts w:ascii="Cambria Math" w:hAnsi="Cambria Math" w:cs="Times New Roman"/>
                    <w:i/>
                    <w:szCs w:val="24"/>
                  </w:rPr>
                </m:ctrlPr>
              </m:sSubPr>
              <m:e>
                <m:r>
                  <w:rPr>
                    <w:rFonts w:ascii="Cambria Math" w:hAnsi="Cambria Math" w:cs="Times New Roman"/>
                    <w:szCs w:val="24"/>
                  </w:rPr>
                  <m:t>ρ</m:t>
                </m:r>
              </m:e>
              <m:sub>
                <m:r>
                  <w:rPr>
                    <w:rFonts w:ascii="Cambria Math" w:hAnsi="Cambria Math" w:cs="Times New Roman"/>
                    <w:szCs w:val="24"/>
                  </w:rPr>
                  <m:t>L</m:t>
                </m:r>
              </m:sub>
            </m:sSub>
            <m:r>
              <w:rPr>
                <w:rFonts w:ascii="Cambria Math" w:hAnsi="Cambria Math" w:cs="Times New Roman"/>
                <w:szCs w:val="24"/>
              </w:rPr>
              <m:t>g</m:t>
            </m:r>
          </m:num>
          <m:den>
            <m:r>
              <w:rPr>
                <w:rFonts w:ascii="Cambria Math" w:hAnsi="Cambria Math" w:cs="Times New Roman"/>
                <w:szCs w:val="24"/>
              </w:rPr>
              <m:t>P</m:t>
            </m:r>
          </m:den>
        </m:f>
      </m:oMath>
      <w:r w:rsidR="0003506A" w:rsidRPr="0098140B">
        <w:rPr>
          <w:rFonts w:eastAsiaTheme="minorEastAsia" w:cs="Times New Roman"/>
          <w:szCs w:val="24"/>
        </w:rPr>
        <w:t xml:space="preserve">             </w:t>
      </w:r>
      <w:r w:rsidR="00A92A60">
        <w:rPr>
          <w:rFonts w:eastAsiaTheme="minorEastAsia" w:cs="Times New Roman"/>
          <w:szCs w:val="24"/>
        </w:rPr>
        <w:t xml:space="preserve">                      </w:t>
      </w:r>
      <w:r w:rsidR="0003506A" w:rsidRPr="0098140B">
        <w:rPr>
          <w:rFonts w:eastAsiaTheme="minorEastAsia" w:cs="Times New Roman"/>
          <w:szCs w:val="24"/>
        </w:rPr>
        <w:t xml:space="preserve">      (</w:t>
      </w:r>
      <w:r w:rsidR="0077276B">
        <w:rPr>
          <w:rFonts w:cs="Times New Roman"/>
          <w:szCs w:val="24"/>
        </w:rPr>
        <w:t>2.</w:t>
      </w:r>
      <w:r w:rsidR="0003506A" w:rsidRPr="0098140B">
        <w:rPr>
          <w:rFonts w:eastAsiaTheme="minorEastAsia" w:cs="Times New Roman"/>
          <w:szCs w:val="24"/>
        </w:rPr>
        <w:t>15)</w:t>
      </w:r>
    </w:p>
    <w:p w14:paraId="452155B5" w14:textId="77777777" w:rsidR="0003506A" w:rsidRPr="0098140B" w:rsidRDefault="0003506A" w:rsidP="0055690E">
      <w:pPr>
        <w:ind w:firstLine="720"/>
        <w:rPr>
          <w:rFonts w:cs="Times New Roman"/>
          <w:szCs w:val="24"/>
        </w:rPr>
      </w:pPr>
      <w:r w:rsidRPr="0098140B">
        <w:rPr>
          <w:rFonts w:cs="Times New Roman"/>
          <w:szCs w:val="24"/>
        </w:rPr>
        <w:t xml:space="preserve">where, </w:t>
      </w:r>
    </w:p>
    <w:p w14:paraId="2AE1D413" w14:textId="0A9F3B03" w:rsidR="0003506A" w:rsidRPr="0098140B" w:rsidRDefault="0003506A" w:rsidP="0055690E">
      <w:pPr>
        <w:ind w:left="720" w:firstLine="720"/>
        <w:rPr>
          <w:rFonts w:eastAsiaTheme="minorEastAsia" w:cs="Times New Roman"/>
          <w:szCs w:val="24"/>
        </w:rPr>
      </w:pPr>
      <m:oMath>
        <m:r>
          <w:rPr>
            <w:rFonts w:ascii="Cambria Math" w:hAnsi="Cambria Math" w:cs="Times New Roman"/>
            <w:szCs w:val="24"/>
          </w:rPr>
          <m:t>F=</m:t>
        </m:r>
      </m:oMath>
      <w:r w:rsidRPr="0098140B">
        <w:rPr>
          <w:rFonts w:eastAsiaTheme="minorEastAsia" w:cs="Times New Roman"/>
          <w:szCs w:val="24"/>
        </w:rPr>
        <w:t xml:space="preserve"> </w:t>
      </w:r>
      <w:r w:rsidR="00066590">
        <w:rPr>
          <w:rFonts w:eastAsiaTheme="minorEastAsia" w:cs="Times New Roman"/>
          <w:szCs w:val="24"/>
        </w:rPr>
        <w:t>net force (balance reading)</w:t>
      </w:r>
      <w:r w:rsidRPr="0098140B">
        <w:rPr>
          <w:rFonts w:eastAsiaTheme="minorEastAsia" w:cs="Times New Roman"/>
          <w:szCs w:val="24"/>
        </w:rPr>
        <w:t>,</w:t>
      </w:r>
    </w:p>
    <w:p w14:paraId="3491B625" w14:textId="77777777" w:rsidR="0003506A" w:rsidRPr="0098140B" w:rsidRDefault="007F7885" w:rsidP="0055690E">
      <w:pPr>
        <w:ind w:left="720" w:firstLine="720"/>
        <w:rPr>
          <w:rFonts w:eastAsiaTheme="minorEastAsia" w:cs="Times New Roman"/>
          <w:szCs w:val="24"/>
        </w:rPr>
      </w:pPr>
      <m:oMath>
        <m:sSub>
          <m:sSubPr>
            <m:ctrlPr>
              <w:rPr>
                <w:rFonts w:ascii="Cambria Math" w:hAnsi="Cambria Math" w:cs="Times New Roman"/>
                <w:i/>
                <w:szCs w:val="24"/>
              </w:rPr>
            </m:ctrlPr>
          </m:sSubPr>
          <m:e>
            <m:r>
              <w:rPr>
                <w:rFonts w:ascii="Cambria Math" w:hAnsi="Cambria Math" w:cs="Times New Roman"/>
                <w:szCs w:val="24"/>
              </w:rPr>
              <m:t>ρ</m:t>
            </m:r>
          </m:e>
          <m:sub>
            <m:r>
              <w:rPr>
                <w:rFonts w:ascii="Cambria Math" w:hAnsi="Cambria Math" w:cs="Times New Roman"/>
                <w:szCs w:val="24"/>
              </w:rPr>
              <m:t>L</m:t>
            </m:r>
          </m:sub>
        </m:sSub>
        <m:r>
          <w:rPr>
            <w:rFonts w:ascii="Cambria Math" w:hAnsi="Cambria Math" w:cs="Times New Roman"/>
            <w:szCs w:val="24"/>
          </w:rPr>
          <m:t>=</m:t>
        </m:r>
      </m:oMath>
      <w:r w:rsidR="0003506A" w:rsidRPr="0098140B">
        <w:rPr>
          <w:rFonts w:eastAsiaTheme="minorEastAsia" w:cs="Times New Roman"/>
          <w:szCs w:val="24"/>
        </w:rPr>
        <w:t xml:space="preserve"> density of the probe liquid,</w:t>
      </w:r>
    </w:p>
    <w:p w14:paraId="550569BB" w14:textId="77777777" w:rsidR="0003506A" w:rsidRPr="0098140B" w:rsidRDefault="0003506A" w:rsidP="0055690E">
      <w:pPr>
        <w:ind w:left="720" w:firstLine="720"/>
        <w:rPr>
          <w:rFonts w:eastAsiaTheme="minorEastAsia" w:cs="Times New Roman"/>
          <w:szCs w:val="24"/>
        </w:rPr>
      </w:pPr>
      <m:oMath>
        <m:r>
          <w:rPr>
            <w:rFonts w:ascii="Cambria Math" w:hAnsi="Cambria Math" w:cs="Times New Roman"/>
            <w:szCs w:val="24"/>
          </w:rPr>
          <m:t>V=</m:t>
        </m:r>
      </m:oMath>
      <w:r w:rsidRPr="0098140B">
        <w:rPr>
          <w:rFonts w:eastAsiaTheme="minorEastAsia" w:cs="Times New Roman"/>
          <w:szCs w:val="24"/>
        </w:rPr>
        <w:t xml:space="preserve"> volume of glass plate submerged into probe liquid = a*b*h,</w:t>
      </w:r>
    </w:p>
    <w:p w14:paraId="4BB5FEEE" w14:textId="77777777" w:rsidR="0003506A" w:rsidRPr="0098140B" w:rsidRDefault="0003506A" w:rsidP="0055690E">
      <w:pPr>
        <w:ind w:left="720" w:firstLine="720"/>
        <w:rPr>
          <w:rFonts w:eastAsiaTheme="minorEastAsia" w:cs="Times New Roman"/>
          <w:szCs w:val="24"/>
        </w:rPr>
      </w:pPr>
      <m:oMath>
        <m:r>
          <w:rPr>
            <w:rFonts w:ascii="Cambria Math" w:eastAsiaTheme="minorEastAsia" w:hAnsi="Cambria Math" w:cs="Times New Roman"/>
            <w:szCs w:val="24"/>
          </w:rPr>
          <m:t>P=</m:t>
        </m:r>
      </m:oMath>
      <w:r w:rsidRPr="0098140B">
        <w:rPr>
          <w:rFonts w:eastAsiaTheme="minorEastAsia" w:cs="Times New Roman"/>
          <w:szCs w:val="24"/>
        </w:rPr>
        <w:t xml:space="preserve"> perimeter of the plate = 2(a + b),</w:t>
      </w:r>
    </w:p>
    <w:p w14:paraId="2001BBB1" w14:textId="77777777" w:rsidR="0003506A" w:rsidRPr="0098140B" w:rsidRDefault="0003506A" w:rsidP="0055690E">
      <w:pPr>
        <w:ind w:left="720" w:firstLine="720"/>
        <w:rPr>
          <w:rFonts w:eastAsiaTheme="minorEastAsia" w:cs="Times New Roman"/>
          <w:szCs w:val="24"/>
        </w:rPr>
      </w:pPr>
      <w:r w:rsidRPr="0098140B">
        <w:rPr>
          <w:rFonts w:eastAsiaTheme="minorEastAsia" w:cs="Times New Roman"/>
          <w:szCs w:val="24"/>
        </w:rPr>
        <w:t>a = width of the plate,</w:t>
      </w:r>
    </w:p>
    <w:p w14:paraId="7D8A36DC" w14:textId="77777777" w:rsidR="0003506A" w:rsidRPr="0098140B" w:rsidRDefault="0003506A" w:rsidP="0055690E">
      <w:pPr>
        <w:ind w:left="720" w:firstLine="720"/>
        <w:rPr>
          <w:rFonts w:eastAsiaTheme="minorEastAsia" w:cs="Times New Roman"/>
          <w:szCs w:val="24"/>
        </w:rPr>
      </w:pPr>
      <w:r w:rsidRPr="0098140B">
        <w:rPr>
          <w:rFonts w:eastAsiaTheme="minorEastAsia" w:cs="Times New Roman"/>
          <w:szCs w:val="24"/>
        </w:rPr>
        <w:t>b = thickness of the plate, and</w:t>
      </w:r>
    </w:p>
    <w:p w14:paraId="3A6793A7" w14:textId="77777777" w:rsidR="0003506A" w:rsidRPr="0098140B" w:rsidRDefault="0003506A" w:rsidP="0055690E">
      <w:pPr>
        <w:ind w:left="720" w:firstLine="720"/>
        <w:rPr>
          <w:rFonts w:eastAsiaTheme="minorEastAsia" w:cs="Times New Roman"/>
          <w:szCs w:val="24"/>
        </w:rPr>
      </w:pPr>
      <w:r w:rsidRPr="0098140B">
        <w:rPr>
          <w:rFonts w:eastAsiaTheme="minorEastAsia" w:cs="Times New Roman"/>
          <w:szCs w:val="24"/>
        </w:rPr>
        <w:t>h = depth of immersion,</w:t>
      </w:r>
    </w:p>
    <w:p w14:paraId="32983FB7" w14:textId="77777777" w:rsidR="0003506A" w:rsidRPr="0098140B" w:rsidRDefault="0003506A" w:rsidP="0055690E">
      <w:pPr>
        <w:ind w:left="720" w:firstLine="720"/>
        <w:rPr>
          <w:rFonts w:eastAsiaTheme="minorEastAsia" w:cs="Times New Roman"/>
          <w:szCs w:val="24"/>
        </w:rPr>
      </w:pPr>
      <w:r w:rsidRPr="0098140B">
        <w:rPr>
          <w:rFonts w:eastAsiaTheme="minorEastAsia" w:cs="Times New Roman"/>
          <w:szCs w:val="24"/>
        </w:rPr>
        <w:t>Γ</w:t>
      </w:r>
      <w:r w:rsidRPr="0098140B">
        <w:rPr>
          <w:rFonts w:eastAsiaTheme="minorEastAsia" w:cs="Times New Roman"/>
          <w:i/>
          <w:iCs/>
          <w:szCs w:val="24"/>
          <w:vertAlign w:val="subscript"/>
        </w:rPr>
        <w:t>L</w:t>
      </w:r>
      <w:r w:rsidRPr="0098140B">
        <w:rPr>
          <w:rFonts w:eastAsiaTheme="minorEastAsia" w:cs="Times New Roman"/>
          <w:szCs w:val="24"/>
        </w:rPr>
        <w:t>=SFE (surface tension) of probe liquid.</w:t>
      </w:r>
    </w:p>
    <w:p w14:paraId="15D1255A" w14:textId="79C73379" w:rsidR="0003506A" w:rsidRPr="0098140B" w:rsidRDefault="0003506A" w:rsidP="00E57694">
      <w:pPr>
        <w:pStyle w:val="Heading2"/>
      </w:pPr>
      <w:bookmarkStart w:id="44" w:name="_Toc71728417"/>
      <w:r w:rsidRPr="0098140B">
        <w:t>RESULTS AND DISCUSSION</w:t>
      </w:r>
      <w:bookmarkEnd w:id="44"/>
    </w:p>
    <w:p w14:paraId="1392A751" w14:textId="20E1D4A4" w:rsidR="0003506A" w:rsidRPr="0098140B" w:rsidRDefault="0003506A" w:rsidP="00985A4A">
      <w:pPr>
        <w:pStyle w:val="Heading3"/>
      </w:pPr>
      <w:bookmarkStart w:id="45" w:name="_Toc71728418"/>
      <w:r w:rsidRPr="0098140B">
        <w:t>Contact Angles of Binders</w:t>
      </w:r>
      <w:bookmarkEnd w:id="45"/>
    </w:p>
    <w:p w14:paraId="7C299C0C" w14:textId="6766CCB1" w:rsidR="0003506A" w:rsidRPr="0098140B" w:rsidRDefault="0003506A" w:rsidP="0055690E">
      <w:pPr>
        <w:ind w:firstLine="720"/>
        <w:rPr>
          <w:rFonts w:cs="Times New Roman"/>
          <w:szCs w:val="24"/>
        </w:rPr>
      </w:pPr>
      <w:r w:rsidRPr="0098140B">
        <w:rPr>
          <w:rFonts w:cs="Times New Roman"/>
          <w:szCs w:val="24"/>
        </w:rPr>
        <w:t>The contact angles of binders with water, glycer</w:t>
      </w:r>
      <w:r w:rsidR="00174423">
        <w:rPr>
          <w:rFonts w:cs="Times New Roman"/>
          <w:szCs w:val="24"/>
        </w:rPr>
        <w:t>ol</w:t>
      </w:r>
      <w:r w:rsidRPr="0098140B">
        <w:rPr>
          <w:rFonts w:cs="Times New Roman"/>
          <w:szCs w:val="24"/>
        </w:rPr>
        <w:t>, formamide, ethylene glycol and diiodomethane were determined using Equation (</w:t>
      </w:r>
      <w:r w:rsidR="0077276B">
        <w:rPr>
          <w:rFonts w:cs="Times New Roman"/>
          <w:szCs w:val="24"/>
        </w:rPr>
        <w:t>2.</w:t>
      </w:r>
      <w:r w:rsidRPr="0098140B">
        <w:rPr>
          <w:rFonts w:cs="Times New Roman"/>
          <w:szCs w:val="24"/>
        </w:rPr>
        <w:t xml:space="preserve">15). Table </w:t>
      </w:r>
      <w:r w:rsidR="0098054A" w:rsidRPr="0098140B">
        <w:rPr>
          <w:rFonts w:cs="Times New Roman"/>
          <w:szCs w:val="24"/>
        </w:rPr>
        <w:t>2.</w:t>
      </w:r>
      <w:r w:rsidRPr="0098140B">
        <w:rPr>
          <w:rFonts w:cs="Times New Roman"/>
          <w:szCs w:val="24"/>
        </w:rPr>
        <w:t xml:space="preserve">2 presents the average (avg) and standard deviation (SD) of contact angle values with different probe liquids. The standard deviations for contact angles of all binders were 2.00° or less. This relatively low standard deviation indicates a higher repeatability of the measurements. From Table </w:t>
      </w:r>
      <w:r w:rsidR="0098054A" w:rsidRPr="0098140B">
        <w:rPr>
          <w:rFonts w:cs="Times New Roman"/>
          <w:szCs w:val="24"/>
        </w:rPr>
        <w:t>2.</w:t>
      </w:r>
      <w:r w:rsidRPr="0098140B">
        <w:rPr>
          <w:rFonts w:cs="Times New Roman"/>
          <w:szCs w:val="24"/>
        </w:rPr>
        <w:t>2, the contact angles for different binders with water were found to vary from 106.1° to 109.1°. Variations for glycer</w:t>
      </w:r>
      <w:r w:rsidR="00174423">
        <w:rPr>
          <w:rFonts w:cs="Times New Roman"/>
          <w:szCs w:val="24"/>
        </w:rPr>
        <w:t>ol</w:t>
      </w:r>
      <w:r w:rsidRPr="0098140B">
        <w:rPr>
          <w:rFonts w:cs="Times New Roman"/>
          <w:szCs w:val="24"/>
        </w:rPr>
        <w:t xml:space="preserve"> (94.4° to 105.5°), formamide (90.6° to 101.2°), diiodomethane (84.5° to 96.3°) and ethylene glycol (78.6° to 94.1°) were found to be higher than water. The variations in the contact angles are expected to be reflected in the calculation of SFE components of the tested binders.</w:t>
      </w:r>
    </w:p>
    <w:p w14:paraId="724D6213" w14:textId="2F459502" w:rsidR="0003506A" w:rsidRPr="0098140B" w:rsidRDefault="0003506A" w:rsidP="00985A4A">
      <w:pPr>
        <w:pStyle w:val="Heading3"/>
      </w:pPr>
      <w:bookmarkStart w:id="46" w:name="_Toc71728419"/>
      <w:r w:rsidRPr="0098140B">
        <w:t>Surface Free Energy of Binders</w:t>
      </w:r>
      <w:bookmarkEnd w:id="46"/>
    </w:p>
    <w:p w14:paraId="1DB85D87" w14:textId="77777777" w:rsidR="0003506A" w:rsidRPr="0098140B" w:rsidRDefault="0003506A" w:rsidP="008A24F0">
      <w:pPr>
        <w:pStyle w:val="Heading4"/>
        <w:spacing w:before="0" w:after="0"/>
        <w:rPr>
          <w:szCs w:val="24"/>
        </w:rPr>
      </w:pPr>
      <w:r w:rsidRPr="0098140B">
        <w:rPr>
          <w:szCs w:val="24"/>
        </w:rPr>
        <w:t>Component-Based Approach</w:t>
      </w:r>
    </w:p>
    <w:p w14:paraId="44E8C9CD" w14:textId="77777777" w:rsidR="0003506A" w:rsidRPr="0098140B" w:rsidRDefault="0003506A" w:rsidP="008A24F0">
      <w:pPr>
        <w:pStyle w:val="Heading5"/>
        <w:spacing w:before="0" w:after="0"/>
        <w:rPr>
          <w:szCs w:val="24"/>
        </w:rPr>
      </w:pPr>
      <w:r w:rsidRPr="0098140B">
        <w:rPr>
          <w:szCs w:val="24"/>
        </w:rPr>
        <w:t>Good van Oss Choudhury (GvOC) Method:</w:t>
      </w:r>
    </w:p>
    <w:p w14:paraId="31929B6F" w14:textId="4D11ED94" w:rsidR="0003506A" w:rsidRPr="0098140B" w:rsidRDefault="0003506A" w:rsidP="0055690E">
      <w:pPr>
        <w:ind w:firstLine="720"/>
        <w:rPr>
          <w:rFonts w:cs="Times New Roman"/>
          <w:szCs w:val="24"/>
        </w:rPr>
      </w:pPr>
      <w:r w:rsidRPr="0098140B">
        <w:rPr>
          <w:rFonts w:cs="Times New Roman"/>
          <w:szCs w:val="24"/>
        </w:rPr>
        <w:t>As mentioned earlier, in the GvOC method, the SFE components of a solid is divided into three components, namely acid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98140B">
        <w:rPr>
          <w:rFonts w:cs="Times New Roman"/>
          <w:szCs w:val="24"/>
        </w:rPr>
        <w:t>), base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98140B">
        <w:rPr>
          <w:rFonts w:cs="Times New Roman"/>
          <w:szCs w:val="24"/>
        </w:rPr>
        <w:t>) and Lewis van der Waals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LW</m:t>
            </m:r>
          </m:sup>
        </m:sSubSup>
      </m:oMath>
      <w:r w:rsidRPr="0098140B">
        <w:rPr>
          <w:rFonts w:cs="Times New Roman"/>
          <w:szCs w:val="24"/>
        </w:rPr>
        <w:t>) components. A minimum set of three probe liquids is required to generate three equations which can be solved to determine the three unknown SFE components of a solid using Equation (</w:t>
      </w:r>
      <w:r w:rsidR="0077276B">
        <w:rPr>
          <w:rFonts w:cs="Times New Roman"/>
          <w:szCs w:val="24"/>
        </w:rPr>
        <w:t>2.</w:t>
      </w:r>
      <w:r w:rsidRPr="0098140B">
        <w:rPr>
          <w:rFonts w:cs="Times New Roman"/>
          <w:szCs w:val="24"/>
        </w:rPr>
        <w:t xml:space="preserve">12). In this study, the SFE components of binders were determined using 16 different sets of three to five probe liquids. Ten out of sixteen sets contain three probe liquids which formed sets of three equations. The three unknown SFE components were determined by solving these three equations. Another five sets contained four probe liquids and one set contained five probe liquids. The sets containing four and five probe liquids formed over-determinate sets of equations (i.e., the number of unknown &lt; the number of equations). The SFE components from these probe liquid sets were determined by minimizing the summation of square error using the solver function of Microsoft Excel. Table </w:t>
      </w:r>
      <w:r w:rsidR="0098054A" w:rsidRPr="0098140B">
        <w:rPr>
          <w:rFonts w:cs="Times New Roman"/>
          <w:szCs w:val="24"/>
        </w:rPr>
        <w:t>2.</w:t>
      </w:r>
      <w:r w:rsidRPr="0098140B">
        <w:rPr>
          <w:rFonts w:cs="Times New Roman"/>
          <w:szCs w:val="24"/>
        </w:rPr>
        <w:t xml:space="preserve">3 presents the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98140B">
        <w:rPr>
          <w:rFonts w:eastAsiaTheme="minorEastAsia" w:cs="Times New Roman"/>
          <w:szCs w:val="24"/>
          <w:lang w:val="en-GB" w:eastAsia="en-GB"/>
        </w:rPr>
        <w:t xml:space="preserv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98140B">
        <w:rPr>
          <w:rFonts w:eastAsiaTheme="minorEastAsia" w:cs="Times New Roman"/>
          <w:szCs w:val="24"/>
          <w:lang w:val="en-GB" w:eastAsia="en-GB"/>
        </w:rPr>
        <w:t xml:space="preserve"> </w:t>
      </w:r>
      <w:r w:rsidRPr="0098140B">
        <w:rPr>
          <w:rFonts w:cs="Times New Roman"/>
          <w:szCs w:val="24"/>
        </w:rPr>
        <w:t xml:space="preserve">and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LW</m:t>
            </m:r>
          </m:sup>
        </m:sSubSup>
      </m:oMath>
      <w:r w:rsidRPr="0098140B">
        <w:rPr>
          <w:rFonts w:eastAsiaTheme="minorEastAsia" w:cs="Times New Roman"/>
          <w:szCs w:val="24"/>
          <w:lang w:val="en-GB" w:eastAsia="en-GB"/>
        </w:rPr>
        <w:t xml:space="preserve"> </w:t>
      </w:r>
      <w:r w:rsidRPr="0098140B">
        <w:rPr>
          <w:rFonts w:cs="Times New Roman"/>
          <w:szCs w:val="24"/>
        </w:rPr>
        <w:t>SFE components of binders S1 and S4 for different probe liquid sets. The SFE components of other binders are not presented due to space limitation.</w:t>
      </w:r>
    </w:p>
    <w:p w14:paraId="6061C29F" w14:textId="4832552A" w:rsidR="0003506A" w:rsidRPr="0098140B" w:rsidRDefault="0003506A" w:rsidP="008A24F0">
      <w:pPr>
        <w:ind w:firstLine="720"/>
        <w:rPr>
          <w:rFonts w:eastAsiaTheme="minorEastAsia" w:cs="Times New Roman"/>
          <w:szCs w:val="24"/>
        </w:rPr>
      </w:pPr>
      <w:r w:rsidRPr="0098140B">
        <w:rPr>
          <w:rFonts w:cs="Times New Roman"/>
          <w:szCs w:val="24"/>
        </w:rPr>
        <w:t xml:space="preserve">From Table </w:t>
      </w:r>
      <w:r w:rsidR="0098054A" w:rsidRPr="0098140B">
        <w:rPr>
          <w:rFonts w:cs="Times New Roman"/>
          <w:szCs w:val="24"/>
        </w:rPr>
        <w:t>2.</w:t>
      </w:r>
      <w:r w:rsidRPr="0098140B">
        <w:rPr>
          <w:rFonts w:cs="Times New Roman"/>
          <w:szCs w:val="24"/>
        </w:rPr>
        <w:t>3, significant variations of SFE components can be observed among different probe liquid sets. Also, a number of probe liquid sets, namely FGED, GED, GEF, FED, WGE and FGD resulted in negative square roots of SFE components for all the binders.</w:t>
      </w:r>
      <w:r w:rsidRPr="0098140B">
        <w:rPr>
          <w:rFonts w:eastAsiaTheme="minorEastAsia" w:cs="Times New Roman"/>
          <w:szCs w:val="24"/>
        </w:rPr>
        <w:t xml:space="preserve"> Similar observation was reported by </w:t>
      </w:r>
      <w:r w:rsidRPr="0098140B">
        <w:rPr>
          <w:rFonts w:eastAsiaTheme="minorEastAsia" w:cs="Times New Roman"/>
          <w:szCs w:val="24"/>
        </w:rPr>
        <w:fldChar w:fldCharType="begin"/>
      </w:r>
      <w:r w:rsidRPr="0098140B">
        <w:rPr>
          <w:rFonts w:eastAsiaTheme="minorEastAsia" w:cs="Times New Roman"/>
          <w:szCs w:val="24"/>
        </w:rPr>
        <w:instrText xml:space="preserve"> ADDIN EN.CITE &lt;EndNote&gt;&lt;Cite AuthorYear="1"&gt;&lt;Author&gt;Zhang&lt;/Author&gt;&lt;Year&gt;2018&lt;/Year&gt;&lt;RecNum&gt;217&lt;/RecNum&gt;&lt;DisplayText&gt;Zhang and Liu (2018)&lt;/DisplayText&gt;&lt;record&gt;&lt;rec-number&gt;217&lt;/rec-number&gt;&lt;foreign-keys&gt;&lt;key app="EN" db-id="d55vzfpwawdafteedfoxsf0lv0v0wp5va2aa" timestamp="1564614866"&gt;217&lt;/key&gt;&lt;/foreign-keys&gt;&lt;ref-type name="Journal Article"&gt;17&lt;/ref-type&gt;&lt;contributors&gt;&lt;authors&gt;&lt;author&gt;Zhang, Derun&lt;/author&gt;&lt;author&gt;Liu, Hanqi&lt;/author&gt;&lt;/authors&gt;&lt;/contributors&gt;&lt;titles&gt;&lt;title&gt;Proposed Approach for Determining Consistent Energy Parameters Based on the Surface Free Energy Theory&lt;/title&gt;&lt;secondary-title&gt;Journal of Materials in Civil Engineering&lt;/secondary-title&gt;&lt;/titles&gt;&lt;periodical&gt;&lt;full-title&gt;Journal of Materials in Civil Engineering&lt;/full-title&gt;&lt;/periodical&gt;&lt;pages&gt;04018287&lt;/pages&gt;&lt;volume&gt;30&lt;/volume&gt;&lt;number&gt;11&lt;/number&gt;&lt;dates&gt;&lt;year&gt;2018&lt;/year&gt;&lt;/dates&gt;&lt;isbn&gt;0899-1561&lt;/isbn&gt;&lt;urls&gt;&lt;/urls&gt;&lt;/record&gt;&lt;/Cite&gt;&lt;/EndNote&gt;</w:instrText>
      </w:r>
      <w:r w:rsidRPr="0098140B">
        <w:rPr>
          <w:rFonts w:eastAsiaTheme="minorEastAsia" w:cs="Times New Roman"/>
          <w:szCs w:val="24"/>
        </w:rPr>
        <w:fldChar w:fldCharType="separate"/>
      </w:r>
      <w:r w:rsidRPr="0098140B">
        <w:rPr>
          <w:rFonts w:eastAsiaTheme="minorEastAsia" w:cs="Times New Roman"/>
          <w:noProof/>
          <w:szCs w:val="24"/>
        </w:rPr>
        <w:t>Zhang and Liu (2018)</w:t>
      </w:r>
      <w:r w:rsidRPr="0098140B">
        <w:rPr>
          <w:rFonts w:eastAsiaTheme="minorEastAsia" w:cs="Times New Roman"/>
          <w:szCs w:val="24"/>
        </w:rPr>
        <w:fldChar w:fldCharType="end"/>
      </w:r>
      <w:r w:rsidRPr="0098140B">
        <w:rPr>
          <w:rFonts w:eastAsiaTheme="minorEastAsia" w:cs="Times New Roman"/>
          <w:szCs w:val="24"/>
        </w:rPr>
        <w:t xml:space="preserve">. As the square root of the SFE components cannot be a negative value, the corresponding probe liquid sets were avoided in further calculations. Among the remaining 10 probe liquid sets, it is important to identify appropriate probe liquid sets which will result in consistent SFE components. As mentioned earlier, the condition number approach and plot of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L</m:t>
            </m:r>
          </m:sub>
        </m:sSub>
      </m:oMath>
      <w:r w:rsidRPr="0098140B">
        <w:rPr>
          <w:rFonts w:eastAsiaTheme="minorEastAsia" w:cs="Times New Roman"/>
          <w:szCs w:val="24"/>
        </w:rPr>
        <w:t xml:space="preserve"> versus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L</m:t>
            </m:r>
          </m:sub>
        </m:sSub>
        <m:r>
          <w:rPr>
            <w:rFonts w:ascii="Cambria Math" w:eastAsiaTheme="minorEastAsia" w:hAnsi="Cambria Math" w:cs="Times New Roman"/>
            <w:szCs w:val="24"/>
          </w:rPr>
          <m:t>cosθ</m:t>
        </m:r>
      </m:oMath>
      <w:r w:rsidRPr="0098140B">
        <w:rPr>
          <w:rFonts w:eastAsiaTheme="minorEastAsia" w:cs="Times New Roman"/>
          <w:szCs w:val="24"/>
        </w:rPr>
        <w:t xml:space="preserve"> has been used by researchers to identify appropriate probe liquid sets </w:t>
      </w:r>
      <w:r w:rsidRPr="0098140B">
        <w:rPr>
          <w:rFonts w:eastAsiaTheme="minorEastAsia" w:cs="Times New Roman"/>
          <w:szCs w:val="24"/>
        </w:rPr>
        <w:fldChar w:fldCharType="begin">
          <w:fldData xml:space="preserve">PEVuZE5vdGU+PENpdGU+PEF1dGhvcj5IZWZlcjwvQXV0aG9yPjxZZWFyPjIwMDY8L1llYXI+PFJl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</w:fldData>
        </w:fldChar>
      </w:r>
      <w:r w:rsidR="00282238">
        <w:rPr>
          <w:rFonts w:eastAsiaTheme="minorEastAsia" w:cs="Times New Roman"/>
          <w:szCs w:val="24"/>
        </w:rPr>
        <w:instrText xml:space="preserve"> ADDIN EN.CITE </w:instrText>
      </w:r>
      <w:r w:rsidR="00282238">
        <w:rPr>
          <w:rFonts w:eastAsiaTheme="minorEastAsia" w:cs="Times New Roman"/>
          <w:szCs w:val="24"/>
        </w:rPr>
        <w:fldChar w:fldCharType="begin">
          <w:fldData xml:space="preserve">PEVuZE5vdGU+PENpdGU+PEF1dGhvcj5IZWZlcjwvQXV0aG9yPjxZZWFyPjIwMDY8L1llYXI+PFJl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</w:fldData>
        </w:fldChar>
      </w:r>
      <w:r w:rsidR="00282238">
        <w:rPr>
          <w:rFonts w:eastAsiaTheme="minorEastAsia" w:cs="Times New Roman"/>
          <w:szCs w:val="24"/>
        </w:rPr>
        <w:instrText xml:space="preserve"> ADDIN EN.CITE.DATA </w:instrText>
      </w:r>
      <w:r w:rsidR="00282238">
        <w:rPr>
          <w:rFonts w:eastAsiaTheme="minorEastAsia" w:cs="Times New Roman"/>
          <w:szCs w:val="24"/>
        </w:rPr>
      </w:r>
      <w:r w:rsidR="00282238">
        <w:rPr>
          <w:rFonts w:eastAsiaTheme="minorEastAsia" w:cs="Times New Roman"/>
          <w:szCs w:val="24"/>
        </w:rPr>
        <w:fldChar w:fldCharType="end"/>
      </w:r>
      <w:r w:rsidRPr="0098140B">
        <w:rPr>
          <w:rFonts w:eastAsiaTheme="minorEastAsia" w:cs="Times New Roman"/>
          <w:szCs w:val="24"/>
        </w:rPr>
      </w:r>
      <w:r w:rsidRPr="0098140B">
        <w:rPr>
          <w:rFonts w:eastAsiaTheme="minorEastAsia" w:cs="Times New Roman"/>
          <w:szCs w:val="24"/>
        </w:rPr>
        <w:fldChar w:fldCharType="separate"/>
      </w:r>
      <w:r w:rsidR="00282238">
        <w:rPr>
          <w:rFonts w:eastAsiaTheme="minorEastAsia" w:cs="Times New Roman"/>
          <w:noProof/>
          <w:szCs w:val="24"/>
        </w:rPr>
        <w:t>(Hefer et al., 2006; Singh and Mishra, 2018; Zhang and Liu, 2018)</w:t>
      </w:r>
      <w:r w:rsidRPr="0098140B">
        <w:rPr>
          <w:rFonts w:eastAsiaTheme="minorEastAsia" w:cs="Times New Roman"/>
          <w:szCs w:val="24"/>
        </w:rPr>
        <w:fldChar w:fldCharType="end"/>
      </w:r>
      <w:r w:rsidRPr="0098140B">
        <w:rPr>
          <w:rFonts w:eastAsiaTheme="minorEastAsia" w:cs="Times New Roman"/>
          <w:szCs w:val="24"/>
        </w:rPr>
        <w:t>. In this study, both of these approaches were used to identify probe liquid sets with consistent SFE components.</w:t>
      </w:r>
    </w:p>
    <w:p w14:paraId="43B21FA5" w14:textId="0868B4C8" w:rsidR="0003506A" w:rsidRPr="0098140B" w:rsidRDefault="007F7885" w:rsidP="008A24F0">
      <w:pPr>
        <w:pStyle w:val="Heading6"/>
        <w:spacing w:before="0" w:after="0"/>
        <w:rPr>
          <w:rFonts w:eastAsiaTheme="minorEastAsia"/>
          <w:szCs w:val="24"/>
        </w:rPr>
      </w:pPr>
      <m:oMath>
        <m:sSub>
          <m:sSubPr>
            <m:ctrlPr>
              <w:rPr>
                <w:rFonts w:ascii="Cambria Math" w:eastAsiaTheme="minorEastAsia" w:hAnsi="Cambria Math"/>
                <w:szCs w:val="24"/>
              </w:rPr>
            </m:ctrlPr>
          </m:sSubPr>
          <m:e>
            <m:r>
              <w:rPr>
                <w:rFonts w:ascii="Cambria Math" w:eastAsiaTheme="minorEastAsia" w:hAnsi="Cambria Math"/>
                <w:szCs w:val="24"/>
              </w:rPr>
              <m:t>Γ</m:t>
            </m:r>
          </m:e>
          <m:sub>
            <m:r>
              <w:rPr>
                <w:rFonts w:ascii="Cambria Math" w:eastAsiaTheme="minorEastAsia" w:hAnsi="Cambria Math"/>
                <w:szCs w:val="24"/>
              </w:rPr>
              <m:t>L</m:t>
            </m:r>
          </m:sub>
        </m:sSub>
      </m:oMath>
      <w:r w:rsidR="0003506A" w:rsidRPr="0098140B">
        <w:rPr>
          <w:rFonts w:eastAsiaTheme="minorEastAsia"/>
          <w:szCs w:val="24"/>
        </w:rPr>
        <w:t xml:space="preserve"> versus </w:t>
      </w:r>
      <m:oMath>
        <m:sSub>
          <m:sSubPr>
            <m:ctrlPr>
              <w:rPr>
                <w:rFonts w:ascii="Cambria Math" w:eastAsiaTheme="minorEastAsia" w:hAnsi="Cambria Math"/>
                <w:szCs w:val="24"/>
              </w:rPr>
            </m:ctrlPr>
          </m:sSubPr>
          <m:e>
            <m:r>
              <w:rPr>
                <w:rFonts w:ascii="Cambria Math" w:eastAsiaTheme="minorEastAsia" w:hAnsi="Cambria Math"/>
                <w:szCs w:val="24"/>
              </w:rPr>
              <m:t>Γ</m:t>
            </m:r>
          </m:e>
          <m:sub>
            <m:r>
              <w:rPr>
                <w:rFonts w:ascii="Cambria Math" w:eastAsiaTheme="minorEastAsia" w:hAnsi="Cambria Math"/>
                <w:szCs w:val="24"/>
              </w:rPr>
              <m:t>L</m:t>
            </m:r>
          </m:sub>
        </m:sSub>
        <m:r>
          <w:rPr>
            <w:rFonts w:ascii="Cambria Math" w:eastAsiaTheme="minorEastAsia" w:hAnsi="Cambria Math"/>
            <w:szCs w:val="24"/>
          </w:rPr>
          <m:t>cosθ</m:t>
        </m:r>
      </m:oMath>
      <w:r w:rsidR="0003506A" w:rsidRPr="0098140B">
        <w:rPr>
          <w:rFonts w:eastAsiaTheme="minorEastAsia"/>
          <w:szCs w:val="24"/>
        </w:rPr>
        <w:t xml:space="preserve"> </w:t>
      </w:r>
      <w:r w:rsidR="00150C19" w:rsidRPr="0098140B">
        <w:rPr>
          <w:rFonts w:eastAsiaTheme="minorEastAsia"/>
          <w:szCs w:val="24"/>
        </w:rPr>
        <w:t>P</w:t>
      </w:r>
      <w:r w:rsidR="0003506A" w:rsidRPr="0098140B">
        <w:rPr>
          <w:rFonts w:eastAsiaTheme="minorEastAsia"/>
          <w:szCs w:val="24"/>
        </w:rPr>
        <w:t>lot</w:t>
      </w:r>
    </w:p>
    <w:p w14:paraId="2374C925" w14:textId="326BD371" w:rsidR="0003506A" w:rsidRPr="0098140B" w:rsidRDefault="0003506A" w:rsidP="008A24F0">
      <w:pPr>
        <w:ind w:firstLine="720"/>
        <w:rPr>
          <w:rFonts w:eastAsiaTheme="minorEastAsia" w:cs="Times New Roman"/>
          <w:szCs w:val="24"/>
        </w:rPr>
      </w:pPr>
      <w:r w:rsidRPr="0098140B">
        <w:rPr>
          <w:rFonts w:eastAsiaTheme="minorEastAsia" w:cs="Times New Roman"/>
          <w:szCs w:val="24"/>
        </w:rPr>
        <w:t xml:space="preserve">The linear best fit lines of the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L</m:t>
            </m:r>
          </m:sub>
        </m:sSub>
      </m:oMath>
      <w:r w:rsidRPr="0098140B">
        <w:rPr>
          <w:rFonts w:eastAsiaTheme="minorEastAsia" w:cs="Times New Roman"/>
          <w:szCs w:val="24"/>
        </w:rPr>
        <w:t xml:space="preserve"> versus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L</m:t>
            </m:r>
          </m:sub>
        </m:sSub>
        <m:r>
          <w:rPr>
            <w:rFonts w:ascii="Cambria Math" w:eastAsiaTheme="minorEastAsia" w:hAnsi="Cambria Math" w:cs="Times New Roman"/>
            <w:szCs w:val="24"/>
          </w:rPr>
          <m:t>cosθ</m:t>
        </m:r>
      </m:oMath>
      <w:r w:rsidRPr="0098140B">
        <w:rPr>
          <w:rFonts w:eastAsiaTheme="minorEastAsia" w:cs="Times New Roman"/>
          <w:szCs w:val="24"/>
        </w:rPr>
        <w:t xml:space="preserve"> plot for all probe liquid sets were determined for all four binders used in this study. </w:t>
      </w:r>
      <w:r w:rsidRPr="0098140B">
        <w:rPr>
          <w:rFonts w:eastAsia="Times New Roman" w:cs="Times New Roman"/>
          <w:color w:val="000000"/>
          <w:szCs w:val="24"/>
        </w:rPr>
        <w:t xml:space="preserve">Figure </w:t>
      </w:r>
      <w:r w:rsidR="001D08FC" w:rsidRPr="0098140B">
        <w:rPr>
          <w:rFonts w:eastAsia="Times New Roman" w:cs="Times New Roman"/>
          <w:color w:val="000000"/>
          <w:szCs w:val="24"/>
        </w:rPr>
        <w:t>2.</w:t>
      </w:r>
      <w:r w:rsidRPr="0098140B">
        <w:rPr>
          <w:rFonts w:eastAsia="Times New Roman" w:cs="Times New Roman"/>
          <w:color w:val="000000"/>
          <w:szCs w:val="24"/>
        </w:rPr>
        <w:t xml:space="preserve">2 presents the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L</m:t>
            </m:r>
          </m:sub>
        </m:sSub>
      </m:oMath>
      <w:r w:rsidRPr="0098140B">
        <w:rPr>
          <w:rFonts w:eastAsiaTheme="minorEastAsia" w:cs="Times New Roman"/>
          <w:szCs w:val="24"/>
        </w:rPr>
        <w:t xml:space="preserve"> versus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L</m:t>
            </m:r>
          </m:sub>
        </m:sSub>
        <m:r>
          <w:rPr>
            <w:rFonts w:ascii="Cambria Math" w:eastAsiaTheme="minorEastAsia" w:hAnsi="Cambria Math" w:cs="Times New Roman"/>
            <w:szCs w:val="24"/>
          </w:rPr>
          <m:t>cosθ</m:t>
        </m:r>
      </m:oMath>
      <w:r w:rsidRPr="0098140B">
        <w:rPr>
          <w:rFonts w:eastAsiaTheme="minorEastAsia" w:cs="Times New Roman"/>
          <w:szCs w:val="24"/>
        </w:rPr>
        <w:t xml:space="preserve"> plot</w:t>
      </w:r>
      <w:r w:rsidRPr="0098140B">
        <w:rPr>
          <w:rFonts w:eastAsia="Times New Roman" w:cs="Times New Roman"/>
          <w:color w:val="000000"/>
          <w:szCs w:val="24"/>
        </w:rPr>
        <w:t xml:space="preserve"> for all binders with all five probe liquids (WGFDE). </w:t>
      </w:r>
      <w:r w:rsidRPr="0098140B">
        <w:rPr>
          <w:rFonts w:eastAsiaTheme="minorEastAsia" w:cs="Times New Roman"/>
          <w:szCs w:val="24"/>
        </w:rPr>
        <w:t xml:space="preserve">The corresponding </w:t>
      </w:r>
      <w:r w:rsidRPr="0098140B">
        <w:rPr>
          <w:rFonts w:eastAsia="Times New Roman" w:cs="Times New Roman"/>
          <w:color w:val="000000"/>
          <w:szCs w:val="24"/>
        </w:rPr>
        <w:t>R</w:t>
      </w:r>
      <w:r w:rsidRPr="0098140B">
        <w:rPr>
          <w:rFonts w:eastAsia="Times New Roman" w:cs="Times New Roman"/>
          <w:color w:val="000000"/>
          <w:szCs w:val="24"/>
          <w:vertAlign w:val="superscript"/>
        </w:rPr>
        <w:t>2</w:t>
      </w:r>
      <w:r w:rsidRPr="0098140B">
        <w:rPr>
          <w:rFonts w:eastAsia="Times New Roman" w:cs="Times New Roman"/>
          <w:color w:val="000000"/>
          <w:szCs w:val="24"/>
        </w:rPr>
        <w:t xml:space="preserve"> values of different probe liquid sets for S1 and S4 binders are presented in Table</w:t>
      </w:r>
      <w:r w:rsidR="0098054A" w:rsidRPr="0098140B">
        <w:rPr>
          <w:rFonts w:eastAsia="Times New Roman" w:cs="Times New Roman"/>
          <w:color w:val="000000"/>
          <w:szCs w:val="24"/>
        </w:rPr>
        <w:t xml:space="preserve"> 2.</w:t>
      </w:r>
      <w:r w:rsidRPr="0098140B">
        <w:rPr>
          <w:rFonts w:eastAsia="Times New Roman" w:cs="Times New Roman"/>
          <w:color w:val="000000"/>
          <w:szCs w:val="24"/>
        </w:rPr>
        <w:t>3</w:t>
      </w:r>
      <w:r w:rsidRPr="0098140B">
        <w:rPr>
          <w:rFonts w:eastAsiaTheme="minorEastAsia" w:cs="Times New Roman"/>
          <w:szCs w:val="24"/>
        </w:rPr>
        <w:t>. Generally, p</w:t>
      </w:r>
      <w:r w:rsidRPr="0098140B">
        <w:rPr>
          <w:rFonts w:eastAsia="Times New Roman" w:cs="Times New Roman"/>
          <w:color w:val="000000"/>
          <w:szCs w:val="24"/>
        </w:rPr>
        <w:t>robe liquid sets with</w:t>
      </w:r>
      <w:r w:rsidRPr="0098140B">
        <w:rPr>
          <w:rFonts w:eastAsiaTheme="minorEastAsia" w:cs="Times New Roman"/>
          <w:szCs w:val="24"/>
        </w:rPr>
        <w:t xml:space="preserve"> higher </w:t>
      </w:r>
      <w:r w:rsidRPr="0098140B">
        <w:rPr>
          <w:rFonts w:eastAsia="Times New Roman" w:cs="Times New Roman"/>
          <w:color w:val="000000"/>
          <w:szCs w:val="24"/>
        </w:rPr>
        <w:t>R</w:t>
      </w:r>
      <w:r w:rsidRPr="0098140B">
        <w:rPr>
          <w:rFonts w:eastAsia="Times New Roman" w:cs="Times New Roman"/>
          <w:color w:val="000000"/>
          <w:szCs w:val="24"/>
          <w:vertAlign w:val="superscript"/>
        </w:rPr>
        <w:t>2</w:t>
      </w:r>
      <w:r w:rsidRPr="0098140B">
        <w:rPr>
          <w:rFonts w:eastAsia="Times New Roman" w:cs="Times New Roman"/>
          <w:color w:val="000000"/>
          <w:szCs w:val="24"/>
        </w:rPr>
        <w:t xml:space="preserve"> values are believed to produce consistent SFE components </w:t>
      </w:r>
      <w:r w:rsidRPr="0098140B">
        <w:rPr>
          <w:rFonts w:eastAsia="Times New Roman" w:cs="Times New Roman"/>
          <w:color w:val="000000"/>
          <w:szCs w:val="24"/>
        </w:rPr>
        <w:fldChar w:fldCharType="begin"/>
      </w:r>
      <w:r w:rsidR="00282238">
        <w:rPr>
          <w:rFonts w:eastAsia="Times New Roman" w:cs="Times New Roman"/>
          <w:color w:val="000000"/>
          <w:szCs w:val="24"/>
        </w:rPr>
        <w:instrText xml:space="preserve"> ADDIN EN.CITE &lt;EndNote&gt;&lt;Cite&gt;&lt;Author&gt;Singh&lt;/Author&gt;&lt;Year&gt;2018&lt;/Year&gt;&lt;RecNum&gt;230&lt;/RecNum&gt;&lt;DisplayText&gt;(Singh and Mishra, 2018)&lt;/DisplayText&gt;&lt;record&gt;&lt;rec-number&gt;230&lt;/rec-number&gt;&lt;foreign-keys&gt;&lt;key app="EN" db-id="d55vzfpwawdafteedfoxsf0lv0v0wp5va2aa" timestamp="1612945914"&gt;230&lt;/key&gt;&lt;/foreign-keys&gt;&lt;ref-type name="Journal Article"&gt;17&lt;/ref-type&gt;&lt;contributors&gt;&lt;authors&gt;&lt;author&gt;Singh, Dharamveer&lt;/author&gt;&lt;author&gt;Mishra, Vinamra&lt;/author&gt;&lt;/authors&gt;&lt;/contributors&gt;&lt;titles&gt;&lt;title&gt;Different methods of selecting probe liquids to measure the surface free energy of asphalt binders&lt;/title&gt;&lt;secondary-title&gt;Construction and Building Materials&lt;/secondary-title&gt;&lt;/titles&gt;&lt;periodical&gt;&lt;full-title&gt;Construction and Building Materials&lt;/full-title&gt;&lt;/periodical&gt;&lt;pages&gt;448-457&lt;/pages&gt;&lt;volume&gt;175&lt;/volume&gt;&lt;dates&gt;&lt;year&gt;2018&lt;/year&gt;&lt;/dates&gt;&lt;isbn&gt;0950-0618&lt;/isbn&gt;&lt;urls&gt;&lt;/urls&gt;&lt;/record&gt;&lt;/Cite&gt;&lt;/EndNote&gt;</w:instrText>
      </w:r>
      <w:r w:rsidRPr="0098140B">
        <w:rPr>
          <w:rFonts w:eastAsia="Times New Roman" w:cs="Times New Roman"/>
          <w:color w:val="000000"/>
          <w:szCs w:val="24"/>
        </w:rPr>
        <w:fldChar w:fldCharType="separate"/>
      </w:r>
      <w:r w:rsidR="00282238">
        <w:rPr>
          <w:rFonts w:eastAsia="Times New Roman" w:cs="Times New Roman"/>
          <w:noProof/>
          <w:color w:val="000000"/>
          <w:szCs w:val="24"/>
        </w:rPr>
        <w:t>(Singh and Mishra, 2018)</w:t>
      </w:r>
      <w:r w:rsidRPr="0098140B">
        <w:rPr>
          <w:rFonts w:eastAsia="Times New Roman" w:cs="Times New Roman"/>
          <w:color w:val="000000"/>
          <w:szCs w:val="24"/>
        </w:rPr>
        <w:fldChar w:fldCharType="end"/>
      </w:r>
      <w:r w:rsidRPr="0098140B">
        <w:rPr>
          <w:rFonts w:eastAsia="Times New Roman" w:cs="Times New Roman"/>
          <w:color w:val="000000"/>
          <w:szCs w:val="24"/>
        </w:rPr>
        <w:t xml:space="preserve">. From Table </w:t>
      </w:r>
      <w:r w:rsidR="0098054A" w:rsidRPr="0098140B">
        <w:rPr>
          <w:rFonts w:eastAsia="Times New Roman" w:cs="Times New Roman"/>
          <w:color w:val="000000"/>
          <w:szCs w:val="24"/>
        </w:rPr>
        <w:t>2.</w:t>
      </w:r>
      <w:r w:rsidRPr="0098140B">
        <w:rPr>
          <w:rFonts w:eastAsia="Times New Roman" w:cs="Times New Roman"/>
          <w:color w:val="000000"/>
          <w:szCs w:val="24"/>
        </w:rPr>
        <w:t>3, it can be observed that the R</w:t>
      </w:r>
      <w:r w:rsidRPr="0098140B">
        <w:rPr>
          <w:rFonts w:eastAsia="Times New Roman" w:cs="Times New Roman"/>
          <w:color w:val="000000"/>
          <w:szCs w:val="24"/>
          <w:vertAlign w:val="superscript"/>
        </w:rPr>
        <w:t>2</w:t>
      </w:r>
      <w:r w:rsidRPr="0098140B">
        <w:rPr>
          <w:rFonts w:eastAsia="Times New Roman" w:cs="Times New Roman"/>
          <w:color w:val="000000"/>
          <w:szCs w:val="24"/>
        </w:rPr>
        <w:t xml:space="preserve"> values for all probe liquid sets are equal or higher than 0.90 for the S1 binder. Similar results were obtained for S2, S3 and S4 binders. Therefore, no conclusions could be drawn from the plot of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L</m:t>
            </m:r>
          </m:sub>
        </m:sSub>
      </m:oMath>
      <w:r w:rsidRPr="0098140B">
        <w:rPr>
          <w:rFonts w:eastAsiaTheme="minorEastAsia" w:cs="Times New Roman"/>
          <w:szCs w:val="24"/>
        </w:rPr>
        <w:t xml:space="preserve"> versus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L</m:t>
            </m:r>
          </m:sub>
        </m:sSub>
        <m:r>
          <w:rPr>
            <w:rFonts w:ascii="Cambria Math" w:eastAsiaTheme="minorEastAsia" w:hAnsi="Cambria Math" w:cs="Times New Roman"/>
            <w:szCs w:val="24"/>
          </w:rPr>
          <m:t>cosθ</m:t>
        </m:r>
      </m:oMath>
      <w:r w:rsidRPr="0098140B">
        <w:rPr>
          <w:rFonts w:eastAsiaTheme="minorEastAsia" w:cs="Times New Roman"/>
          <w:szCs w:val="24"/>
        </w:rPr>
        <w:t xml:space="preserve"> on the selection of most desired probe liquid set.</w:t>
      </w:r>
    </w:p>
    <w:p w14:paraId="5BC902D2" w14:textId="57379AF5" w:rsidR="0003506A" w:rsidRPr="0098140B" w:rsidRDefault="0003506A" w:rsidP="008A24F0">
      <w:pPr>
        <w:pStyle w:val="Heading6"/>
        <w:spacing w:before="0" w:after="0"/>
        <w:rPr>
          <w:rFonts w:eastAsiaTheme="minorEastAsia"/>
          <w:szCs w:val="24"/>
        </w:rPr>
      </w:pPr>
      <w:r w:rsidRPr="0098140B">
        <w:rPr>
          <w:rFonts w:eastAsiaTheme="minorEastAsia"/>
          <w:szCs w:val="24"/>
        </w:rPr>
        <w:t xml:space="preserve">Condition </w:t>
      </w:r>
      <w:r w:rsidR="00281666" w:rsidRPr="0098140B">
        <w:rPr>
          <w:rFonts w:eastAsiaTheme="minorEastAsia"/>
          <w:szCs w:val="24"/>
        </w:rPr>
        <w:t>N</w:t>
      </w:r>
      <w:r w:rsidRPr="0098140B">
        <w:rPr>
          <w:rFonts w:eastAsiaTheme="minorEastAsia"/>
          <w:szCs w:val="24"/>
        </w:rPr>
        <w:t xml:space="preserve">umber </w:t>
      </w:r>
      <w:r w:rsidR="00281666" w:rsidRPr="0098140B">
        <w:rPr>
          <w:rFonts w:eastAsiaTheme="minorEastAsia"/>
          <w:szCs w:val="24"/>
        </w:rPr>
        <w:t>A</w:t>
      </w:r>
      <w:r w:rsidRPr="0098140B">
        <w:rPr>
          <w:rFonts w:eastAsiaTheme="minorEastAsia"/>
          <w:szCs w:val="24"/>
        </w:rPr>
        <w:t>pproach</w:t>
      </w:r>
    </w:p>
    <w:p w14:paraId="497E1B30" w14:textId="48B27708" w:rsidR="0003506A" w:rsidRPr="0098140B" w:rsidRDefault="0003506A" w:rsidP="008A24F0">
      <w:pPr>
        <w:ind w:firstLine="720"/>
        <w:rPr>
          <w:rFonts w:eastAsiaTheme="minorEastAsia" w:cs="Times New Roman"/>
          <w:szCs w:val="24"/>
        </w:rPr>
      </w:pPr>
      <w:r w:rsidRPr="0098140B">
        <w:rPr>
          <w:rFonts w:eastAsiaTheme="minorEastAsia" w:cs="Times New Roman"/>
          <w:szCs w:val="24"/>
        </w:rPr>
        <w:t xml:space="preserve">The condition number indicates the sensitivity of the calculated SFE components on the changes or measurement error of contact angles. The condition number of a probe liquid set is defined as the square root of the ratio of the maximum and minimum eigenvalue of </w:t>
      </w:r>
      <m:oMath>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A</m:t>
            </m:r>
          </m:e>
          <m:sup>
            <m:r>
              <w:rPr>
                <w:rFonts w:ascii="Cambria Math" w:eastAsiaTheme="minorEastAsia" w:hAnsi="Cambria Math" w:cs="Times New Roman"/>
                <w:szCs w:val="24"/>
              </w:rPr>
              <m:t>T</m:t>
            </m:r>
          </m:sup>
        </m:sSup>
        <m:r>
          <w:rPr>
            <w:rFonts w:ascii="Cambria Math" w:eastAsiaTheme="minorEastAsia" w:hAnsi="Cambria Math" w:cs="Times New Roman"/>
            <w:szCs w:val="24"/>
          </w:rPr>
          <m:t>A</m:t>
        </m:r>
      </m:oMath>
      <w:r w:rsidRPr="0098140B">
        <w:rPr>
          <w:rFonts w:eastAsiaTheme="minorEastAsia" w:cs="Times New Roman"/>
          <w:szCs w:val="24"/>
        </w:rPr>
        <w:t xml:space="preserve">, where </w:t>
      </w:r>
      <w:r w:rsidRPr="0098140B">
        <w:rPr>
          <w:rFonts w:eastAsiaTheme="minorEastAsia" w:cs="Times New Roman"/>
          <w:i/>
          <w:iCs/>
          <w:szCs w:val="24"/>
        </w:rPr>
        <w:t>A</w:t>
      </w:r>
      <w:r w:rsidRPr="0098140B">
        <w:rPr>
          <w:rFonts w:eastAsiaTheme="minorEastAsia" w:cs="Times New Roman"/>
          <w:szCs w:val="24"/>
        </w:rPr>
        <w:t xml:space="preserve"> and </w:t>
      </w:r>
      <m:oMath>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A</m:t>
            </m:r>
          </m:e>
          <m:sup>
            <m:r>
              <w:rPr>
                <w:rFonts w:ascii="Cambria Math" w:eastAsiaTheme="minorEastAsia" w:hAnsi="Cambria Math" w:cs="Times New Roman"/>
                <w:szCs w:val="24"/>
              </w:rPr>
              <m:t>T</m:t>
            </m:r>
          </m:sup>
        </m:sSup>
      </m:oMath>
      <w:r w:rsidRPr="0098140B">
        <w:rPr>
          <w:rFonts w:eastAsiaTheme="minorEastAsia" w:cs="Times New Roman"/>
          <w:szCs w:val="24"/>
        </w:rPr>
        <w:t xml:space="preserve"> represent the coefficient matrix and it’s transpose matrix, respectively. Table </w:t>
      </w:r>
      <w:r w:rsidR="0098054A" w:rsidRPr="0098140B">
        <w:rPr>
          <w:rFonts w:eastAsiaTheme="minorEastAsia" w:cs="Times New Roman"/>
          <w:szCs w:val="24"/>
        </w:rPr>
        <w:t>2.</w:t>
      </w:r>
      <w:r w:rsidRPr="0098140B">
        <w:rPr>
          <w:rFonts w:eastAsiaTheme="minorEastAsia" w:cs="Times New Roman"/>
          <w:szCs w:val="24"/>
        </w:rPr>
        <w:t xml:space="preserve">4 presents the condition number of different probe liquid sets. </w:t>
      </w:r>
    </w:p>
    <w:p w14:paraId="499FA050" w14:textId="54179D6D" w:rsidR="0003506A" w:rsidRPr="0098140B" w:rsidRDefault="0003506A" w:rsidP="008A24F0">
      <w:pPr>
        <w:ind w:firstLine="720"/>
        <w:rPr>
          <w:rFonts w:cs="Times New Roman"/>
          <w:color w:val="FF0000"/>
          <w:szCs w:val="24"/>
        </w:rPr>
      </w:pPr>
      <w:r w:rsidRPr="0098140B">
        <w:rPr>
          <w:rFonts w:eastAsiaTheme="minorEastAsia" w:cs="Times New Roman"/>
          <w:szCs w:val="24"/>
        </w:rPr>
        <w:t xml:space="preserve">A lower value of condition number is required to reduce the sensitivity to measurement error </w:t>
      </w:r>
      <w:r w:rsidRPr="0098140B">
        <w:rPr>
          <w:rFonts w:eastAsiaTheme="minorEastAsia" w:cs="Times New Roman"/>
          <w:szCs w:val="24"/>
        </w:rPr>
        <w:fldChar w:fldCharType="begin"/>
      </w:r>
      <w:r w:rsidR="00282238">
        <w:rPr>
          <w:rFonts w:eastAsiaTheme="minorEastAsia" w:cs="Times New Roman"/>
          <w:szCs w:val="24"/>
        </w:rPr>
        <w:instrText xml:space="preserve"> ADDIN EN.CITE &lt;EndNote&gt;&lt;Cite&gt;&lt;Author&gt;Singh&lt;/Author&gt;&lt;Year&gt;2018&lt;/Year&gt;&lt;RecNum&gt;230&lt;/RecNum&gt;&lt;DisplayText&gt;(Hefer et al., 2006; Singh and Mishra, 2018)&lt;/DisplayText&gt;&lt;record&gt;&lt;rec-number&gt;230&lt;/rec-number&gt;&lt;foreign-keys&gt;&lt;key app="EN" db-id="d55vzfpwawdafteedfoxsf0lv0v0wp5va2aa" timestamp="1612945914"&gt;230&lt;/key&gt;&lt;/foreign-keys&gt;&lt;ref-type name="Journal Article"&gt;17&lt;/ref-type&gt;&lt;contributors&gt;&lt;authors&gt;&lt;author&gt;Singh, Dharamveer&lt;/author&gt;&lt;author&gt;Mishra, Vinamra&lt;/author&gt;&lt;/authors&gt;&lt;/contributors&gt;&lt;titles&gt;&lt;title&gt;Different methods of selecting probe liquids to measure the surface free energy of asphalt binders&lt;/title&gt;&lt;secondary-title&gt;Construction and Building Materials&lt;/secondary-title&gt;&lt;/titles&gt;&lt;periodical&gt;&lt;full-title&gt;Construction and Building Materials&lt;/full-title&gt;&lt;/periodical&gt;&lt;pages&gt;448-457&lt;/pages&gt;&lt;volume&gt;175&lt;/volume&gt;&lt;dates&gt;&lt;year&gt;2018&lt;/year&gt;&lt;/dates&gt;&lt;isbn&gt;0950-0618&lt;/isbn&gt;&lt;urls&gt;&lt;/urls&gt;&lt;/record&gt;&lt;/Cite&gt;&lt;Cite&gt;&lt;Author&gt;Hefer&lt;/Author&gt;&lt;Year&gt;2006&lt;/Year&gt;&lt;RecNum&gt;24&lt;/RecNum&gt;&lt;record&gt;&lt;rec-number&gt;24&lt;/rec-number&gt;&lt;foreign-keys&gt;&lt;key app="EN" db-id="d55vzfpwawdafteedfoxsf0lv0v0wp5va2aa" timestamp="1509901126"&gt;24&lt;/key&gt;&lt;/foreign-keys&gt;&lt;ref-type name="Journal Article"&gt;17&lt;/ref-type&gt;&lt;contributors&gt;&lt;authors&gt;&lt;author&gt;Hefer, Arno W&lt;/author&gt;&lt;author&gt;Bhasin, Amit&lt;/author&gt;&lt;author&gt;Little, Dallas N&lt;/author&gt;&lt;/authors&gt;&lt;/contributors&gt;&lt;titles&gt;&lt;title&gt;Bitumen Surface Energy Characterization Using a Contact Angle Approach&lt;/title&gt;&lt;secondary-title&gt;Journal of Materials in Civil Engineering&lt;/secondary-title&gt;&lt;/titles&gt;&lt;periodical&gt;&lt;full-title&gt;Journal of Materials in Civil Engineering&lt;/full-title&gt;&lt;/periodical&gt;&lt;pages&gt;759-767&lt;/pages&gt;&lt;volume&gt;18&lt;/volume&gt;&lt;number&gt;6&lt;/number&gt;&lt;dates&gt;&lt;year&gt;2006&lt;/year&gt;&lt;/dates&gt;&lt;isbn&gt;0899-1561&lt;/isbn&gt;&lt;urls&gt;&lt;/urls&gt;&lt;/record&gt;&lt;/Cite&gt;&lt;/EndNote&gt;</w:instrText>
      </w:r>
      <w:r w:rsidRPr="0098140B">
        <w:rPr>
          <w:rFonts w:eastAsiaTheme="minorEastAsia" w:cs="Times New Roman"/>
          <w:szCs w:val="24"/>
        </w:rPr>
        <w:fldChar w:fldCharType="separate"/>
      </w:r>
      <w:r w:rsidR="00282238">
        <w:rPr>
          <w:rFonts w:eastAsiaTheme="minorEastAsia" w:cs="Times New Roman"/>
          <w:noProof/>
          <w:szCs w:val="24"/>
        </w:rPr>
        <w:t>(Hefer et al., 2006; Singh and Mishra, 2018)</w:t>
      </w:r>
      <w:r w:rsidRPr="0098140B">
        <w:rPr>
          <w:rFonts w:eastAsiaTheme="minorEastAsia" w:cs="Times New Roman"/>
          <w:szCs w:val="24"/>
        </w:rPr>
        <w:fldChar w:fldCharType="end"/>
      </w:r>
      <w:r w:rsidRPr="0098140B">
        <w:rPr>
          <w:rFonts w:eastAsiaTheme="minorEastAsia" w:cs="Times New Roman"/>
          <w:szCs w:val="24"/>
        </w:rPr>
        <w:t xml:space="preserve">. Probe liquid sets with condition number less than 10 are expected to be less sensitive to errors in the measurement. The probe liquid sets with </w:t>
      </w:r>
      <w:r w:rsidRPr="0098140B">
        <w:rPr>
          <w:rFonts w:cs="Times New Roman"/>
          <w:szCs w:val="24"/>
        </w:rPr>
        <w:t>negative square roots of SFE components, namely FGED, GED, GEF, FED, WGE and FGD exhibited condition numbers of greater than 10.</w:t>
      </w:r>
      <w:r w:rsidRPr="0098140B">
        <w:rPr>
          <w:rFonts w:eastAsiaTheme="minorEastAsia" w:cs="Times New Roman"/>
          <w:szCs w:val="24"/>
        </w:rPr>
        <w:t xml:space="preserve"> The ill-conditioning of the equation sets may be responsible for the inaccuracies in SFE components. It was observed that the WGFDE, WFGD, WGED, WFED, WED, WGD and </w:t>
      </w:r>
      <w:r w:rsidRPr="0098140B">
        <w:rPr>
          <w:rFonts w:cs="Times New Roman"/>
          <w:szCs w:val="24"/>
        </w:rPr>
        <w:t>WFD sets satisfied the criteria for condition number of less than 10. All these sets include water and diiodomethane with different combinations of glycer</w:t>
      </w:r>
      <w:r w:rsidR="002B735E">
        <w:rPr>
          <w:rFonts w:cs="Times New Roman"/>
          <w:szCs w:val="24"/>
        </w:rPr>
        <w:t>ol</w:t>
      </w:r>
      <w:r w:rsidRPr="0098140B">
        <w:rPr>
          <w:rFonts w:cs="Times New Roman"/>
          <w:szCs w:val="24"/>
        </w:rPr>
        <w:t xml:space="preserve">, formamide and ethylene glycol. Among these probe liquid sets, the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A</m:t>
            </m:r>
          </m:sub>
        </m:sSub>
      </m:oMath>
      <w:r w:rsidRPr="0098140B">
        <w:rPr>
          <w:rFonts w:eastAsiaTheme="minorEastAsia" w:cs="Times New Roman"/>
          <w:szCs w:val="24"/>
        </w:rPr>
        <w:t xml:space="preserve"> components of S1 binder </w:t>
      </w:r>
      <w:r w:rsidR="00AC1253" w:rsidRPr="0098140B">
        <w:rPr>
          <w:rFonts w:eastAsiaTheme="minorEastAsia" w:cs="Times New Roman"/>
          <w:szCs w:val="24"/>
        </w:rPr>
        <w:t>were</w:t>
      </w:r>
      <w:r w:rsidRPr="0098140B">
        <w:rPr>
          <w:rFonts w:eastAsiaTheme="minorEastAsia" w:cs="Times New Roman"/>
          <w:szCs w:val="24"/>
        </w:rPr>
        <w:t xml:space="preserve"> found to vary from 16.00 </w:t>
      </w:r>
      <w:r w:rsidRPr="0098140B">
        <w:rPr>
          <w:rFonts w:cs="Times New Roman"/>
          <w:szCs w:val="24"/>
        </w:rPr>
        <w:t>mJ/m</w:t>
      </w:r>
      <w:r w:rsidRPr="0098140B">
        <w:rPr>
          <w:rFonts w:cs="Times New Roman"/>
          <w:szCs w:val="24"/>
          <w:vertAlign w:val="superscript"/>
        </w:rPr>
        <w:t>2</w:t>
      </w:r>
      <w:r w:rsidRPr="0098140B">
        <w:rPr>
          <w:rFonts w:cs="Times New Roman"/>
          <w:szCs w:val="24"/>
        </w:rPr>
        <w:t xml:space="preserve"> </w:t>
      </w:r>
      <w:r w:rsidRPr="0098140B">
        <w:rPr>
          <w:rFonts w:eastAsiaTheme="minorEastAsia" w:cs="Times New Roman"/>
          <w:szCs w:val="24"/>
        </w:rPr>
        <w:t xml:space="preserve">to 16.29 </w:t>
      </w:r>
      <w:r w:rsidRPr="0098140B">
        <w:rPr>
          <w:rFonts w:cs="Times New Roman"/>
          <w:szCs w:val="24"/>
        </w:rPr>
        <w:t>mJ/m</w:t>
      </w:r>
      <w:r w:rsidRPr="0098140B">
        <w:rPr>
          <w:rFonts w:cs="Times New Roman"/>
          <w:szCs w:val="24"/>
          <w:vertAlign w:val="superscript"/>
        </w:rPr>
        <w:t>2</w:t>
      </w:r>
      <w:r w:rsidRPr="0098140B">
        <w:rPr>
          <w:rFonts w:cs="Times New Roman"/>
          <w:szCs w:val="24"/>
        </w:rPr>
        <w:t xml:space="preserve">. Other binders exhibited similar smaller variations of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A</m:t>
            </m:r>
          </m:sub>
        </m:sSub>
      </m:oMath>
      <w:r w:rsidRPr="0098140B">
        <w:rPr>
          <w:rFonts w:eastAsiaTheme="minorEastAsia" w:cs="Times New Roman"/>
          <w:szCs w:val="24"/>
        </w:rPr>
        <w:t xml:space="preserve"> components. Also, t</w:t>
      </w:r>
      <w:r w:rsidRPr="0098140B">
        <w:rPr>
          <w:rFonts w:cs="Times New Roman"/>
          <w:szCs w:val="24"/>
        </w:rPr>
        <w:t xml:space="preserve">he maximum differences in </w:t>
      </w:r>
      <m:oMath>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LW</m:t>
            </m:r>
          </m:sup>
        </m:sSubSup>
      </m:oMath>
      <w:r w:rsidRPr="0098140B">
        <w:rPr>
          <w:rFonts w:eastAsiaTheme="minorEastAsia" w:cs="Times New Roman"/>
          <w:szCs w:val="24"/>
        </w:rPr>
        <w:t xml:space="preserve">component between the abovementioned probe liquid sets were observed to be 0.33, 0.32, 0.16, 0.42 </w:t>
      </w:r>
      <w:r w:rsidRPr="0098140B">
        <w:rPr>
          <w:rFonts w:cs="Times New Roman"/>
          <w:szCs w:val="24"/>
        </w:rPr>
        <w:t>mJ/m</w:t>
      </w:r>
      <w:r w:rsidRPr="0098140B">
        <w:rPr>
          <w:rFonts w:cs="Times New Roman"/>
          <w:szCs w:val="24"/>
          <w:vertAlign w:val="superscript"/>
        </w:rPr>
        <w:t>2</w:t>
      </w:r>
      <w:r w:rsidRPr="0098140B">
        <w:rPr>
          <w:rFonts w:cs="Times New Roman"/>
          <w:szCs w:val="24"/>
        </w:rPr>
        <w:t xml:space="preserve"> for S1, S2, S3 and S4 binders, respectively. These small variations (with respect to the quantity of SFE) observed for the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A</m:t>
            </m:r>
          </m:sub>
        </m:sSub>
      </m:oMath>
      <w:r w:rsidRPr="0098140B">
        <w:rPr>
          <w:rFonts w:eastAsiaTheme="minorEastAsia" w:cs="Times New Roman"/>
          <w:szCs w:val="24"/>
        </w:rPr>
        <w:t xml:space="preserve"> and </w:t>
      </w:r>
      <m:oMath>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LW</m:t>
            </m:r>
          </m:sup>
        </m:sSubSup>
      </m:oMath>
      <w:r w:rsidRPr="0098140B">
        <w:rPr>
          <w:rFonts w:eastAsiaTheme="minorEastAsia" w:cs="Times New Roman"/>
          <w:szCs w:val="24"/>
        </w:rPr>
        <w:t xml:space="preserve"> components for different probe liquid sets can be considered within the range of measurement error. </w:t>
      </w:r>
      <w:r w:rsidRPr="0098140B">
        <w:rPr>
          <w:rFonts w:cs="Times New Roman"/>
          <w:szCs w:val="24"/>
        </w:rPr>
        <w:t>However, variations in acid and base components were observed among the abovementioned probe liquid sets. For example, a maximum variation of 76% in acid component of S1 binder was observed between the WGFDE and WED probe liquid sets. These high variations indicate the dependency of acid and base components of the binder on the probe liquid set. Also, the acid to base ratio (</w:t>
      </w:r>
      <m:oMath>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98140B">
        <w:rPr>
          <w:rFonts w:eastAsiaTheme="minorEastAsia" w:cs="Times New Roman"/>
          <w:szCs w:val="24"/>
        </w:rPr>
        <w:t>) indicates the existence of both acid- (</w:t>
      </w:r>
      <m:oMath>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98140B">
        <w:rPr>
          <w:rFonts w:eastAsiaTheme="minorEastAsia" w:cs="Times New Roman"/>
          <w:szCs w:val="24"/>
        </w:rPr>
        <w:t xml:space="preserve"> &gt;1) and base-dominance (</w:t>
      </w:r>
      <m:oMath>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98140B">
        <w:rPr>
          <w:rFonts w:eastAsiaTheme="minorEastAsia" w:cs="Times New Roman"/>
          <w:szCs w:val="24"/>
        </w:rPr>
        <w:t xml:space="preserve"> &lt;1) for the same binder from different probe liquid sets. For the S1 binder, the WGFDE, WGED, WFED and WED sets resulted in </w:t>
      </w:r>
      <m:oMath>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98140B">
        <w:rPr>
          <w:rFonts w:eastAsiaTheme="minorEastAsia" w:cs="Times New Roman"/>
          <w:szCs w:val="24"/>
        </w:rPr>
        <w:t xml:space="preserve"> higher than 1, whereas the WFGD, WGD and WFD sets resulted in </w:t>
      </w:r>
      <m:oMath>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98140B">
        <w:rPr>
          <w:rFonts w:eastAsiaTheme="minorEastAsia" w:cs="Times New Roman"/>
          <w:szCs w:val="24"/>
        </w:rPr>
        <w:t xml:space="preserve"> of less than 1. The inclusion of ethylene glycol in the probe liquid set yielded higher acidic components, whereas inclusion of glycer</w:t>
      </w:r>
      <w:r w:rsidR="002B735E">
        <w:rPr>
          <w:rFonts w:eastAsiaTheme="minorEastAsia" w:cs="Times New Roman"/>
          <w:szCs w:val="24"/>
        </w:rPr>
        <w:t>ol</w:t>
      </w:r>
      <w:r w:rsidRPr="0098140B">
        <w:rPr>
          <w:rFonts w:eastAsiaTheme="minorEastAsia" w:cs="Times New Roman"/>
          <w:szCs w:val="24"/>
        </w:rPr>
        <w:t xml:space="preserve"> and formamide resulted in higher basic components. For the S1 binder, the WED resulted in </w:t>
      </w:r>
      <m:oMath>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98140B">
        <w:rPr>
          <w:rFonts w:eastAsiaTheme="minorEastAsia" w:cs="Times New Roman"/>
          <w:szCs w:val="24"/>
        </w:rPr>
        <w:t xml:space="preserve"> of 7.07, whereas the WGDE, WFDE and WGFDE sets resulted in </w:t>
      </w:r>
      <m:oMath>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98140B">
        <w:rPr>
          <w:rFonts w:eastAsiaTheme="minorEastAsia" w:cs="Times New Roman"/>
          <w:szCs w:val="24"/>
        </w:rPr>
        <w:t xml:space="preserve"> of 2.63, 1.72 and 1.46, respectively. A similar trend was observed for other binders as well. Therefore, along with water and diiodomethane, the choice of at least one or more probe liquid(s) from glycer</w:t>
      </w:r>
      <w:r w:rsidR="002B735E">
        <w:rPr>
          <w:rFonts w:eastAsiaTheme="minorEastAsia" w:cs="Times New Roman"/>
          <w:szCs w:val="24"/>
        </w:rPr>
        <w:t>ol</w:t>
      </w:r>
      <w:r w:rsidRPr="0098140B">
        <w:rPr>
          <w:rFonts w:eastAsiaTheme="minorEastAsia" w:cs="Times New Roman"/>
          <w:szCs w:val="24"/>
        </w:rPr>
        <w:t>, formamide and ethylene glycol is expected to influence the energy ratios of a binder-aggregate system.</w:t>
      </w:r>
      <w:r w:rsidRPr="0098140B">
        <w:rPr>
          <w:rFonts w:cs="Times New Roman"/>
          <w:color w:val="FF0000"/>
          <w:szCs w:val="24"/>
        </w:rPr>
        <w:t xml:space="preserve"> </w:t>
      </w:r>
    </w:p>
    <w:p w14:paraId="2BAFBF1B" w14:textId="4631FE8A" w:rsidR="0003506A" w:rsidRPr="0098140B" w:rsidRDefault="0003506A" w:rsidP="008A24F0">
      <w:pPr>
        <w:pStyle w:val="Heading6"/>
        <w:spacing w:before="0" w:after="0"/>
        <w:rPr>
          <w:szCs w:val="24"/>
        </w:rPr>
      </w:pPr>
      <w:r w:rsidRPr="0098140B">
        <w:rPr>
          <w:szCs w:val="24"/>
        </w:rPr>
        <w:t xml:space="preserve">Energy </w:t>
      </w:r>
      <w:r w:rsidR="00281666" w:rsidRPr="0098140B">
        <w:rPr>
          <w:szCs w:val="24"/>
        </w:rPr>
        <w:t>P</w:t>
      </w:r>
      <w:r w:rsidRPr="0098140B">
        <w:rPr>
          <w:szCs w:val="24"/>
        </w:rPr>
        <w:t>arameters from</w:t>
      </w:r>
      <w:r w:rsidR="000F3C06" w:rsidRPr="0098140B">
        <w:rPr>
          <w:szCs w:val="24"/>
        </w:rPr>
        <w:t xml:space="preserve"> the</w:t>
      </w:r>
      <w:r w:rsidRPr="0098140B">
        <w:rPr>
          <w:szCs w:val="24"/>
        </w:rPr>
        <w:t xml:space="preserve"> GvOC </w:t>
      </w:r>
      <w:r w:rsidR="00281666" w:rsidRPr="0098140B">
        <w:rPr>
          <w:szCs w:val="24"/>
        </w:rPr>
        <w:t>M</w:t>
      </w:r>
      <w:r w:rsidRPr="0098140B">
        <w:rPr>
          <w:szCs w:val="24"/>
        </w:rPr>
        <w:t>ethod</w:t>
      </w:r>
    </w:p>
    <w:p w14:paraId="10434701" w14:textId="6CF36855" w:rsidR="0003506A" w:rsidRPr="0098140B" w:rsidRDefault="0003506A" w:rsidP="008A24F0">
      <w:pPr>
        <w:ind w:firstLine="720"/>
        <w:rPr>
          <w:rFonts w:cs="Times New Roman"/>
          <w:szCs w:val="24"/>
        </w:rPr>
      </w:pPr>
      <w:r w:rsidRPr="0098140B">
        <w:rPr>
          <w:rFonts w:cs="Times New Roman"/>
          <w:szCs w:val="24"/>
        </w:rPr>
        <w:t xml:space="preserve">In this study, the effect of the variability in the SFE components was evaluated by determining the energy parameters of the tested binders with a limestone aggregate. For this purpose, the SFE components of a commonly used Oklahoma limestone aggregate was determined using a Universal Sorption Device (USD). The details of the testing procedure can be found in a previous study conducted by the authors </w:t>
      </w:r>
      <w:r w:rsidRPr="0098140B">
        <w:rPr>
          <w:rFonts w:cs="Times New Roman"/>
          <w:szCs w:val="24"/>
        </w:rPr>
        <w:fldChar w:fldCharType="begin"/>
      </w:r>
      <w:r w:rsidR="00282238">
        <w:rPr>
          <w:rFonts w:cs="Times New Roman"/>
          <w:szCs w:val="24"/>
        </w:rPr>
        <w:instrText xml:space="preserve"> ADDIN EN.CITE &lt;EndNote&gt;&lt;Cite&gt;&lt;Author&gt;Ali&lt;/Author&gt;&lt;Year&gt;2019&lt;/Year&gt;&lt;RecNum&gt;231&lt;/RecNum&gt;&lt;DisplayText&gt;(Ali et al., 2019)&lt;/DisplayText&gt;&lt;record&gt;&lt;rec-number&gt;231&lt;/rec-number&gt;&lt;foreign-keys&gt;&lt;key app="EN" db-id="d55vzfpwawdafteedfoxsf0lv0v0wp5va2aa" timestamp="1613028953"&gt;231&lt;/key&gt;&lt;/foreign-keys&gt;&lt;ref-type name="Report"&gt;27&lt;/ref-type&gt;&lt;contributors&gt;&lt;authors&gt;&lt;author&gt;Ali, Syed Ashik&lt;/author&gt;&lt;author&gt;Ghabchi, Rouzbeh&lt;/author&gt;&lt;author&gt;Zaman, Musharraf&lt;/author&gt;&lt;author&gt;Bulut, Rifat&lt;/author&gt;&lt;/authors&gt;&lt;/contributors&gt;&lt;titles&gt;&lt;title&gt;Development of a SFE Database for Screening of Mixes for Moisture Damage in Oklahoma&lt;/title&gt;&lt;/titles&gt;&lt;dates&gt;&lt;year&gt;2019&lt;/year&gt;&lt;/dates&gt;&lt;urls&gt;&lt;/urls&gt;&lt;/record&gt;&lt;/Cite&gt;&lt;/EndNote&gt;</w:instrText>
      </w:r>
      <w:r w:rsidRPr="0098140B">
        <w:rPr>
          <w:rFonts w:cs="Times New Roman"/>
          <w:szCs w:val="24"/>
        </w:rPr>
        <w:fldChar w:fldCharType="separate"/>
      </w:r>
      <w:r w:rsidR="00282238">
        <w:rPr>
          <w:rFonts w:cs="Times New Roman"/>
          <w:noProof/>
          <w:szCs w:val="24"/>
        </w:rPr>
        <w:t>(Ali et al., 2019)</w:t>
      </w:r>
      <w:r w:rsidRPr="0098140B">
        <w:rPr>
          <w:rFonts w:cs="Times New Roman"/>
          <w:szCs w:val="24"/>
        </w:rPr>
        <w:fldChar w:fldCharType="end"/>
      </w:r>
      <w:r w:rsidRPr="0098140B">
        <w:rPr>
          <w:rFonts w:cs="Times New Roman"/>
          <w:szCs w:val="24"/>
        </w:rPr>
        <w:t xml:space="preserve">. The SFE components of the limestone aggregate are presented in Table </w:t>
      </w:r>
      <w:r w:rsidR="0098054A" w:rsidRPr="0098140B">
        <w:rPr>
          <w:rFonts w:cs="Times New Roman"/>
          <w:szCs w:val="24"/>
        </w:rPr>
        <w:t>2.</w:t>
      </w:r>
      <w:r w:rsidRPr="0098140B">
        <w:rPr>
          <w:rFonts w:cs="Times New Roman"/>
          <w:szCs w:val="24"/>
        </w:rPr>
        <w:t xml:space="preserve">5. The work of adhesion </w:t>
      </w:r>
      <w:r w:rsidRPr="0098140B">
        <w:rPr>
          <w:rFonts w:eastAsiaTheme="minorEastAsia" w:cs="Times New Roman"/>
          <w:szCs w:val="24"/>
        </w:rPr>
        <w:t>(</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98140B">
        <w:rPr>
          <w:rFonts w:eastAsiaTheme="minorEastAsia" w:cs="Times New Roman"/>
          <w:szCs w:val="24"/>
          <w:lang w:val="en-GB" w:eastAsia="en-GB"/>
        </w:rPr>
        <w:t>)</w:t>
      </w:r>
      <w:r w:rsidRPr="0098140B">
        <w:rPr>
          <w:rFonts w:cs="Times New Roman"/>
          <w:szCs w:val="24"/>
        </w:rPr>
        <w:t>, work of debonding (</w:t>
      </w:r>
      <m:oMath>
        <m:sSubSup>
          <m:sSubSupPr>
            <m:ctrlPr>
              <w:rPr>
                <w:rFonts w:ascii="Cambria Math" w:hAnsi="Cambria Math" w:cs="Times New Roman"/>
                <w:i/>
                <w:szCs w:val="24"/>
              </w:rPr>
            </m:ctrlPr>
          </m:sSubSupPr>
          <m:e>
            <m:r>
              <w:rPr>
                <w:rFonts w:ascii="Cambria Math" w:hAnsi="Cambria Math" w:cs="Times New Roman"/>
                <w:szCs w:val="24"/>
              </w:rPr>
              <m:t>W</m:t>
            </m:r>
          </m:e>
          <m:sub>
            <m:r>
              <w:rPr>
                <w:rFonts w:ascii="Cambria Math" w:hAnsi="Cambria Math" w:cs="Times New Roman"/>
                <w:szCs w:val="24"/>
              </w:rPr>
              <m:t>ARW</m:t>
            </m:r>
          </m:sub>
          <m:sup>
            <m:r>
              <w:rPr>
                <w:rFonts w:ascii="Cambria Math" w:hAnsi="Cambria Math" w:cs="Times New Roman"/>
                <w:szCs w:val="24"/>
              </w:rPr>
              <m:t>wet</m:t>
            </m:r>
          </m:sup>
        </m:sSubSup>
      </m:oMath>
      <w:r w:rsidRPr="0098140B">
        <w:rPr>
          <w:rFonts w:cs="Times New Roman"/>
          <w:szCs w:val="24"/>
        </w:rPr>
        <w:t>) and energy ratio (</w:t>
      </w:r>
      <w:r w:rsidRPr="0098140B">
        <w:rPr>
          <w:rFonts w:cs="Times New Roman"/>
          <w:i/>
          <w:iCs/>
          <w:szCs w:val="24"/>
        </w:rPr>
        <w:t>ER</w:t>
      </w:r>
      <w:r w:rsidRPr="0098140B">
        <w:rPr>
          <w:rFonts w:cs="Times New Roman"/>
          <w:szCs w:val="24"/>
        </w:rPr>
        <w:t>) of the limestone aggregate with different binders were calculated by the GvOC method using Equations (</w:t>
      </w:r>
      <w:r w:rsidR="007655DB">
        <w:rPr>
          <w:rFonts w:cs="Times New Roman"/>
          <w:szCs w:val="24"/>
        </w:rPr>
        <w:t>2.</w:t>
      </w:r>
      <w:r w:rsidRPr="0098140B">
        <w:rPr>
          <w:rFonts w:cs="Times New Roman"/>
          <w:szCs w:val="24"/>
        </w:rPr>
        <w:t>16), (</w:t>
      </w:r>
      <w:r w:rsidR="007655DB">
        <w:rPr>
          <w:rFonts w:cs="Times New Roman"/>
          <w:szCs w:val="24"/>
        </w:rPr>
        <w:t>2.</w:t>
      </w:r>
      <w:r w:rsidRPr="0098140B">
        <w:rPr>
          <w:rFonts w:cs="Times New Roman"/>
          <w:szCs w:val="24"/>
        </w:rPr>
        <w:t>17) and (</w:t>
      </w:r>
      <w:r w:rsidR="007655DB">
        <w:rPr>
          <w:rFonts w:cs="Times New Roman"/>
          <w:szCs w:val="24"/>
        </w:rPr>
        <w:t>2.</w:t>
      </w:r>
      <w:r w:rsidRPr="0098140B">
        <w:rPr>
          <w:rFonts w:cs="Times New Roman"/>
          <w:szCs w:val="24"/>
        </w:rPr>
        <w:t>18), respectively. Equation (</w:t>
      </w:r>
      <w:r w:rsidR="007655DB">
        <w:rPr>
          <w:rFonts w:cs="Times New Roman"/>
          <w:szCs w:val="24"/>
        </w:rPr>
        <w:t>2.</w:t>
      </w:r>
      <w:r w:rsidRPr="0098140B">
        <w:rPr>
          <w:rFonts w:cs="Times New Roman"/>
          <w:szCs w:val="24"/>
        </w:rPr>
        <w:t xml:space="preserve">16) is obtained from </w:t>
      </w:r>
      <m:oMath>
        <m:sSubSup>
          <m:sSubSupPr>
            <m:ctrlPr>
              <w:rPr>
                <w:rFonts w:ascii="Cambria Math" w:hAnsi="Cambria Math" w:cs="Times New Roman"/>
                <w:i/>
                <w:szCs w:val="24"/>
              </w:rPr>
            </m:ctrlPr>
          </m:sSubSupPr>
          <m:e>
            <m:r>
              <w:rPr>
                <w:rFonts w:ascii="Cambria Math" w:hAnsi="Cambria Math" w:cs="Times New Roman"/>
                <w:szCs w:val="24"/>
              </w:rPr>
              <m:t>W</m:t>
            </m:r>
          </m:e>
          <m:sub>
            <m:r>
              <w:rPr>
                <w:rFonts w:ascii="Cambria Math" w:hAnsi="Cambria Math" w:cs="Times New Roman"/>
                <w:szCs w:val="24"/>
              </w:rPr>
              <m:t>ARW</m:t>
            </m:r>
          </m:sub>
          <m:sup>
            <m:r>
              <w:rPr>
                <w:rFonts w:ascii="Cambria Math" w:hAnsi="Cambria Math" w:cs="Times New Roman"/>
                <w:szCs w:val="24"/>
              </w:rPr>
              <m:t>wet</m:t>
            </m:r>
          </m:sup>
        </m:sSubSup>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W</m:t>
            </m:r>
          </m:e>
          <m:sub>
            <m:r>
              <w:rPr>
                <w:rFonts w:ascii="Cambria Math" w:hAnsi="Cambria Math" w:cs="Times New Roman"/>
                <w:szCs w:val="24"/>
              </w:rPr>
              <m:t>AR</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W</m:t>
            </m:r>
          </m:e>
          <m:sub>
            <m:r>
              <w:rPr>
                <w:rFonts w:ascii="Cambria Math" w:hAnsi="Cambria Math" w:cs="Times New Roman"/>
                <w:szCs w:val="24"/>
              </w:rPr>
              <m:t>WW</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W</m:t>
            </m:r>
          </m:e>
          <m:sub>
            <m:r>
              <w:rPr>
                <w:rFonts w:ascii="Cambria Math" w:hAnsi="Cambria Math" w:cs="Times New Roman"/>
                <w:szCs w:val="24"/>
              </w:rPr>
              <m:t>AW</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W</m:t>
            </m:r>
          </m:e>
          <m:sub>
            <m:r>
              <w:rPr>
                <w:rFonts w:ascii="Cambria Math" w:hAnsi="Cambria Math" w:cs="Times New Roman"/>
                <w:szCs w:val="24"/>
              </w:rPr>
              <m:t>RW</m:t>
            </m:r>
          </m:sub>
        </m:sSub>
      </m:oMath>
      <w:r w:rsidRPr="0098140B">
        <w:rPr>
          <w:rFonts w:cs="Times New Roman"/>
          <w:szCs w:val="24"/>
        </w:rPr>
        <w:t>.  For the convenience of this study, subscript ‘R’ was used to represent aggregate.</w:t>
      </w:r>
    </w:p>
    <w:p w14:paraId="00079CD3" w14:textId="5C43D145" w:rsidR="0003506A" w:rsidRPr="0098140B" w:rsidRDefault="007F7885" w:rsidP="0055690E">
      <w:pPr>
        <w:jc w:val="center"/>
        <w:rPr>
          <w:rFonts w:eastAsiaTheme="minorEastAsia" w:cs="Times New Roman"/>
          <w:szCs w:val="24"/>
          <w:lang w:val="en-GB" w:eastAsia="en-GB"/>
        </w:rPr>
      </w:pP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d>
          <m:dPr>
            <m:ctrlPr>
              <w:rPr>
                <w:rFonts w:ascii="Cambria Math" w:hAnsi="Cambria Math" w:cs="Times New Roman"/>
                <w:i/>
                <w:szCs w:val="24"/>
              </w:rPr>
            </m:ctrlPr>
          </m:dPr>
          <m:e>
            <m:r>
              <w:rPr>
                <w:rFonts w:ascii="Cambria Math" w:hAnsi="Cambria Math" w:cs="Times New Roman"/>
                <w:szCs w:val="24"/>
              </w:rPr>
              <m:t>GvOC</m:t>
            </m:r>
          </m:e>
        </m:d>
        <m:r>
          <w:rPr>
            <w:rFonts w:ascii="Cambria Math" w:hAnsi="Cambria Math" w:cs="Times New Roman"/>
            <w:szCs w:val="24"/>
            <w:lang w:val="en-GB" w:eastAsia="en-GB"/>
          </w:rPr>
          <m:t>=2</m:t>
        </m:r>
        <m:d>
          <m:dPr>
            <m:ctrlPr>
              <w:rPr>
                <w:rFonts w:ascii="Cambria Math" w:hAnsi="Cambria Math" w:cs="Times New Roman"/>
                <w:i/>
                <w:szCs w:val="24"/>
                <w:lang w:val="en-GB" w:eastAsia="en-GB"/>
              </w:rPr>
            </m:ctrlPr>
          </m:dPr>
          <m:e>
            <m:rad>
              <m:radPr>
                <m:degHide m:val="1"/>
                <m:ctrlPr>
                  <w:rPr>
                    <w:rFonts w:ascii="Cambria Math" w:hAnsi="Cambria Math" w:cs="Times New Roman"/>
                    <w:i/>
                    <w:szCs w:val="24"/>
                    <w:lang w:val="en-GB" w:eastAsia="en-GB"/>
                  </w:rPr>
                </m:ctrlPr>
              </m:radPr>
              <m:deg/>
              <m:e>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LW</m:t>
                    </m:r>
                  </m:sup>
                </m:sSubSup>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LW</m:t>
                    </m:r>
                  </m:sup>
                </m:sSubSup>
                <m:r>
                  <w:rPr>
                    <w:rFonts w:ascii="Cambria Math" w:hAnsi="Cambria Math" w:cs="Times New Roman"/>
                    <w:szCs w:val="24"/>
                  </w:rPr>
                  <m:t>)</m:t>
                </m:r>
              </m:e>
            </m:rad>
            <m:r>
              <w:rPr>
                <w:rFonts w:ascii="Cambria Math" w:hAnsi="Cambria Math" w:cs="Times New Roman"/>
                <w:szCs w:val="24"/>
              </w:rPr>
              <m:t>+</m:t>
            </m:r>
            <m:rad>
              <m:radPr>
                <m:degHide m:val="1"/>
                <m:ctrlPr>
                  <w:rPr>
                    <w:rFonts w:ascii="Cambria Math" w:hAnsi="Cambria Math" w:cs="Times New Roman"/>
                    <w:i/>
                    <w:szCs w:val="24"/>
                    <w:lang w:val="en-GB" w:eastAsia="en-GB"/>
                  </w:rPr>
                </m:ctrlPr>
              </m:radPr>
              <m:deg/>
              <m:e>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m:t>
                    </m:r>
                  </m:sup>
                </m:sSubSup>
                <m:r>
                  <w:rPr>
                    <w:rFonts w:ascii="Cambria Math" w:hAnsi="Cambria Math" w:cs="Times New Roman"/>
                    <w:szCs w:val="24"/>
                  </w:rPr>
                  <m:t>)</m:t>
                </m:r>
              </m:e>
            </m:rad>
            <m:r>
              <w:rPr>
                <w:rFonts w:ascii="Cambria Math" w:hAnsi="Cambria Math" w:cs="Times New Roman"/>
                <w:szCs w:val="24"/>
              </w:rPr>
              <m:t>+</m:t>
            </m:r>
            <m:rad>
              <m:radPr>
                <m:degHide m:val="1"/>
                <m:ctrlPr>
                  <w:rPr>
                    <w:rFonts w:ascii="Cambria Math" w:hAnsi="Cambria Math" w:cs="Times New Roman"/>
                    <w:i/>
                    <w:szCs w:val="24"/>
                    <w:lang w:val="en-GB" w:eastAsia="en-GB"/>
                  </w:rPr>
                </m:ctrlPr>
              </m:radPr>
              <m:deg/>
              <m:e>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m:t>
                    </m:r>
                  </m:sup>
                </m:sSubSup>
                <m:r>
                  <w:rPr>
                    <w:rFonts w:ascii="Cambria Math" w:hAnsi="Cambria Math" w:cs="Times New Roman"/>
                    <w:szCs w:val="24"/>
                  </w:rPr>
                  <m:t>)</m:t>
                </m:r>
              </m:e>
            </m:rad>
          </m:e>
        </m:d>
      </m:oMath>
      <w:r w:rsidR="0003506A" w:rsidRPr="0098140B">
        <w:rPr>
          <w:rFonts w:eastAsiaTheme="minorEastAsia" w:cs="Times New Roman"/>
          <w:szCs w:val="24"/>
          <w:lang w:val="en-GB" w:eastAsia="en-GB"/>
        </w:rPr>
        <w:t xml:space="preserve">     </w:t>
      </w:r>
      <w:r w:rsidR="00A92A60">
        <w:rPr>
          <w:rFonts w:eastAsiaTheme="minorEastAsia" w:cs="Times New Roman"/>
          <w:szCs w:val="24"/>
          <w:lang w:val="en-GB" w:eastAsia="en-GB"/>
        </w:rPr>
        <w:t xml:space="preserve">    </w:t>
      </w:r>
      <w:r w:rsidR="0003506A" w:rsidRPr="0098140B">
        <w:rPr>
          <w:rFonts w:eastAsiaTheme="minorEastAsia" w:cs="Times New Roman"/>
          <w:szCs w:val="24"/>
          <w:lang w:val="en-GB" w:eastAsia="en-GB"/>
        </w:rPr>
        <w:t xml:space="preserve">    (</w:t>
      </w:r>
      <w:r w:rsidR="007655DB">
        <w:rPr>
          <w:rFonts w:cs="Times New Roman"/>
          <w:szCs w:val="24"/>
        </w:rPr>
        <w:t>2.</w:t>
      </w:r>
      <w:r w:rsidR="0003506A" w:rsidRPr="0098140B">
        <w:rPr>
          <w:rFonts w:eastAsiaTheme="minorEastAsia" w:cs="Times New Roman"/>
          <w:szCs w:val="24"/>
          <w:lang w:val="en-GB" w:eastAsia="en-GB"/>
        </w:rPr>
        <w:t>16)</w:t>
      </w:r>
    </w:p>
    <w:p w14:paraId="3F180B9E" w14:textId="30C030A4" w:rsidR="0003506A" w:rsidRPr="0098140B" w:rsidRDefault="007F7885" w:rsidP="0055690E">
      <w:pPr>
        <w:rPr>
          <w:rFonts w:eastAsiaTheme="minorEastAsia" w:cs="Times New Roman"/>
          <w:szCs w:val="24"/>
        </w:rPr>
      </w:pPr>
      <m:oMath>
        <m:sSubSup>
          <m:sSubSupPr>
            <m:ctrlPr>
              <w:rPr>
                <w:rFonts w:ascii="Cambria Math" w:hAnsi="Cambria Math" w:cs="Times New Roman"/>
                <w:i/>
                <w:sz w:val="18"/>
                <w:szCs w:val="18"/>
              </w:rPr>
            </m:ctrlPr>
          </m:sSubSupPr>
          <m:e>
            <m:r>
              <w:rPr>
                <w:rFonts w:ascii="Cambria Math" w:hAnsi="Cambria Math" w:cs="Times New Roman"/>
                <w:sz w:val="18"/>
                <w:szCs w:val="18"/>
              </w:rPr>
              <m:t>W</m:t>
            </m:r>
          </m:e>
          <m:sub>
            <m:r>
              <w:rPr>
                <w:rFonts w:ascii="Cambria Math" w:hAnsi="Cambria Math" w:cs="Times New Roman"/>
                <w:sz w:val="18"/>
                <w:szCs w:val="18"/>
              </w:rPr>
              <m:t>ARW</m:t>
            </m:r>
          </m:sub>
          <m:sup>
            <m:r>
              <w:rPr>
                <w:rFonts w:ascii="Cambria Math" w:hAnsi="Cambria Math" w:cs="Times New Roman"/>
                <w:sz w:val="18"/>
                <w:szCs w:val="18"/>
              </w:rPr>
              <m:t>wet</m:t>
            </m:r>
          </m:sup>
        </m:sSubSup>
        <m:d>
          <m:dPr>
            <m:ctrlPr>
              <w:rPr>
                <w:rFonts w:ascii="Cambria Math" w:hAnsi="Cambria Math" w:cs="Times New Roman"/>
                <w:i/>
                <w:sz w:val="18"/>
                <w:szCs w:val="18"/>
              </w:rPr>
            </m:ctrlPr>
          </m:dPr>
          <m:e>
            <m:r>
              <w:rPr>
                <w:rFonts w:ascii="Cambria Math" w:hAnsi="Cambria Math" w:cs="Times New Roman"/>
                <w:sz w:val="18"/>
                <w:szCs w:val="18"/>
              </w:rPr>
              <m:t>GvOC</m:t>
            </m:r>
          </m:e>
        </m:d>
        <m:r>
          <w:rPr>
            <w:rFonts w:ascii="Cambria Math" w:hAnsi="Cambria Math" w:cs="Times New Roman"/>
            <w:sz w:val="18"/>
            <w:szCs w:val="18"/>
          </w:rPr>
          <m:t>=2</m:t>
        </m:r>
        <m:d>
          <m:dPr>
            <m:begChr m:val="{"/>
            <m:endChr m:val="}"/>
            <m:ctrlPr>
              <w:rPr>
                <w:rFonts w:ascii="Cambria Math" w:hAnsi="Cambria Math" w:cs="Times New Roman"/>
                <w:i/>
                <w:sz w:val="18"/>
                <w:szCs w:val="18"/>
              </w:rPr>
            </m:ctrlPr>
          </m:dPr>
          <m:e>
            <m:eqArr>
              <m:eqArrPr>
                <m:ctrlPr>
                  <w:rPr>
                    <w:rFonts w:ascii="Cambria Math" w:hAnsi="Cambria Math" w:cs="Times New Roman"/>
                    <w:i/>
                    <w:sz w:val="18"/>
                    <w:szCs w:val="18"/>
                  </w:rPr>
                </m:ctrlPr>
              </m:eqArrPr>
              <m:e>
                <m:rad>
                  <m:radPr>
                    <m:degHide m:val="1"/>
                    <m:ctrlPr>
                      <w:rPr>
                        <w:rFonts w:ascii="Cambria Math" w:hAnsi="Cambria Math" w:cs="Times New Roman"/>
                        <w:i/>
                        <w:sz w:val="18"/>
                        <w:szCs w:val="18"/>
                        <w:lang w:val="en-GB" w:eastAsia="en-GB"/>
                      </w:rPr>
                    </m:ctrlPr>
                  </m:radPr>
                  <m:deg/>
                  <m:e>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A</m:t>
                        </m:r>
                      </m:sub>
                      <m:sup>
                        <m:r>
                          <w:rPr>
                            <w:rFonts w:ascii="Cambria Math" w:hAnsi="Cambria Math" w:cs="Times New Roman"/>
                            <w:sz w:val="18"/>
                            <w:szCs w:val="18"/>
                          </w:rPr>
                          <m:t>LW</m:t>
                        </m:r>
                      </m:sup>
                    </m:sSubSup>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R</m:t>
                        </m:r>
                      </m:sub>
                      <m:sup>
                        <m:r>
                          <w:rPr>
                            <w:rFonts w:ascii="Cambria Math" w:hAnsi="Cambria Math" w:cs="Times New Roman"/>
                            <w:sz w:val="18"/>
                            <w:szCs w:val="18"/>
                          </w:rPr>
                          <m:t>LW</m:t>
                        </m:r>
                      </m:sup>
                    </m:sSubSup>
                    <m:r>
                      <w:rPr>
                        <w:rFonts w:ascii="Cambria Math" w:hAnsi="Cambria Math" w:cs="Times New Roman"/>
                        <w:sz w:val="18"/>
                        <w:szCs w:val="18"/>
                      </w:rPr>
                      <m:t>)</m:t>
                    </m:r>
                  </m:e>
                </m:rad>
                <m:r>
                  <w:rPr>
                    <w:rFonts w:ascii="Cambria Math" w:hAnsi="Cambria Math" w:cs="Times New Roman"/>
                    <w:sz w:val="18"/>
                    <w:szCs w:val="18"/>
                  </w:rPr>
                  <m:t>-</m:t>
                </m:r>
                <m:rad>
                  <m:radPr>
                    <m:degHide m:val="1"/>
                    <m:ctrlPr>
                      <w:rPr>
                        <w:rFonts w:ascii="Cambria Math" w:hAnsi="Cambria Math" w:cs="Times New Roman"/>
                        <w:i/>
                        <w:sz w:val="18"/>
                        <w:szCs w:val="18"/>
                        <w:lang w:val="en-GB" w:eastAsia="en-GB"/>
                      </w:rPr>
                    </m:ctrlPr>
                  </m:radPr>
                  <m:deg/>
                  <m:e>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W</m:t>
                        </m:r>
                      </m:sub>
                      <m:sup>
                        <m:r>
                          <w:rPr>
                            <w:rFonts w:ascii="Cambria Math" w:hAnsi="Cambria Math" w:cs="Times New Roman"/>
                            <w:sz w:val="18"/>
                            <w:szCs w:val="18"/>
                          </w:rPr>
                          <m:t>LW</m:t>
                        </m:r>
                      </m:sup>
                    </m:sSubSup>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R</m:t>
                        </m:r>
                      </m:sub>
                      <m:sup>
                        <m:r>
                          <w:rPr>
                            <w:rFonts w:ascii="Cambria Math" w:hAnsi="Cambria Math" w:cs="Times New Roman"/>
                            <w:sz w:val="18"/>
                            <w:szCs w:val="18"/>
                          </w:rPr>
                          <m:t>LW</m:t>
                        </m:r>
                      </m:sup>
                    </m:sSubSup>
                    <m:r>
                      <w:rPr>
                        <w:rFonts w:ascii="Cambria Math" w:hAnsi="Cambria Math" w:cs="Times New Roman"/>
                        <w:sz w:val="18"/>
                        <w:szCs w:val="18"/>
                      </w:rPr>
                      <m:t>)</m:t>
                    </m:r>
                  </m:e>
                </m:rad>
                <m:r>
                  <w:rPr>
                    <w:rFonts w:ascii="Cambria Math" w:hAnsi="Cambria Math" w:cs="Times New Roman"/>
                    <w:sz w:val="18"/>
                    <w:szCs w:val="18"/>
                  </w:rPr>
                  <m:t>-</m:t>
                </m:r>
                <m:rad>
                  <m:radPr>
                    <m:degHide m:val="1"/>
                    <m:ctrlPr>
                      <w:rPr>
                        <w:rFonts w:ascii="Cambria Math" w:hAnsi="Cambria Math" w:cs="Times New Roman"/>
                        <w:i/>
                        <w:sz w:val="18"/>
                        <w:szCs w:val="18"/>
                        <w:lang w:val="en-GB" w:eastAsia="en-GB"/>
                      </w:rPr>
                    </m:ctrlPr>
                  </m:radPr>
                  <m:deg/>
                  <m:e>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A</m:t>
                        </m:r>
                      </m:sub>
                      <m:sup>
                        <m:r>
                          <w:rPr>
                            <w:rFonts w:ascii="Cambria Math" w:hAnsi="Cambria Math" w:cs="Times New Roman"/>
                            <w:sz w:val="18"/>
                            <w:szCs w:val="18"/>
                          </w:rPr>
                          <m:t>LW</m:t>
                        </m:r>
                      </m:sup>
                    </m:sSubSup>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W</m:t>
                        </m:r>
                      </m:sub>
                      <m:sup>
                        <m:r>
                          <w:rPr>
                            <w:rFonts w:ascii="Cambria Math" w:hAnsi="Cambria Math" w:cs="Times New Roman"/>
                            <w:sz w:val="18"/>
                            <w:szCs w:val="18"/>
                          </w:rPr>
                          <m:t>LW</m:t>
                        </m:r>
                      </m:sup>
                    </m:sSubSup>
                    <m:r>
                      <w:rPr>
                        <w:rFonts w:ascii="Cambria Math" w:hAnsi="Cambria Math" w:cs="Times New Roman"/>
                        <w:sz w:val="18"/>
                        <w:szCs w:val="18"/>
                      </w:rPr>
                      <m:t>)</m:t>
                    </m:r>
                  </m:e>
                </m:rad>
                <m:r>
                  <w:rPr>
                    <w:rFonts w:ascii="Cambria Math" w:hAnsi="Cambria Math" w:cs="Times New Roman"/>
                    <w:sz w:val="18"/>
                    <w:szCs w:val="18"/>
                  </w:rPr>
                  <m:t>+</m:t>
                </m:r>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W</m:t>
                    </m:r>
                  </m:sub>
                  <m:sup>
                    <m:r>
                      <w:rPr>
                        <w:rFonts w:ascii="Cambria Math" w:hAnsi="Cambria Math" w:cs="Times New Roman"/>
                        <w:sz w:val="18"/>
                        <w:szCs w:val="18"/>
                      </w:rPr>
                      <m:t>LW</m:t>
                    </m:r>
                  </m:sup>
                </m:sSubSup>
                <m:r>
                  <w:rPr>
                    <w:rFonts w:ascii="Cambria Math" w:hAnsi="Cambria Math" w:cs="Times New Roman"/>
                    <w:sz w:val="18"/>
                    <w:szCs w:val="18"/>
                  </w:rPr>
                  <m:t>-</m:t>
                </m:r>
                <m:rad>
                  <m:radPr>
                    <m:degHide m:val="1"/>
                    <m:ctrlPr>
                      <w:rPr>
                        <w:rFonts w:ascii="Cambria Math" w:hAnsi="Cambria Math" w:cs="Times New Roman"/>
                        <w:i/>
                        <w:sz w:val="18"/>
                        <w:szCs w:val="18"/>
                        <w:lang w:val="en-GB" w:eastAsia="en-GB"/>
                      </w:rPr>
                    </m:ctrlPr>
                  </m:radPr>
                  <m:deg/>
                  <m:e>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W</m:t>
                        </m:r>
                      </m:sub>
                      <m:sup>
                        <m:r>
                          <w:rPr>
                            <w:rFonts w:ascii="Cambria Math" w:hAnsi="Cambria Math" w:cs="Times New Roman"/>
                            <w:sz w:val="18"/>
                            <w:szCs w:val="18"/>
                          </w:rPr>
                          <m:t>+</m:t>
                        </m:r>
                      </m:sup>
                    </m:sSubSup>
                  </m:e>
                </m:rad>
                <m:d>
                  <m:dPr>
                    <m:ctrlPr>
                      <w:rPr>
                        <w:rFonts w:ascii="Cambria Math" w:hAnsi="Cambria Math" w:cs="Times New Roman"/>
                        <w:i/>
                        <w:sz w:val="18"/>
                        <w:szCs w:val="18"/>
                      </w:rPr>
                    </m:ctrlPr>
                  </m:dPr>
                  <m:e>
                    <m:rad>
                      <m:radPr>
                        <m:degHide m:val="1"/>
                        <m:ctrlPr>
                          <w:rPr>
                            <w:rFonts w:ascii="Cambria Math" w:hAnsi="Cambria Math" w:cs="Times New Roman"/>
                            <w:i/>
                            <w:sz w:val="18"/>
                            <w:szCs w:val="18"/>
                            <w:lang w:val="en-GB" w:eastAsia="en-GB"/>
                          </w:rPr>
                        </m:ctrlPr>
                      </m:radPr>
                      <m:deg/>
                      <m:e>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R</m:t>
                            </m:r>
                          </m:sub>
                          <m:sup>
                            <m:r>
                              <w:rPr>
                                <w:rFonts w:ascii="Cambria Math" w:hAnsi="Cambria Math" w:cs="Times New Roman"/>
                                <w:sz w:val="18"/>
                                <w:szCs w:val="18"/>
                              </w:rPr>
                              <m:t>-</m:t>
                            </m:r>
                          </m:sup>
                        </m:sSubSup>
                      </m:e>
                    </m:rad>
                    <m:r>
                      <w:rPr>
                        <w:rFonts w:ascii="Cambria Math" w:hAnsi="Cambria Math" w:cs="Times New Roman"/>
                        <w:sz w:val="18"/>
                        <w:szCs w:val="18"/>
                        <w:lang w:val="en-GB" w:eastAsia="en-GB"/>
                      </w:rPr>
                      <m:t>+</m:t>
                    </m:r>
                    <m:rad>
                      <m:radPr>
                        <m:degHide m:val="1"/>
                        <m:ctrlPr>
                          <w:rPr>
                            <w:rFonts w:ascii="Cambria Math" w:hAnsi="Cambria Math" w:cs="Times New Roman"/>
                            <w:i/>
                            <w:sz w:val="18"/>
                            <w:szCs w:val="18"/>
                            <w:lang w:val="en-GB" w:eastAsia="en-GB"/>
                          </w:rPr>
                        </m:ctrlPr>
                      </m:radPr>
                      <m:deg/>
                      <m:e>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A</m:t>
                            </m:r>
                          </m:sub>
                          <m:sup>
                            <m:r>
                              <w:rPr>
                                <w:rFonts w:ascii="Cambria Math" w:hAnsi="Cambria Math" w:cs="Times New Roman"/>
                                <w:sz w:val="18"/>
                                <w:szCs w:val="18"/>
                              </w:rPr>
                              <m:t>-</m:t>
                            </m:r>
                          </m:sup>
                        </m:sSubSup>
                      </m:e>
                    </m:rad>
                    <m:r>
                      <w:rPr>
                        <w:rFonts w:ascii="Cambria Math" w:hAnsi="Cambria Math" w:cs="Times New Roman"/>
                        <w:sz w:val="18"/>
                        <w:szCs w:val="18"/>
                        <w:lang w:val="en-GB" w:eastAsia="en-GB"/>
                      </w:rPr>
                      <m:t>-</m:t>
                    </m:r>
                    <m:rad>
                      <m:radPr>
                        <m:degHide m:val="1"/>
                        <m:ctrlPr>
                          <w:rPr>
                            <w:rFonts w:ascii="Cambria Math" w:hAnsi="Cambria Math" w:cs="Times New Roman"/>
                            <w:i/>
                            <w:sz w:val="18"/>
                            <w:szCs w:val="18"/>
                            <w:lang w:val="en-GB" w:eastAsia="en-GB"/>
                          </w:rPr>
                        </m:ctrlPr>
                      </m:radPr>
                      <m:deg/>
                      <m:e>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W</m:t>
                            </m:r>
                          </m:sub>
                          <m:sup>
                            <m:r>
                              <w:rPr>
                                <w:rFonts w:ascii="Cambria Math" w:hAnsi="Cambria Math" w:cs="Times New Roman"/>
                                <w:sz w:val="18"/>
                                <w:szCs w:val="18"/>
                              </w:rPr>
                              <m:t>-</m:t>
                            </m:r>
                          </m:sup>
                        </m:sSubSup>
                      </m:e>
                    </m:rad>
                  </m:e>
                </m:d>
                <m:r>
                  <w:rPr>
                    <w:rFonts w:ascii="Cambria Math" w:hAnsi="Cambria Math" w:cs="Times New Roman"/>
                    <w:sz w:val="18"/>
                    <w:szCs w:val="18"/>
                  </w:rPr>
                  <m:t>-</m:t>
                </m:r>
              </m:e>
              <m:e>
                <m:rad>
                  <m:radPr>
                    <m:degHide m:val="1"/>
                    <m:ctrlPr>
                      <w:rPr>
                        <w:rFonts w:ascii="Cambria Math" w:hAnsi="Cambria Math" w:cs="Times New Roman"/>
                        <w:i/>
                        <w:sz w:val="18"/>
                        <w:szCs w:val="18"/>
                        <w:lang w:val="en-GB" w:eastAsia="en-GB"/>
                      </w:rPr>
                    </m:ctrlPr>
                  </m:radPr>
                  <m:deg/>
                  <m:e>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W</m:t>
                        </m:r>
                      </m:sub>
                      <m:sup>
                        <m:r>
                          <w:rPr>
                            <w:rFonts w:ascii="Cambria Math" w:hAnsi="Cambria Math" w:cs="Times New Roman"/>
                            <w:sz w:val="18"/>
                            <w:szCs w:val="18"/>
                          </w:rPr>
                          <m:t>-</m:t>
                        </m:r>
                      </m:sup>
                    </m:sSubSup>
                  </m:e>
                </m:rad>
                <m:d>
                  <m:dPr>
                    <m:ctrlPr>
                      <w:rPr>
                        <w:rFonts w:ascii="Cambria Math" w:hAnsi="Cambria Math" w:cs="Times New Roman"/>
                        <w:i/>
                        <w:sz w:val="18"/>
                        <w:szCs w:val="18"/>
                      </w:rPr>
                    </m:ctrlPr>
                  </m:dPr>
                  <m:e>
                    <m:rad>
                      <m:radPr>
                        <m:degHide m:val="1"/>
                        <m:ctrlPr>
                          <w:rPr>
                            <w:rFonts w:ascii="Cambria Math" w:hAnsi="Cambria Math" w:cs="Times New Roman"/>
                            <w:i/>
                            <w:sz w:val="18"/>
                            <w:szCs w:val="18"/>
                            <w:lang w:val="en-GB" w:eastAsia="en-GB"/>
                          </w:rPr>
                        </m:ctrlPr>
                      </m:radPr>
                      <m:deg/>
                      <m:e>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R</m:t>
                            </m:r>
                          </m:sub>
                          <m:sup>
                            <m:r>
                              <w:rPr>
                                <w:rFonts w:ascii="Cambria Math" w:hAnsi="Cambria Math" w:cs="Times New Roman"/>
                                <w:sz w:val="18"/>
                                <w:szCs w:val="18"/>
                              </w:rPr>
                              <m:t>+</m:t>
                            </m:r>
                          </m:sup>
                        </m:sSubSup>
                      </m:e>
                    </m:rad>
                    <m:r>
                      <w:rPr>
                        <w:rFonts w:ascii="Cambria Math" w:hAnsi="Cambria Math" w:cs="Times New Roman"/>
                        <w:sz w:val="18"/>
                        <w:szCs w:val="18"/>
                        <w:lang w:val="en-GB" w:eastAsia="en-GB"/>
                      </w:rPr>
                      <m:t>+</m:t>
                    </m:r>
                    <m:rad>
                      <m:radPr>
                        <m:degHide m:val="1"/>
                        <m:ctrlPr>
                          <w:rPr>
                            <w:rFonts w:ascii="Cambria Math" w:hAnsi="Cambria Math" w:cs="Times New Roman"/>
                            <w:i/>
                            <w:sz w:val="18"/>
                            <w:szCs w:val="18"/>
                            <w:lang w:val="en-GB" w:eastAsia="en-GB"/>
                          </w:rPr>
                        </m:ctrlPr>
                      </m:radPr>
                      <m:deg/>
                      <m:e>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A</m:t>
                            </m:r>
                          </m:sub>
                          <m:sup>
                            <m:r>
                              <w:rPr>
                                <w:rFonts w:ascii="Cambria Math" w:hAnsi="Cambria Math" w:cs="Times New Roman"/>
                                <w:sz w:val="18"/>
                                <w:szCs w:val="18"/>
                              </w:rPr>
                              <m:t>+</m:t>
                            </m:r>
                          </m:sup>
                        </m:sSubSup>
                      </m:e>
                    </m:rad>
                    <m:r>
                      <w:rPr>
                        <w:rFonts w:ascii="Cambria Math" w:hAnsi="Cambria Math" w:cs="Times New Roman"/>
                        <w:sz w:val="18"/>
                        <w:szCs w:val="18"/>
                        <w:lang w:val="en-GB" w:eastAsia="en-GB"/>
                      </w:rPr>
                      <m:t>-</m:t>
                    </m:r>
                    <m:rad>
                      <m:radPr>
                        <m:degHide m:val="1"/>
                        <m:ctrlPr>
                          <w:rPr>
                            <w:rFonts w:ascii="Cambria Math" w:hAnsi="Cambria Math" w:cs="Times New Roman"/>
                            <w:i/>
                            <w:sz w:val="18"/>
                            <w:szCs w:val="18"/>
                            <w:lang w:val="en-GB" w:eastAsia="en-GB"/>
                          </w:rPr>
                        </m:ctrlPr>
                      </m:radPr>
                      <m:deg/>
                      <m:e>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W</m:t>
                            </m:r>
                          </m:sub>
                          <m:sup>
                            <m:r>
                              <w:rPr>
                                <w:rFonts w:ascii="Cambria Math" w:hAnsi="Cambria Math" w:cs="Times New Roman"/>
                                <w:sz w:val="18"/>
                                <w:szCs w:val="18"/>
                              </w:rPr>
                              <m:t>+</m:t>
                            </m:r>
                          </m:sup>
                        </m:sSubSup>
                      </m:e>
                    </m:rad>
                  </m:e>
                </m:d>
                <m:r>
                  <w:rPr>
                    <w:rFonts w:ascii="Cambria Math" w:hAnsi="Cambria Math" w:cs="Times New Roman"/>
                    <w:sz w:val="18"/>
                    <w:szCs w:val="18"/>
                  </w:rPr>
                  <m:t>+</m:t>
                </m:r>
                <m:rad>
                  <m:radPr>
                    <m:degHide m:val="1"/>
                    <m:ctrlPr>
                      <w:rPr>
                        <w:rFonts w:ascii="Cambria Math" w:hAnsi="Cambria Math" w:cs="Times New Roman"/>
                        <w:i/>
                        <w:sz w:val="18"/>
                        <w:szCs w:val="18"/>
                        <w:lang w:val="en-GB" w:eastAsia="en-GB"/>
                      </w:rPr>
                    </m:ctrlPr>
                  </m:radPr>
                  <m:deg/>
                  <m:e>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A</m:t>
                        </m:r>
                      </m:sub>
                      <m:sup>
                        <m:r>
                          <w:rPr>
                            <w:rFonts w:ascii="Cambria Math" w:hAnsi="Cambria Math" w:cs="Times New Roman"/>
                            <w:sz w:val="18"/>
                            <w:szCs w:val="18"/>
                          </w:rPr>
                          <m:t>+</m:t>
                        </m:r>
                      </m:sup>
                    </m:sSubSup>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R</m:t>
                        </m:r>
                      </m:sub>
                      <m:sup>
                        <m:r>
                          <w:rPr>
                            <w:rFonts w:ascii="Cambria Math" w:hAnsi="Cambria Math" w:cs="Times New Roman"/>
                            <w:sz w:val="18"/>
                            <w:szCs w:val="18"/>
                          </w:rPr>
                          <m:t>-</m:t>
                        </m:r>
                      </m:sup>
                    </m:sSubSup>
                    <m:r>
                      <w:rPr>
                        <w:rFonts w:ascii="Cambria Math" w:hAnsi="Cambria Math" w:cs="Times New Roman"/>
                        <w:sz w:val="18"/>
                        <w:szCs w:val="18"/>
                      </w:rPr>
                      <m:t>)</m:t>
                    </m:r>
                  </m:e>
                </m:rad>
                <m:r>
                  <w:rPr>
                    <w:rFonts w:ascii="Cambria Math" w:hAnsi="Cambria Math" w:cs="Times New Roman"/>
                    <w:sz w:val="18"/>
                    <w:szCs w:val="18"/>
                  </w:rPr>
                  <m:t>+</m:t>
                </m:r>
                <m:rad>
                  <m:radPr>
                    <m:degHide m:val="1"/>
                    <m:ctrlPr>
                      <w:rPr>
                        <w:rFonts w:ascii="Cambria Math" w:hAnsi="Cambria Math" w:cs="Times New Roman"/>
                        <w:i/>
                        <w:sz w:val="18"/>
                        <w:szCs w:val="18"/>
                        <w:lang w:val="en-GB" w:eastAsia="en-GB"/>
                      </w:rPr>
                    </m:ctrlPr>
                  </m:radPr>
                  <m:deg/>
                  <m:e>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A</m:t>
                        </m:r>
                      </m:sub>
                      <m:sup>
                        <m:r>
                          <w:rPr>
                            <w:rFonts w:ascii="Cambria Math" w:hAnsi="Cambria Math" w:cs="Times New Roman"/>
                            <w:sz w:val="18"/>
                            <w:szCs w:val="18"/>
                          </w:rPr>
                          <m:t>-</m:t>
                        </m:r>
                      </m:sup>
                    </m:sSubSup>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R</m:t>
                        </m:r>
                      </m:sub>
                      <m:sup>
                        <m:r>
                          <w:rPr>
                            <w:rFonts w:ascii="Cambria Math" w:hAnsi="Cambria Math" w:cs="Times New Roman"/>
                            <w:sz w:val="18"/>
                            <w:szCs w:val="18"/>
                          </w:rPr>
                          <m:t>+</m:t>
                        </m:r>
                      </m:sup>
                    </m:sSubSup>
                    <m:r>
                      <w:rPr>
                        <w:rFonts w:ascii="Cambria Math" w:hAnsi="Cambria Math" w:cs="Times New Roman"/>
                        <w:sz w:val="18"/>
                        <w:szCs w:val="18"/>
                      </w:rPr>
                      <m:t>)</m:t>
                    </m:r>
                  </m:e>
                </m:rad>
                <m:ctrlPr>
                  <w:rPr>
                    <w:rFonts w:ascii="Cambria Math" w:hAnsi="Cambria Math" w:cs="Times New Roman"/>
                    <w:i/>
                    <w:sz w:val="18"/>
                    <w:szCs w:val="18"/>
                    <w:lang w:val="en-GB" w:eastAsia="en-GB"/>
                  </w:rPr>
                </m:ctrlPr>
              </m:e>
            </m:eqArr>
          </m:e>
        </m:d>
      </m:oMath>
      <w:r w:rsidR="00753A38" w:rsidRPr="0098140B">
        <w:rPr>
          <w:rFonts w:eastAsiaTheme="minorEastAsia" w:cs="Times New Roman"/>
          <w:szCs w:val="24"/>
        </w:rPr>
        <w:t xml:space="preserve"> </w:t>
      </w:r>
      <w:r w:rsidR="0003506A" w:rsidRPr="0098140B">
        <w:rPr>
          <w:rFonts w:eastAsiaTheme="minorEastAsia" w:cs="Times New Roman"/>
          <w:szCs w:val="24"/>
        </w:rPr>
        <w:t>(</w:t>
      </w:r>
      <w:r w:rsidR="007655DB">
        <w:rPr>
          <w:rFonts w:cs="Times New Roman"/>
          <w:szCs w:val="24"/>
        </w:rPr>
        <w:t>2.</w:t>
      </w:r>
      <w:r w:rsidR="0003506A" w:rsidRPr="0098140B">
        <w:rPr>
          <w:rFonts w:eastAsiaTheme="minorEastAsia" w:cs="Times New Roman"/>
          <w:szCs w:val="24"/>
        </w:rPr>
        <w:t>17)</w:t>
      </w:r>
    </w:p>
    <w:p w14:paraId="18827263" w14:textId="5816BE9F" w:rsidR="0003506A" w:rsidRPr="0098140B" w:rsidRDefault="0003506A" w:rsidP="0055690E">
      <w:pPr>
        <w:jc w:val="center"/>
        <w:rPr>
          <w:rFonts w:cs="Times New Roman"/>
          <w:szCs w:val="24"/>
        </w:rPr>
      </w:pPr>
      <m:oMath>
        <m:r>
          <w:rPr>
            <w:rFonts w:ascii="Cambria Math" w:hAnsi="Cambria Math" w:cs="Times New Roman"/>
            <w:sz w:val="22"/>
          </w:rPr>
          <m:t xml:space="preserve">ER </m:t>
        </m:r>
        <m:d>
          <m:dPr>
            <m:ctrlPr>
              <w:rPr>
                <w:rFonts w:ascii="Cambria Math" w:hAnsi="Cambria Math" w:cs="Times New Roman"/>
                <w:i/>
                <w:sz w:val="22"/>
              </w:rPr>
            </m:ctrlPr>
          </m:dPr>
          <m:e>
            <m:r>
              <w:rPr>
                <w:rFonts w:ascii="Cambria Math" w:hAnsi="Cambria Math" w:cs="Times New Roman"/>
                <w:sz w:val="22"/>
              </w:rPr>
              <m:t>GvOC</m:t>
            </m:r>
          </m:e>
        </m:d>
        <m:r>
          <w:rPr>
            <w:rFonts w:ascii="Cambria Math" w:hAnsi="Cambria Math" w:cs="Times New Roman"/>
            <w:sz w:val="22"/>
          </w:rPr>
          <m:t>=</m:t>
        </m:r>
        <m:d>
          <m:dPr>
            <m:begChr m:val="|"/>
            <m:endChr m:val="|"/>
            <m:ctrlPr>
              <w:rPr>
                <w:rFonts w:ascii="Cambria Math" w:hAnsi="Cambria Math" w:cs="Times New Roman"/>
                <w:i/>
                <w:sz w:val="22"/>
              </w:rPr>
            </m:ctrlPr>
          </m:dPr>
          <m:e>
            <m:f>
              <m:fPr>
                <m:ctrlPr>
                  <w:rPr>
                    <w:rFonts w:ascii="Cambria Math" w:hAnsi="Cambria Math" w:cs="Times New Roman"/>
                    <w:i/>
                    <w:sz w:val="22"/>
                  </w:rPr>
                </m:ctrlPr>
              </m:fPr>
              <m:num>
                <m:rad>
                  <m:radPr>
                    <m:degHide m:val="1"/>
                    <m:ctrlPr>
                      <w:rPr>
                        <w:rFonts w:ascii="Cambria Math" w:hAnsi="Cambria Math" w:cs="Times New Roman"/>
                        <w:i/>
                        <w:sz w:val="22"/>
                        <w:lang w:val="en-GB" w:eastAsia="en-GB"/>
                      </w:rPr>
                    </m:ctrlPr>
                  </m:radPr>
                  <m:deg/>
                  <m:e>
                    <m:sSubSup>
                      <m:sSubSupPr>
                        <m:ctrlPr>
                          <w:rPr>
                            <w:rFonts w:ascii="Cambria Math" w:hAnsi="Cambria Math" w:cs="Times New Roman"/>
                            <w:i/>
                            <w:sz w:val="22"/>
                            <w:lang w:val="en-GB" w:eastAsia="en-GB"/>
                          </w:rPr>
                        </m:ctrlPr>
                      </m:sSubSupPr>
                      <m:e>
                        <m:r>
                          <m:rPr>
                            <m:sty m:val="p"/>
                          </m:rPr>
                          <w:rPr>
                            <w:rFonts w:ascii="Cambria Math" w:hAnsi="Cambria Math" w:cs="Times New Roman"/>
                            <w:sz w:val="22"/>
                          </w:rPr>
                          <m:t>(Γ</m:t>
                        </m:r>
                      </m:e>
                      <m:sub>
                        <m:r>
                          <w:rPr>
                            <w:rFonts w:ascii="Cambria Math" w:hAnsi="Cambria Math" w:cs="Times New Roman"/>
                            <w:sz w:val="22"/>
                          </w:rPr>
                          <m:t>A</m:t>
                        </m:r>
                      </m:sub>
                      <m:sup>
                        <m:r>
                          <w:rPr>
                            <w:rFonts w:ascii="Cambria Math" w:hAnsi="Cambria Math" w:cs="Times New Roman"/>
                            <w:sz w:val="22"/>
                          </w:rPr>
                          <m:t>LW</m:t>
                        </m:r>
                      </m:sup>
                    </m:sSubSup>
                    <m:sSubSup>
                      <m:sSubSupPr>
                        <m:ctrlPr>
                          <w:rPr>
                            <w:rFonts w:ascii="Cambria Math" w:hAnsi="Cambria Math" w:cs="Times New Roman"/>
                            <w:i/>
                            <w:sz w:val="22"/>
                            <w:lang w:val="en-GB" w:eastAsia="en-GB"/>
                          </w:rPr>
                        </m:ctrlPr>
                      </m:sSubSupPr>
                      <m:e>
                        <m:r>
                          <m:rPr>
                            <m:sty m:val="p"/>
                          </m:rPr>
                          <w:rPr>
                            <w:rFonts w:ascii="Cambria Math" w:hAnsi="Cambria Math" w:cs="Times New Roman"/>
                            <w:sz w:val="22"/>
                          </w:rPr>
                          <m:t>Γ</m:t>
                        </m:r>
                      </m:e>
                      <m:sub>
                        <m:r>
                          <w:rPr>
                            <w:rFonts w:ascii="Cambria Math" w:hAnsi="Cambria Math" w:cs="Times New Roman"/>
                            <w:sz w:val="22"/>
                          </w:rPr>
                          <m:t>R</m:t>
                        </m:r>
                      </m:sub>
                      <m:sup>
                        <m:r>
                          <w:rPr>
                            <w:rFonts w:ascii="Cambria Math" w:hAnsi="Cambria Math" w:cs="Times New Roman"/>
                            <w:sz w:val="22"/>
                          </w:rPr>
                          <m:t>LW</m:t>
                        </m:r>
                      </m:sup>
                    </m:sSubSup>
                    <m:r>
                      <w:rPr>
                        <w:rFonts w:ascii="Cambria Math" w:hAnsi="Cambria Math" w:cs="Times New Roman"/>
                        <w:sz w:val="22"/>
                      </w:rPr>
                      <m:t>)</m:t>
                    </m:r>
                  </m:e>
                </m:rad>
                <m:r>
                  <w:rPr>
                    <w:rFonts w:ascii="Cambria Math" w:hAnsi="Cambria Math" w:cs="Times New Roman"/>
                    <w:sz w:val="22"/>
                  </w:rPr>
                  <m:t>+</m:t>
                </m:r>
                <m:rad>
                  <m:radPr>
                    <m:degHide m:val="1"/>
                    <m:ctrlPr>
                      <w:rPr>
                        <w:rFonts w:ascii="Cambria Math" w:hAnsi="Cambria Math" w:cs="Times New Roman"/>
                        <w:i/>
                        <w:sz w:val="22"/>
                        <w:lang w:val="en-GB" w:eastAsia="en-GB"/>
                      </w:rPr>
                    </m:ctrlPr>
                  </m:radPr>
                  <m:deg/>
                  <m:e>
                    <m:sSubSup>
                      <m:sSubSupPr>
                        <m:ctrlPr>
                          <w:rPr>
                            <w:rFonts w:ascii="Cambria Math" w:hAnsi="Cambria Math" w:cs="Times New Roman"/>
                            <w:i/>
                            <w:sz w:val="22"/>
                            <w:lang w:val="en-GB" w:eastAsia="en-GB"/>
                          </w:rPr>
                        </m:ctrlPr>
                      </m:sSubSupPr>
                      <m:e>
                        <m:r>
                          <m:rPr>
                            <m:sty m:val="p"/>
                          </m:rPr>
                          <w:rPr>
                            <w:rFonts w:ascii="Cambria Math" w:hAnsi="Cambria Math" w:cs="Times New Roman"/>
                            <w:sz w:val="22"/>
                          </w:rPr>
                          <m:t>(Γ</m:t>
                        </m:r>
                      </m:e>
                      <m:sub>
                        <m:r>
                          <w:rPr>
                            <w:rFonts w:ascii="Cambria Math" w:hAnsi="Cambria Math" w:cs="Times New Roman"/>
                            <w:sz w:val="22"/>
                          </w:rPr>
                          <m:t>A</m:t>
                        </m:r>
                      </m:sub>
                      <m:sup>
                        <m:r>
                          <w:rPr>
                            <w:rFonts w:ascii="Cambria Math" w:hAnsi="Cambria Math" w:cs="Times New Roman"/>
                            <w:sz w:val="22"/>
                          </w:rPr>
                          <m:t>+</m:t>
                        </m:r>
                      </m:sup>
                    </m:sSubSup>
                    <m:sSubSup>
                      <m:sSubSupPr>
                        <m:ctrlPr>
                          <w:rPr>
                            <w:rFonts w:ascii="Cambria Math" w:hAnsi="Cambria Math" w:cs="Times New Roman"/>
                            <w:i/>
                            <w:sz w:val="22"/>
                            <w:lang w:val="en-GB" w:eastAsia="en-GB"/>
                          </w:rPr>
                        </m:ctrlPr>
                      </m:sSubSupPr>
                      <m:e>
                        <m:r>
                          <m:rPr>
                            <m:sty m:val="p"/>
                          </m:rPr>
                          <w:rPr>
                            <w:rFonts w:ascii="Cambria Math" w:hAnsi="Cambria Math" w:cs="Times New Roman"/>
                            <w:sz w:val="22"/>
                          </w:rPr>
                          <m:t>Γ</m:t>
                        </m:r>
                      </m:e>
                      <m:sub>
                        <m:r>
                          <w:rPr>
                            <w:rFonts w:ascii="Cambria Math" w:hAnsi="Cambria Math" w:cs="Times New Roman"/>
                            <w:sz w:val="22"/>
                          </w:rPr>
                          <m:t>R</m:t>
                        </m:r>
                      </m:sub>
                      <m:sup>
                        <m:r>
                          <w:rPr>
                            <w:rFonts w:ascii="Cambria Math" w:hAnsi="Cambria Math" w:cs="Times New Roman"/>
                            <w:sz w:val="22"/>
                          </w:rPr>
                          <m:t>-</m:t>
                        </m:r>
                      </m:sup>
                    </m:sSubSup>
                    <m:r>
                      <w:rPr>
                        <w:rFonts w:ascii="Cambria Math" w:hAnsi="Cambria Math" w:cs="Times New Roman"/>
                        <w:sz w:val="22"/>
                      </w:rPr>
                      <m:t>)</m:t>
                    </m:r>
                  </m:e>
                </m:rad>
                <m:r>
                  <w:rPr>
                    <w:rFonts w:ascii="Cambria Math" w:hAnsi="Cambria Math" w:cs="Times New Roman"/>
                    <w:sz w:val="22"/>
                  </w:rPr>
                  <m:t>+</m:t>
                </m:r>
                <m:rad>
                  <m:radPr>
                    <m:degHide m:val="1"/>
                    <m:ctrlPr>
                      <w:rPr>
                        <w:rFonts w:ascii="Cambria Math" w:hAnsi="Cambria Math" w:cs="Times New Roman"/>
                        <w:i/>
                        <w:sz w:val="22"/>
                        <w:lang w:val="en-GB" w:eastAsia="en-GB"/>
                      </w:rPr>
                    </m:ctrlPr>
                  </m:radPr>
                  <m:deg/>
                  <m:e>
                    <m:sSubSup>
                      <m:sSubSupPr>
                        <m:ctrlPr>
                          <w:rPr>
                            <w:rFonts w:ascii="Cambria Math" w:hAnsi="Cambria Math" w:cs="Times New Roman"/>
                            <w:i/>
                            <w:sz w:val="22"/>
                            <w:lang w:val="en-GB" w:eastAsia="en-GB"/>
                          </w:rPr>
                        </m:ctrlPr>
                      </m:sSubSupPr>
                      <m:e>
                        <m:r>
                          <m:rPr>
                            <m:sty m:val="p"/>
                          </m:rPr>
                          <w:rPr>
                            <w:rFonts w:ascii="Cambria Math" w:hAnsi="Cambria Math" w:cs="Times New Roman"/>
                            <w:sz w:val="22"/>
                          </w:rPr>
                          <m:t>(Γ</m:t>
                        </m:r>
                      </m:e>
                      <m:sub>
                        <m:r>
                          <w:rPr>
                            <w:rFonts w:ascii="Cambria Math" w:hAnsi="Cambria Math" w:cs="Times New Roman"/>
                            <w:sz w:val="22"/>
                          </w:rPr>
                          <m:t>A</m:t>
                        </m:r>
                      </m:sub>
                      <m:sup>
                        <m:r>
                          <w:rPr>
                            <w:rFonts w:ascii="Cambria Math" w:hAnsi="Cambria Math" w:cs="Times New Roman"/>
                            <w:sz w:val="22"/>
                          </w:rPr>
                          <m:t>-</m:t>
                        </m:r>
                      </m:sup>
                    </m:sSubSup>
                    <m:sSubSup>
                      <m:sSubSupPr>
                        <m:ctrlPr>
                          <w:rPr>
                            <w:rFonts w:ascii="Cambria Math" w:hAnsi="Cambria Math" w:cs="Times New Roman"/>
                            <w:i/>
                            <w:sz w:val="22"/>
                            <w:lang w:val="en-GB" w:eastAsia="en-GB"/>
                          </w:rPr>
                        </m:ctrlPr>
                      </m:sSubSupPr>
                      <m:e>
                        <m:r>
                          <m:rPr>
                            <m:sty m:val="p"/>
                          </m:rPr>
                          <w:rPr>
                            <w:rFonts w:ascii="Cambria Math" w:hAnsi="Cambria Math" w:cs="Times New Roman"/>
                            <w:sz w:val="22"/>
                          </w:rPr>
                          <m:t>Γ</m:t>
                        </m:r>
                      </m:e>
                      <m:sub>
                        <m:r>
                          <w:rPr>
                            <w:rFonts w:ascii="Cambria Math" w:hAnsi="Cambria Math" w:cs="Times New Roman"/>
                            <w:sz w:val="22"/>
                          </w:rPr>
                          <m:t>R</m:t>
                        </m:r>
                      </m:sub>
                      <m:sup>
                        <m:r>
                          <w:rPr>
                            <w:rFonts w:ascii="Cambria Math" w:hAnsi="Cambria Math" w:cs="Times New Roman"/>
                            <w:sz w:val="22"/>
                          </w:rPr>
                          <m:t>+</m:t>
                        </m:r>
                      </m:sup>
                    </m:sSubSup>
                    <m:r>
                      <w:rPr>
                        <w:rFonts w:ascii="Cambria Math" w:hAnsi="Cambria Math" w:cs="Times New Roman"/>
                        <w:sz w:val="22"/>
                      </w:rPr>
                      <m:t>)</m:t>
                    </m:r>
                  </m:e>
                </m:rad>
              </m:num>
              <m:den>
                <m:d>
                  <m:dPr>
                    <m:begChr m:val="{"/>
                    <m:endChr m:val="}"/>
                    <m:ctrlPr>
                      <w:rPr>
                        <w:rFonts w:ascii="Cambria Math" w:hAnsi="Cambria Math" w:cs="Times New Roman"/>
                        <w:i/>
                        <w:sz w:val="22"/>
                      </w:rPr>
                    </m:ctrlPr>
                  </m:dPr>
                  <m:e>
                    <m:eqArr>
                      <m:eqArrPr>
                        <m:ctrlPr>
                          <w:rPr>
                            <w:rFonts w:ascii="Cambria Math" w:hAnsi="Cambria Math" w:cs="Times New Roman"/>
                            <w:i/>
                            <w:sz w:val="22"/>
                          </w:rPr>
                        </m:ctrlPr>
                      </m:eqArrPr>
                      <m:e>
                        <m:rad>
                          <m:radPr>
                            <m:degHide m:val="1"/>
                            <m:ctrlPr>
                              <w:rPr>
                                <w:rFonts w:ascii="Cambria Math" w:hAnsi="Cambria Math" w:cs="Times New Roman"/>
                                <w:i/>
                                <w:sz w:val="22"/>
                                <w:lang w:val="en-GB" w:eastAsia="en-GB"/>
                              </w:rPr>
                            </m:ctrlPr>
                          </m:radPr>
                          <m:deg/>
                          <m:e>
                            <m:sSubSup>
                              <m:sSubSupPr>
                                <m:ctrlPr>
                                  <w:rPr>
                                    <w:rFonts w:ascii="Cambria Math" w:hAnsi="Cambria Math" w:cs="Times New Roman"/>
                                    <w:i/>
                                    <w:sz w:val="22"/>
                                    <w:lang w:val="en-GB" w:eastAsia="en-GB"/>
                                  </w:rPr>
                                </m:ctrlPr>
                              </m:sSubSupPr>
                              <m:e>
                                <m:r>
                                  <m:rPr>
                                    <m:sty m:val="p"/>
                                  </m:rPr>
                                  <w:rPr>
                                    <w:rFonts w:ascii="Cambria Math" w:hAnsi="Cambria Math" w:cs="Times New Roman"/>
                                    <w:sz w:val="22"/>
                                  </w:rPr>
                                  <m:t>(Γ</m:t>
                                </m:r>
                              </m:e>
                              <m:sub>
                                <m:r>
                                  <w:rPr>
                                    <w:rFonts w:ascii="Cambria Math" w:hAnsi="Cambria Math" w:cs="Times New Roman"/>
                                    <w:sz w:val="22"/>
                                  </w:rPr>
                                  <m:t>A</m:t>
                                </m:r>
                              </m:sub>
                              <m:sup>
                                <m:r>
                                  <w:rPr>
                                    <w:rFonts w:ascii="Cambria Math" w:hAnsi="Cambria Math" w:cs="Times New Roman"/>
                                    <w:sz w:val="22"/>
                                  </w:rPr>
                                  <m:t>LW</m:t>
                                </m:r>
                              </m:sup>
                            </m:sSubSup>
                            <m:sSubSup>
                              <m:sSubSupPr>
                                <m:ctrlPr>
                                  <w:rPr>
                                    <w:rFonts w:ascii="Cambria Math" w:hAnsi="Cambria Math" w:cs="Times New Roman"/>
                                    <w:i/>
                                    <w:sz w:val="22"/>
                                    <w:lang w:val="en-GB" w:eastAsia="en-GB"/>
                                  </w:rPr>
                                </m:ctrlPr>
                              </m:sSubSupPr>
                              <m:e>
                                <m:r>
                                  <m:rPr>
                                    <m:sty m:val="p"/>
                                  </m:rPr>
                                  <w:rPr>
                                    <w:rFonts w:ascii="Cambria Math" w:hAnsi="Cambria Math" w:cs="Times New Roman"/>
                                    <w:sz w:val="22"/>
                                  </w:rPr>
                                  <m:t>Γ</m:t>
                                </m:r>
                              </m:e>
                              <m:sub>
                                <m:r>
                                  <w:rPr>
                                    <w:rFonts w:ascii="Cambria Math" w:hAnsi="Cambria Math" w:cs="Times New Roman"/>
                                    <w:sz w:val="22"/>
                                  </w:rPr>
                                  <m:t>R</m:t>
                                </m:r>
                              </m:sub>
                              <m:sup>
                                <m:r>
                                  <w:rPr>
                                    <w:rFonts w:ascii="Cambria Math" w:hAnsi="Cambria Math" w:cs="Times New Roman"/>
                                    <w:sz w:val="22"/>
                                  </w:rPr>
                                  <m:t>LW</m:t>
                                </m:r>
                              </m:sup>
                            </m:sSubSup>
                            <m:r>
                              <w:rPr>
                                <w:rFonts w:ascii="Cambria Math" w:hAnsi="Cambria Math" w:cs="Times New Roman"/>
                                <w:sz w:val="22"/>
                              </w:rPr>
                              <m:t>)</m:t>
                            </m:r>
                          </m:e>
                        </m:rad>
                        <m:r>
                          <w:rPr>
                            <w:rFonts w:ascii="Cambria Math" w:hAnsi="Cambria Math" w:cs="Times New Roman"/>
                            <w:sz w:val="22"/>
                          </w:rPr>
                          <m:t>-</m:t>
                        </m:r>
                        <m:rad>
                          <m:radPr>
                            <m:degHide m:val="1"/>
                            <m:ctrlPr>
                              <w:rPr>
                                <w:rFonts w:ascii="Cambria Math" w:hAnsi="Cambria Math" w:cs="Times New Roman"/>
                                <w:i/>
                                <w:sz w:val="22"/>
                                <w:lang w:val="en-GB" w:eastAsia="en-GB"/>
                              </w:rPr>
                            </m:ctrlPr>
                          </m:radPr>
                          <m:deg/>
                          <m:e>
                            <m:sSubSup>
                              <m:sSubSupPr>
                                <m:ctrlPr>
                                  <w:rPr>
                                    <w:rFonts w:ascii="Cambria Math" w:hAnsi="Cambria Math" w:cs="Times New Roman"/>
                                    <w:i/>
                                    <w:sz w:val="22"/>
                                    <w:lang w:val="en-GB" w:eastAsia="en-GB"/>
                                  </w:rPr>
                                </m:ctrlPr>
                              </m:sSubSupPr>
                              <m:e>
                                <m:r>
                                  <m:rPr>
                                    <m:sty m:val="p"/>
                                  </m:rPr>
                                  <w:rPr>
                                    <w:rFonts w:ascii="Cambria Math" w:hAnsi="Cambria Math" w:cs="Times New Roman"/>
                                    <w:sz w:val="22"/>
                                  </w:rPr>
                                  <m:t>(Γ</m:t>
                                </m:r>
                              </m:e>
                              <m:sub>
                                <m:r>
                                  <w:rPr>
                                    <w:rFonts w:ascii="Cambria Math" w:hAnsi="Cambria Math" w:cs="Times New Roman"/>
                                    <w:sz w:val="22"/>
                                  </w:rPr>
                                  <m:t>W</m:t>
                                </m:r>
                              </m:sub>
                              <m:sup>
                                <m:r>
                                  <w:rPr>
                                    <w:rFonts w:ascii="Cambria Math" w:hAnsi="Cambria Math" w:cs="Times New Roman"/>
                                    <w:sz w:val="22"/>
                                  </w:rPr>
                                  <m:t>LW</m:t>
                                </m:r>
                              </m:sup>
                            </m:sSubSup>
                            <m:sSubSup>
                              <m:sSubSupPr>
                                <m:ctrlPr>
                                  <w:rPr>
                                    <w:rFonts w:ascii="Cambria Math" w:hAnsi="Cambria Math" w:cs="Times New Roman"/>
                                    <w:i/>
                                    <w:sz w:val="22"/>
                                    <w:lang w:val="en-GB" w:eastAsia="en-GB"/>
                                  </w:rPr>
                                </m:ctrlPr>
                              </m:sSubSupPr>
                              <m:e>
                                <m:r>
                                  <m:rPr>
                                    <m:sty m:val="p"/>
                                  </m:rPr>
                                  <w:rPr>
                                    <w:rFonts w:ascii="Cambria Math" w:hAnsi="Cambria Math" w:cs="Times New Roman"/>
                                    <w:sz w:val="22"/>
                                  </w:rPr>
                                  <m:t>Γ</m:t>
                                </m:r>
                              </m:e>
                              <m:sub>
                                <m:r>
                                  <w:rPr>
                                    <w:rFonts w:ascii="Cambria Math" w:hAnsi="Cambria Math" w:cs="Times New Roman"/>
                                    <w:sz w:val="22"/>
                                  </w:rPr>
                                  <m:t>R</m:t>
                                </m:r>
                              </m:sub>
                              <m:sup>
                                <m:r>
                                  <w:rPr>
                                    <w:rFonts w:ascii="Cambria Math" w:hAnsi="Cambria Math" w:cs="Times New Roman"/>
                                    <w:sz w:val="22"/>
                                  </w:rPr>
                                  <m:t>LW</m:t>
                                </m:r>
                              </m:sup>
                            </m:sSubSup>
                            <m:r>
                              <w:rPr>
                                <w:rFonts w:ascii="Cambria Math" w:hAnsi="Cambria Math" w:cs="Times New Roman"/>
                                <w:sz w:val="22"/>
                              </w:rPr>
                              <m:t>)</m:t>
                            </m:r>
                          </m:e>
                        </m:rad>
                        <m:r>
                          <w:rPr>
                            <w:rFonts w:ascii="Cambria Math" w:hAnsi="Cambria Math" w:cs="Times New Roman"/>
                            <w:sz w:val="22"/>
                          </w:rPr>
                          <m:t>-</m:t>
                        </m:r>
                        <m:rad>
                          <m:radPr>
                            <m:degHide m:val="1"/>
                            <m:ctrlPr>
                              <w:rPr>
                                <w:rFonts w:ascii="Cambria Math" w:hAnsi="Cambria Math" w:cs="Times New Roman"/>
                                <w:i/>
                                <w:sz w:val="22"/>
                                <w:lang w:val="en-GB" w:eastAsia="en-GB"/>
                              </w:rPr>
                            </m:ctrlPr>
                          </m:radPr>
                          <m:deg/>
                          <m:e>
                            <m:sSubSup>
                              <m:sSubSupPr>
                                <m:ctrlPr>
                                  <w:rPr>
                                    <w:rFonts w:ascii="Cambria Math" w:hAnsi="Cambria Math" w:cs="Times New Roman"/>
                                    <w:i/>
                                    <w:sz w:val="22"/>
                                    <w:lang w:val="en-GB" w:eastAsia="en-GB"/>
                                  </w:rPr>
                                </m:ctrlPr>
                              </m:sSubSupPr>
                              <m:e>
                                <m:r>
                                  <m:rPr>
                                    <m:sty m:val="p"/>
                                  </m:rPr>
                                  <w:rPr>
                                    <w:rFonts w:ascii="Cambria Math" w:hAnsi="Cambria Math" w:cs="Times New Roman"/>
                                    <w:sz w:val="22"/>
                                  </w:rPr>
                                  <m:t>(Γ</m:t>
                                </m:r>
                              </m:e>
                              <m:sub>
                                <m:r>
                                  <w:rPr>
                                    <w:rFonts w:ascii="Cambria Math" w:hAnsi="Cambria Math" w:cs="Times New Roman"/>
                                    <w:sz w:val="22"/>
                                  </w:rPr>
                                  <m:t>A</m:t>
                                </m:r>
                              </m:sub>
                              <m:sup>
                                <m:r>
                                  <w:rPr>
                                    <w:rFonts w:ascii="Cambria Math" w:hAnsi="Cambria Math" w:cs="Times New Roman"/>
                                    <w:sz w:val="22"/>
                                  </w:rPr>
                                  <m:t>LW</m:t>
                                </m:r>
                              </m:sup>
                            </m:sSubSup>
                            <m:sSubSup>
                              <m:sSubSupPr>
                                <m:ctrlPr>
                                  <w:rPr>
                                    <w:rFonts w:ascii="Cambria Math" w:hAnsi="Cambria Math" w:cs="Times New Roman"/>
                                    <w:i/>
                                    <w:sz w:val="22"/>
                                    <w:lang w:val="en-GB" w:eastAsia="en-GB"/>
                                  </w:rPr>
                                </m:ctrlPr>
                              </m:sSubSupPr>
                              <m:e>
                                <m:r>
                                  <m:rPr>
                                    <m:sty m:val="p"/>
                                  </m:rPr>
                                  <w:rPr>
                                    <w:rFonts w:ascii="Cambria Math" w:hAnsi="Cambria Math" w:cs="Times New Roman"/>
                                    <w:sz w:val="22"/>
                                  </w:rPr>
                                  <m:t>Γ</m:t>
                                </m:r>
                              </m:e>
                              <m:sub>
                                <m:r>
                                  <w:rPr>
                                    <w:rFonts w:ascii="Cambria Math" w:hAnsi="Cambria Math" w:cs="Times New Roman"/>
                                    <w:sz w:val="22"/>
                                  </w:rPr>
                                  <m:t>W</m:t>
                                </m:r>
                              </m:sub>
                              <m:sup>
                                <m:r>
                                  <w:rPr>
                                    <w:rFonts w:ascii="Cambria Math" w:hAnsi="Cambria Math" w:cs="Times New Roman"/>
                                    <w:sz w:val="22"/>
                                  </w:rPr>
                                  <m:t>LW</m:t>
                                </m:r>
                              </m:sup>
                            </m:sSubSup>
                            <m:r>
                              <w:rPr>
                                <w:rFonts w:ascii="Cambria Math" w:hAnsi="Cambria Math" w:cs="Times New Roman"/>
                                <w:sz w:val="22"/>
                              </w:rPr>
                              <m:t>)</m:t>
                            </m:r>
                          </m:e>
                        </m:rad>
                        <m:r>
                          <w:rPr>
                            <w:rFonts w:ascii="Cambria Math" w:hAnsi="Cambria Math" w:cs="Times New Roman"/>
                            <w:sz w:val="22"/>
                          </w:rPr>
                          <m:t>+</m:t>
                        </m:r>
                        <m:sSubSup>
                          <m:sSubSupPr>
                            <m:ctrlPr>
                              <w:rPr>
                                <w:rFonts w:ascii="Cambria Math" w:hAnsi="Cambria Math" w:cs="Times New Roman"/>
                                <w:i/>
                                <w:sz w:val="22"/>
                                <w:lang w:val="en-GB" w:eastAsia="en-GB"/>
                              </w:rPr>
                            </m:ctrlPr>
                          </m:sSubSupPr>
                          <m:e>
                            <m:r>
                              <m:rPr>
                                <m:sty m:val="p"/>
                              </m:rPr>
                              <w:rPr>
                                <w:rFonts w:ascii="Cambria Math" w:hAnsi="Cambria Math" w:cs="Times New Roman"/>
                                <w:sz w:val="22"/>
                              </w:rPr>
                              <m:t>Γ</m:t>
                            </m:r>
                          </m:e>
                          <m:sub>
                            <m:r>
                              <w:rPr>
                                <w:rFonts w:ascii="Cambria Math" w:hAnsi="Cambria Math" w:cs="Times New Roman"/>
                                <w:sz w:val="22"/>
                              </w:rPr>
                              <m:t>W</m:t>
                            </m:r>
                          </m:sub>
                          <m:sup>
                            <m:r>
                              <w:rPr>
                                <w:rFonts w:ascii="Cambria Math" w:hAnsi="Cambria Math" w:cs="Times New Roman"/>
                                <w:sz w:val="22"/>
                              </w:rPr>
                              <m:t>LW</m:t>
                            </m:r>
                          </m:sup>
                        </m:sSubSup>
                        <m:r>
                          <w:rPr>
                            <w:rFonts w:ascii="Cambria Math" w:hAnsi="Cambria Math" w:cs="Times New Roman"/>
                            <w:sz w:val="22"/>
                          </w:rPr>
                          <m:t>-</m:t>
                        </m:r>
                        <m:rad>
                          <m:radPr>
                            <m:degHide m:val="1"/>
                            <m:ctrlPr>
                              <w:rPr>
                                <w:rFonts w:ascii="Cambria Math" w:hAnsi="Cambria Math" w:cs="Times New Roman"/>
                                <w:i/>
                                <w:sz w:val="22"/>
                                <w:lang w:val="en-GB" w:eastAsia="en-GB"/>
                              </w:rPr>
                            </m:ctrlPr>
                          </m:radPr>
                          <m:deg/>
                          <m:e>
                            <m:sSubSup>
                              <m:sSubSupPr>
                                <m:ctrlPr>
                                  <w:rPr>
                                    <w:rFonts w:ascii="Cambria Math" w:hAnsi="Cambria Math" w:cs="Times New Roman"/>
                                    <w:i/>
                                    <w:sz w:val="22"/>
                                    <w:lang w:val="en-GB" w:eastAsia="en-GB"/>
                                  </w:rPr>
                                </m:ctrlPr>
                              </m:sSubSupPr>
                              <m:e>
                                <m:r>
                                  <m:rPr>
                                    <m:sty m:val="p"/>
                                  </m:rPr>
                                  <w:rPr>
                                    <w:rFonts w:ascii="Cambria Math" w:hAnsi="Cambria Math" w:cs="Times New Roman"/>
                                    <w:sz w:val="22"/>
                                  </w:rPr>
                                  <m:t>Γ</m:t>
                                </m:r>
                              </m:e>
                              <m:sub>
                                <m:r>
                                  <w:rPr>
                                    <w:rFonts w:ascii="Cambria Math" w:hAnsi="Cambria Math" w:cs="Times New Roman"/>
                                    <w:sz w:val="22"/>
                                  </w:rPr>
                                  <m:t>W</m:t>
                                </m:r>
                              </m:sub>
                              <m:sup>
                                <m:r>
                                  <w:rPr>
                                    <w:rFonts w:ascii="Cambria Math" w:hAnsi="Cambria Math" w:cs="Times New Roman"/>
                                    <w:sz w:val="22"/>
                                  </w:rPr>
                                  <m:t>+</m:t>
                                </m:r>
                              </m:sup>
                            </m:sSubSup>
                          </m:e>
                        </m:rad>
                        <m:d>
                          <m:dPr>
                            <m:ctrlPr>
                              <w:rPr>
                                <w:rFonts w:ascii="Cambria Math" w:hAnsi="Cambria Math" w:cs="Times New Roman"/>
                                <w:i/>
                                <w:sz w:val="22"/>
                              </w:rPr>
                            </m:ctrlPr>
                          </m:dPr>
                          <m:e>
                            <m:rad>
                              <m:radPr>
                                <m:degHide m:val="1"/>
                                <m:ctrlPr>
                                  <w:rPr>
                                    <w:rFonts w:ascii="Cambria Math" w:hAnsi="Cambria Math" w:cs="Times New Roman"/>
                                    <w:i/>
                                    <w:sz w:val="22"/>
                                    <w:lang w:val="en-GB" w:eastAsia="en-GB"/>
                                  </w:rPr>
                                </m:ctrlPr>
                              </m:radPr>
                              <m:deg/>
                              <m:e>
                                <m:sSubSup>
                                  <m:sSubSupPr>
                                    <m:ctrlPr>
                                      <w:rPr>
                                        <w:rFonts w:ascii="Cambria Math" w:hAnsi="Cambria Math" w:cs="Times New Roman"/>
                                        <w:i/>
                                        <w:sz w:val="22"/>
                                        <w:lang w:val="en-GB" w:eastAsia="en-GB"/>
                                      </w:rPr>
                                    </m:ctrlPr>
                                  </m:sSubSupPr>
                                  <m:e>
                                    <m:r>
                                      <m:rPr>
                                        <m:sty m:val="p"/>
                                      </m:rPr>
                                      <w:rPr>
                                        <w:rFonts w:ascii="Cambria Math" w:hAnsi="Cambria Math" w:cs="Times New Roman"/>
                                        <w:sz w:val="22"/>
                                      </w:rPr>
                                      <m:t>Γ</m:t>
                                    </m:r>
                                  </m:e>
                                  <m:sub>
                                    <m:r>
                                      <w:rPr>
                                        <w:rFonts w:ascii="Cambria Math" w:hAnsi="Cambria Math" w:cs="Times New Roman"/>
                                        <w:sz w:val="22"/>
                                      </w:rPr>
                                      <m:t>R</m:t>
                                    </m:r>
                                  </m:sub>
                                  <m:sup>
                                    <m:r>
                                      <w:rPr>
                                        <w:rFonts w:ascii="Cambria Math" w:hAnsi="Cambria Math" w:cs="Times New Roman"/>
                                        <w:sz w:val="22"/>
                                      </w:rPr>
                                      <m:t>-</m:t>
                                    </m:r>
                                  </m:sup>
                                </m:sSubSup>
                              </m:e>
                            </m:rad>
                            <m:r>
                              <w:rPr>
                                <w:rFonts w:ascii="Cambria Math" w:hAnsi="Cambria Math" w:cs="Times New Roman"/>
                                <w:sz w:val="22"/>
                                <w:lang w:val="en-GB" w:eastAsia="en-GB"/>
                              </w:rPr>
                              <m:t>+</m:t>
                            </m:r>
                            <m:rad>
                              <m:radPr>
                                <m:degHide m:val="1"/>
                                <m:ctrlPr>
                                  <w:rPr>
                                    <w:rFonts w:ascii="Cambria Math" w:hAnsi="Cambria Math" w:cs="Times New Roman"/>
                                    <w:i/>
                                    <w:sz w:val="22"/>
                                    <w:lang w:val="en-GB" w:eastAsia="en-GB"/>
                                  </w:rPr>
                                </m:ctrlPr>
                              </m:radPr>
                              <m:deg/>
                              <m:e>
                                <m:sSubSup>
                                  <m:sSubSupPr>
                                    <m:ctrlPr>
                                      <w:rPr>
                                        <w:rFonts w:ascii="Cambria Math" w:hAnsi="Cambria Math" w:cs="Times New Roman"/>
                                        <w:i/>
                                        <w:sz w:val="22"/>
                                        <w:lang w:val="en-GB" w:eastAsia="en-GB"/>
                                      </w:rPr>
                                    </m:ctrlPr>
                                  </m:sSubSupPr>
                                  <m:e>
                                    <m:r>
                                      <m:rPr>
                                        <m:sty m:val="p"/>
                                      </m:rPr>
                                      <w:rPr>
                                        <w:rFonts w:ascii="Cambria Math" w:hAnsi="Cambria Math" w:cs="Times New Roman"/>
                                        <w:sz w:val="22"/>
                                      </w:rPr>
                                      <m:t>Γ</m:t>
                                    </m:r>
                                  </m:e>
                                  <m:sub>
                                    <m:r>
                                      <w:rPr>
                                        <w:rFonts w:ascii="Cambria Math" w:hAnsi="Cambria Math" w:cs="Times New Roman"/>
                                        <w:sz w:val="22"/>
                                      </w:rPr>
                                      <m:t>A</m:t>
                                    </m:r>
                                  </m:sub>
                                  <m:sup>
                                    <m:r>
                                      <w:rPr>
                                        <w:rFonts w:ascii="Cambria Math" w:hAnsi="Cambria Math" w:cs="Times New Roman"/>
                                        <w:sz w:val="22"/>
                                      </w:rPr>
                                      <m:t>-</m:t>
                                    </m:r>
                                  </m:sup>
                                </m:sSubSup>
                              </m:e>
                            </m:rad>
                            <m:r>
                              <w:rPr>
                                <w:rFonts w:ascii="Cambria Math" w:hAnsi="Cambria Math" w:cs="Times New Roman"/>
                                <w:sz w:val="22"/>
                                <w:lang w:val="en-GB" w:eastAsia="en-GB"/>
                              </w:rPr>
                              <m:t>-</m:t>
                            </m:r>
                            <m:rad>
                              <m:radPr>
                                <m:degHide m:val="1"/>
                                <m:ctrlPr>
                                  <w:rPr>
                                    <w:rFonts w:ascii="Cambria Math" w:hAnsi="Cambria Math" w:cs="Times New Roman"/>
                                    <w:i/>
                                    <w:sz w:val="22"/>
                                    <w:lang w:val="en-GB" w:eastAsia="en-GB"/>
                                  </w:rPr>
                                </m:ctrlPr>
                              </m:radPr>
                              <m:deg/>
                              <m:e>
                                <m:sSubSup>
                                  <m:sSubSupPr>
                                    <m:ctrlPr>
                                      <w:rPr>
                                        <w:rFonts w:ascii="Cambria Math" w:hAnsi="Cambria Math" w:cs="Times New Roman"/>
                                        <w:i/>
                                        <w:sz w:val="22"/>
                                        <w:lang w:val="en-GB" w:eastAsia="en-GB"/>
                                      </w:rPr>
                                    </m:ctrlPr>
                                  </m:sSubSupPr>
                                  <m:e>
                                    <m:r>
                                      <m:rPr>
                                        <m:sty m:val="p"/>
                                      </m:rPr>
                                      <w:rPr>
                                        <w:rFonts w:ascii="Cambria Math" w:hAnsi="Cambria Math" w:cs="Times New Roman"/>
                                        <w:sz w:val="22"/>
                                      </w:rPr>
                                      <m:t>Γ</m:t>
                                    </m:r>
                                  </m:e>
                                  <m:sub>
                                    <m:r>
                                      <w:rPr>
                                        <w:rFonts w:ascii="Cambria Math" w:hAnsi="Cambria Math" w:cs="Times New Roman"/>
                                        <w:sz w:val="22"/>
                                      </w:rPr>
                                      <m:t>W</m:t>
                                    </m:r>
                                  </m:sub>
                                  <m:sup>
                                    <m:r>
                                      <w:rPr>
                                        <w:rFonts w:ascii="Cambria Math" w:hAnsi="Cambria Math" w:cs="Times New Roman"/>
                                        <w:sz w:val="22"/>
                                      </w:rPr>
                                      <m:t>-</m:t>
                                    </m:r>
                                  </m:sup>
                                </m:sSubSup>
                              </m:e>
                            </m:rad>
                          </m:e>
                        </m:d>
                        <m:r>
                          <w:rPr>
                            <w:rFonts w:ascii="Cambria Math" w:hAnsi="Cambria Math" w:cs="Times New Roman"/>
                            <w:sz w:val="22"/>
                          </w:rPr>
                          <m:t>-</m:t>
                        </m:r>
                      </m:e>
                      <m:e>
                        <m:rad>
                          <m:radPr>
                            <m:degHide m:val="1"/>
                            <m:ctrlPr>
                              <w:rPr>
                                <w:rFonts w:ascii="Cambria Math" w:hAnsi="Cambria Math" w:cs="Times New Roman"/>
                                <w:i/>
                                <w:sz w:val="22"/>
                                <w:lang w:val="en-GB" w:eastAsia="en-GB"/>
                              </w:rPr>
                            </m:ctrlPr>
                          </m:radPr>
                          <m:deg/>
                          <m:e>
                            <m:sSubSup>
                              <m:sSubSupPr>
                                <m:ctrlPr>
                                  <w:rPr>
                                    <w:rFonts w:ascii="Cambria Math" w:hAnsi="Cambria Math" w:cs="Times New Roman"/>
                                    <w:i/>
                                    <w:sz w:val="22"/>
                                    <w:lang w:val="en-GB" w:eastAsia="en-GB"/>
                                  </w:rPr>
                                </m:ctrlPr>
                              </m:sSubSupPr>
                              <m:e>
                                <m:r>
                                  <m:rPr>
                                    <m:sty m:val="p"/>
                                  </m:rPr>
                                  <w:rPr>
                                    <w:rFonts w:ascii="Cambria Math" w:hAnsi="Cambria Math" w:cs="Times New Roman"/>
                                    <w:sz w:val="22"/>
                                  </w:rPr>
                                  <m:t>Γ</m:t>
                                </m:r>
                              </m:e>
                              <m:sub>
                                <m:r>
                                  <w:rPr>
                                    <w:rFonts w:ascii="Cambria Math" w:hAnsi="Cambria Math" w:cs="Times New Roman"/>
                                    <w:sz w:val="22"/>
                                  </w:rPr>
                                  <m:t>W</m:t>
                                </m:r>
                              </m:sub>
                              <m:sup>
                                <m:r>
                                  <w:rPr>
                                    <w:rFonts w:ascii="Cambria Math" w:hAnsi="Cambria Math" w:cs="Times New Roman"/>
                                    <w:sz w:val="22"/>
                                  </w:rPr>
                                  <m:t>-</m:t>
                                </m:r>
                              </m:sup>
                            </m:sSubSup>
                          </m:e>
                        </m:rad>
                        <m:d>
                          <m:dPr>
                            <m:ctrlPr>
                              <w:rPr>
                                <w:rFonts w:ascii="Cambria Math" w:hAnsi="Cambria Math" w:cs="Times New Roman"/>
                                <w:i/>
                                <w:sz w:val="22"/>
                              </w:rPr>
                            </m:ctrlPr>
                          </m:dPr>
                          <m:e>
                            <m:rad>
                              <m:radPr>
                                <m:degHide m:val="1"/>
                                <m:ctrlPr>
                                  <w:rPr>
                                    <w:rFonts w:ascii="Cambria Math" w:hAnsi="Cambria Math" w:cs="Times New Roman"/>
                                    <w:i/>
                                    <w:sz w:val="22"/>
                                    <w:lang w:val="en-GB" w:eastAsia="en-GB"/>
                                  </w:rPr>
                                </m:ctrlPr>
                              </m:radPr>
                              <m:deg/>
                              <m:e>
                                <m:sSubSup>
                                  <m:sSubSupPr>
                                    <m:ctrlPr>
                                      <w:rPr>
                                        <w:rFonts w:ascii="Cambria Math" w:hAnsi="Cambria Math" w:cs="Times New Roman"/>
                                        <w:i/>
                                        <w:sz w:val="22"/>
                                        <w:lang w:val="en-GB" w:eastAsia="en-GB"/>
                                      </w:rPr>
                                    </m:ctrlPr>
                                  </m:sSubSupPr>
                                  <m:e>
                                    <m:r>
                                      <m:rPr>
                                        <m:sty m:val="p"/>
                                      </m:rPr>
                                      <w:rPr>
                                        <w:rFonts w:ascii="Cambria Math" w:hAnsi="Cambria Math" w:cs="Times New Roman"/>
                                        <w:sz w:val="22"/>
                                      </w:rPr>
                                      <m:t>Γ</m:t>
                                    </m:r>
                                  </m:e>
                                  <m:sub>
                                    <m:r>
                                      <w:rPr>
                                        <w:rFonts w:ascii="Cambria Math" w:hAnsi="Cambria Math" w:cs="Times New Roman"/>
                                        <w:sz w:val="22"/>
                                      </w:rPr>
                                      <m:t>R</m:t>
                                    </m:r>
                                  </m:sub>
                                  <m:sup>
                                    <m:r>
                                      <w:rPr>
                                        <w:rFonts w:ascii="Cambria Math" w:hAnsi="Cambria Math" w:cs="Times New Roman"/>
                                        <w:sz w:val="22"/>
                                      </w:rPr>
                                      <m:t>+</m:t>
                                    </m:r>
                                  </m:sup>
                                </m:sSubSup>
                              </m:e>
                            </m:rad>
                            <m:r>
                              <w:rPr>
                                <w:rFonts w:ascii="Cambria Math" w:hAnsi="Cambria Math" w:cs="Times New Roman"/>
                                <w:sz w:val="22"/>
                                <w:lang w:val="en-GB" w:eastAsia="en-GB"/>
                              </w:rPr>
                              <m:t>+</m:t>
                            </m:r>
                            <m:rad>
                              <m:radPr>
                                <m:degHide m:val="1"/>
                                <m:ctrlPr>
                                  <w:rPr>
                                    <w:rFonts w:ascii="Cambria Math" w:hAnsi="Cambria Math" w:cs="Times New Roman"/>
                                    <w:i/>
                                    <w:sz w:val="22"/>
                                    <w:lang w:val="en-GB" w:eastAsia="en-GB"/>
                                  </w:rPr>
                                </m:ctrlPr>
                              </m:radPr>
                              <m:deg/>
                              <m:e>
                                <m:sSubSup>
                                  <m:sSubSupPr>
                                    <m:ctrlPr>
                                      <w:rPr>
                                        <w:rFonts w:ascii="Cambria Math" w:hAnsi="Cambria Math" w:cs="Times New Roman"/>
                                        <w:i/>
                                        <w:sz w:val="22"/>
                                        <w:lang w:val="en-GB" w:eastAsia="en-GB"/>
                                      </w:rPr>
                                    </m:ctrlPr>
                                  </m:sSubSupPr>
                                  <m:e>
                                    <m:r>
                                      <m:rPr>
                                        <m:sty m:val="p"/>
                                      </m:rPr>
                                      <w:rPr>
                                        <w:rFonts w:ascii="Cambria Math" w:hAnsi="Cambria Math" w:cs="Times New Roman"/>
                                        <w:sz w:val="22"/>
                                      </w:rPr>
                                      <m:t>Γ</m:t>
                                    </m:r>
                                  </m:e>
                                  <m:sub>
                                    <m:r>
                                      <w:rPr>
                                        <w:rFonts w:ascii="Cambria Math" w:hAnsi="Cambria Math" w:cs="Times New Roman"/>
                                        <w:sz w:val="22"/>
                                      </w:rPr>
                                      <m:t>A</m:t>
                                    </m:r>
                                  </m:sub>
                                  <m:sup>
                                    <m:r>
                                      <w:rPr>
                                        <w:rFonts w:ascii="Cambria Math" w:hAnsi="Cambria Math" w:cs="Times New Roman"/>
                                        <w:sz w:val="22"/>
                                      </w:rPr>
                                      <m:t>+</m:t>
                                    </m:r>
                                  </m:sup>
                                </m:sSubSup>
                              </m:e>
                            </m:rad>
                            <m:r>
                              <w:rPr>
                                <w:rFonts w:ascii="Cambria Math" w:hAnsi="Cambria Math" w:cs="Times New Roman"/>
                                <w:sz w:val="22"/>
                                <w:lang w:val="en-GB" w:eastAsia="en-GB"/>
                              </w:rPr>
                              <m:t>-</m:t>
                            </m:r>
                            <m:rad>
                              <m:radPr>
                                <m:degHide m:val="1"/>
                                <m:ctrlPr>
                                  <w:rPr>
                                    <w:rFonts w:ascii="Cambria Math" w:hAnsi="Cambria Math" w:cs="Times New Roman"/>
                                    <w:i/>
                                    <w:sz w:val="22"/>
                                    <w:lang w:val="en-GB" w:eastAsia="en-GB"/>
                                  </w:rPr>
                                </m:ctrlPr>
                              </m:radPr>
                              <m:deg/>
                              <m:e>
                                <m:sSubSup>
                                  <m:sSubSupPr>
                                    <m:ctrlPr>
                                      <w:rPr>
                                        <w:rFonts w:ascii="Cambria Math" w:hAnsi="Cambria Math" w:cs="Times New Roman"/>
                                        <w:i/>
                                        <w:sz w:val="22"/>
                                        <w:lang w:val="en-GB" w:eastAsia="en-GB"/>
                                      </w:rPr>
                                    </m:ctrlPr>
                                  </m:sSubSupPr>
                                  <m:e>
                                    <m:r>
                                      <m:rPr>
                                        <m:sty m:val="p"/>
                                      </m:rPr>
                                      <w:rPr>
                                        <w:rFonts w:ascii="Cambria Math" w:hAnsi="Cambria Math" w:cs="Times New Roman"/>
                                        <w:sz w:val="22"/>
                                      </w:rPr>
                                      <m:t>Γ</m:t>
                                    </m:r>
                                  </m:e>
                                  <m:sub>
                                    <m:r>
                                      <w:rPr>
                                        <w:rFonts w:ascii="Cambria Math" w:hAnsi="Cambria Math" w:cs="Times New Roman"/>
                                        <w:sz w:val="22"/>
                                      </w:rPr>
                                      <m:t>W</m:t>
                                    </m:r>
                                  </m:sub>
                                  <m:sup>
                                    <m:r>
                                      <w:rPr>
                                        <w:rFonts w:ascii="Cambria Math" w:hAnsi="Cambria Math" w:cs="Times New Roman"/>
                                        <w:sz w:val="22"/>
                                      </w:rPr>
                                      <m:t>+</m:t>
                                    </m:r>
                                  </m:sup>
                                </m:sSubSup>
                              </m:e>
                            </m:rad>
                          </m:e>
                        </m:d>
                        <m:r>
                          <w:rPr>
                            <w:rFonts w:ascii="Cambria Math" w:hAnsi="Cambria Math" w:cs="Times New Roman"/>
                            <w:sz w:val="22"/>
                          </w:rPr>
                          <m:t>+</m:t>
                        </m:r>
                        <m:rad>
                          <m:radPr>
                            <m:degHide m:val="1"/>
                            <m:ctrlPr>
                              <w:rPr>
                                <w:rFonts w:ascii="Cambria Math" w:hAnsi="Cambria Math" w:cs="Times New Roman"/>
                                <w:i/>
                                <w:sz w:val="22"/>
                                <w:lang w:val="en-GB" w:eastAsia="en-GB"/>
                              </w:rPr>
                            </m:ctrlPr>
                          </m:radPr>
                          <m:deg/>
                          <m:e>
                            <m:sSubSup>
                              <m:sSubSupPr>
                                <m:ctrlPr>
                                  <w:rPr>
                                    <w:rFonts w:ascii="Cambria Math" w:hAnsi="Cambria Math" w:cs="Times New Roman"/>
                                    <w:i/>
                                    <w:sz w:val="22"/>
                                    <w:lang w:val="en-GB" w:eastAsia="en-GB"/>
                                  </w:rPr>
                                </m:ctrlPr>
                              </m:sSubSupPr>
                              <m:e>
                                <m:r>
                                  <m:rPr>
                                    <m:sty m:val="p"/>
                                  </m:rPr>
                                  <w:rPr>
                                    <w:rFonts w:ascii="Cambria Math" w:hAnsi="Cambria Math" w:cs="Times New Roman"/>
                                    <w:sz w:val="22"/>
                                  </w:rPr>
                                  <m:t>(Γ</m:t>
                                </m:r>
                              </m:e>
                              <m:sub>
                                <m:r>
                                  <w:rPr>
                                    <w:rFonts w:ascii="Cambria Math" w:hAnsi="Cambria Math" w:cs="Times New Roman"/>
                                    <w:sz w:val="22"/>
                                  </w:rPr>
                                  <m:t>A</m:t>
                                </m:r>
                              </m:sub>
                              <m:sup>
                                <m:r>
                                  <w:rPr>
                                    <w:rFonts w:ascii="Cambria Math" w:hAnsi="Cambria Math" w:cs="Times New Roman"/>
                                    <w:sz w:val="22"/>
                                  </w:rPr>
                                  <m:t>+</m:t>
                                </m:r>
                              </m:sup>
                            </m:sSubSup>
                            <m:sSubSup>
                              <m:sSubSupPr>
                                <m:ctrlPr>
                                  <w:rPr>
                                    <w:rFonts w:ascii="Cambria Math" w:hAnsi="Cambria Math" w:cs="Times New Roman"/>
                                    <w:i/>
                                    <w:sz w:val="22"/>
                                    <w:lang w:val="en-GB" w:eastAsia="en-GB"/>
                                  </w:rPr>
                                </m:ctrlPr>
                              </m:sSubSupPr>
                              <m:e>
                                <m:r>
                                  <m:rPr>
                                    <m:sty m:val="p"/>
                                  </m:rPr>
                                  <w:rPr>
                                    <w:rFonts w:ascii="Cambria Math" w:hAnsi="Cambria Math" w:cs="Times New Roman"/>
                                    <w:sz w:val="22"/>
                                  </w:rPr>
                                  <m:t>Γ</m:t>
                                </m:r>
                              </m:e>
                              <m:sub>
                                <m:r>
                                  <w:rPr>
                                    <w:rFonts w:ascii="Cambria Math" w:hAnsi="Cambria Math" w:cs="Times New Roman"/>
                                    <w:sz w:val="22"/>
                                  </w:rPr>
                                  <m:t>R</m:t>
                                </m:r>
                              </m:sub>
                              <m:sup>
                                <m:r>
                                  <w:rPr>
                                    <w:rFonts w:ascii="Cambria Math" w:hAnsi="Cambria Math" w:cs="Times New Roman"/>
                                    <w:sz w:val="22"/>
                                  </w:rPr>
                                  <m:t>-</m:t>
                                </m:r>
                              </m:sup>
                            </m:sSubSup>
                            <m:r>
                              <w:rPr>
                                <w:rFonts w:ascii="Cambria Math" w:hAnsi="Cambria Math" w:cs="Times New Roman"/>
                                <w:sz w:val="22"/>
                              </w:rPr>
                              <m:t>)</m:t>
                            </m:r>
                          </m:e>
                        </m:rad>
                        <m:r>
                          <w:rPr>
                            <w:rFonts w:ascii="Cambria Math" w:hAnsi="Cambria Math" w:cs="Times New Roman"/>
                            <w:sz w:val="22"/>
                          </w:rPr>
                          <m:t>+</m:t>
                        </m:r>
                        <m:rad>
                          <m:radPr>
                            <m:degHide m:val="1"/>
                            <m:ctrlPr>
                              <w:rPr>
                                <w:rFonts w:ascii="Cambria Math" w:hAnsi="Cambria Math" w:cs="Times New Roman"/>
                                <w:i/>
                                <w:sz w:val="22"/>
                                <w:lang w:val="en-GB" w:eastAsia="en-GB"/>
                              </w:rPr>
                            </m:ctrlPr>
                          </m:radPr>
                          <m:deg/>
                          <m:e>
                            <m:sSubSup>
                              <m:sSubSupPr>
                                <m:ctrlPr>
                                  <w:rPr>
                                    <w:rFonts w:ascii="Cambria Math" w:hAnsi="Cambria Math" w:cs="Times New Roman"/>
                                    <w:i/>
                                    <w:sz w:val="22"/>
                                    <w:lang w:val="en-GB" w:eastAsia="en-GB"/>
                                  </w:rPr>
                                </m:ctrlPr>
                              </m:sSubSupPr>
                              <m:e>
                                <m:r>
                                  <m:rPr>
                                    <m:sty m:val="p"/>
                                  </m:rPr>
                                  <w:rPr>
                                    <w:rFonts w:ascii="Cambria Math" w:hAnsi="Cambria Math" w:cs="Times New Roman"/>
                                    <w:sz w:val="22"/>
                                  </w:rPr>
                                  <m:t>(Γ</m:t>
                                </m:r>
                              </m:e>
                              <m:sub>
                                <m:r>
                                  <w:rPr>
                                    <w:rFonts w:ascii="Cambria Math" w:hAnsi="Cambria Math" w:cs="Times New Roman"/>
                                    <w:sz w:val="22"/>
                                  </w:rPr>
                                  <m:t>A</m:t>
                                </m:r>
                              </m:sub>
                              <m:sup>
                                <m:r>
                                  <w:rPr>
                                    <w:rFonts w:ascii="Cambria Math" w:hAnsi="Cambria Math" w:cs="Times New Roman"/>
                                    <w:sz w:val="22"/>
                                  </w:rPr>
                                  <m:t>-</m:t>
                                </m:r>
                              </m:sup>
                            </m:sSubSup>
                            <m:sSubSup>
                              <m:sSubSupPr>
                                <m:ctrlPr>
                                  <w:rPr>
                                    <w:rFonts w:ascii="Cambria Math" w:hAnsi="Cambria Math" w:cs="Times New Roman"/>
                                    <w:i/>
                                    <w:sz w:val="22"/>
                                    <w:lang w:val="en-GB" w:eastAsia="en-GB"/>
                                  </w:rPr>
                                </m:ctrlPr>
                              </m:sSubSupPr>
                              <m:e>
                                <m:r>
                                  <m:rPr>
                                    <m:sty m:val="p"/>
                                  </m:rPr>
                                  <w:rPr>
                                    <w:rFonts w:ascii="Cambria Math" w:hAnsi="Cambria Math" w:cs="Times New Roman"/>
                                    <w:sz w:val="22"/>
                                  </w:rPr>
                                  <m:t>Γ</m:t>
                                </m:r>
                              </m:e>
                              <m:sub>
                                <m:r>
                                  <w:rPr>
                                    <w:rFonts w:ascii="Cambria Math" w:hAnsi="Cambria Math" w:cs="Times New Roman"/>
                                    <w:sz w:val="22"/>
                                  </w:rPr>
                                  <m:t>R</m:t>
                                </m:r>
                              </m:sub>
                              <m:sup>
                                <m:r>
                                  <w:rPr>
                                    <w:rFonts w:ascii="Cambria Math" w:hAnsi="Cambria Math" w:cs="Times New Roman"/>
                                    <w:sz w:val="22"/>
                                  </w:rPr>
                                  <m:t>+</m:t>
                                </m:r>
                              </m:sup>
                            </m:sSubSup>
                            <m:r>
                              <w:rPr>
                                <w:rFonts w:ascii="Cambria Math" w:hAnsi="Cambria Math" w:cs="Times New Roman"/>
                                <w:sz w:val="22"/>
                              </w:rPr>
                              <m:t>)</m:t>
                            </m:r>
                          </m:e>
                        </m:rad>
                        <m:ctrlPr>
                          <w:rPr>
                            <w:rFonts w:ascii="Cambria Math" w:hAnsi="Cambria Math" w:cs="Times New Roman"/>
                            <w:i/>
                            <w:sz w:val="22"/>
                            <w:lang w:val="en-GB" w:eastAsia="en-GB"/>
                          </w:rPr>
                        </m:ctrlPr>
                      </m:e>
                    </m:eqArr>
                  </m:e>
                </m:d>
              </m:den>
            </m:f>
          </m:e>
        </m:d>
      </m:oMath>
      <w:r w:rsidRPr="0098140B">
        <w:rPr>
          <w:rFonts w:eastAsiaTheme="minorEastAsia" w:cs="Times New Roman"/>
          <w:szCs w:val="24"/>
        </w:rPr>
        <w:t xml:space="preserve">      (</w:t>
      </w:r>
      <w:r w:rsidR="007655DB">
        <w:rPr>
          <w:rFonts w:cs="Times New Roman"/>
          <w:szCs w:val="24"/>
        </w:rPr>
        <w:t>2.</w:t>
      </w:r>
      <w:r w:rsidRPr="0098140B">
        <w:rPr>
          <w:rFonts w:eastAsiaTheme="minorEastAsia" w:cs="Times New Roman"/>
          <w:szCs w:val="24"/>
        </w:rPr>
        <w:t>18)</w:t>
      </w:r>
    </w:p>
    <w:p w14:paraId="7314E682" w14:textId="1AB3B2F8" w:rsidR="0003506A" w:rsidRPr="0098140B" w:rsidRDefault="0003506A" w:rsidP="008A24F0">
      <w:pPr>
        <w:ind w:firstLine="720"/>
        <w:rPr>
          <w:rFonts w:eastAsiaTheme="minorEastAsia" w:cs="Times New Roman"/>
          <w:szCs w:val="24"/>
        </w:rPr>
      </w:pPr>
      <w:r w:rsidRPr="0098140B">
        <w:rPr>
          <w:rFonts w:cs="Times New Roman"/>
          <w:szCs w:val="24"/>
        </w:rPr>
        <w:t xml:space="preserve">Table </w:t>
      </w:r>
      <w:r w:rsidR="002B038B" w:rsidRPr="0098140B">
        <w:rPr>
          <w:rFonts w:cs="Times New Roman"/>
          <w:szCs w:val="24"/>
        </w:rPr>
        <w:t>2.</w:t>
      </w:r>
      <w:r w:rsidRPr="0098140B">
        <w:rPr>
          <w:rFonts w:cs="Times New Roman"/>
          <w:szCs w:val="24"/>
        </w:rPr>
        <w:t xml:space="preserve">6 presents the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98140B">
        <w:rPr>
          <w:rFonts w:cs="Times New Roman"/>
          <w:szCs w:val="24"/>
        </w:rPr>
        <w:t xml:space="preserve">, </w:t>
      </w:r>
      <m:oMath>
        <m:sSubSup>
          <m:sSubSupPr>
            <m:ctrlPr>
              <w:rPr>
                <w:rFonts w:ascii="Cambria Math" w:hAnsi="Cambria Math" w:cs="Times New Roman"/>
                <w:i/>
                <w:szCs w:val="24"/>
              </w:rPr>
            </m:ctrlPr>
          </m:sSubSupPr>
          <m:e>
            <m:r>
              <w:rPr>
                <w:rFonts w:ascii="Cambria Math" w:hAnsi="Cambria Math" w:cs="Times New Roman"/>
                <w:szCs w:val="24"/>
              </w:rPr>
              <m:t>W</m:t>
            </m:r>
          </m:e>
          <m:sub>
            <m:r>
              <w:rPr>
                <w:rFonts w:ascii="Cambria Math" w:hAnsi="Cambria Math" w:cs="Times New Roman"/>
                <w:szCs w:val="24"/>
              </w:rPr>
              <m:t>ARW</m:t>
            </m:r>
          </m:sub>
          <m:sup>
            <m:r>
              <w:rPr>
                <w:rFonts w:ascii="Cambria Math" w:hAnsi="Cambria Math" w:cs="Times New Roman"/>
                <w:szCs w:val="24"/>
              </w:rPr>
              <m:t>wet</m:t>
            </m:r>
          </m:sup>
        </m:sSubSup>
      </m:oMath>
      <w:r w:rsidRPr="0098140B">
        <w:rPr>
          <w:rFonts w:cs="Times New Roman"/>
          <w:szCs w:val="24"/>
        </w:rPr>
        <w:t xml:space="preserve"> and </w:t>
      </w:r>
      <w:r w:rsidRPr="0098140B">
        <w:rPr>
          <w:rFonts w:cs="Times New Roman"/>
          <w:i/>
          <w:iCs/>
          <w:szCs w:val="24"/>
        </w:rPr>
        <w:t>ER</w:t>
      </w:r>
      <w:r w:rsidRPr="0098140B">
        <w:rPr>
          <w:rFonts w:cs="Times New Roman"/>
          <w:szCs w:val="24"/>
        </w:rPr>
        <w:t xml:space="preserve"> values of S1, S2, S3 and S4 binders with the limestone aggregate. Although, all the probe liquid sets presented in Table </w:t>
      </w:r>
      <w:r w:rsidR="002B038B" w:rsidRPr="0098140B">
        <w:rPr>
          <w:rFonts w:cs="Times New Roman"/>
          <w:szCs w:val="24"/>
        </w:rPr>
        <w:t>2.</w:t>
      </w:r>
      <w:r w:rsidRPr="0098140B">
        <w:rPr>
          <w:rFonts w:cs="Times New Roman"/>
          <w:szCs w:val="24"/>
        </w:rPr>
        <w:t xml:space="preserve">6 yielded a condition number of less than 10, variation in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98140B">
        <w:rPr>
          <w:rFonts w:cs="Times New Roman"/>
          <w:szCs w:val="24"/>
        </w:rPr>
        <w:t xml:space="preserve"> and </w:t>
      </w:r>
      <m:oMath>
        <m:sSubSup>
          <m:sSubSupPr>
            <m:ctrlPr>
              <w:rPr>
                <w:rFonts w:ascii="Cambria Math" w:hAnsi="Cambria Math" w:cs="Times New Roman"/>
                <w:i/>
                <w:szCs w:val="24"/>
              </w:rPr>
            </m:ctrlPr>
          </m:sSubSupPr>
          <m:e>
            <m:r>
              <w:rPr>
                <w:rFonts w:ascii="Cambria Math" w:hAnsi="Cambria Math" w:cs="Times New Roman"/>
                <w:szCs w:val="24"/>
              </w:rPr>
              <m:t>W</m:t>
            </m:r>
          </m:e>
          <m:sub>
            <m:r>
              <w:rPr>
                <w:rFonts w:ascii="Cambria Math" w:hAnsi="Cambria Math" w:cs="Times New Roman"/>
                <w:szCs w:val="24"/>
              </w:rPr>
              <m:t>ARW</m:t>
            </m:r>
          </m:sub>
          <m:sup>
            <m:r>
              <w:rPr>
                <w:rFonts w:ascii="Cambria Math" w:hAnsi="Cambria Math" w:cs="Times New Roman"/>
                <w:szCs w:val="24"/>
              </w:rPr>
              <m:t>wet</m:t>
            </m:r>
          </m:sup>
        </m:sSubSup>
      </m:oMath>
      <w:r w:rsidRPr="0098140B">
        <w:rPr>
          <w:rFonts w:cs="Times New Roman"/>
          <w:szCs w:val="24"/>
        </w:rPr>
        <w:t xml:space="preserve"> were observed with probe liquid sets. The sets with </w:t>
      </w:r>
      <w:r w:rsidRPr="0098140B">
        <w:rPr>
          <w:rFonts w:eastAsiaTheme="minorEastAsia" w:cs="Times New Roman"/>
          <w:szCs w:val="24"/>
        </w:rPr>
        <w:t xml:space="preserve">ethylene glycol exhibited higher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98140B">
        <w:rPr>
          <w:rFonts w:cs="Times New Roman"/>
          <w:szCs w:val="24"/>
        </w:rPr>
        <w:t xml:space="preserve"> </w:t>
      </w:r>
      <w:r w:rsidRPr="0098140B">
        <w:rPr>
          <w:rFonts w:eastAsiaTheme="minorEastAsia" w:cs="Times New Roman"/>
          <w:szCs w:val="24"/>
        </w:rPr>
        <w:t xml:space="preserve">and lower </w:t>
      </w:r>
      <m:oMath>
        <m:sSubSup>
          <m:sSubSupPr>
            <m:ctrlPr>
              <w:rPr>
                <w:rFonts w:ascii="Cambria Math" w:hAnsi="Cambria Math" w:cs="Times New Roman"/>
                <w:i/>
                <w:szCs w:val="24"/>
              </w:rPr>
            </m:ctrlPr>
          </m:sSubSupPr>
          <m:e>
            <m:r>
              <w:rPr>
                <w:rFonts w:ascii="Cambria Math" w:hAnsi="Cambria Math" w:cs="Times New Roman"/>
                <w:szCs w:val="24"/>
              </w:rPr>
              <m:t>W</m:t>
            </m:r>
          </m:e>
          <m:sub>
            <m:r>
              <w:rPr>
                <w:rFonts w:ascii="Cambria Math" w:hAnsi="Cambria Math" w:cs="Times New Roman"/>
                <w:szCs w:val="24"/>
              </w:rPr>
              <m:t>ARW</m:t>
            </m:r>
          </m:sub>
          <m:sup>
            <m:r>
              <w:rPr>
                <w:rFonts w:ascii="Cambria Math" w:hAnsi="Cambria Math" w:cs="Times New Roman"/>
                <w:szCs w:val="24"/>
              </w:rPr>
              <m:t>wet</m:t>
            </m:r>
          </m:sup>
        </m:sSubSup>
      </m:oMath>
      <w:r w:rsidRPr="0098140B">
        <w:rPr>
          <w:rFonts w:eastAsiaTheme="minorEastAsia" w:cs="Times New Roman"/>
          <w:szCs w:val="24"/>
        </w:rPr>
        <w:t xml:space="preserve"> </w:t>
      </w:r>
      <w:r w:rsidRPr="0098140B">
        <w:rPr>
          <w:rFonts w:cs="Times New Roman"/>
          <w:szCs w:val="24"/>
        </w:rPr>
        <w:t>than the sets with</w:t>
      </w:r>
      <w:r w:rsidRPr="0098140B">
        <w:rPr>
          <w:rFonts w:eastAsiaTheme="minorEastAsia" w:cs="Times New Roman"/>
          <w:szCs w:val="24"/>
        </w:rPr>
        <w:t xml:space="preserve"> glycer</w:t>
      </w:r>
      <w:r w:rsidR="002B735E">
        <w:rPr>
          <w:rFonts w:eastAsiaTheme="minorEastAsia" w:cs="Times New Roman"/>
          <w:szCs w:val="24"/>
        </w:rPr>
        <w:t>ol</w:t>
      </w:r>
      <w:r w:rsidRPr="0098140B">
        <w:rPr>
          <w:rFonts w:eastAsiaTheme="minorEastAsia" w:cs="Times New Roman"/>
          <w:szCs w:val="24"/>
        </w:rPr>
        <w:t xml:space="preserve"> and/or formamide. </w:t>
      </w:r>
      <w:r w:rsidRPr="0098140B">
        <w:rPr>
          <w:rFonts w:cs="Times New Roman"/>
          <w:szCs w:val="24"/>
        </w:rPr>
        <w:t xml:space="preserve">For example, the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98140B">
        <w:rPr>
          <w:rFonts w:eastAsiaTheme="minorEastAsia" w:cs="Times New Roman"/>
          <w:szCs w:val="24"/>
          <w:lang w:val="en-GB" w:eastAsia="en-GB"/>
        </w:rPr>
        <w:t xml:space="preserve"> </w:t>
      </w:r>
      <w:r w:rsidRPr="0098140B">
        <w:rPr>
          <w:rFonts w:cs="Times New Roman"/>
          <w:szCs w:val="24"/>
        </w:rPr>
        <w:t>of S1 binder was found to be 88.59 mJ/m</w:t>
      </w:r>
      <w:r w:rsidRPr="0098140B">
        <w:rPr>
          <w:rFonts w:cs="Times New Roman"/>
          <w:szCs w:val="24"/>
          <w:vertAlign w:val="superscript"/>
        </w:rPr>
        <w:t>2</w:t>
      </w:r>
      <w:r w:rsidRPr="0098140B">
        <w:rPr>
          <w:rFonts w:cs="Times New Roman"/>
          <w:szCs w:val="24"/>
        </w:rPr>
        <w:t xml:space="preserve"> for WFD, whereas the same for WGD was 105.98 mJ/m</w:t>
      </w:r>
      <w:r w:rsidRPr="0098140B">
        <w:rPr>
          <w:rFonts w:cs="Times New Roman"/>
          <w:szCs w:val="24"/>
          <w:vertAlign w:val="superscript"/>
        </w:rPr>
        <w:t>2</w:t>
      </w:r>
      <w:r w:rsidRPr="0098140B">
        <w:rPr>
          <w:rFonts w:cs="Times New Roman"/>
          <w:szCs w:val="24"/>
        </w:rPr>
        <w:t xml:space="preserve">. This variation likely resulted from the higher </w:t>
      </w:r>
      <w:r w:rsidRPr="0098140B">
        <w:rPr>
          <w:rFonts w:eastAsiaTheme="minorEastAsia" w:cs="Times New Roman"/>
          <w:szCs w:val="24"/>
        </w:rPr>
        <w:t>acidic components</w:t>
      </w:r>
      <w:r w:rsidRPr="0098140B">
        <w:rPr>
          <w:rFonts w:cs="Times New Roman"/>
          <w:szCs w:val="24"/>
        </w:rPr>
        <w:t xml:space="preserve"> due to the inclusion of </w:t>
      </w:r>
      <w:r w:rsidRPr="0098140B">
        <w:rPr>
          <w:rFonts w:eastAsiaTheme="minorEastAsia" w:cs="Times New Roman"/>
          <w:szCs w:val="24"/>
        </w:rPr>
        <w:t>ethylene glycol in the probe liquid set</w:t>
      </w:r>
      <w:r w:rsidRPr="0098140B">
        <w:rPr>
          <w:rFonts w:cs="Times New Roman"/>
          <w:szCs w:val="24"/>
        </w:rPr>
        <w:t xml:space="preserve">. Also, the variation in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98140B">
        <w:rPr>
          <w:rFonts w:cs="Times New Roman"/>
          <w:szCs w:val="24"/>
        </w:rPr>
        <w:t xml:space="preserve"> and </w:t>
      </w:r>
      <m:oMath>
        <m:sSubSup>
          <m:sSubSupPr>
            <m:ctrlPr>
              <w:rPr>
                <w:rFonts w:ascii="Cambria Math" w:hAnsi="Cambria Math" w:cs="Times New Roman"/>
                <w:i/>
                <w:szCs w:val="24"/>
              </w:rPr>
            </m:ctrlPr>
          </m:sSubSupPr>
          <m:e>
            <m:r>
              <w:rPr>
                <w:rFonts w:ascii="Cambria Math" w:hAnsi="Cambria Math" w:cs="Times New Roman"/>
                <w:szCs w:val="24"/>
              </w:rPr>
              <m:t>W</m:t>
            </m:r>
          </m:e>
          <m:sub>
            <m:r>
              <w:rPr>
                <w:rFonts w:ascii="Cambria Math" w:hAnsi="Cambria Math" w:cs="Times New Roman"/>
                <w:szCs w:val="24"/>
              </w:rPr>
              <m:t>ARW</m:t>
            </m:r>
          </m:sub>
          <m:sup>
            <m:r>
              <w:rPr>
                <w:rFonts w:ascii="Cambria Math" w:hAnsi="Cambria Math" w:cs="Times New Roman"/>
                <w:szCs w:val="24"/>
              </w:rPr>
              <m:t>wet</m:t>
            </m:r>
          </m:sup>
        </m:sSubSup>
      </m:oMath>
      <w:r w:rsidRPr="0098140B">
        <w:rPr>
          <w:rFonts w:eastAsiaTheme="minorEastAsia" w:cs="Times New Roman"/>
          <w:szCs w:val="24"/>
        </w:rPr>
        <w:t xml:space="preserve"> wa</w:t>
      </w:r>
      <w:r w:rsidRPr="0098140B">
        <w:rPr>
          <w:rFonts w:cs="Times New Roman"/>
          <w:szCs w:val="24"/>
        </w:rPr>
        <w:t xml:space="preserve">s reflected in ER value. However, for all binders, probe liquid sets with </w:t>
      </w:r>
      <w:r w:rsidRPr="0098140B">
        <w:rPr>
          <w:rFonts w:eastAsiaTheme="minorEastAsia" w:cs="Times New Roman"/>
          <w:szCs w:val="24"/>
        </w:rPr>
        <w:t xml:space="preserve">WGFDE, WGED and WFED resulted in consistent ER value with a maximum variation of </w:t>
      </w:r>
      <w:r w:rsidRPr="0098140B">
        <w:rPr>
          <w:rFonts w:cs="Times New Roman"/>
          <w:szCs w:val="24"/>
        </w:rPr>
        <w:t xml:space="preserve">±3%. Therefore, </w:t>
      </w:r>
      <w:r w:rsidRPr="0098140B">
        <w:rPr>
          <w:rFonts w:eastAsiaTheme="minorEastAsia" w:cs="Times New Roman"/>
          <w:szCs w:val="24"/>
        </w:rPr>
        <w:t>WGFDE, WGED and WFED can be used to calculate the SFE components of asphalt binders using the GvOC method.</w:t>
      </w:r>
    </w:p>
    <w:p w14:paraId="288B5381" w14:textId="77777777" w:rsidR="0003506A" w:rsidRPr="0098140B" w:rsidRDefault="0003506A" w:rsidP="008A24F0">
      <w:pPr>
        <w:pStyle w:val="Heading5"/>
        <w:spacing w:before="0" w:after="0"/>
        <w:rPr>
          <w:szCs w:val="24"/>
        </w:rPr>
      </w:pPr>
      <w:r w:rsidRPr="0098140B">
        <w:rPr>
          <w:szCs w:val="24"/>
        </w:rPr>
        <w:t>Owen-Wendt’s (OW) Method</w:t>
      </w:r>
    </w:p>
    <w:p w14:paraId="040F43A6" w14:textId="7E9B5E86" w:rsidR="0003506A" w:rsidRPr="0098140B" w:rsidRDefault="0003506A" w:rsidP="008A24F0">
      <w:pPr>
        <w:ind w:firstLine="720"/>
        <w:rPr>
          <w:rFonts w:cs="Times New Roman"/>
          <w:szCs w:val="24"/>
        </w:rPr>
      </w:pPr>
      <w:r w:rsidRPr="0098140B">
        <w:rPr>
          <w:rFonts w:cs="Times New Roman"/>
          <w:szCs w:val="24"/>
        </w:rPr>
        <w:t xml:space="preserve">As mentioned earlier, the Owens-Wendt method  </w:t>
      </w:r>
      <w:r w:rsidRPr="0098140B">
        <w:rPr>
          <w:rFonts w:cs="Times New Roman"/>
          <w:szCs w:val="24"/>
        </w:rPr>
        <w:fldChar w:fldCharType="begin"/>
      </w:r>
      <w:r w:rsidR="00282238">
        <w:rPr>
          <w:rFonts w:cs="Times New Roman"/>
          <w:szCs w:val="24"/>
        </w:rPr>
        <w:instrText xml:space="preserve"> ADDIN EN.CITE &lt;EndNote&gt;&lt;Cite&gt;&lt;Author&gt;Owens&lt;/Author&gt;&lt;Year&gt;1969&lt;/Year&gt;&lt;RecNum&gt;247&lt;/RecNum&gt;&lt;DisplayText&gt;(Owens and Wendt, 1969)&lt;/DisplayText&gt;&lt;record&gt;&lt;rec-number&gt;247&lt;/rec-number&gt;&lt;foreign-keys&gt;&lt;key app="EN" db-id="tfx2va9ropw5p7evdr2pf5rw2vszzx9t0xzs" timestamp="1601700045"&gt;247&lt;/key&gt;&lt;/foreign-keys&gt;&lt;ref-type name="Journal Article"&gt;17&lt;/ref-type&gt;&lt;contributors&gt;&lt;authors&gt;&lt;author&gt;Owens, Daniel K&lt;/author&gt;&lt;author&gt;Wendt, RC&lt;/author&gt;&lt;/authors&gt;&lt;/contributors&gt;&lt;titles&gt;&lt;title&gt;Estimation of the surface free energy of polymers&lt;/title&gt;&lt;secondary-title&gt;Journal of applied polymer science&lt;/secondary-title&gt;&lt;/titles&gt;&lt;periodical&gt;&lt;full-title&gt;Journal of applied polymer science&lt;/full-title&gt;&lt;/periodical&gt;&lt;pages&gt;1741-1747&lt;/pages&gt;&lt;volume&gt;13&lt;/volume&gt;&lt;number&gt;8&lt;/number&gt;&lt;dates&gt;&lt;year&gt;1969&lt;/year&gt;&lt;/dates&gt;&lt;isbn&gt;0021-8995&lt;/isbn&gt;&lt;urls&gt;&lt;/urls&gt;&lt;/record&gt;&lt;/Cite&gt;&lt;/EndNote&gt;</w:instrText>
      </w:r>
      <w:r w:rsidRPr="0098140B">
        <w:rPr>
          <w:rFonts w:cs="Times New Roman"/>
          <w:szCs w:val="24"/>
        </w:rPr>
        <w:fldChar w:fldCharType="separate"/>
      </w:r>
      <w:r w:rsidR="00282238">
        <w:rPr>
          <w:rFonts w:cs="Times New Roman"/>
          <w:noProof/>
          <w:szCs w:val="24"/>
        </w:rPr>
        <w:t>(Owens and Wendt, 1969)</w:t>
      </w:r>
      <w:r w:rsidRPr="0098140B">
        <w:rPr>
          <w:rFonts w:cs="Times New Roman"/>
          <w:szCs w:val="24"/>
        </w:rPr>
        <w:fldChar w:fldCharType="end"/>
      </w:r>
      <w:r w:rsidRPr="0098140B">
        <w:rPr>
          <w:rFonts w:cs="Times New Roman"/>
          <w:szCs w:val="24"/>
        </w:rPr>
        <w:t xml:space="preserve"> was developed based on the </w:t>
      </w:r>
      <w:r w:rsidRPr="0098140B">
        <w:rPr>
          <w:rFonts w:cs="Times New Roman"/>
          <w:szCs w:val="24"/>
        </w:rPr>
        <w:fldChar w:fldCharType="begin"/>
      </w:r>
      <w:r w:rsidRPr="0098140B">
        <w:rPr>
          <w:rFonts w:cs="Times New Roman"/>
          <w:szCs w:val="24"/>
        </w:rPr>
        <w:instrText xml:space="preserve"> ADDIN EN.CITE &lt;EndNote&gt;&lt;Cite AuthorYear="1"&gt;&lt;Author&gt;Fowkes&lt;/Author&gt;&lt;Year&gt;1964&lt;/Year&gt;&lt;RecNum&gt;5&lt;/RecNum&gt;&lt;DisplayText&gt;Fowkes (1964)&lt;/DisplayText&gt;&lt;record&gt;&lt;rec-number&gt;5&lt;/rec-number&gt;&lt;foreign-keys&gt;&lt;key app="EN" db-id="9x5dzsweafrtamewattxsxxzveaz25zpa59z" timestamp="1613061985"&gt;5&lt;/key&gt;&lt;/foreign-keys&gt;&lt;ref-type name="Journal Article"&gt;17&lt;/ref-type&gt;&lt;contributors&gt;&lt;authors&gt;&lt;author&gt;Fowkes, FM&lt;/author&gt;&lt;/authors&gt;&lt;/contributors&gt;&lt;titles&gt;&lt;title&gt;Attractive Forces at Interfaces, Ind. Eng. Chem. 56 (12), 40-52&lt;/title&gt;&lt;/titles&gt;&lt;dates&gt;&lt;year&gt;1964&lt;/year&gt;&lt;/dates&gt;&lt;urls&gt;&lt;/urls&gt;&lt;/record&gt;&lt;/Cite&gt;&lt;/EndNote&gt;</w:instrText>
      </w:r>
      <w:r w:rsidRPr="0098140B">
        <w:rPr>
          <w:rFonts w:cs="Times New Roman"/>
          <w:szCs w:val="24"/>
        </w:rPr>
        <w:fldChar w:fldCharType="separate"/>
      </w:r>
      <w:r w:rsidRPr="0098140B">
        <w:rPr>
          <w:rFonts w:cs="Times New Roman"/>
          <w:noProof/>
          <w:szCs w:val="24"/>
        </w:rPr>
        <w:t>Fowkes (1964)</w:t>
      </w:r>
      <w:r w:rsidRPr="0098140B">
        <w:rPr>
          <w:rFonts w:cs="Times New Roman"/>
          <w:szCs w:val="24"/>
        </w:rPr>
        <w:fldChar w:fldCharType="end"/>
      </w:r>
      <w:r w:rsidRPr="0098140B">
        <w:rPr>
          <w:rFonts w:cs="Times New Roman"/>
          <w:szCs w:val="24"/>
        </w:rPr>
        <w:t xml:space="preserve"> principle of dividing SFE into different components. In this method, the SFE of a material can be divided into dispersion and polar components. Therefore, at least two probe liquids are required to determine the two unknown SFE components of a solid from solid-liquid interfacial interactions using Equation (</w:t>
      </w:r>
      <w:r w:rsidR="007655DB">
        <w:rPr>
          <w:rFonts w:cs="Times New Roman"/>
          <w:szCs w:val="24"/>
        </w:rPr>
        <w:t>2.</w:t>
      </w:r>
      <w:r w:rsidRPr="0098140B">
        <w:rPr>
          <w:rFonts w:cs="Times New Roman"/>
          <w:szCs w:val="24"/>
        </w:rPr>
        <w:t>9). In this study, the SFE components of binders were determined using 26 different combinations of two to five probe liquids: ten combinations with two probe liquids, ten combinations with three probe liquids, five combinations with four probe liquids and one set of five probe liquids. Two equations were formed from sets with two probe liquids using Equation (</w:t>
      </w:r>
      <w:r w:rsidR="007655DB">
        <w:rPr>
          <w:rFonts w:cs="Times New Roman"/>
          <w:szCs w:val="24"/>
        </w:rPr>
        <w:t>2.</w:t>
      </w:r>
      <w:r w:rsidRPr="0098140B">
        <w:rPr>
          <w:rFonts w:cs="Times New Roman"/>
          <w:szCs w:val="24"/>
        </w:rPr>
        <w:t xml:space="preserve">9). The two unknown SFE components were determined by solving these two equations. However, the sets with three, four and five probe liquids formed over-determinate set of equations. Similar to the GvOC method, the solver function of Microsoft Excel was used to determine the two unknown SFE components by minimizing the summation of the square error. </w:t>
      </w:r>
    </w:p>
    <w:p w14:paraId="58A2EB3B" w14:textId="7431E7D3" w:rsidR="0003506A" w:rsidRPr="0098140B" w:rsidRDefault="0003506A" w:rsidP="0055690E">
      <w:pPr>
        <w:ind w:firstLine="720"/>
        <w:rPr>
          <w:rFonts w:cs="Times New Roman"/>
          <w:szCs w:val="24"/>
        </w:rPr>
      </w:pPr>
      <w:r w:rsidRPr="0098140B">
        <w:rPr>
          <w:rFonts w:cs="Times New Roman"/>
          <w:szCs w:val="24"/>
        </w:rPr>
        <w:t>The dispersion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d</m:t>
            </m:r>
          </m:sup>
        </m:sSubSup>
      </m:oMath>
      <w:r w:rsidRPr="0098140B">
        <w:rPr>
          <w:rFonts w:cs="Times New Roman"/>
          <w:szCs w:val="24"/>
        </w:rPr>
        <w:t>), polar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p</m:t>
            </m:r>
          </m:sup>
        </m:sSubSup>
      </m:oMath>
      <w:r w:rsidRPr="0098140B">
        <w:rPr>
          <w:rFonts w:cs="Times New Roman"/>
          <w:szCs w:val="24"/>
        </w:rPr>
        <w:t>) components and total SFE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A</m:t>
            </m:r>
          </m:sub>
        </m:sSub>
      </m:oMath>
      <w:r w:rsidRPr="0098140B">
        <w:rPr>
          <w:rFonts w:cs="Times New Roman"/>
          <w:szCs w:val="24"/>
        </w:rPr>
        <w:t xml:space="preserve">) of S1 and S4 binders from the Owens-Wendt method are presented in Table </w:t>
      </w:r>
      <w:r w:rsidR="002B038B" w:rsidRPr="0098140B">
        <w:rPr>
          <w:rFonts w:cs="Times New Roman"/>
          <w:szCs w:val="24"/>
        </w:rPr>
        <w:t>2.</w:t>
      </w:r>
      <w:r w:rsidRPr="0098140B">
        <w:rPr>
          <w:rFonts w:cs="Times New Roman"/>
          <w:szCs w:val="24"/>
        </w:rPr>
        <w:t xml:space="preserve">7. From Table </w:t>
      </w:r>
      <w:r w:rsidR="002B038B" w:rsidRPr="0098140B">
        <w:rPr>
          <w:rFonts w:cs="Times New Roman"/>
          <w:szCs w:val="24"/>
        </w:rPr>
        <w:t>2.</w:t>
      </w:r>
      <w:r w:rsidRPr="0098140B">
        <w:rPr>
          <w:rFonts w:cs="Times New Roman"/>
          <w:szCs w:val="24"/>
        </w:rPr>
        <w:t xml:space="preserve">7, it was observed that the dispersion component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d</m:t>
            </m:r>
          </m:sup>
        </m:sSubSup>
      </m:oMath>
      <w:r w:rsidRPr="0098140B">
        <w:rPr>
          <w:rFonts w:eastAsiaTheme="minorEastAsia" w:cs="Times New Roman"/>
          <w:szCs w:val="24"/>
          <w:lang w:val="en-GB" w:eastAsia="en-GB"/>
        </w:rPr>
        <w:t xml:space="preserve"> is much higher than the polar component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p</m:t>
            </m:r>
          </m:sup>
        </m:sSubSup>
      </m:oMath>
      <w:r w:rsidRPr="0098140B">
        <w:rPr>
          <w:rFonts w:eastAsiaTheme="minorEastAsia" w:cs="Times New Roman"/>
          <w:szCs w:val="24"/>
          <w:lang w:val="en-GB" w:eastAsia="en-GB"/>
        </w:rPr>
        <w:t xml:space="preserve"> and a major contributor of total SFE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A</m:t>
            </m:r>
          </m:sub>
        </m:sSub>
      </m:oMath>
      <w:r w:rsidRPr="0098140B">
        <w:rPr>
          <w:rFonts w:eastAsiaTheme="minorEastAsia" w:cs="Times New Roman"/>
          <w:szCs w:val="24"/>
        </w:rPr>
        <w:t xml:space="preserve"> </w:t>
      </w:r>
      <w:r w:rsidRPr="0098140B">
        <w:rPr>
          <w:rFonts w:eastAsiaTheme="minorEastAsia" w:cs="Times New Roman"/>
          <w:szCs w:val="24"/>
          <w:lang w:val="en-GB" w:eastAsia="en-GB"/>
        </w:rPr>
        <w:t xml:space="preserve">of binders. This indicates that the binders are mostly non-polar in nature with significantly low polar component. Therefore, changes in the value of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d</m:t>
            </m:r>
          </m:sup>
        </m:sSubSup>
      </m:oMath>
      <w:r w:rsidRPr="0098140B">
        <w:rPr>
          <w:rFonts w:eastAsiaTheme="minorEastAsia" w:cs="Times New Roman"/>
          <w:szCs w:val="24"/>
          <w:lang w:val="en-GB" w:eastAsia="en-GB"/>
        </w:rPr>
        <w:t xml:space="preserve">  with probe liquid sets are expected to impact the calculation of energy parameters significantly.</w:t>
      </w:r>
      <w:r w:rsidRPr="0098140B">
        <w:rPr>
          <w:rFonts w:cs="Times New Roman"/>
          <w:szCs w:val="24"/>
        </w:rPr>
        <w:t xml:space="preserve"> Therefore, in this study, obtaining a consistent result for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d</m:t>
            </m:r>
          </m:sup>
        </m:sSubSup>
      </m:oMath>
      <w:r w:rsidRPr="0098140B">
        <w:rPr>
          <w:rFonts w:eastAsiaTheme="minorEastAsia" w:cs="Times New Roman"/>
          <w:szCs w:val="24"/>
          <w:lang w:val="en-GB" w:eastAsia="en-GB"/>
        </w:rPr>
        <w:t xml:space="preserve"> </w:t>
      </w:r>
      <w:r w:rsidRPr="0098140B">
        <w:rPr>
          <w:rFonts w:cs="Times New Roman"/>
          <w:szCs w:val="24"/>
        </w:rPr>
        <w:t xml:space="preserve">of a binder was considered as a selection criterion for probe liquid sets. For this purpose, the value of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d</m:t>
            </m:r>
          </m:sup>
        </m:sSubSup>
      </m:oMath>
      <w:r w:rsidRPr="0098140B">
        <w:rPr>
          <w:rFonts w:eastAsiaTheme="minorEastAsia" w:cs="Times New Roman"/>
          <w:szCs w:val="24"/>
          <w:lang w:val="en-GB" w:eastAsia="en-GB"/>
        </w:rPr>
        <w:t xml:space="preserve"> </w:t>
      </w:r>
      <w:r w:rsidRPr="0098140B">
        <w:rPr>
          <w:rFonts w:cs="Times New Roman"/>
          <w:szCs w:val="24"/>
        </w:rPr>
        <w:t xml:space="preserve">that appeared most often among 26 probe liquid sets was identified. The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d</m:t>
            </m:r>
          </m:sup>
        </m:sSubSup>
      </m:oMath>
      <w:r w:rsidRPr="0098140B">
        <w:rPr>
          <w:rFonts w:eastAsiaTheme="minorEastAsia" w:cs="Times New Roman"/>
          <w:szCs w:val="24"/>
          <w:lang w:val="en-GB" w:eastAsia="en-GB"/>
        </w:rPr>
        <w:t xml:space="preserve"> values that fall within </w:t>
      </w:r>
      <w:r w:rsidRPr="0098140B">
        <w:rPr>
          <w:rFonts w:cs="Times New Roman"/>
          <w:szCs w:val="24"/>
        </w:rPr>
        <w:t xml:space="preserve">a range of ±3% around the mode  were considered as consistent, as used by </w:t>
      </w:r>
      <w:r w:rsidRPr="0098140B">
        <w:rPr>
          <w:rFonts w:cs="Times New Roman"/>
          <w:szCs w:val="24"/>
        </w:rPr>
        <w:fldChar w:fldCharType="begin"/>
      </w:r>
      <w:r w:rsidRPr="0098140B">
        <w:rPr>
          <w:rFonts w:cs="Times New Roman"/>
          <w:szCs w:val="24"/>
        </w:rPr>
        <w:instrText xml:space="preserve"> ADDIN EN.CITE &lt;EndNote&gt;&lt;Cite AuthorYear="1"&gt;&lt;Author&gt;Zhang&lt;/Author&gt;&lt;Year&gt;2018&lt;/Year&gt;&lt;RecNum&gt;217&lt;/RecNum&gt;&lt;DisplayText&gt;Zhang and Liu (2018)&lt;/DisplayText&gt;&lt;record&gt;&lt;rec-number&gt;217&lt;/rec-number&gt;&lt;foreign-keys&gt;&lt;key app="EN" db-id="d55vzfpwawdafteedfoxsf0lv0v0wp5va2aa" timestamp="1564614866"&gt;217&lt;/key&gt;&lt;/foreign-keys&gt;&lt;ref-type name="Journal Article"&gt;17&lt;/ref-type&gt;&lt;contributors&gt;&lt;authors&gt;&lt;author&gt;Zhang, Derun&lt;/author&gt;&lt;author&gt;Liu, Hanqi&lt;/author&gt;&lt;/authors&gt;&lt;/contributors&gt;&lt;titles&gt;&lt;title&gt;Proposed Approach for Determining Consistent Energy Parameters Based on the Surface Free Energy Theory&lt;/title&gt;&lt;secondary-title&gt;Journal of Materials in Civil Engineering&lt;/secondary-title&gt;&lt;/titles&gt;&lt;periodical&gt;&lt;full-title&gt;Journal of Materials in Civil Engineering&lt;/full-title&gt;&lt;/periodical&gt;&lt;pages&gt;04018287&lt;/pages&gt;&lt;volume&gt;30&lt;/volume&gt;&lt;number&gt;11&lt;/number&gt;&lt;dates&gt;&lt;year&gt;2018&lt;/year&gt;&lt;/dates&gt;&lt;isbn&gt;0899-1561&lt;/isbn&gt;&lt;urls&gt;&lt;/urls&gt;&lt;/record&gt;&lt;/Cite&gt;&lt;/EndNote&gt;</w:instrText>
      </w:r>
      <w:r w:rsidRPr="0098140B">
        <w:rPr>
          <w:rFonts w:cs="Times New Roman"/>
          <w:szCs w:val="24"/>
        </w:rPr>
        <w:fldChar w:fldCharType="separate"/>
      </w:r>
      <w:r w:rsidRPr="0098140B">
        <w:rPr>
          <w:rFonts w:cs="Times New Roman"/>
          <w:noProof/>
          <w:szCs w:val="24"/>
        </w:rPr>
        <w:t>Zhang and Liu (2018)</w:t>
      </w:r>
      <w:r w:rsidRPr="0098140B">
        <w:rPr>
          <w:rFonts w:cs="Times New Roman"/>
          <w:szCs w:val="24"/>
        </w:rPr>
        <w:fldChar w:fldCharType="end"/>
      </w:r>
      <w:r w:rsidRPr="0098140B">
        <w:rPr>
          <w:rFonts w:cs="Times New Roman"/>
          <w:szCs w:val="24"/>
        </w:rPr>
        <w:t xml:space="preserve">. In Table </w:t>
      </w:r>
      <w:r w:rsidR="002B038B" w:rsidRPr="0098140B">
        <w:rPr>
          <w:rFonts w:cs="Times New Roman"/>
          <w:szCs w:val="24"/>
        </w:rPr>
        <w:t>2.</w:t>
      </w:r>
      <w:r w:rsidRPr="0098140B">
        <w:rPr>
          <w:rFonts w:cs="Times New Roman"/>
          <w:szCs w:val="24"/>
        </w:rPr>
        <w:t xml:space="preserve">7, the dispersion component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d</m:t>
            </m:r>
          </m:sup>
        </m:sSubSup>
      </m:oMath>
      <w:r w:rsidRPr="0098140B">
        <w:rPr>
          <w:rFonts w:eastAsiaTheme="minorEastAsia" w:cs="Times New Roman"/>
          <w:szCs w:val="24"/>
          <w:lang w:val="en-GB" w:eastAsia="en-GB"/>
        </w:rPr>
        <w:t xml:space="preserve"> </w:t>
      </w:r>
      <w:r w:rsidRPr="0098140B">
        <w:rPr>
          <w:rFonts w:cs="Times New Roman"/>
          <w:szCs w:val="24"/>
        </w:rPr>
        <w:t xml:space="preserve"> of the S1 binder exhibited a relatively high variation (from 0 mJ/m</w:t>
      </w:r>
      <w:r w:rsidRPr="0098140B">
        <w:rPr>
          <w:rFonts w:cs="Times New Roman"/>
          <w:szCs w:val="24"/>
          <w:vertAlign w:val="superscript"/>
        </w:rPr>
        <w:t>2</w:t>
      </w:r>
      <w:r w:rsidRPr="0098140B">
        <w:rPr>
          <w:rFonts w:cs="Times New Roman"/>
          <w:szCs w:val="24"/>
        </w:rPr>
        <w:t xml:space="preserve"> to 181.19 mJ/m</w:t>
      </w:r>
      <w:r w:rsidRPr="0098140B">
        <w:rPr>
          <w:rFonts w:cs="Times New Roman"/>
          <w:szCs w:val="24"/>
          <w:vertAlign w:val="superscript"/>
        </w:rPr>
        <w:t>2</w:t>
      </w:r>
      <w:r w:rsidRPr="0098140B">
        <w:rPr>
          <w:rFonts w:cs="Times New Roman"/>
          <w:szCs w:val="24"/>
        </w:rPr>
        <w:t>). However, a result of 15.27 mJ/m</w:t>
      </w:r>
      <w:r w:rsidRPr="0098140B">
        <w:rPr>
          <w:rFonts w:cs="Times New Roman"/>
          <w:szCs w:val="24"/>
          <w:vertAlign w:val="superscript"/>
        </w:rPr>
        <w:t>2</w:t>
      </w:r>
      <w:r w:rsidRPr="0098140B">
        <w:rPr>
          <w:rFonts w:cs="Times New Roman"/>
          <w:szCs w:val="24"/>
        </w:rPr>
        <w:t xml:space="preserve"> was found in 10 out of 26 probe liquids sets, namely WED, WGD, WFD, GED, FED, FGD, WD, GD, FD and DE. Also, the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d</m:t>
            </m:r>
          </m:sup>
        </m:sSubSup>
      </m:oMath>
      <w:r w:rsidRPr="0098140B">
        <w:rPr>
          <w:rFonts w:eastAsiaTheme="minorEastAsia" w:cs="Times New Roman"/>
          <w:szCs w:val="24"/>
          <w:lang w:val="en-GB" w:eastAsia="en-GB"/>
        </w:rPr>
        <w:t xml:space="preserve"> component</w:t>
      </w:r>
      <w:r w:rsidRPr="0098140B">
        <w:rPr>
          <w:rFonts w:cs="Times New Roman"/>
          <w:i/>
          <w:iCs/>
          <w:szCs w:val="24"/>
        </w:rPr>
        <w:t xml:space="preserve"> </w:t>
      </w:r>
      <w:r w:rsidRPr="0098140B">
        <w:rPr>
          <w:rFonts w:cs="Times New Roman"/>
          <w:szCs w:val="24"/>
        </w:rPr>
        <w:t xml:space="preserve">from WGFDE, FGED, WFGD, WGED, WFED and WF were </w:t>
      </w:r>
      <w:r w:rsidRPr="0098140B">
        <w:rPr>
          <w:rFonts w:eastAsia="Times New Roman" w:cs="Times New Roman"/>
          <w:color w:val="000000"/>
          <w:szCs w:val="24"/>
        </w:rPr>
        <w:t>15.00</w:t>
      </w:r>
      <w:r w:rsidRPr="0098140B">
        <w:rPr>
          <w:rFonts w:eastAsia="Times New Roman" w:cs="Times New Roman"/>
          <w:szCs w:val="24"/>
        </w:rPr>
        <w:t xml:space="preserve">, 15.00, 15.11, </w:t>
      </w:r>
      <w:r w:rsidRPr="0098140B">
        <w:rPr>
          <w:rFonts w:eastAsia="Times New Roman" w:cs="Times New Roman"/>
          <w:color w:val="000000"/>
          <w:szCs w:val="24"/>
        </w:rPr>
        <w:t xml:space="preserve">15.29, 14.96 and 15.00 </w:t>
      </w:r>
      <w:r w:rsidRPr="0098140B">
        <w:rPr>
          <w:rFonts w:cs="Times New Roman"/>
          <w:szCs w:val="24"/>
        </w:rPr>
        <w:t>mJ/m</w:t>
      </w:r>
      <w:r w:rsidRPr="0098140B">
        <w:rPr>
          <w:rFonts w:cs="Times New Roman"/>
          <w:szCs w:val="24"/>
          <w:vertAlign w:val="superscript"/>
        </w:rPr>
        <w:t>2</w:t>
      </w:r>
      <w:r w:rsidRPr="0098140B">
        <w:rPr>
          <w:rFonts w:cs="Times New Roman"/>
          <w:szCs w:val="24"/>
        </w:rPr>
        <w:t xml:space="preserve">, respectively. These values showed a variation of ±3% </w:t>
      </w:r>
      <w:r w:rsidRPr="0098140B">
        <w:rPr>
          <w:rFonts w:eastAsiaTheme="minorEastAsia" w:cs="Times New Roman"/>
          <w:szCs w:val="24"/>
          <w:lang w:val="en-GB" w:eastAsia="en-GB"/>
        </w:rPr>
        <w:t xml:space="preserve">among themselves can be considered as a consistent dispersion component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d</m:t>
            </m:r>
          </m:sup>
        </m:sSubSup>
      </m:oMath>
      <w:r w:rsidRPr="0098140B">
        <w:rPr>
          <w:rFonts w:eastAsiaTheme="minorEastAsia" w:cs="Times New Roman"/>
          <w:szCs w:val="24"/>
          <w:lang w:val="en-GB" w:eastAsia="en-GB"/>
        </w:rPr>
        <w:t xml:space="preserve">  for the S1 binder. </w:t>
      </w:r>
      <w:r w:rsidRPr="0098140B">
        <w:rPr>
          <w:rFonts w:cs="Times New Roman"/>
          <w:szCs w:val="24"/>
        </w:rPr>
        <w:t xml:space="preserve">Therefore, these 16 probe liquid sets can be considered for further evaluation of the S1 binder. The other combinations, namely WFGE, WFG, WFE, GEF, WGE, WG, WE, GF, GE and FE exhibited higher variations in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d</m:t>
            </m:r>
          </m:sup>
        </m:sSubSup>
      </m:oMath>
      <w:r w:rsidRPr="0098140B">
        <w:rPr>
          <w:rFonts w:cs="Times New Roman"/>
          <w:szCs w:val="24"/>
        </w:rPr>
        <w:t xml:space="preserve">. Therefore, these combinations are </w:t>
      </w:r>
      <w:r w:rsidR="00A943C1">
        <w:rPr>
          <w:rFonts w:cs="Times New Roman"/>
          <w:szCs w:val="24"/>
        </w:rPr>
        <w:t xml:space="preserve">not </w:t>
      </w:r>
      <w:r w:rsidRPr="0098140B">
        <w:rPr>
          <w:rFonts w:cs="Times New Roman"/>
          <w:szCs w:val="24"/>
        </w:rPr>
        <w:t xml:space="preserve">expected to provide consistent energy parameters and are not considered in future calculations for the S1 binder. Similar to the S1 binder, WGFDE, FGED, WFGD, WGED, WFED, WED, WGD, WFD, GED, FED, FGD, WD, GD, FD and DE exhibited </w:t>
      </w:r>
      <w:r w:rsidRPr="0098140B">
        <w:rPr>
          <w:rFonts w:eastAsia="Times New Roman" w:cs="Times New Roman"/>
          <w:color w:val="000000"/>
          <w:szCs w:val="24"/>
        </w:rPr>
        <w:t>consistent dispersion</w:t>
      </w:r>
      <w:r w:rsidRPr="0098140B">
        <w:rPr>
          <w:rFonts w:eastAsia="Times New Roman" w:cs="Times New Roman"/>
          <w:szCs w:val="24"/>
          <w:lang w:val="en-GB" w:eastAsia="en-GB"/>
        </w:rPr>
        <w:t xml:space="preserve"> component</w:t>
      </w:r>
      <w:r w:rsidRPr="0098140B">
        <w:rPr>
          <w:rFonts w:cs="Times New Roman"/>
          <w:szCs w:val="24"/>
        </w:rPr>
        <w:t xml:space="preserve"> for S2, S3 and S4 binders. However, the WF probe liquid set did not result in consistent result</w:t>
      </w:r>
      <w:r w:rsidRPr="0098140B">
        <w:rPr>
          <w:rFonts w:eastAsia="Times New Roman" w:cs="Times New Roman"/>
          <w:i/>
          <w:iCs/>
          <w:color w:val="000000"/>
          <w:szCs w:val="24"/>
        </w:rPr>
        <w:t xml:space="preserve"> </w:t>
      </w:r>
      <w:r w:rsidRPr="0098140B">
        <w:rPr>
          <w:rFonts w:eastAsia="Times New Roman" w:cs="Times New Roman"/>
          <w:color w:val="000000"/>
          <w:szCs w:val="24"/>
        </w:rPr>
        <w:t xml:space="preserve">for </w:t>
      </w:r>
      <w:r w:rsidRPr="0098140B">
        <w:rPr>
          <w:rFonts w:cs="Times New Roman"/>
          <w:szCs w:val="24"/>
        </w:rPr>
        <w:t>S2, S3 and S4 binders, hence, is not expected to produce consistent energy parameters. Therefore, the above mentioned 15 probe liquid sets were considered in determining energy parameters using thermodynamic principles.</w:t>
      </w:r>
    </w:p>
    <w:p w14:paraId="0F2850E9" w14:textId="641A63E6" w:rsidR="0003506A" w:rsidRPr="0098140B" w:rsidRDefault="0003506A" w:rsidP="008A24F0">
      <w:pPr>
        <w:ind w:firstLine="720"/>
        <w:rPr>
          <w:rFonts w:cs="Times New Roman"/>
          <w:szCs w:val="24"/>
        </w:rPr>
      </w:pPr>
      <w:r w:rsidRPr="0098140B">
        <w:rPr>
          <w:rFonts w:cs="Times New Roman"/>
          <w:szCs w:val="24"/>
        </w:rPr>
        <w:t xml:space="preserve">The polar components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p</m:t>
            </m:r>
          </m:sup>
        </m:sSubSup>
      </m:oMath>
      <w:r w:rsidRPr="0098140B">
        <w:rPr>
          <w:rFonts w:eastAsiaTheme="minorEastAsia" w:cs="Times New Roman"/>
          <w:szCs w:val="24"/>
          <w:lang w:val="en-GB" w:eastAsia="en-GB"/>
        </w:rPr>
        <w:t xml:space="preserve"> </w:t>
      </w:r>
      <w:r w:rsidRPr="0098140B">
        <w:rPr>
          <w:rFonts w:cs="Times New Roman"/>
          <w:szCs w:val="24"/>
        </w:rPr>
        <w:t xml:space="preserve"> of S1 and S4 binders from the abovementioned 15 probe liquid sets are summarized in Table </w:t>
      </w:r>
      <w:r w:rsidR="002B038B" w:rsidRPr="0098140B">
        <w:rPr>
          <w:rFonts w:cs="Times New Roman"/>
          <w:szCs w:val="24"/>
        </w:rPr>
        <w:t>2.</w:t>
      </w:r>
      <w:r w:rsidRPr="0098140B">
        <w:rPr>
          <w:rFonts w:cs="Times New Roman"/>
          <w:szCs w:val="24"/>
        </w:rPr>
        <w:t xml:space="preserve">7. From Table </w:t>
      </w:r>
      <w:r w:rsidR="002B038B" w:rsidRPr="0098140B">
        <w:rPr>
          <w:rFonts w:cs="Times New Roman"/>
          <w:szCs w:val="24"/>
        </w:rPr>
        <w:t>2.</w:t>
      </w:r>
      <w:r w:rsidRPr="0098140B">
        <w:rPr>
          <w:rFonts w:cs="Times New Roman"/>
          <w:szCs w:val="24"/>
        </w:rPr>
        <w:t xml:space="preserve">7, </w:t>
      </w:r>
      <w:r w:rsidRPr="0098140B">
        <w:rPr>
          <w:rFonts w:eastAsiaTheme="minorEastAsia" w:cs="Times New Roman"/>
          <w:szCs w:val="24"/>
          <w:lang w:val="en-GB" w:eastAsia="en-GB"/>
        </w:rPr>
        <w:t xml:space="preserve">polar </w:t>
      </w:r>
      <w:r w:rsidRPr="0098140B">
        <w:rPr>
          <w:rFonts w:cs="Times New Roman"/>
          <w:szCs w:val="24"/>
        </w:rPr>
        <w:t>components of the binders were observed to vary significantly with probe liquid sets. For S1 binder, the FGED, GED, FED and FGD showed polar components of 16.91, 14.55, 80.02 and 33.06 mJ/m</w:t>
      </w:r>
      <w:r w:rsidRPr="0098140B">
        <w:rPr>
          <w:rFonts w:cs="Times New Roman"/>
          <w:szCs w:val="24"/>
          <w:vertAlign w:val="superscript"/>
        </w:rPr>
        <w:t>2</w:t>
      </w:r>
      <w:r w:rsidRPr="0098140B">
        <w:rPr>
          <w:rFonts w:cs="Times New Roman"/>
          <w:szCs w:val="24"/>
        </w:rPr>
        <w:t xml:space="preserve">, which are significantly high for asphalt binders. The total SFE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A</m:t>
            </m:r>
          </m:sub>
        </m:sSub>
      </m:oMath>
      <w:r w:rsidRPr="0098140B">
        <w:rPr>
          <w:rFonts w:eastAsiaTheme="minorEastAsia" w:cs="Times New Roman"/>
          <w:szCs w:val="24"/>
        </w:rPr>
        <w:t xml:space="preserve"> </w:t>
      </w:r>
      <w:r w:rsidRPr="0098140B">
        <w:rPr>
          <w:rFonts w:eastAsia="Times New Roman" w:cs="Times New Roman"/>
          <w:color w:val="000000"/>
          <w:szCs w:val="24"/>
        </w:rPr>
        <w:t xml:space="preserve">from these probe liquid sets exhibited higher variations (from 29.81 to 95.29 </w:t>
      </w:r>
      <w:r w:rsidRPr="0098140B">
        <w:rPr>
          <w:rFonts w:cs="Times New Roman"/>
          <w:szCs w:val="24"/>
        </w:rPr>
        <w:t>mJ/m</w:t>
      </w:r>
      <w:r w:rsidRPr="0098140B">
        <w:rPr>
          <w:rFonts w:cs="Times New Roman"/>
          <w:szCs w:val="24"/>
          <w:vertAlign w:val="superscript"/>
        </w:rPr>
        <w:t>2</w:t>
      </w:r>
      <w:r w:rsidRPr="0098140B">
        <w:rPr>
          <w:rFonts w:cs="Times New Roman"/>
          <w:szCs w:val="24"/>
        </w:rPr>
        <w:t xml:space="preserve">). The probe liquid sets with WGFDE, WFGD, WGED, WFED, WED, WGD, WFD, WD, WF, GD, FD and DE resulted in polar components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p</m:t>
            </m:r>
          </m:sup>
        </m:sSubSup>
      </m:oMath>
      <w:r w:rsidRPr="0098140B">
        <w:rPr>
          <w:rFonts w:eastAsiaTheme="minorEastAsia" w:cs="Times New Roman"/>
          <w:szCs w:val="24"/>
          <w:lang w:val="en-GB" w:eastAsia="en-GB"/>
        </w:rPr>
        <w:t xml:space="preserve"> </w:t>
      </w:r>
      <w:r w:rsidRPr="0098140B">
        <w:rPr>
          <w:rFonts w:eastAsia="Times New Roman" w:cs="Times New Roman"/>
          <w:i/>
          <w:iCs/>
          <w:color w:val="000000"/>
          <w:szCs w:val="24"/>
          <w:vertAlign w:val="superscript"/>
        </w:rPr>
        <w:t xml:space="preserve"> </w:t>
      </w:r>
      <w:r w:rsidRPr="0098140B">
        <w:rPr>
          <w:rFonts w:cs="Times New Roman"/>
          <w:szCs w:val="24"/>
        </w:rPr>
        <w:t>ranging from 0.82 to 3.11 mJ/m</w:t>
      </w:r>
      <w:r w:rsidRPr="0098140B">
        <w:rPr>
          <w:rFonts w:cs="Times New Roman"/>
          <w:szCs w:val="24"/>
          <w:vertAlign w:val="superscript"/>
        </w:rPr>
        <w:t>2</w:t>
      </w:r>
      <w:r w:rsidRPr="0098140B">
        <w:rPr>
          <w:rFonts w:cs="Times New Roman"/>
          <w:szCs w:val="24"/>
        </w:rPr>
        <w:t xml:space="preserve"> while SFE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A</m:t>
            </m:r>
          </m:sub>
        </m:sSub>
      </m:oMath>
      <w:r w:rsidRPr="0098140B">
        <w:rPr>
          <w:rFonts w:eastAsiaTheme="minorEastAsia" w:cs="Times New Roman"/>
          <w:szCs w:val="24"/>
        </w:rPr>
        <w:t xml:space="preserve"> </w:t>
      </w:r>
      <w:r w:rsidRPr="0098140B">
        <w:rPr>
          <w:rFonts w:eastAsia="Times New Roman" w:cs="Times New Roman"/>
          <w:color w:val="000000"/>
          <w:szCs w:val="24"/>
        </w:rPr>
        <w:t xml:space="preserve">of the S1 binder for these 12 probe liquid sets varied from 16.00 to 18.38 </w:t>
      </w:r>
      <w:r w:rsidRPr="0098140B">
        <w:rPr>
          <w:rFonts w:cs="Times New Roman"/>
          <w:szCs w:val="24"/>
        </w:rPr>
        <w:t>mJ/m</w:t>
      </w:r>
      <w:r w:rsidRPr="0098140B">
        <w:rPr>
          <w:rFonts w:cs="Times New Roman"/>
          <w:szCs w:val="24"/>
          <w:vertAlign w:val="superscript"/>
        </w:rPr>
        <w:t>2</w:t>
      </w:r>
      <w:r w:rsidRPr="0098140B">
        <w:rPr>
          <w:rFonts w:cs="Times New Roman"/>
          <w:szCs w:val="24"/>
        </w:rPr>
        <w:t xml:space="preserve">. Also, high polar component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p</m:t>
            </m:r>
          </m:sup>
        </m:sSubSup>
      </m:oMath>
      <w:r w:rsidRPr="0098140B">
        <w:rPr>
          <w:rFonts w:eastAsiaTheme="minorEastAsia" w:cs="Times New Roman"/>
          <w:szCs w:val="24"/>
          <w:lang w:val="en-GB" w:eastAsia="en-GB"/>
        </w:rPr>
        <w:t xml:space="preserve"> </w:t>
      </w:r>
      <w:r w:rsidRPr="0098140B">
        <w:rPr>
          <w:rFonts w:cs="Times New Roman"/>
          <w:szCs w:val="24"/>
        </w:rPr>
        <w:t xml:space="preserve">and total SFE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A</m:t>
            </m:r>
          </m:sub>
        </m:sSub>
      </m:oMath>
      <w:r w:rsidRPr="0098140B">
        <w:rPr>
          <w:rFonts w:cs="Times New Roman"/>
          <w:szCs w:val="24"/>
        </w:rPr>
        <w:t xml:space="preserve"> were observed for the S2 binder with FGED, GED, FED and FGD probe liquid sets. For the S3 binder, probe liquid set FED showed a significantly higher value for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p</m:t>
            </m:r>
          </m:sup>
        </m:sSubSup>
      </m:oMath>
      <w:r w:rsidRPr="0098140B">
        <w:rPr>
          <w:rFonts w:eastAsia="Times New Roman" w:cs="Times New Roman"/>
          <w:color w:val="000000"/>
          <w:szCs w:val="24"/>
        </w:rPr>
        <w:t xml:space="preserve"> (18.33 </w:t>
      </w:r>
      <w:r w:rsidRPr="0098140B">
        <w:rPr>
          <w:rFonts w:cs="Times New Roman"/>
          <w:szCs w:val="24"/>
        </w:rPr>
        <w:t>mJ/m</w:t>
      </w:r>
      <w:r w:rsidRPr="0098140B">
        <w:rPr>
          <w:rFonts w:cs="Times New Roman"/>
          <w:szCs w:val="24"/>
          <w:vertAlign w:val="superscript"/>
        </w:rPr>
        <w:t>2</w:t>
      </w:r>
      <w:r w:rsidRPr="0098140B">
        <w:rPr>
          <w:rFonts w:cs="Times New Roman"/>
          <w:szCs w:val="24"/>
        </w:rPr>
        <w:t xml:space="preserve">). Except for the FED and FGD probe liquid sets, the polar component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p</m:t>
            </m:r>
          </m:sup>
        </m:sSubSup>
      </m:oMath>
      <w:r w:rsidRPr="0098140B">
        <w:rPr>
          <w:rFonts w:eastAsiaTheme="minorEastAsia" w:cs="Times New Roman"/>
          <w:szCs w:val="24"/>
          <w:lang w:val="en-GB" w:eastAsia="en-GB"/>
        </w:rPr>
        <w:t xml:space="preserve">  of the S4 binder </w:t>
      </w:r>
      <w:r w:rsidRPr="0098140B">
        <w:rPr>
          <w:rFonts w:cs="Times New Roman"/>
          <w:szCs w:val="24"/>
        </w:rPr>
        <w:t>varied from 0.20 to 6.29 mJ/m</w:t>
      </w:r>
      <w:r w:rsidRPr="0098140B">
        <w:rPr>
          <w:rFonts w:cs="Times New Roman"/>
          <w:szCs w:val="24"/>
          <w:vertAlign w:val="superscript"/>
        </w:rPr>
        <w:t>2</w:t>
      </w:r>
      <w:r w:rsidRPr="0098140B">
        <w:rPr>
          <w:rFonts w:cs="Times New Roman"/>
          <w:szCs w:val="24"/>
        </w:rPr>
        <w:t xml:space="preserve"> among the 15 probe liquid sets. Therefore, although the abovementioned 15 probe liquid sets exhibited consistent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d</m:t>
            </m:r>
          </m:sup>
        </m:sSubSup>
      </m:oMath>
      <w:r w:rsidRPr="0098140B">
        <w:rPr>
          <w:rFonts w:eastAsiaTheme="minorEastAsia" w:cs="Times New Roman"/>
          <w:szCs w:val="24"/>
          <w:lang w:val="en-GB" w:eastAsia="en-GB"/>
        </w:rPr>
        <w:t xml:space="preserve"> </w:t>
      </w:r>
      <w:r w:rsidRPr="0098140B">
        <w:rPr>
          <w:rFonts w:cs="Times New Roman"/>
          <w:szCs w:val="24"/>
        </w:rPr>
        <w:t xml:space="preserve">components, significant variations in the energy parameters of the binder-aggregate system can be observed due to the variation of polar component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p</m:t>
            </m:r>
          </m:sup>
        </m:sSubSup>
      </m:oMath>
      <w:r w:rsidRPr="0098140B">
        <w:rPr>
          <w:rFonts w:eastAsiaTheme="minorEastAsia" w:cs="Times New Roman"/>
          <w:szCs w:val="24"/>
          <w:lang w:val="en-GB" w:eastAsia="en-GB"/>
        </w:rPr>
        <w:t xml:space="preserve"> </w:t>
      </w:r>
      <w:r w:rsidRPr="0098140B">
        <w:rPr>
          <w:rFonts w:cs="Times New Roman"/>
          <w:szCs w:val="24"/>
        </w:rPr>
        <w:t xml:space="preserve">and total SFE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A</m:t>
            </m:r>
          </m:sub>
        </m:sSub>
      </m:oMath>
      <w:r w:rsidRPr="0098140B">
        <w:rPr>
          <w:rFonts w:cs="Times New Roman"/>
          <w:szCs w:val="24"/>
        </w:rPr>
        <w:t>.</w:t>
      </w:r>
    </w:p>
    <w:p w14:paraId="695D0C57" w14:textId="6E873134" w:rsidR="0003506A" w:rsidRPr="0098140B" w:rsidRDefault="0003506A" w:rsidP="008A24F0">
      <w:pPr>
        <w:pStyle w:val="Heading6"/>
        <w:spacing w:before="0" w:after="0"/>
        <w:rPr>
          <w:szCs w:val="24"/>
        </w:rPr>
      </w:pPr>
      <w:r w:rsidRPr="0098140B">
        <w:rPr>
          <w:szCs w:val="24"/>
        </w:rPr>
        <w:t xml:space="preserve">Energy </w:t>
      </w:r>
      <w:r w:rsidR="00281666" w:rsidRPr="0098140B">
        <w:rPr>
          <w:szCs w:val="24"/>
        </w:rPr>
        <w:t>P</w:t>
      </w:r>
      <w:r w:rsidRPr="0098140B">
        <w:rPr>
          <w:szCs w:val="24"/>
        </w:rPr>
        <w:t xml:space="preserve">arameters using </w:t>
      </w:r>
      <w:r w:rsidR="000F3C06" w:rsidRPr="0098140B">
        <w:rPr>
          <w:szCs w:val="24"/>
        </w:rPr>
        <w:t xml:space="preserve">the </w:t>
      </w:r>
      <w:r w:rsidRPr="0098140B">
        <w:rPr>
          <w:szCs w:val="24"/>
        </w:rPr>
        <w:t xml:space="preserve">Owens-Wendt </w:t>
      </w:r>
      <w:r w:rsidR="00281666" w:rsidRPr="0098140B">
        <w:rPr>
          <w:szCs w:val="24"/>
        </w:rPr>
        <w:t>M</w:t>
      </w:r>
      <w:r w:rsidRPr="0098140B">
        <w:rPr>
          <w:szCs w:val="24"/>
        </w:rPr>
        <w:t>ethod</w:t>
      </w:r>
    </w:p>
    <w:p w14:paraId="31AF62A9" w14:textId="7F3AEE4B" w:rsidR="0003506A" w:rsidRPr="0098140B" w:rsidRDefault="0003506A" w:rsidP="008A24F0">
      <w:pPr>
        <w:ind w:firstLine="720"/>
        <w:rPr>
          <w:rFonts w:cs="Times New Roman"/>
          <w:szCs w:val="24"/>
        </w:rPr>
      </w:pPr>
      <w:r w:rsidRPr="0098140B">
        <w:rPr>
          <w:rFonts w:cs="Times New Roman"/>
          <w:szCs w:val="24"/>
        </w:rPr>
        <w:t>Equations (</w:t>
      </w:r>
      <w:r w:rsidR="007655DB">
        <w:rPr>
          <w:rFonts w:cs="Times New Roman"/>
          <w:szCs w:val="24"/>
        </w:rPr>
        <w:t>2.</w:t>
      </w:r>
      <w:r w:rsidRPr="0098140B">
        <w:rPr>
          <w:rFonts w:cs="Times New Roman"/>
          <w:szCs w:val="24"/>
        </w:rPr>
        <w:t>19), (</w:t>
      </w:r>
      <w:r w:rsidR="007655DB">
        <w:rPr>
          <w:rFonts w:cs="Times New Roman"/>
          <w:szCs w:val="24"/>
        </w:rPr>
        <w:t>2.</w:t>
      </w:r>
      <w:r w:rsidRPr="0098140B">
        <w:rPr>
          <w:rFonts w:cs="Times New Roman"/>
          <w:szCs w:val="24"/>
        </w:rPr>
        <w:t>20) and (</w:t>
      </w:r>
      <w:r w:rsidR="007655DB">
        <w:rPr>
          <w:rFonts w:cs="Times New Roman"/>
          <w:szCs w:val="24"/>
        </w:rPr>
        <w:t>2.</w:t>
      </w:r>
      <w:r w:rsidRPr="0098140B">
        <w:rPr>
          <w:rFonts w:cs="Times New Roman"/>
          <w:szCs w:val="24"/>
        </w:rPr>
        <w:t xml:space="preserve">21) were used to calculate the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98140B">
        <w:rPr>
          <w:rFonts w:cs="Times New Roman"/>
          <w:szCs w:val="24"/>
        </w:rPr>
        <w:t xml:space="preserve">, </w:t>
      </w:r>
      <m:oMath>
        <m:sSubSup>
          <m:sSubSupPr>
            <m:ctrlPr>
              <w:rPr>
                <w:rFonts w:ascii="Cambria Math" w:hAnsi="Cambria Math" w:cs="Times New Roman"/>
                <w:i/>
                <w:szCs w:val="24"/>
              </w:rPr>
            </m:ctrlPr>
          </m:sSubSupPr>
          <m:e>
            <m:r>
              <w:rPr>
                <w:rFonts w:ascii="Cambria Math" w:hAnsi="Cambria Math" w:cs="Times New Roman"/>
                <w:szCs w:val="24"/>
              </w:rPr>
              <m:t>W</m:t>
            </m:r>
          </m:e>
          <m:sub>
            <m:r>
              <w:rPr>
                <w:rFonts w:ascii="Cambria Math" w:hAnsi="Cambria Math" w:cs="Times New Roman"/>
                <w:szCs w:val="24"/>
              </w:rPr>
              <m:t>ARW</m:t>
            </m:r>
          </m:sub>
          <m:sup>
            <m:r>
              <w:rPr>
                <w:rFonts w:ascii="Cambria Math" w:hAnsi="Cambria Math" w:cs="Times New Roman"/>
                <w:szCs w:val="24"/>
              </w:rPr>
              <m:t>wet</m:t>
            </m:r>
          </m:sup>
        </m:sSubSup>
      </m:oMath>
      <w:r w:rsidRPr="0098140B">
        <w:rPr>
          <w:rFonts w:cs="Times New Roman"/>
          <w:szCs w:val="24"/>
        </w:rPr>
        <w:t xml:space="preserve"> and </w:t>
      </w:r>
      <w:r w:rsidRPr="0098140B">
        <w:rPr>
          <w:rFonts w:cs="Times New Roman"/>
          <w:i/>
          <w:iCs/>
          <w:szCs w:val="24"/>
        </w:rPr>
        <w:t>ER</w:t>
      </w:r>
      <w:r w:rsidRPr="0098140B">
        <w:rPr>
          <w:rFonts w:cs="Times New Roman"/>
          <w:szCs w:val="24"/>
        </w:rPr>
        <w:t xml:space="preserve">, respectively, of different binder-aggregate systems using the Owens-Wendt method. Table </w:t>
      </w:r>
      <w:r w:rsidR="002B038B" w:rsidRPr="0098140B">
        <w:rPr>
          <w:rFonts w:cs="Times New Roman"/>
          <w:szCs w:val="24"/>
        </w:rPr>
        <w:t>2.</w:t>
      </w:r>
      <w:r w:rsidRPr="0098140B">
        <w:rPr>
          <w:rFonts w:cs="Times New Roman"/>
          <w:szCs w:val="24"/>
        </w:rPr>
        <w:t xml:space="preserve">8 presents the calculated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98140B">
        <w:rPr>
          <w:rFonts w:cs="Times New Roman"/>
          <w:szCs w:val="24"/>
        </w:rPr>
        <w:t xml:space="preserve">, </w:t>
      </w:r>
      <m:oMath>
        <m:sSubSup>
          <m:sSubSupPr>
            <m:ctrlPr>
              <w:rPr>
                <w:rFonts w:ascii="Cambria Math" w:hAnsi="Cambria Math" w:cs="Times New Roman"/>
                <w:i/>
                <w:szCs w:val="24"/>
              </w:rPr>
            </m:ctrlPr>
          </m:sSubSupPr>
          <m:e>
            <m:r>
              <w:rPr>
                <w:rFonts w:ascii="Cambria Math" w:hAnsi="Cambria Math" w:cs="Times New Roman"/>
                <w:szCs w:val="24"/>
              </w:rPr>
              <m:t>W</m:t>
            </m:r>
          </m:e>
          <m:sub>
            <m:r>
              <w:rPr>
                <w:rFonts w:ascii="Cambria Math" w:hAnsi="Cambria Math" w:cs="Times New Roman"/>
                <w:szCs w:val="24"/>
              </w:rPr>
              <m:t>ARW</m:t>
            </m:r>
          </m:sub>
          <m:sup>
            <m:r>
              <w:rPr>
                <w:rFonts w:ascii="Cambria Math" w:hAnsi="Cambria Math" w:cs="Times New Roman"/>
                <w:szCs w:val="24"/>
              </w:rPr>
              <m:t>wet</m:t>
            </m:r>
          </m:sup>
        </m:sSubSup>
      </m:oMath>
      <w:r w:rsidRPr="0098140B">
        <w:rPr>
          <w:rFonts w:cs="Times New Roman"/>
          <w:szCs w:val="24"/>
        </w:rPr>
        <w:t xml:space="preserve"> and </w:t>
      </w:r>
      <w:r w:rsidRPr="0098140B">
        <w:rPr>
          <w:rFonts w:cs="Times New Roman"/>
          <w:i/>
          <w:iCs/>
          <w:szCs w:val="24"/>
        </w:rPr>
        <w:t>ER</w:t>
      </w:r>
      <w:r w:rsidRPr="0098140B">
        <w:rPr>
          <w:rFonts w:cs="Times New Roman"/>
          <w:szCs w:val="24"/>
        </w:rPr>
        <w:t xml:space="preserve"> values of S1 and S4 binders with the limestone aggregate. Variations in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98140B">
        <w:rPr>
          <w:rFonts w:cs="Times New Roman"/>
          <w:szCs w:val="24"/>
        </w:rPr>
        <w:t xml:space="preserve"> and </w:t>
      </w:r>
      <m:oMath>
        <m:sSubSup>
          <m:sSubSupPr>
            <m:ctrlPr>
              <w:rPr>
                <w:rFonts w:ascii="Cambria Math" w:hAnsi="Cambria Math" w:cs="Times New Roman"/>
                <w:i/>
                <w:szCs w:val="24"/>
              </w:rPr>
            </m:ctrlPr>
          </m:sSubSupPr>
          <m:e>
            <m:r>
              <w:rPr>
                <w:rFonts w:ascii="Cambria Math" w:hAnsi="Cambria Math" w:cs="Times New Roman"/>
                <w:szCs w:val="24"/>
              </w:rPr>
              <m:t>W</m:t>
            </m:r>
          </m:e>
          <m:sub>
            <m:r>
              <w:rPr>
                <w:rFonts w:ascii="Cambria Math" w:hAnsi="Cambria Math" w:cs="Times New Roman"/>
                <w:szCs w:val="24"/>
              </w:rPr>
              <m:t>ARW</m:t>
            </m:r>
          </m:sub>
          <m:sup>
            <m:r>
              <w:rPr>
                <w:rFonts w:ascii="Cambria Math" w:hAnsi="Cambria Math" w:cs="Times New Roman"/>
                <w:szCs w:val="24"/>
              </w:rPr>
              <m:t>wet</m:t>
            </m:r>
          </m:sup>
        </m:sSubSup>
      </m:oMath>
      <w:r w:rsidRPr="0098140B">
        <w:rPr>
          <w:rFonts w:eastAsiaTheme="minorEastAsia" w:cs="Times New Roman"/>
          <w:szCs w:val="24"/>
        </w:rPr>
        <w:t xml:space="preserve"> </w:t>
      </w:r>
      <w:r w:rsidRPr="0098140B">
        <w:rPr>
          <w:rFonts w:cs="Times New Roman"/>
          <w:szCs w:val="24"/>
        </w:rPr>
        <w:t xml:space="preserve">for the same binder with different probe liquid sets were observed from Table </w:t>
      </w:r>
      <w:r w:rsidR="002B038B" w:rsidRPr="0098140B">
        <w:rPr>
          <w:rFonts w:cs="Times New Roman"/>
          <w:szCs w:val="24"/>
        </w:rPr>
        <w:t>2.</w:t>
      </w:r>
      <w:r w:rsidRPr="0098140B">
        <w:rPr>
          <w:rFonts w:cs="Times New Roman"/>
          <w:szCs w:val="24"/>
        </w:rPr>
        <w:t xml:space="preserve">8. For example, the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98140B">
        <w:rPr>
          <w:rFonts w:eastAsiaTheme="minorEastAsia" w:cs="Times New Roman"/>
          <w:szCs w:val="24"/>
          <w:lang w:val="en-GB" w:eastAsia="en-GB"/>
        </w:rPr>
        <w:t xml:space="preserve"> </w:t>
      </w:r>
      <w:r w:rsidRPr="0098140B">
        <w:rPr>
          <w:rFonts w:cs="Times New Roman"/>
          <w:szCs w:val="24"/>
        </w:rPr>
        <w:t>for S1 binder was found to vary from 44.38 to 167.25 mJ/m</w:t>
      </w:r>
      <w:r w:rsidRPr="0098140B">
        <w:rPr>
          <w:rFonts w:cs="Times New Roman"/>
          <w:szCs w:val="24"/>
          <w:vertAlign w:val="superscript"/>
        </w:rPr>
        <w:t>2</w:t>
      </w:r>
      <w:r w:rsidRPr="0098140B">
        <w:rPr>
          <w:rFonts w:cs="Times New Roman"/>
          <w:szCs w:val="24"/>
        </w:rPr>
        <w:t xml:space="preserve">. Similar to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98140B">
        <w:rPr>
          <w:rFonts w:cs="Times New Roman"/>
          <w:szCs w:val="24"/>
        </w:rPr>
        <w:t xml:space="preserve"> and </w:t>
      </w:r>
      <m:oMath>
        <m:sSubSup>
          <m:sSubSupPr>
            <m:ctrlPr>
              <w:rPr>
                <w:rFonts w:ascii="Cambria Math" w:hAnsi="Cambria Math" w:cs="Times New Roman"/>
                <w:i/>
                <w:szCs w:val="24"/>
              </w:rPr>
            </m:ctrlPr>
          </m:sSubSupPr>
          <m:e>
            <m:r>
              <w:rPr>
                <w:rFonts w:ascii="Cambria Math" w:hAnsi="Cambria Math" w:cs="Times New Roman"/>
                <w:szCs w:val="24"/>
              </w:rPr>
              <m:t>W</m:t>
            </m:r>
          </m:e>
          <m:sub>
            <m:r>
              <w:rPr>
                <w:rFonts w:ascii="Cambria Math" w:hAnsi="Cambria Math" w:cs="Times New Roman"/>
                <w:szCs w:val="24"/>
              </w:rPr>
              <m:t>ARW</m:t>
            </m:r>
          </m:sub>
          <m:sup>
            <m:r>
              <w:rPr>
                <w:rFonts w:ascii="Cambria Math" w:hAnsi="Cambria Math" w:cs="Times New Roman"/>
                <w:szCs w:val="24"/>
              </w:rPr>
              <m:t>wet</m:t>
            </m:r>
          </m:sup>
        </m:sSubSup>
      </m:oMath>
      <w:r w:rsidRPr="0098140B">
        <w:rPr>
          <w:rFonts w:cs="Times New Roman"/>
          <w:szCs w:val="24"/>
        </w:rPr>
        <w:t xml:space="preserve">, the </w:t>
      </w:r>
      <w:r w:rsidRPr="0098140B">
        <w:rPr>
          <w:rFonts w:cs="Times New Roman"/>
          <w:i/>
          <w:iCs/>
          <w:szCs w:val="24"/>
        </w:rPr>
        <w:t>ER</w:t>
      </w:r>
      <w:r w:rsidRPr="0098140B">
        <w:rPr>
          <w:rFonts w:cs="Times New Roman"/>
          <w:szCs w:val="24"/>
        </w:rPr>
        <w:t xml:space="preserve"> values exhibited significant variations among probe liquid sets for the same binder. The </w:t>
      </w:r>
      <w:r w:rsidRPr="0098140B">
        <w:rPr>
          <w:rFonts w:cs="Times New Roman"/>
          <w:i/>
          <w:iCs/>
          <w:szCs w:val="24"/>
        </w:rPr>
        <w:t>ER</w:t>
      </w:r>
      <w:r w:rsidRPr="0098140B">
        <w:rPr>
          <w:rFonts w:cs="Times New Roman"/>
          <w:szCs w:val="24"/>
        </w:rPr>
        <w:t xml:space="preserve"> value of S1 binder varied from 0.81 to 13.14. Similar results were observed for the other binders. From Table </w:t>
      </w:r>
      <w:r w:rsidR="002B038B" w:rsidRPr="0098140B">
        <w:rPr>
          <w:rFonts w:cs="Times New Roman"/>
          <w:szCs w:val="24"/>
        </w:rPr>
        <w:t>2.</w:t>
      </w:r>
      <w:r w:rsidRPr="0098140B">
        <w:rPr>
          <w:rFonts w:cs="Times New Roman"/>
          <w:szCs w:val="24"/>
        </w:rPr>
        <w:t xml:space="preserve">8, it was observed that a number of probe liquid sets resulted in very similar energy ratios. For example, WGFDE, WFGD, WGED, WFED, WGD, WD, WF, and FD resulted in consistent </w:t>
      </w:r>
      <w:r w:rsidRPr="0098140B">
        <w:rPr>
          <w:rFonts w:cs="Times New Roman"/>
          <w:i/>
          <w:iCs/>
          <w:szCs w:val="24"/>
        </w:rPr>
        <w:t>ER</w:t>
      </w:r>
      <w:r w:rsidRPr="0098140B">
        <w:rPr>
          <w:rFonts w:cs="Times New Roman"/>
          <w:szCs w:val="24"/>
        </w:rPr>
        <w:t xml:space="preserve"> values with variation less than ±3% for the S1 binder and limestone aggregate system. However, probe liquid sets to obtain consistent </w:t>
      </w:r>
      <w:r w:rsidRPr="0098140B">
        <w:rPr>
          <w:rFonts w:cs="Times New Roman"/>
          <w:i/>
          <w:iCs/>
          <w:szCs w:val="24"/>
        </w:rPr>
        <w:t>ER</w:t>
      </w:r>
      <w:r w:rsidRPr="0098140B">
        <w:rPr>
          <w:rFonts w:cs="Times New Roman"/>
          <w:szCs w:val="24"/>
        </w:rPr>
        <w:t xml:space="preserve"> value were found to vary among the tested binders. In all tested binders, WGFDE, WGED and WFED resulted in consistent </w:t>
      </w:r>
      <w:r w:rsidRPr="0098140B">
        <w:rPr>
          <w:rFonts w:cs="Times New Roman"/>
          <w:i/>
          <w:iCs/>
          <w:szCs w:val="24"/>
        </w:rPr>
        <w:t>ER</w:t>
      </w:r>
      <w:r w:rsidRPr="0098140B">
        <w:rPr>
          <w:rFonts w:cs="Times New Roman"/>
          <w:szCs w:val="24"/>
        </w:rPr>
        <w:t xml:space="preserve"> values with a variation of less than ±3%. Therefore, WGFDE, WGED and WFED probe liquid sets can be used for determining consistent SFE components of binders using the Owens-Wendt method.</w:t>
      </w:r>
    </w:p>
    <w:p w14:paraId="3068CD4E" w14:textId="12D4B89F" w:rsidR="0003506A" w:rsidRPr="0098140B" w:rsidRDefault="007F7885" w:rsidP="0055690E">
      <w:pPr>
        <w:jc w:val="center"/>
        <w:rPr>
          <w:rFonts w:eastAsiaTheme="minorEastAsia" w:cs="Times New Roman"/>
          <w:i/>
          <w:szCs w:val="24"/>
        </w:rPr>
      </w:pP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d>
          <m:dPr>
            <m:ctrlPr>
              <w:rPr>
                <w:rFonts w:ascii="Cambria Math" w:hAnsi="Cambria Math" w:cs="Times New Roman"/>
                <w:i/>
                <w:szCs w:val="24"/>
                <w:lang w:val="en-GB" w:eastAsia="en-GB"/>
              </w:rPr>
            </m:ctrlPr>
          </m:dPr>
          <m:e>
            <m:r>
              <w:rPr>
                <w:rFonts w:ascii="Cambria Math" w:hAnsi="Cambria Math" w:cs="Times New Roman"/>
                <w:szCs w:val="24"/>
                <w:lang w:val="en-GB" w:eastAsia="en-GB"/>
              </w:rPr>
              <m:t>Owens-Wendt</m:t>
            </m:r>
          </m:e>
        </m:d>
        <m:r>
          <w:rPr>
            <w:rFonts w:ascii="Cambria Math" w:hAnsi="Cambria Math" w:cs="Times New Roman"/>
            <w:szCs w:val="24"/>
            <w:lang w:val="en-GB" w:eastAsia="en-GB"/>
          </w:rPr>
          <m:t>=2</m:t>
        </m:r>
        <m:rad>
          <m:radPr>
            <m:degHide m:val="1"/>
            <m:ctrlPr>
              <w:rPr>
                <w:rFonts w:ascii="Cambria Math" w:hAnsi="Cambria Math" w:cs="Times New Roman"/>
                <w:i/>
                <w:szCs w:val="24"/>
              </w:rPr>
            </m:ctrlPr>
          </m:radPr>
          <m:deg/>
          <m:e>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d</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d</m:t>
                </m:r>
              </m:sup>
            </m:sSubSup>
          </m:e>
        </m:rad>
        <m:r>
          <w:rPr>
            <w:rFonts w:ascii="Cambria Math" w:hAnsi="Cambria Math" w:cs="Times New Roman"/>
            <w:szCs w:val="24"/>
          </w:rPr>
          <m:t>+</m:t>
        </m:r>
        <m:rad>
          <m:radPr>
            <m:degHide m:val="1"/>
            <m:ctrlPr>
              <w:rPr>
                <w:rFonts w:ascii="Cambria Math" w:hAnsi="Cambria Math" w:cs="Times New Roman"/>
                <w:i/>
                <w:szCs w:val="24"/>
              </w:rPr>
            </m:ctrlPr>
          </m:radPr>
          <m:deg/>
          <m:e>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P</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P</m:t>
                </m:r>
              </m:sup>
            </m:sSubSup>
          </m:e>
        </m:rad>
      </m:oMath>
      <w:r w:rsidR="0003506A" w:rsidRPr="0098140B">
        <w:rPr>
          <w:rFonts w:eastAsiaTheme="minorEastAsia" w:cs="Times New Roman"/>
          <w:i/>
          <w:szCs w:val="24"/>
        </w:rPr>
        <w:t xml:space="preserve">                   </w:t>
      </w:r>
      <w:r w:rsidR="0003506A" w:rsidRPr="0098140B">
        <w:rPr>
          <w:rFonts w:eastAsiaTheme="minorEastAsia" w:cs="Times New Roman"/>
          <w:iCs/>
          <w:szCs w:val="24"/>
        </w:rPr>
        <w:t xml:space="preserve">   (</w:t>
      </w:r>
      <w:r w:rsidR="007655DB">
        <w:rPr>
          <w:rFonts w:cs="Times New Roman"/>
          <w:szCs w:val="24"/>
        </w:rPr>
        <w:t>2.</w:t>
      </w:r>
      <w:r w:rsidR="0003506A" w:rsidRPr="0098140B">
        <w:rPr>
          <w:rFonts w:eastAsiaTheme="minorEastAsia" w:cs="Times New Roman"/>
          <w:iCs/>
          <w:szCs w:val="24"/>
        </w:rPr>
        <w:t>19)</w:t>
      </w:r>
    </w:p>
    <w:p w14:paraId="3F98EFFE" w14:textId="05BB6B88" w:rsidR="0003506A" w:rsidRPr="0098140B" w:rsidRDefault="007F7885" w:rsidP="0055690E">
      <w:pPr>
        <w:jc w:val="center"/>
        <w:rPr>
          <w:rFonts w:cs="Times New Roman"/>
          <w:i/>
          <w:iCs/>
          <w:szCs w:val="24"/>
        </w:rPr>
      </w:pPr>
      <m:oMath>
        <m:sSubSup>
          <m:sSubSupPr>
            <m:ctrlPr>
              <w:rPr>
                <w:rFonts w:ascii="Cambria Math" w:hAnsi="Cambria Math" w:cs="Times New Roman"/>
                <w:i/>
                <w:sz w:val="18"/>
                <w:szCs w:val="18"/>
              </w:rPr>
            </m:ctrlPr>
          </m:sSubSupPr>
          <m:e>
            <m:r>
              <w:rPr>
                <w:rFonts w:ascii="Cambria Math" w:hAnsi="Cambria Math" w:cs="Times New Roman"/>
                <w:sz w:val="18"/>
                <w:szCs w:val="18"/>
              </w:rPr>
              <m:t>W</m:t>
            </m:r>
          </m:e>
          <m:sub>
            <m:r>
              <w:rPr>
                <w:rFonts w:ascii="Cambria Math" w:hAnsi="Cambria Math" w:cs="Times New Roman"/>
                <w:sz w:val="18"/>
                <w:szCs w:val="18"/>
              </w:rPr>
              <m:t>ARW</m:t>
            </m:r>
          </m:sub>
          <m:sup>
            <m:r>
              <w:rPr>
                <w:rFonts w:ascii="Cambria Math" w:hAnsi="Cambria Math" w:cs="Times New Roman"/>
                <w:sz w:val="18"/>
                <w:szCs w:val="18"/>
              </w:rPr>
              <m:t>wet</m:t>
            </m:r>
          </m:sup>
        </m:sSubSup>
        <m:d>
          <m:dPr>
            <m:ctrlPr>
              <w:rPr>
                <w:rFonts w:ascii="Cambria Math" w:hAnsi="Cambria Math" w:cs="Times New Roman"/>
                <w:i/>
                <w:sz w:val="18"/>
                <w:szCs w:val="18"/>
              </w:rPr>
            </m:ctrlPr>
          </m:dPr>
          <m:e>
            <m:r>
              <w:rPr>
                <w:rFonts w:ascii="Cambria Math" w:hAnsi="Cambria Math" w:cs="Times New Roman"/>
                <w:sz w:val="18"/>
                <w:szCs w:val="18"/>
              </w:rPr>
              <m:t>Owens-Wendt</m:t>
            </m:r>
          </m:e>
        </m:d>
        <m:r>
          <w:rPr>
            <w:rFonts w:ascii="Cambria Math" w:hAnsi="Cambria Math" w:cs="Times New Roman"/>
            <w:sz w:val="18"/>
            <w:szCs w:val="18"/>
          </w:rPr>
          <m:t>=2</m:t>
        </m:r>
        <m:d>
          <m:dPr>
            <m:ctrlPr>
              <w:rPr>
                <w:rFonts w:ascii="Cambria Math" w:hAnsi="Cambria Math" w:cs="Times New Roman"/>
                <w:i/>
                <w:sz w:val="18"/>
                <w:szCs w:val="18"/>
              </w:rPr>
            </m:ctrlPr>
          </m:dPr>
          <m:e>
            <m:rad>
              <m:radPr>
                <m:degHide m:val="1"/>
                <m:ctrlPr>
                  <w:rPr>
                    <w:rFonts w:ascii="Cambria Math" w:hAnsi="Cambria Math" w:cs="Times New Roman"/>
                    <w:i/>
                    <w:sz w:val="18"/>
                    <w:szCs w:val="18"/>
                  </w:rPr>
                </m:ctrlPr>
              </m:radPr>
              <m:deg/>
              <m:e>
                <m:sSubSup>
                  <m:sSubSupPr>
                    <m:ctrlPr>
                      <w:rPr>
                        <w:rFonts w:ascii="Cambria Math" w:hAnsi="Cambria Math" w:cs="Times New Roman"/>
                        <w:i/>
                        <w:sz w:val="18"/>
                        <w:szCs w:val="18"/>
                      </w:rPr>
                    </m:ctrlPr>
                  </m:sSubSupPr>
                  <m:e>
                    <m:r>
                      <m:rPr>
                        <m:sty m:val="p"/>
                      </m:rPr>
                      <w:rPr>
                        <w:rFonts w:ascii="Cambria Math" w:hAnsi="Cambria Math" w:cs="Times New Roman"/>
                        <w:sz w:val="18"/>
                        <w:szCs w:val="18"/>
                      </w:rPr>
                      <m:t>Γ</m:t>
                    </m:r>
                  </m:e>
                  <m:sub>
                    <m:r>
                      <w:rPr>
                        <w:rFonts w:ascii="Cambria Math" w:hAnsi="Cambria Math" w:cs="Times New Roman"/>
                        <w:sz w:val="18"/>
                        <w:szCs w:val="18"/>
                      </w:rPr>
                      <m:t>A</m:t>
                    </m:r>
                  </m:sub>
                  <m:sup>
                    <m:r>
                      <w:rPr>
                        <w:rFonts w:ascii="Cambria Math" w:hAnsi="Cambria Math" w:cs="Times New Roman"/>
                        <w:sz w:val="18"/>
                        <w:szCs w:val="18"/>
                      </w:rPr>
                      <m:t>d</m:t>
                    </m:r>
                  </m:sup>
                </m:sSubSup>
                <m:sSubSup>
                  <m:sSubSupPr>
                    <m:ctrlPr>
                      <w:rPr>
                        <w:rFonts w:ascii="Cambria Math" w:hAnsi="Cambria Math" w:cs="Times New Roman"/>
                        <w:i/>
                        <w:sz w:val="18"/>
                        <w:szCs w:val="18"/>
                      </w:rPr>
                    </m:ctrlPr>
                  </m:sSubSupPr>
                  <m:e>
                    <m:r>
                      <m:rPr>
                        <m:sty m:val="p"/>
                      </m:rPr>
                      <w:rPr>
                        <w:rFonts w:ascii="Cambria Math" w:hAnsi="Cambria Math" w:cs="Times New Roman"/>
                        <w:sz w:val="18"/>
                        <w:szCs w:val="18"/>
                      </w:rPr>
                      <m:t>Γ</m:t>
                    </m:r>
                  </m:e>
                  <m:sub>
                    <m:r>
                      <w:rPr>
                        <w:rFonts w:ascii="Cambria Math" w:hAnsi="Cambria Math" w:cs="Times New Roman"/>
                        <w:sz w:val="18"/>
                        <w:szCs w:val="18"/>
                      </w:rPr>
                      <m:t>W</m:t>
                    </m:r>
                  </m:sub>
                  <m:sup>
                    <m:r>
                      <w:rPr>
                        <w:rFonts w:ascii="Cambria Math" w:hAnsi="Cambria Math" w:cs="Times New Roman"/>
                        <w:sz w:val="18"/>
                        <w:szCs w:val="18"/>
                      </w:rPr>
                      <m:t>d</m:t>
                    </m:r>
                  </m:sup>
                </m:sSubSup>
              </m:e>
            </m:rad>
            <m:r>
              <w:rPr>
                <w:rFonts w:ascii="Cambria Math" w:hAnsi="Cambria Math" w:cs="Times New Roman"/>
                <w:sz w:val="18"/>
                <w:szCs w:val="18"/>
              </w:rPr>
              <m:t>+</m:t>
            </m:r>
            <m:rad>
              <m:radPr>
                <m:degHide m:val="1"/>
                <m:ctrlPr>
                  <w:rPr>
                    <w:rFonts w:ascii="Cambria Math" w:hAnsi="Cambria Math" w:cs="Times New Roman"/>
                    <w:i/>
                    <w:sz w:val="18"/>
                    <w:szCs w:val="18"/>
                  </w:rPr>
                </m:ctrlPr>
              </m:radPr>
              <m:deg/>
              <m:e>
                <m:sSubSup>
                  <m:sSubSupPr>
                    <m:ctrlPr>
                      <w:rPr>
                        <w:rFonts w:ascii="Cambria Math" w:hAnsi="Cambria Math" w:cs="Times New Roman"/>
                        <w:i/>
                        <w:sz w:val="18"/>
                        <w:szCs w:val="18"/>
                      </w:rPr>
                    </m:ctrlPr>
                  </m:sSubSupPr>
                  <m:e>
                    <m:r>
                      <m:rPr>
                        <m:sty m:val="p"/>
                      </m:rPr>
                      <w:rPr>
                        <w:rFonts w:ascii="Cambria Math" w:hAnsi="Cambria Math" w:cs="Times New Roman"/>
                        <w:sz w:val="18"/>
                        <w:szCs w:val="18"/>
                      </w:rPr>
                      <m:t>Γ</m:t>
                    </m:r>
                  </m:e>
                  <m:sub>
                    <m:r>
                      <w:rPr>
                        <w:rFonts w:ascii="Cambria Math" w:hAnsi="Cambria Math" w:cs="Times New Roman"/>
                        <w:sz w:val="18"/>
                        <w:szCs w:val="18"/>
                      </w:rPr>
                      <m:t>A</m:t>
                    </m:r>
                  </m:sub>
                  <m:sup>
                    <m:r>
                      <w:rPr>
                        <w:rFonts w:ascii="Cambria Math" w:hAnsi="Cambria Math" w:cs="Times New Roman"/>
                        <w:sz w:val="18"/>
                        <w:szCs w:val="18"/>
                      </w:rPr>
                      <m:t>P</m:t>
                    </m:r>
                  </m:sup>
                </m:sSubSup>
                <m:sSubSup>
                  <m:sSubSupPr>
                    <m:ctrlPr>
                      <w:rPr>
                        <w:rFonts w:ascii="Cambria Math" w:hAnsi="Cambria Math" w:cs="Times New Roman"/>
                        <w:i/>
                        <w:sz w:val="18"/>
                        <w:szCs w:val="18"/>
                      </w:rPr>
                    </m:ctrlPr>
                  </m:sSubSupPr>
                  <m:e>
                    <m:r>
                      <m:rPr>
                        <m:sty m:val="p"/>
                      </m:rPr>
                      <w:rPr>
                        <w:rFonts w:ascii="Cambria Math" w:hAnsi="Cambria Math" w:cs="Times New Roman"/>
                        <w:sz w:val="18"/>
                        <w:szCs w:val="18"/>
                      </w:rPr>
                      <m:t>Γ</m:t>
                    </m:r>
                  </m:e>
                  <m:sub>
                    <m:r>
                      <w:rPr>
                        <w:rFonts w:ascii="Cambria Math" w:hAnsi="Cambria Math" w:cs="Times New Roman"/>
                        <w:sz w:val="18"/>
                        <w:szCs w:val="18"/>
                      </w:rPr>
                      <m:t>W</m:t>
                    </m:r>
                  </m:sub>
                  <m:sup>
                    <m:r>
                      <w:rPr>
                        <w:rFonts w:ascii="Cambria Math" w:hAnsi="Cambria Math" w:cs="Times New Roman"/>
                        <w:sz w:val="18"/>
                        <w:szCs w:val="18"/>
                      </w:rPr>
                      <m:t>P</m:t>
                    </m:r>
                  </m:sup>
                </m:sSubSup>
              </m:e>
            </m:rad>
            <m:r>
              <w:rPr>
                <w:rFonts w:ascii="Cambria Math" w:hAnsi="Cambria Math" w:cs="Times New Roman"/>
                <w:sz w:val="18"/>
                <w:szCs w:val="18"/>
              </w:rPr>
              <m:t>+</m:t>
            </m:r>
            <m:rad>
              <m:radPr>
                <m:degHide m:val="1"/>
                <m:ctrlPr>
                  <w:rPr>
                    <w:rFonts w:ascii="Cambria Math" w:hAnsi="Cambria Math" w:cs="Times New Roman"/>
                    <w:i/>
                    <w:sz w:val="18"/>
                    <w:szCs w:val="18"/>
                  </w:rPr>
                </m:ctrlPr>
              </m:radPr>
              <m:deg/>
              <m:e>
                <m:sSubSup>
                  <m:sSubSupPr>
                    <m:ctrlPr>
                      <w:rPr>
                        <w:rFonts w:ascii="Cambria Math" w:hAnsi="Cambria Math" w:cs="Times New Roman"/>
                        <w:i/>
                        <w:sz w:val="18"/>
                        <w:szCs w:val="18"/>
                      </w:rPr>
                    </m:ctrlPr>
                  </m:sSubSupPr>
                  <m:e>
                    <m:r>
                      <m:rPr>
                        <m:sty m:val="p"/>
                      </m:rPr>
                      <w:rPr>
                        <w:rFonts w:ascii="Cambria Math" w:hAnsi="Cambria Math" w:cs="Times New Roman"/>
                        <w:sz w:val="18"/>
                        <w:szCs w:val="18"/>
                      </w:rPr>
                      <m:t>Γ</m:t>
                    </m:r>
                  </m:e>
                  <m:sub>
                    <m:r>
                      <w:rPr>
                        <w:rFonts w:ascii="Cambria Math" w:hAnsi="Cambria Math" w:cs="Times New Roman"/>
                        <w:sz w:val="18"/>
                        <w:szCs w:val="18"/>
                      </w:rPr>
                      <m:t>R</m:t>
                    </m:r>
                  </m:sub>
                  <m:sup>
                    <m:r>
                      <w:rPr>
                        <w:rFonts w:ascii="Cambria Math" w:hAnsi="Cambria Math" w:cs="Times New Roman"/>
                        <w:sz w:val="18"/>
                        <w:szCs w:val="18"/>
                      </w:rPr>
                      <m:t>d</m:t>
                    </m:r>
                  </m:sup>
                </m:sSubSup>
                <m:sSubSup>
                  <m:sSubSupPr>
                    <m:ctrlPr>
                      <w:rPr>
                        <w:rFonts w:ascii="Cambria Math" w:hAnsi="Cambria Math" w:cs="Times New Roman"/>
                        <w:i/>
                        <w:sz w:val="18"/>
                        <w:szCs w:val="18"/>
                      </w:rPr>
                    </m:ctrlPr>
                  </m:sSubSupPr>
                  <m:e>
                    <m:r>
                      <m:rPr>
                        <m:sty m:val="p"/>
                      </m:rPr>
                      <w:rPr>
                        <w:rFonts w:ascii="Cambria Math" w:hAnsi="Cambria Math" w:cs="Times New Roman"/>
                        <w:sz w:val="18"/>
                        <w:szCs w:val="18"/>
                      </w:rPr>
                      <m:t>Γ</m:t>
                    </m:r>
                  </m:e>
                  <m:sub>
                    <m:r>
                      <w:rPr>
                        <w:rFonts w:ascii="Cambria Math" w:hAnsi="Cambria Math" w:cs="Times New Roman"/>
                        <w:sz w:val="18"/>
                        <w:szCs w:val="18"/>
                      </w:rPr>
                      <m:t>W</m:t>
                    </m:r>
                  </m:sub>
                  <m:sup>
                    <m:r>
                      <w:rPr>
                        <w:rFonts w:ascii="Cambria Math" w:hAnsi="Cambria Math" w:cs="Times New Roman"/>
                        <w:sz w:val="18"/>
                        <w:szCs w:val="18"/>
                      </w:rPr>
                      <m:t>d</m:t>
                    </m:r>
                  </m:sup>
                </m:sSubSup>
              </m:e>
            </m:rad>
            <m:r>
              <w:rPr>
                <w:rFonts w:ascii="Cambria Math" w:hAnsi="Cambria Math" w:cs="Times New Roman"/>
                <w:sz w:val="18"/>
                <w:szCs w:val="18"/>
              </w:rPr>
              <m:t>+</m:t>
            </m:r>
            <m:rad>
              <m:radPr>
                <m:degHide m:val="1"/>
                <m:ctrlPr>
                  <w:rPr>
                    <w:rFonts w:ascii="Cambria Math" w:hAnsi="Cambria Math" w:cs="Times New Roman"/>
                    <w:i/>
                    <w:sz w:val="18"/>
                    <w:szCs w:val="18"/>
                  </w:rPr>
                </m:ctrlPr>
              </m:radPr>
              <m:deg/>
              <m:e>
                <m:sSubSup>
                  <m:sSubSupPr>
                    <m:ctrlPr>
                      <w:rPr>
                        <w:rFonts w:ascii="Cambria Math" w:hAnsi="Cambria Math" w:cs="Times New Roman"/>
                        <w:i/>
                        <w:sz w:val="18"/>
                        <w:szCs w:val="18"/>
                      </w:rPr>
                    </m:ctrlPr>
                  </m:sSubSupPr>
                  <m:e>
                    <m:r>
                      <m:rPr>
                        <m:sty m:val="p"/>
                      </m:rPr>
                      <w:rPr>
                        <w:rFonts w:ascii="Cambria Math" w:hAnsi="Cambria Math" w:cs="Times New Roman"/>
                        <w:sz w:val="18"/>
                        <w:szCs w:val="18"/>
                      </w:rPr>
                      <m:t>Γ</m:t>
                    </m:r>
                  </m:e>
                  <m:sub>
                    <m:r>
                      <w:rPr>
                        <w:rFonts w:ascii="Cambria Math" w:hAnsi="Cambria Math" w:cs="Times New Roman"/>
                        <w:sz w:val="18"/>
                        <w:szCs w:val="18"/>
                      </w:rPr>
                      <m:t>R</m:t>
                    </m:r>
                  </m:sub>
                  <m:sup>
                    <m:r>
                      <w:rPr>
                        <w:rFonts w:ascii="Cambria Math" w:hAnsi="Cambria Math" w:cs="Times New Roman"/>
                        <w:sz w:val="18"/>
                        <w:szCs w:val="18"/>
                      </w:rPr>
                      <m:t>P</m:t>
                    </m:r>
                  </m:sup>
                </m:sSubSup>
                <m:sSubSup>
                  <m:sSubSupPr>
                    <m:ctrlPr>
                      <w:rPr>
                        <w:rFonts w:ascii="Cambria Math" w:hAnsi="Cambria Math" w:cs="Times New Roman"/>
                        <w:i/>
                        <w:sz w:val="18"/>
                        <w:szCs w:val="18"/>
                      </w:rPr>
                    </m:ctrlPr>
                  </m:sSubSupPr>
                  <m:e>
                    <m:r>
                      <m:rPr>
                        <m:sty m:val="p"/>
                      </m:rPr>
                      <w:rPr>
                        <w:rFonts w:ascii="Cambria Math" w:hAnsi="Cambria Math" w:cs="Times New Roman"/>
                        <w:sz w:val="18"/>
                        <w:szCs w:val="18"/>
                      </w:rPr>
                      <m:t>Γ</m:t>
                    </m:r>
                  </m:e>
                  <m:sub>
                    <m:r>
                      <w:rPr>
                        <w:rFonts w:ascii="Cambria Math" w:hAnsi="Cambria Math" w:cs="Times New Roman"/>
                        <w:sz w:val="18"/>
                        <w:szCs w:val="18"/>
                      </w:rPr>
                      <m:t>W</m:t>
                    </m:r>
                  </m:sub>
                  <m:sup>
                    <m:r>
                      <w:rPr>
                        <w:rFonts w:ascii="Cambria Math" w:hAnsi="Cambria Math" w:cs="Times New Roman"/>
                        <w:sz w:val="18"/>
                        <w:szCs w:val="18"/>
                      </w:rPr>
                      <m:t>P</m:t>
                    </m:r>
                  </m:sup>
                </m:sSubSup>
              </m:e>
            </m:rad>
            <m:r>
              <w:rPr>
                <w:rFonts w:ascii="Cambria Math" w:hAnsi="Cambria Math" w:cs="Times New Roman"/>
                <w:sz w:val="18"/>
                <w:szCs w:val="18"/>
              </w:rPr>
              <m:t>-</m:t>
            </m:r>
            <m:rad>
              <m:radPr>
                <m:degHide m:val="1"/>
                <m:ctrlPr>
                  <w:rPr>
                    <w:rFonts w:ascii="Cambria Math" w:hAnsi="Cambria Math" w:cs="Times New Roman"/>
                    <w:i/>
                    <w:sz w:val="18"/>
                    <w:szCs w:val="18"/>
                  </w:rPr>
                </m:ctrlPr>
              </m:radPr>
              <m:deg/>
              <m:e>
                <m:sSubSup>
                  <m:sSubSupPr>
                    <m:ctrlPr>
                      <w:rPr>
                        <w:rFonts w:ascii="Cambria Math" w:hAnsi="Cambria Math" w:cs="Times New Roman"/>
                        <w:i/>
                        <w:sz w:val="18"/>
                        <w:szCs w:val="18"/>
                      </w:rPr>
                    </m:ctrlPr>
                  </m:sSubSupPr>
                  <m:e>
                    <m:r>
                      <m:rPr>
                        <m:sty m:val="p"/>
                      </m:rPr>
                      <w:rPr>
                        <w:rFonts w:ascii="Cambria Math" w:hAnsi="Cambria Math" w:cs="Times New Roman"/>
                        <w:sz w:val="18"/>
                        <w:szCs w:val="18"/>
                      </w:rPr>
                      <m:t>Γ</m:t>
                    </m:r>
                  </m:e>
                  <m:sub>
                    <m:r>
                      <w:rPr>
                        <w:rFonts w:ascii="Cambria Math" w:hAnsi="Cambria Math" w:cs="Times New Roman"/>
                        <w:sz w:val="18"/>
                        <w:szCs w:val="18"/>
                      </w:rPr>
                      <m:t>A</m:t>
                    </m:r>
                  </m:sub>
                  <m:sup>
                    <m:r>
                      <w:rPr>
                        <w:rFonts w:ascii="Cambria Math" w:hAnsi="Cambria Math" w:cs="Times New Roman"/>
                        <w:sz w:val="18"/>
                        <w:szCs w:val="18"/>
                      </w:rPr>
                      <m:t>d</m:t>
                    </m:r>
                  </m:sup>
                </m:sSubSup>
                <m:sSubSup>
                  <m:sSubSupPr>
                    <m:ctrlPr>
                      <w:rPr>
                        <w:rFonts w:ascii="Cambria Math" w:hAnsi="Cambria Math" w:cs="Times New Roman"/>
                        <w:i/>
                        <w:sz w:val="18"/>
                        <w:szCs w:val="18"/>
                      </w:rPr>
                    </m:ctrlPr>
                  </m:sSubSupPr>
                  <m:e>
                    <m:r>
                      <m:rPr>
                        <m:sty m:val="p"/>
                      </m:rPr>
                      <w:rPr>
                        <w:rFonts w:ascii="Cambria Math" w:hAnsi="Cambria Math" w:cs="Times New Roman"/>
                        <w:sz w:val="18"/>
                        <w:szCs w:val="18"/>
                      </w:rPr>
                      <m:t>Γ</m:t>
                    </m:r>
                  </m:e>
                  <m:sub>
                    <m:r>
                      <w:rPr>
                        <w:rFonts w:ascii="Cambria Math" w:hAnsi="Cambria Math" w:cs="Times New Roman"/>
                        <w:sz w:val="18"/>
                        <w:szCs w:val="18"/>
                      </w:rPr>
                      <m:t>R</m:t>
                    </m:r>
                  </m:sub>
                  <m:sup>
                    <m:r>
                      <w:rPr>
                        <w:rFonts w:ascii="Cambria Math" w:hAnsi="Cambria Math" w:cs="Times New Roman"/>
                        <w:sz w:val="18"/>
                        <w:szCs w:val="18"/>
                      </w:rPr>
                      <m:t>d</m:t>
                    </m:r>
                  </m:sup>
                </m:sSubSup>
              </m:e>
            </m:rad>
            <m:r>
              <w:rPr>
                <w:rFonts w:ascii="Cambria Math" w:hAnsi="Cambria Math" w:cs="Times New Roman"/>
                <w:sz w:val="18"/>
                <w:szCs w:val="18"/>
              </w:rPr>
              <m:t>-</m:t>
            </m:r>
            <m:rad>
              <m:radPr>
                <m:degHide m:val="1"/>
                <m:ctrlPr>
                  <w:rPr>
                    <w:rFonts w:ascii="Cambria Math" w:hAnsi="Cambria Math" w:cs="Times New Roman"/>
                    <w:i/>
                    <w:sz w:val="18"/>
                    <w:szCs w:val="18"/>
                  </w:rPr>
                </m:ctrlPr>
              </m:radPr>
              <m:deg/>
              <m:e>
                <m:sSubSup>
                  <m:sSubSupPr>
                    <m:ctrlPr>
                      <w:rPr>
                        <w:rFonts w:ascii="Cambria Math" w:hAnsi="Cambria Math" w:cs="Times New Roman"/>
                        <w:i/>
                        <w:sz w:val="18"/>
                        <w:szCs w:val="18"/>
                      </w:rPr>
                    </m:ctrlPr>
                  </m:sSubSupPr>
                  <m:e>
                    <m:r>
                      <m:rPr>
                        <m:sty m:val="p"/>
                      </m:rPr>
                      <w:rPr>
                        <w:rFonts w:ascii="Cambria Math" w:hAnsi="Cambria Math" w:cs="Times New Roman"/>
                        <w:sz w:val="18"/>
                        <w:szCs w:val="18"/>
                      </w:rPr>
                      <m:t>Γ</m:t>
                    </m:r>
                  </m:e>
                  <m:sub>
                    <m:r>
                      <w:rPr>
                        <w:rFonts w:ascii="Cambria Math" w:hAnsi="Cambria Math" w:cs="Times New Roman"/>
                        <w:sz w:val="18"/>
                        <w:szCs w:val="18"/>
                      </w:rPr>
                      <m:t>R</m:t>
                    </m:r>
                  </m:sub>
                  <m:sup>
                    <m:r>
                      <w:rPr>
                        <w:rFonts w:ascii="Cambria Math" w:hAnsi="Cambria Math" w:cs="Times New Roman"/>
                        <w:sz w:val="18"/>
                        <w:szCs w:val="18"/>
                      </w:rPr>
                      <m:t>P</m:t>
                    </m:r>
                  </m:sup>
                </m:sSubSup>
                <m:sSubSup>
                  <m:sSubSupPr>
                    <m:ctrlPr>
                      <w:rPr>
                        <w:rFonts w:ascii="Cambria Math" w:hAnsi="Cambria Math" w:cs="Times New Roman"/>
                        <w:i/>
                        <w:sz w:val="18"/>
                        <w:szCs w:val="18"/>
                      </w:rPr>
                    </m:ctrlPr>
                  </m:sSubSupPr>
                  <m:e>
                    <m:r>
                      <m:rPr>
                        <m:sty m:val="p"/>
                      </m:rPr>
                      <w:rPr>
                        <w:rFonts w:ascii="Cambria Math" w:hAnsi="Cambria Math" w:cs="Times New Roman"/>
                        <w:sz w:val="18"/>
                        <w:szCs w:val="18"/>
                      </w:rPr>
                      <m:t>Γ</m:t>
                    </m:r>
                  </m:e>
                  <m:sub>
                    <m:r>
                      <w:rPr>
                        <w:rFonts w:ascii="Cambria Math" w:hAnsi="Cambria Math" w:cs="Times New Roman"/>
                        <w:sz w:val="18"/>
                        <w:szCs w:val="18"/>
                      </w:rPr>
                      <m:t>W</m:t>
                    </m:r>
                  </m:sub>
                  <m:sup>
                    <m:r>
                      <w:rPr>
                        <w:rFonts w:ascii="Cambria Math" w:hAnsi="Cambria Math" w:cs="Times New Roman"/>
                        <w:sz w:val="18"/>
                        <w:szCs w:val="18"/>
                      </w:rPr>
                      <m:t>P</m:t>
                    </m:r>
                  </m:sup>
                </m:sSubSup>
              </m:e>
            </m:rad>
            <m:r>
              <w:rPr>
                <w:rFonts w:ascii="Cambria Math" w:hAnsi="Cambria Math" w:cs="Times New Roman"/>
                <w:sz w:val="18"/>
                <w:szCs w:val="18"/>
              </w:rPr>
              <m:t>-</m:t>
            </m:r>
            <m:sSub>
              <m:sSubPr>
                <m:ctrlPr>
                  <w:rPr>
                    <w:rFonts w:ascii="Cambria Math" w:hAnsi="Cambria Math" w:cs="Times New Roman"/>
                    <w:i/>
                    <w:sz w:val="18"/>
                    <w:szCs w:val="18"/>
                  </w:rPr>
                </m:ctrlPr>
              </m:sSubPr>
              <m:e>
                <m:r>
                  <m:rPr>
                    <m:sty m:val="p"/>
                  </m:rPr>
                  <w:rPr>
                    <w:rFonts w:ascii="Cambria Math" w:hAnsi="Cambria Math" w:cs="Times New Roman"/>
                    <w:sz w:val="18"/>
                    <w:szCs w:val="18"/>
                  </w:rPr>
                  <m:t>Γ</m:t>
                </m:r>
              </m:e>
              <m:sub>
                <m:r>
                  <w:rPr>
                    <w:rFonts w:ascii="Cambria Math" w:hAnsi="Cambria Math" w:cs="Times New Roman"/>
                    <w:sz w:val="18"/>
                    <w:szCs w:val="18"/>
                  </w:rPr>
                  <m:t>w</m:t>
                </m:r>
              </m:sub>
            </m:sSub>
          </m:e>
        </m:d>
      </m:oMath>
      <w:r w:rsidR="0003506A" w:rsidRPr="0098140B">
        <w:rPr>
          <w:rFonts w:eastAsiaTheme="minorEastAsia" w:cs="Times New Roman"/>
          <w:i/>
          <w:szCs w:val="24"/>
        </w:rPr>
        <w:t xml:space="preserve">  </w:t>
      </w:r>
      <w:r w:rsidR="0003506A" w:rsidRPr="0098140B">
        <w:rPr>
          <w:rFonts w:eastAsiaTheme="minorEastAsia" w:cs="Times New Roman"/>
          <w:iCs/>
          <w:szCs w:val="24"/>
        </w:rPr>
        <w:t xml:space="preserve"> </w:t>
      </w:r>
      <w:r w:rsidR="005F5F10" w:rsidRPr="0098140B">
        <w:rPr>
          <w:rFonts w:eastAsiaTheme="minorEastAsia" w:cs="Times New Roman"/>
          <w:iCs/>
          <w:szCs w:val="24"/>
        </w:rPr>
        <w:t>(</w:t>
      </w:r>
      <w:r w:rsidR="007655DB">
        <w:rPr>
          <w:rFonts w:cs="Times New Roman"/>
          <w:szCs w:val="24"/>
        </w:rPr>
        <w:t>2.</w:t>
      </w:r>
      <w:r w:rsidR="0003506A" w:rsidRPr="0098140B">
        <w:rPr>
          <w:rFonts w:eastAsiaTheme="minorEastAsia" w:cs="Times New Roman"/>
          <w:iCs/>
          <w:szCs w:val="24"/>
        </w:rPr>
        <w:t>20)</w:t>
      </w:r>
    </w:p>
    <w:p w14:paraId="693BC820" w14:textId="0218E3A0" w:rsidR="0003506A" w:rsidRPr="0098140B" w:rsidRDefault="0003506A" w:rsidP="008A24F0">
      <w:pPr>
        <w:jc w:val="center"/>
        <w:rPr>
          <w:rFonts w:cs="Times New Roman"/>
          <w:szCs w:val="24"/>
        </w:rPr>
      </w:pPr>
      <m:oMath>
        <m:r>
          <w:rPr>
            <w:rFonts w:ascii="Cambria Math" w:hAnsi="Cambria Math" w:cs="Times New Roman"/>
            <w:sz w:val="22"/>
          </w:rPr>
          <m:t xml:space="preserve">ER </m:t>
        </m:r>
        <m:d>
          <m:dPr>
            <m:ctrlPr>
              <w:rPr>
                <w:rFonts w:ascii="Cambria Math" w:hAnsi="Cambria Math" w:cs="Times New Roman"/>
                <w:i/>
                <w:sz w:val="22"/>
              </w:rPr>
            </m:ctrlPr>
          </m:dPr>
          <m:e>
            <m:r>
              <w:rPr>
                <w:rFonts w:ascii="Cambria Math" w:hAnsi="Cambria Math" w:cs="Times New Roman"/>
                <w:sz w:val="22"/>
              </w:rPr>
              <m:t>Owens-Wendt</m:t>
            </m:r>
          </m:e>
        </m:d>
        <m:r>
          <w:rPr>
            <w:rFonts w:ascii="Cambria Math" w:hAnsi="Cambria Math" w:cs="Times New Roman"/>
            <w:sz w:val="22"/>
          </w:rPr>
          <m:t xml:space="preserve">= </m:t>
        </m:r>
        <m:d>
          <m:dPr>
            <m:begChr m:val="|"/>
            <m:endChr m:val="|"/>
            <m:ctrlPr>
              <w:rPr>
                <w:rFonts w:ascii="Cambria Math" w:hAnsi="Cambria Math" w:cs="Times New Roman"/>
                <w:i/>
                <w:sz w:val="22"/>
              </w:rPr>
            </m:ctrlPr>
          </m:dPr>
          <m:e>
            <m:f>
              <m:fPr>
                <m:ctrlPr>
                  <w:rPr>
                    <w:rFonts w:ascii="Cambria Math" w:hAnsi="Cambria Math" w:cs="Times New Roman"/>
                    <w:i/>
                    <w:sz w:val="22"/>
                  </w:rPr>
                </m:ctrlPr>
              </m:fPr>
              <m:num>
                <m:rad>
                  <m:radPr>
                    <m:degHide m:val="1"/>
                    <m:ctrlPr>
                      <w:rPr>
                        <w:rFonts w:ascii="Cambria Math" w:hAnsi="Cambria Math" w:cs="Times New Roman"/>
                        <w:i/>
                        <w:sz w:val="22"/>
                      </w:rPr>
                    </m:ctrlPr>
                  </m:radPr>
                  <m:deg/>
                  <m:e>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A</m:t>
                        </m:r>
                      </m:sub>
                      <m:sup>
                        <m:r>
                          <w:rPr>
                            <w:rFonts w:ascii="Cambria Math" w:hAnsi="Cambria Math" w:cs="Times New Roman"/>
                            <w:sz w:val="22"/>
                          </w:rPr>
                          <m:t>d</m:t>
                        </m:r>
                      </m:sup>
                    </m:sSubSup>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R</m:t>
                        </m:r>
                      </m:sub>
                      <m:sup>
                        <m:r>
                          <w:rPr>
                            <w:rFonts w:ascii="Cambria Math" w:hAnsi="Cambria Math" w:cs="Times New Roman"/>
                            <w:sz w:val="22"/>
                          </w:rPr>
                          <m:t>d</m:t>
                        </m:r>
                      </m:sup>
                    </m:sSubSup>
                  </m:e>
                </m:rad>
                <m:r>
                  <w:rPr>
                    <w:rFonts w:ascii="Cambria Math" w:hAnsi="Cambria Math" w:cs="Times New Roman"/>
                    <w:sz w:val="22"/>
                  </w:rPr>
                  <m:t>+</m:t>
                </m:r>
                <m:rad>
                  <m:radPr>
                    <m:degHide m:val="1"/>
                    <m:ctrlPr>
                      <w:rPr>
                        <w:rFonts w:ascii="Cambria Math" w:hAnsi="Cambria Math" w:cs="Times New Roman"/>
                        <w:i/>
                        <w:sz w:val="22"/>
                      </w:rPr>
                    </m:ctrlPr>
                  </m:radPr>
                  <m:deg/>
                  <m:e>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A</m:t>
                        </m:r>
                      </m:sub>
                      <m:sup>
                        <m:r>
                          <w:rPr>
                            <w:rFonts w:ascii="Cambria Math" w:hAnsi="Cambria Math" w:cs="Times New Roman"/>
                            <w:sz w:val="22"/>
                          </w:rPr>
                          <m:t>P</m:t>
                        </m:r>
                      </m:sup>
                    </m:sSubSup>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R</m:t>
                        </m:r>
                      </m:sub>
                      <m:sup>
                        <m:r>
                          <w:rPr>
                            <w:rFonts w:ascii="Cambria Math" w:hAnsi="Cambria Math" w:cs="Times New Roman"/>
                            <w:sz w:val="22"/>
                          </w:rPr>
                          <m:t>P</m:t>
                        </m:r>
                      </m:sup>
                    </m:sSubSup>
                  </m:e>
                </m:rad>
              </m:num>
              <m:den>
                <m:rad>
                  <m:radPr>
                    <m:degHide m:val="1"/>
                    <m:ctrlPr>
                      <w:rPr>
                        <w:rFonts w:ascii="Cambria Math" w:hAnsi="Cambria Math" w:cs="Times New Roman"/>
                        <w:i/>
                        <w:sz w:val="22"/>
                      </w:rPr>
                    </m:ctrlPr>
                  </m:radPr>
                  <m:deg/>
                  <m:e>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A</m:t>
                        </m:r>
                      </m:sub>
                      <m:sup>
                        <m:r>
                          <w:rPr>
                            <w:rFonts w:ascii="Cambria Math" w:hAnsi="Cambria Math" w:cs="Times New Roman"/>
                            <w:sz w:val="22"/>
                          </w:rPr>
                          <m:t>d</m:t>
                        </m:r>
                      </m:sup>
                    </m:sSubSup>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W</m:t>
                        </m:r>
                      </m:sub>
                      <m:sup>
                        <m:r>
                          <w:rPr>
                            <w:rFonts w:ascii="Cambria Math" w:hAnsi="Cambria Math" w:cs="Times New Roman"/>
                            <w:sz w:val="22"/>
                          </w:rPr>
                          <m:t>d</m:t>
                        </m:r>
                      </m:sup>
                    </m:sSubSup>
                  </m:e>
                </m:rad>
                <m:r>
                  <w:rPr>
                    <w:rFonts w:ascii="Cambria Math" w:hAnsi="Cambria Math" w:cs="Times New Roman"/>
                    <w:sz w:val="22"/>
                  </w:rPr>
                  <m:t>+</m:t>
                </m:r>
                <m:rad>
                  <m:radPr>
                    <m:degHide m:val="1"/>
                    <m:ctrlPr>
                      <w:rPr>
                        <w:rFonts w:ascii="Cambria Math" w:hAnsi="Cambria Math" w:cs="Times New Roman"/>
                        <w:i/>
                        <w:sz w:val="22"/>
                      </w:rPr>
                    </m:ctrlPr>
                  </m:radPr>
                  <m:deg/>
                  <m:e>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A</m:t>
                        </m:r>
                      </m:sub>
                      <m:sup>
                        <m:r>
                          <w:rPr>
                            <w:rFonts w:ascii="Cambria Math" w:hAnsi="Cambria Math" w:cs="Times New Roman"/>
                            <w:sz w:val="22"/>
                          </w:rPr>
                          <m:t>P</m:t>
                        </m:r>
                      </m:sup>
                    </m:sSubSup>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W</m:t>
                        </m:r>
                      </m:sub>
                      <m:sup>
                        <m:r>
                          <w:rPr>
                            <w:rFonts w:ascii="Cambria Math" w:hAnsi="Cambria Math" w:cs="Times New Roman"/>
                            <w:sz w:val="22"/>
                          </w:rPr>
                          <m:t>P</m:t>
                        </m:r>
                      </m:sup>
                    </m:sSubSup>
                  </m:e>
                </m:rad>
                <m:r>
                  <w:rPr>
                    <w:rFonts w:ascii="Cambria Math" w:hAnsi="Cambria Math" w:cs="Times New Roman"/>
                    <w:sz w:val="22"/>
                  </w:rPr>
                  <m:t>+</m:t>
                </m:r>
                <m:rad>
                  <m:radPr>
                    <m:degHide m:val="1"/>
                    <m:ctrlPr>
                      <w:rPr>
                        <w:rFonts w:ascii="Cambria Math" w:hAnsi="Cambria Math" w:cs="Times New Roman"/>
                        <w:i/>
                        <w:sz w:val="22"/>
                      </w:rPr>
                    </m:ctrlPr>
                  </m:radPr>
                  <m:deg/>
                  <m:e>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R</m:t>
                        </m:r>
                      </m:sub>
                      <m:sup>
                        <m:r>
                          <w:rPr>
                            <w:rFonts w:ascii="Cambria Math" w:hAnsi="Cambria Math" w:cs="Times New Roman"/>
                            <w:sz w:val="22"/>
                          </w:rPr>
                          <m:t>d</m:t>
                        </m:r>
                      </m:sup>
                    </m:sSubSup>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W</m:t>
                        </m:r>
                      </m:sub>
                      <m:sup>
                        <m:r>
                          <w:rPr>
                            <w:rFonts w:ascii="Cambria Math" w:hAnsi="Cambria Math" w:cs="Times New Roman"/>
                            <w:sz w:val="22"/>
                          </w:rPr>
                          <m:t>d</m:t>
                        </m:r>
                      </m:sup>
                    </m:sSubSup>
                  </m:e>
                </m:rad>
                <m:r>
                  <w:rPr>
                    <w:rFonts w:ascii="Cambria Math" w:hAnsi="Cambria Math" w:cs="Times New Roman"/>
                    <w:sz w:val="22"/>
                  </w:rPr>
                  <m:t>+</m:t>
                </m:r>
                <m:rad>
                  <m:radPr>
                    <m:degHide m:val="1"/>
                    <m:ctrlPr>
                      <w:rPr>
                        <w:rFonts w:ascii="Cambria Math" w:hAnsi="Cambria Math" w:cs="Times New Roman"/>
                        <w:i/>
                        <w:sz w:val="22"/>
                      </w:rPr>
                    </m:ctrlPr>
                  </m:radPr>
                  <m:deg/>
                  <m:e>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R</m:t>
                        </m:r>
                      </m:sub>
                      <m:sup>
                        <m:r>
                          <w:rPr>
                            <w:rFonts w:ascii="Cambria Math" w:hAnsi="Cambria Math" w:cs="Times New Roman"/>
                            <w:sz w:val="22"/>
                          </w:rPr>
                          <m:t>P</m:t>
                        </m:r>
                      </m:sup>
                    </m:sSubSup>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W</m:t>
                        </m:r>
                      </m:sub>
                      <m:sup>
                        <m:r>
                          <w:rPr>
                            <w:rFonts w:ascii="Cambria Math" w:hAnsi="Cambria Math" w:cs="Times New Roman"/>
                            <w:sz w:val="22"/>
                          </w:rPr>
                          <m:t>P</m:t>
                        </m:r>
                      </m:sup>
                    </m:sSubSup>
                  </m:e>
                </m:rad>
                <m:r>
                  <w:rPr>
                    <w:rFonts w:ascii="Cambria Math" w:hAnsi="Cambria Math" w:cs="Times New Roman"/>
                    <w:sz w:val="22"/>
                  </w:rPr>
                  <m:t>-</m:t>
                </m:r>
                <m:rad>
                  <m:radPr>
                    <m:degHide m:val="1"/>
                    <m:ctrlPr>
                      <w:rPr>
                        <w:rFonts w:ascii="Cambria Math" w:hAnsi="Cambria Math" w:cs="Times New Roman"/>
                        <w:i/>
                        <w:sz w:val="22"/>
                      </w:rPr>
                    </m:ctrlPr>
                  </m:radPr>
                  <m:deg/>
                  <m:e>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A</m:t>
                        </m:r>
                      </m:sub>
                      <m:sup>
                        <m:r>
                          <w:rPr>
                            <w:rFonts w:ascii="Cambria Math" w:hAnsi="Cambria Math" w:cs="Times New Roman"/>
                            <w:sz w:val="22"/>
                          </w:rPr>
                          <m:t>d</m:t>
                        </m:r>
                      </m:sup>
                    </m:sSubSup>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R</m:t>
                        </m:r>
                      </m:sub>
                      <m:sup>
                        <m:r>
                          <w:rPr>
                            <w:rFonts w:ascii="Cambria Math" w:hAnsi="Cambria Math" w:cs="Times New Roman"/>
                            <w:sz w:val="22"/>
                          </w:rPr>
                          <m:t>d</m:t>
                        </m:r>
                      </m:sup>
                    </m:sSubSup>
                  </m:e>
                </m:rad>
                <m:r>
                  <w:rPr>
                    <w:rFonts w:ascii="Cambria Math" w:hAnsi="Cambria Math" w:cs="Times New Roman"/>
                    <w:sz w:val="22"/>
                  </w:rPr>
                  <m:t>-</m:t>
                </m:r>
                <m:rad>
                  <m:radPr>
                    <m:degHide m:val="1"/>
                    <m:ctrlPr>
                      <w:rPr>
                        <w:rFonts w:ascii="Cambria Math" w:hAnsi="Cambria Math" w:cs="Times New Roman"/>
                        <w:i/>
                        <w:sz w:val="22"/>
                      </w:rPr>
                    </m:ctrlPr>
                  </m:radPr>
                  <m:deg/>
                  <m:e>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R</m:t>
                        </m:r>
                      </m:sub>
                      <m:sup>
                        <m:r>
                          <w:rPr>
                            <w:rFonts w:ascii="Cambria Math" w:hAnsi="Cambria Math" w:cs="Times New Roman"/>
                            <w:sz w:val="22"/>
                          </w:rPr>
                          <m:t>P</m:t>
                        </m:r>
                      </m:sup>
                    </m:sSubSup>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W</m:t>
                        </m:r>
                      </m:sub>
                      <m:sup>
                        <m:r>
                          <w:rPr>
                            <w:rFonts w:ascii="Cambria Math" w:hAnsi="Cambria Math" w:cs="Times New Roman"/>
                            <w:sz w:val="22"/>
                          </w:rPr>
                          <m:t>P</m:t>
                        </m:r>
                      </m:sup>
                    </m:sSubSup>
                  </m:e>
                </m:rad>
                <m:r>
                  <w:rPr>
                    <w:rFonts w:ascii="Cambria Math" w:hAnsi="Cambria Math" w:cs="Times New Roman"/>
                    <w:sz w:val="22"/>
                  </w:rPr>
                  <m:t>-</m:t>
                </m:r>
                <m:sSub>
                  <m:sSubPr>
                    <m:ctrlPr>
                      <w:rPr>
                        <w:rFonts w:ascii="Cambria Math" w:hAnsi="Cambria Math" w:cs="Times New Roman"/>
                        <w:i/>
                        <w:sz w:val="22"/>
                      </w:rPr>
                    </m:ctrlPr>
                  </m:sSubPr>
                  <m:e>
                    <m:r>
                      <m:rPr>
                        <m:sty m:val="p"/>
                      </m:rPr>
                      <w:rPr>
                        <w:rFonts w:ascii="Cambria Math" w:hAnsi="Cambria Math" w:cs="Times New Roman"/>
                        <w:sz w:val="22"/>
                      </w:rPr>
                      <m:t>Γ</m:t>
                    </m:r>
                  </m:e>
                  <m:sub>
                    <m:r>
                      <w:rPr>
                        <w:rFonts w:ascii="Cambria Math" w:hAnsi="Cambria Math" w:cs="Times New Roman"/>
                        <w:sz w:val="22"/>
                      </w:rPr>
                      <m:t>w</m:t>
                    </m:r>
                  </m:sub>
                </m:sSub>
              </m:den>
            </m:f>
          </m:e>
        </m:d>
      </m:oMath>
      <w:r w:rsidRPr="0098140B">
        <w:rPr>
          <w:rFonts w:eastAsiaTheme="minorEastAsia" w:cs="Times New Roman"/>
          <w:szCs w:val="24"/>
        </w:rPr>
        <w:t xml:space="preserve">    (</w:t>
      </w:r>
      <w:r w:rsidR="007655DB">
        <w:rPr>
          <w:rFonts w:cs="Times New Roman"/>
          <w:szCs w:val="24"/>
        </w:rPr>
        <w:t>2.</w:t>
      </w:r>
      <w:r w:rsidRPr="0098140B">
        <w:rPr>
          <w:rFonts w:eastAsiaTheme="minorEastAsia" w:cs="Times New Roman"/>
          <w:szCs w:val="24"/>
        </w:rPr>
        <w:t>21)</w:t>
      </w:r>
    </w:p>
    <w:p w14:paraId="55350663" w14:textId="77777777" w:rsidR="0003506A" w:rsidRPr="0098140B" w:rsidRDefault="0003506A" w:rsidP="008A24F0">
      <w:pPr>
        <w:pStyle w:val="Heading5"/>
        <w:spacing w:before="0" w:after="0"/>
        <w:rPr>
          <w:szCs w:val="24"/>
        </w:rPr>
      </w:pPr>
      <w:r w:rsidRPr="0098140B">
        <w:rPr>
          <w:szCs w:val="24"/>
        </w:rPr>
        <w:t>Wu Method</w:t>
      </w:r>
    </w:p>
    <w:p w14:paraId="6E42E059" w14:textId="5041B7D2" w:rsidR="0003506A" w:rsidRPr="0098140B" w:rsidRDefault="0003506A" w:rsidP="008A24F0">
      <w:pPr>
        <w:ind w:firstLine="720"/>
        <w:rPr>
          <w:rFonts w:cs="Times New Roman"/>
          <w:szCs w:val="24"/>
        </w:rPr>
      </w:pPr>
      <w:r w:rsidRPr="0098140B">
        <w:rPr>
          <w:rFonts w:cs="Times New Roman"/>
          <w:szCs w:val="24"/>
        </w:rPr>
        <w:t xml:space="preserve">The Wu method </w:t>
      </w:r>
      <w:r w:rsidRPr="0098140B">
        <w:rPr>
          <w:rFonts w:cs="Times New Roman"/>
          <w:szCs w:val="24"/>
        </w:rPr>
        <w:fldChar w:fldCharType="begin"/>
      </w:r>
      <w:r w:rsidR="00282238">
        <w:rPr>
          <w:rFonts w:cs="Times New Roman"/>
          <w:szCs w:val="24"/>
        </w:rPr>
        <w:instrText xml:space="preserve"> ADDIN EN.CITE &lt;EndNote&gt;&lt;Cite&gt;&lt;Author&gt;Wu&lt;/Author&gt;&lt;Year&gt;1971&lt;/Year&gt;&lt;RecNum&gt;22&lt;/RecNum&gt;&lt;DisplayText&gt;(Wu, 1971; Wu, 1973)&lt;/DisplayText&gt;&lt;record&gt;&lt;rec-number&gt;22&lt;/rec-number&gt;&lt;foreign-keys&gt;&lt;key app="EN" db-id="aws20dst5zp9pxe92x4prpsz20erdpp0pert" timestamp="1613077481"&gt;22&lt;/key&gt;&lt;/foreign-keys&gt;&lt;ref-type name="Conference Proceedings"&gt;10&lt;/ref-type&gt;&lt;contributors&gt;&lt;authors&gt;&lt;author&gt;Wu, Souheng&lt;/author&gt;&lt;/authors&gt;&lt;/contributors&gt;&lt;titles&gt;&lt;title&gt;Calculation of interfacial tension in polymer systems&lt;/title&gt;&lt;secondary-title&gt;Journal of Polymer Science Part C: Polymer Symposia&lt;/secondary-title&gt;&lt;/titles&gt;&lt;pages&gt;19-30&lt;/pages&gt;&lt;volume&gt;34&lt;/volume&gt;&lt;number&gt;1&lt;/number&gt;&lt;dates&gt;&lt;year&gt;1971&lt;/year&gt;&lt;/dates&gt;&lt;publisher&gt;Wiley Online Library&lt;/publisher&gt;&lt;isbn&gt;0449-2994&lt;/isbn&gt;&lt;urls&gt;&lt;/urls&gt;&lt;/record&gt;&lt;/Cite&gt;&lt;Cite&gt;&lt;Author&gt;Wu&lt;/Author&gt;&lt;Year&gt;1973&lt;/Year&gt;&lt;RecNum&gt;23&lt;/RecNum&gt;&lt;record&gt;&lt;rec-number&gt;23&lt;/rec-number&gt;&lt;foreign-keys&gt;&lt;key app="EN" db-id="aws20dst5zp9pxe92x4prpsz20erdpp0pert" timestamp="1613077481"&gt;23&lt;/key&gt;&lt;/foreign-keys&gt;&lt;ref-type name="Journal Article"&gt;17&lt;/ref-type&gt;&lt;contributors&gt;&lt;authors&gt;&lt;author&gt;Wu, Souheng&lt;/author&gt;&lt;/authors&gt;&lt;/contributors&gt;&lt;titles&gt;&lt;title&gt;Polar and nonpolar interactions in adhesion&lt;/title&gt;&lt;secondary-title&gt;The Journal of Adhesion&lt;/secondary-title&gt;&lt;/titles&gt;&lt;pages&gt;39-55&lt;/pages&gt;&lt;volume&gt;5&lt;/volume&gt;&lt;number&gt;1&lt;/number&gt;&lt;dates&gt;&lt;year&gt;1973&lt;/year&gt;&lt;/dates&gt;&lt;isbn&gt;0021-8464&lt;/isbn&gt;&lt;urls&gt;&lt;/urls&gt;&lt;/record&gt;&lt;/Cite&gt;&lt;/EndNote&gt;</w:instrText>
      </w:r>
      <w:r w:rsidRPr="0098140B">
        <w:rPr>
          <w:rFonts w:cs="Times New Roman"/>
          <w:szCs w:val="24"/>
        </w:rPr>
        <w:fldChar w:fldCharType="separate"/>
      </w:r>
      <w:r w:rsidR="00282238">
        <w:rPr>
          <w:rFonts w:cs="Times New Roman"/>
          <w:noProof/>
          <w:szCs w:val="24"/>
        </w:rPr>
        <w:t>(Wu, 1971; Wu, 1973)</w:t>
      </w:r>
      <w:r w:rsidRPr="0098140B">
        <w:rPr>
          <w:rFonts w:cs="Times New Roman"/>
          <w:szCs w:val="24"/>
        </w:rPr>
        <w:fldChar w:fldCharType="end"/>
      </w:r>
      <w:r w:rsidRPr="0098140B">
        <w:rPr>
          <w:rFonts w:cs="Times New Roman"/>
          <w:szCs w:val="24"/>
        </w:rPr>
        <w:t xml:space="preserve"> is also based on the principle that the total SFE of a solid surface can be divided into dispersion and polar component, similar to the Owens-Wendt method. However, Wu (1971, 1973) used harmonic means of interfacial interactions instead of a geometric means. Similar to the Owens-Wendt method, 26 different sets of probe liquids were used to determine the dispersion and polar components of the tested binders. Table </w:t>
      </w:r>
      <w:r w:rsidR="002B038B" w:rsidRPr="0098140B">
        <w:rPr>
          <w:rFonts w:cs="Times New Roman"/>
          <w:szCs w:val="24"/>
        </w:rPr>
        <w:t>2.</w:t>
      </w:r>
      <w:r w:rsidRPr="0098140B">
        <w:rPr>
          <w:rFonts w:cs="Times New Roman"/>
          <w:szCs w:val="24"/>
        </w:rPr>
        <w:t xml:space="preserve">9 presents the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d</m:t>
            </m:r>
          </m:sup>
        </m:sSubSup>
      </m:oMath>
      <w:r w:rsidRPr="0098140B">
        <w:rPr>
          <w:rFonts w:eastAsiaTheme="minorEastAsia" w:cs="Times New Roman"/>
          <w:szCs w:val="24"/>
          <w:lang w:val="en-GB" w:eastAsia="en-GB"/>
        </w:rPr>
        <w:t xml:space="preserve"> </w:t>
      </w:r>
      <w:r w:rsidRPr="0098140B">
        <w:rPr>
          <w:rFonts w:cs="Times New Roman"/>
          <w:szCs w:val="24"/>
        </w:rPr>
        <w:t xml:space="preserve">and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p</m:t>
            </m:r>
          </m:sup>
        </m:sSubSup>
      </m:oMath>
      <w:r w:rsidRPr="0098140B">
        <w:rPr>
          <w:rFonts w:cs="Times New Roman"/>
          <w:szCs w:val="24"/>
        </w:rPr>
        <w:t xml:space="preserve"> SFE components for the S1 and S4 binders obtained from the Wu method. The SFE components obtained from the Wu method were observed to be different than those of the Owens-Wendt method. For example, SFE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A</m:t>
            </m:r>
          </m:sub>
        </m:sSub>
        <m:r>
          <w:rPr>
            <w:rFonts w:ascii="Cambria Math" w:eastAsiaTheme="minorEastAsia" w:hAnsi="Cambria Math" w:cs="Times New Roman"/>
            <w:szCs w:val="24"/>
          </w:rPr>
          <m:t xml:space="preserve"> </m:t>
        </m:r>
      </m:oMath>
      <w:r w:rsidRPr="0098140B">
        <w:rPr>
          <w:rFonts w:cs="Times New Roman"/>
          <w:szCs w:val="24"/>
        </w:rPr>
        <w:t>from WGFDE probe liquid set was 16.03 mJ/m</w:t>
      </w:r>
      <w:r w:rsidRPr="0098140B">
        <w:rPr>
          <w:rFonts w:cs="Times New Roman"/>
          <w:szCs w:val="24"/>
          <w:vertAlign w:val="superscript"/>
        </w:rPr>
        <w:t>2</w:t>
      </w:r>
      <w:r w:rsidRPr="0098140B">
        <w:rPr>
          <w:rFonts w:cs="Times New Roman"/>
          <w:szCs w:val="24"/>
        </w:rPr>
        <w:t xml:space="preserve"> from the Owens-Wendt method, whereas 21.63 mJ/m</w:t>
      </w:r>
      <w:r w:rsidRPr="0098140B">
        <w:rPr>
          <w:rFonts w:cs="Times New Roman"/>
          <w:szCs w:val="24"/>
          <w:vertAlign w:val="superscript"/>
        </w:rPr>
        <w:t>2</w:t>
      </w:r>
      <w:r w:rsidRPr="0098140B">
        <w:rPr>
          <w:rFonts w:cs="Times New Roman"/>
          <w:szCs w:val="24"/>
        </w:rPr>
        <w:t xml:space="preserve"> from the Wu method. However, similar to the OW method, WGFDE, FGED, WFGD, WGED, WFED, WED, WGD, WFD, GED, FED, FGD, WD, GD, FD and DE resulted in consistent </w:t>
      </w:r>
      <w:r w:rsidRPr="0098140B">
        <w:rPr>
          <w:rFonts w:eastAsiaTheme="minorEastAsia" w:cs="Times New Roman"/>
          <w:szCs w:val="24"/>
          <w:lang w:val="en-GB" w:eastAsia="en-GB"/>
        </w:rPr>
        <w:t xml:space="preserve">dispersion </w:t>
      </w:r>
      <w:r w:rsidRPr="0098140B">
        <w:rPr>
          <w:rFonts w:cs="Times New Roman"/>
          <w:szCs w:val="24"/>
        </w:rPr>
        <w:t xml:space="preserve">component values for all four binders. For example,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d</m:t>
            </m:r>
          </m:sup>
        </m:sSubSup>
      </m:oMath>
      <w:r w:rsidRPr="0098140B">
        <w:rPr>
          <w:rFonts w:eastAsiaTheme="minorEastAsia" w:cs="Times New Roman"/>
          <w:szCs w:val="24"/>
          <w:lang w:val="en-GB" w:eastAsia="en-GB"/>
        </w:rPr>
        <w:t xml:space="preserve"> </w:t>
      </w:r>
      <w:r w:rsidRPr="0098140B">
        <w:rPr>
          <w:rFonts w:cs="Times New Roman"/>
          <w:szCs w:val="24"/>
        </w:rPr>
        <w:t xml:space="preserve"> of the S1 binder for the abovementioned probe liquid sets was found to vary between 18.86 and 19.30 mJ/m</w:t>
      </w:r>
      <w:r w:rsidRPr="0098140B">
        <w:rPr>
          <w:rFonts w:cs="Times New Roman"/>
          <w:szCs w:val="24"/>
          <w:vertAlign w:val="superscript"/>
        </w:rPr>
        <w:t>2</w:t>
      </w:r>
      <w:r w:rsidRPr="0098140B">
        <w:rPr>
          <w:rFonts w:cs="Times New Roman"/>
          <w:szCs w:val="24"/>
        </w:rPr>
        <w:t>, which falls within ±3% variation among themselves. Therefore, these probe liquid sets were used to calculate energy parameters of the binders with a limestone aggregate.</w:t>
      </w:r>
    </w:p>
    <w:p w14:paraId="00AB611B" w14:textId="432EB26E" w:rsidR="0003506A" w:rsidRPr="0098140B" w:rsidRDefault="0003506A" w:rsidP="008A24F0">
      <w:pPr>
        <w:pStyle w:val="Heading6"/>
        <w:spacing w:before="0" w:after="0"/>
        <w:rPr>
          <w:szCs w:val="24"/>
        </w:rPr>
      </w:pPr>
      <w:r w:rsidRPr="0098140B">
        <w:rPr>
          <w:szCs w:val="24"/>
        </w:rPr>
        <w:t xml:space="preserve">Energy </w:t>
      </w:r>
      <w:r w:rsidR="00281666" w:rsidRPr="0098140B">
        <w:rPr>
          <w:szCs w:val="24"/>
        </w:rPr>
        <w:t>P</w:t>
      </w:r>
      <w:r w:rsidRPr="0098140B">
        <w:rPr>
          <w:szCs w:val="24"/>
        </w:rPr>
        <w:t xml:space="preserve">arameters using the Wu </w:t>
      </w:r>
      <w:r w:rsidR="00281666" w:rsidRPr="0098140B">
        <w:rPr>
          <w:szCs w:val="24"/>
        </w:rPr>
        <w:t>M</w:t>
      </w:r>
      <w:r w:rsidRPr="0098140B">
        <w:rPr>
          <w:szCs w:val="24"/>
        </w:rPr>
        <w:t>ethod</w:t>
      </w:r>
    </w:p>
    <w:p w14:paraId="49B8EE33" w14:textId="2EC8AA05" w:rsidR="0003506A" w:rsidRPr="0098140B" w:rsidRDefault="0003506A" w:rsidP="008A24F0">
      <w:pPr>
        <w:ind w:firstLine="720"/>
        <w:rPr>
          <w:rFonts w:cs="Times New Roman"/>
          <w:szCs w:val="24"/>
        </w:rPr>
      </w:pPr>
      <w:r w:rsidRPr="0098140B">
        <w:rPr>
          <w:rFonts w:eastAsiaTheme="minorEastAsia" w:cs="Times New Roman"/>
          <w:iCs/>
          <w:szCs w:val="24"/>
          <w:lang w:val="en-GB" w:eastAsia="en-GB"/>
        </w:rPr>
        <w:t xml:space="preserve">The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98140B">
        <w:rPr>
          <w:rFonts w:cs="Times New Roman"/>
          <w:szCs w:val="24"/>
        </w:rPr>
        <w:t xml:space="preserve">, </w:t>
      </w:r>
      <m:oMath>
        <m:sSubSup>
          <m:sSubSupPr>
            <m:ctrlPr>
              <w:rPr>
                <w:rFonts w:ascii="Cambria Math" w:hAnsi="Cambria Math" w:cs="Times New Roman"/>
                <w:i/>
                <w:szCs w:val="24"/>
              </w:rPr>
            </m:ctrlPr>
          </m:sSubSupPr>
          <m:e>
            <m:r>
              <w:rPr>
                <w:rFonts w:ascii="Cambria Math" w:hAnsi="Cambria Math" w:cs="Times New Roman"/>
                <w:szCs w:val="24"/>
              </w:rPr>
              <m:t>W</m:t>
            </m:r>
          </m:e>
          <m:sub>
            <m:r>
              <w:rPr>
                <w:rFonts w:ascii="Cambria Math" w:hAnsi="Cambria Math" w:cs="Times New Roman"/>
                <w:szCs w:val="24"/>
              </w:rPr>
              <m:t>ARW</m:t>
            </m:r>
          </m:sub>
          <m:sup>
            <m:r>
              <w:rPr>
                <w:rFonts w:ascii="Cambria Math" w:hAnsi="Cambria Math" w:cs="Times New Roman"/>
                <w:szCs w:val="24"/>
              </w:rPr>
              <m:t>wet</m:t>
            </m:r>
          </m:sup>
        </m:sSubSup>
      </m:oMath>
      <w:r w:rsidRPr="0098140B">
        <w:rPr>
          <w:rFonts w:cs="Times New Roman"/>
          <w:szCs w:val="24"/>
        </w:rPr>
        <w:t xml:space="preserve"> and </w:t>
      </w:r>
      <w:r w:rsidRPr="0098140B">
        <w:rPr>
          <w:rFonts w:cs="Times New Roman"/>
          <w:i/>
          <w:iCs/>
          <w:szCs w:val="24"/>
        </w:rPr>
        <w:t>ER</w:t>
      </w:r>
      <w:r w:rsidRPr="0098140B">
        <w:rPr>
          <w:rFonts w:cs="Times New Roman"/>
          <w:szCs w:val="24"/>
        </w:rPr>
        <w:t xml:space="preserve"> of the binder-aggregate systems from the Wu method were calculated using Equations (</w:t>
      </w:r>
      <w:r w:rsidR="007655DB">
        <w:rPr>
          <w:rFonts w:cs="Times New Roman"/>
          <w:szCs w:val="24"/>
        </w:rPr>
        <w:t>2.</w:t>
      </w:r>
      <w:r w:rsidRPr="0098140B">
        <w:rPr>
          <w:rFonts w:cs="Times New Roman"/>
          <w:szCs w:val="24"/>
        </w:rPr>
        <w:t>22), (</w:t>
      </w:r>
      <w:r w:rsidR="007655DB">
        <w:rPr>
          <w:rFonts w:cs="Times New Roman"/>
          <w:szCs w:val="24"/>
        </w:rPr>
        <w:t>2.</w:t>
      </w:r>
      <w:r w:rsidRPr="0098140B">
        <w:rPr>
          <w:rFonts w:cs="Times New Roman"/>
          <w:szCs w:val="24"/>
        </w:rPr>
        <w:t>23) and (</w:t>
      </w:r>
      <w:r w:rsidR="007655DB">
        <w:rPr>
          <w:rFonts w:cs="Times New Roman"/>
          <w:szCs w:val="24"/>
        </w:rPr>
        <w:t>2.</w:t>
      </w:r>
      <w:r w:rsidRPr="0098140B">
        <w:rPr>
          <w:rFonts w:cs="Times New Roman"/>
          <w:szCs w:val="24"/>
        </w:rPr>
        <w:t xml:space="preserve">24), respectively, and are presented in Table </w:t>
      </w:r>
      <w:r w:rsidR="002B038B" w:rsidRPr="0098140B">
        <w:rPr>
          <w:rFonts w:cs="Times New Roman"/>
          <w:szCs w:val="24"/>
        </w:rPr>
        <w:t>2.</w:t>
      </w:r>
      <w:r w:rsidRPr="0098140B">
        <w:rPr>
          <w:rFonts w:cs="Times New Roman"/>
          <w:szCs w:val="24"/>
        </w:rPr>
        <w:t xml:space="preserve">10. Similar to the OW method, the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98140B">
        <w:rPr>
          <w:rFonts w:cs="Times New Roman"/>
          <w:szCs w:val="24"/>
        </w:rPr>
        <w:t xml:space="preserve">, </w:t>
      </w:r>
      <m:oMath>
        <m:sSubSup>
          <m:sSubSupPr>
            <m:ctrlPr>
              <w:rPr>
                <w:rFonts w:ascii="Cambria Math" w:hAnsi="Cambria Math" w:cs="Times New Roman"/>
                <w:i/>
                <w:szCs w:val="24"/>
              </w:rPr>
            </m:ctrlPr>
          </m:sSubSupPr>
          <m:e>
            <m:r>
              <w:rPr>
                <w:rFonts w:ascii="Cambria Math" w:hAnsi="Cambria Math" w:cs="Times New Roman"/>
                <w:szCs w:val="24"/>
              </w:rPr>
              <m:t>W</m:t>
            </m:r>
          </m:e>
          <m:sub>
            <m:r>
              <w:rPr>
                <w:rFonts w:ascii="Cambria Math" w:hAnsi="Cambria Math" w:cs="Times New Roman"/>
                <w:szCs w:val="24"/>
              </w:rPr>
              <m:t>ARW</m:t>
            </m:r>
          </m:sub>
          <m:sup>
            <m:r>
              <w:rPr>
                <w:rFonts w:ascii="Cambria Math" w:hAnsi="Cambria Math" w:cs="Times New Roman"/>
                <w:szCs w:val="24"/>
              </w:rPr>
              <m:t>wet</m:t>
            </m:r>
          </m:sup>
        </m:sSubSup>
      </m:oMath>
      <w:r w:rsidRPr="0098140B">
        <w:rPr>
          <w:rFonts w:cs="Times New Roman"/>
          <w:szCs w:val="24"/>
        </w:rPr>
        <w:t xml:space="preserve"> and </w:t>
      </w:r>
      <w:r w:rsidRPr="0098140B">
        <w:rPr>
          <w:rFonts w:cs="Times New Roman"/>
          <w:i/>
          <w:iCs/>
          <w:szCs w:val="24"/>
        </w:rPr>
        <w:t>ER</w:t>
      </w:r>
      <w:r w:rsidRPr="0098140B">
        <w:rPr>
          <w:rFonts w:cs="Times New Roman"/>
          <w:szCs w:val="24"/>
        </w:rPr>
        <w:t xml:space="preserve"> were found to vary significantly with probe liquid sets. Also, the probe liquid sets with consistent energy parameters were found to vary with binder. Among all probe liquid sets, WGFDE, WFGD and WFED produced consistent energy ratios for all four binders with a limestone aggregate. Therefore, considering consistency, WGFDE, WFGD and WFED were found to be a good candidate for determining the SFE components of binders using the Wu method.</w:t>
      </w:r>
    </w:p>
    <w:p w14:paraId="5696E681" w14:textId="632F416E" w:rsidR="0003506A" w:rsidRPr="0098140B" w:rsidRDefault="007F7885" w:rsidP="0055690E">
      <w:pPr>
        <w:ind w:firstLine="720"/>
        <w:jc w:val="center"/>
        <w:rPr>
          <w:rFonts w:eastAsiaTheme="minorEastAsia" w:cs="Times New Roman"/>
          <w:szCs w:val="24"/>
        </w:rPr>
      </w:pP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d>
          <m:dPr>
            <m:ctrlPr>
              <w:rPr>
                <w:rFonts w:ascii="Cambria Math" w:hAnsi="Cambria Math" w:cs="Times New Roman"/>
                <w:i/>
                <w:szCs w:val="24"/>
                <w:lang w:val="en-GB" w:eastAsia="en-GB"/>
              </w:rPr>
            </m:ctrlPr>
          </m:dPr>
          <m:e>
            <m:r>
              <w:rPr>
                <w:rFonts w:ascii="Cambria Math" w:hAnsi="Cambria Math" w:cs="Times New Roman"/>
                <w:szCs w:val="24"/>
                <w:lang w:val="en-GB" w:eastAsia="en-GB"/>
              </w:rPr>
              <m:t>Wu</m:t>
            </m:r>
          </m:e>
        </m:d>
        <m:r>
          <w:rPr>
            <w:rFonts w:ascii="Cambria Math" w:hAnsi="Cambria Math" w:cs="Times New Roman"/>
            <w:szCs w:val="24"/>
            <w:lang w:val="en-GB" w:eastAsia="en-GB"/>
          </w:rPr>
          <m:t>=2</m:t>
        </m:r>
        <m:d>
          <m:dPr>
            <m:ctrlPr>
              <w:rPr>
                <w:rFonts w:ascii="Cambria Math" w:hAnsi="Cambria Math" w:cs="Times New Roman"/>
                <w:i/>
                <w:szCs w:val="24"/>
                <w:lang w:val="en-GB" w:eastAsia="en-GB"/>
              </w:rPr>
            </m:ctrlPr>
          </m:dPr>
          <m:e>
            <m:f>
              <m:fPr>
                <m:ctrlPr>
                  <w:rPr>
                    <w:rFonts w:ascii="Cambria Math" w:hAnsi="Cambria Math" w:cs="Times New Roman"/>
                    <w:i/>
                    <w:szCs w:val="24"/>
                  </w:rPr>
                </m:ctrlPr>
              </m:fPr>
              <m:num>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d</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d</m:t>
                    </m:r>
                  </m:sup>
                </m:sSubSup>
              </m:num>
              <m:den>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d</m:t>
                    </m:r>
                  </m:sup>
                </m:sSubSup>
                <m:r>
                  <w:rPr>
                    <w:rFonts w:ascii="Cambria Math" w:hAnsi="Cambria Math" w:cs="Times New Roman"/>
                    <w:szCs w:val="24"/>
                  </w:rPr>
                  <m:t>+</m:t>
                </m:r>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d</m:t>
                    </m:r>
                  </m:sup>
                </m:sSubSup>
              </m:den>
            </m:f>
            <m:r>
              <w:rPr>
                <w:rFonts w:ascii="Cambria Math" w:hAnsi="Cambria Math" w:cs="Times New Roman"/>
                <w:szCs w:val="24"/>
              </w:rPr>
              <m:t>+</m:t>
            </m:r>
            <m:f>
              <m:fPr>
                <m:ctrlPr>
                  <w:rPr>
                    <w:rFonts w:ascii="Cambria Math" w:hAnsi="Cambria Math" w:cs="Times New Roman"/>
                    <w:i/>
                    <w:szCs w:val="24"/>
                  </w:rPr>
                </m:ctrlPr>
              </m:fPr>
              <m:num>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d</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d</m:t>
                    </m:r>
                  </m:sup>
                </m:sSubSup>
              </m:num>
              <m:den>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d</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d</m:t>
                    </m:r>
                  </m:sup>
                </m:sSubSup>
              </m:den>
            </m:f>
          </m:e>
        </m:d>
      </m:oMath>
      <w:r w:rsidR="0003506A" w:rsidRPr="0098140B">
        <w:rPr>
          <w:rFonts w:eastAsiaTheme="minorEastAsia" w:cs="Times New Roman"/>
          <w:szCs w:val="24"/>
          <w:lang w:val="en-GB" w:eastAsia="en-GB"/>
        </w:rPr>
        <w:t xml:space="preserve">      (</w:t>
      </w:r>
      <w:r w:rsidR="007655DB">
        <w:rPr>
          <w:rFonts w:cs="Times New Roman"/>
          <w:szCs w:val="24"/>
        </w:rPr>
        <w:t>2.</w:t>
      </w:r>
      <w:r w:rsidR="0003506A" w:rsidRPr="0098140B">
        <w:rPr>
          <w:rFonts w:eastAsiaTheme="minorEastAsia" w:cs="Times New Roman"/>
          <w:szCs w:val="24"/>
          <w:lang w:val="en-GB" w:eastAsia="en-GB"/>
        </w:rPr>
        <w:t>22)</w:t>
      </w:r>
    </w:p>
    <w:p w14:paraId="7615CF35" w14:textId="26EDFAF8" w:rsidR="0003506A" w:rsidRPr="0098140B" w:rsidRDefault="007F7885" w:rsidP="0055690E">
      <w:pPr>
        <w:ind w:firstLine="720"/>
        <w:jc w:val="center"/>
        <w:rPr>
          <w:rFonts w:cs="Times New Roman"/>
          <w:szCs w:val="24"/>
        </w:rPr>
      </w:pPr>
      <m:oMath>
        <m:sSubSup>
          <m:sSubSupPr>
            <m:ctrlPr>
              <w:rPr>
                <w:rFonts w:ascii="Cambria Math" w:hAnsi="Cambria Math" w:cs="Times New Roman"/>
                <w:i/>
                <w:sz w:val="22"/>
              </w:rPr>
            </m:ctrlPr>
          </m:sSubSupPr>
          <m:e>
            <m:r>
              <w:rPr>
                <w:rFonts w:ascii="Cambria Math" w:hAnsi="Cambria Math" w:cs="Times New Roman"/>
                <w:sz w:val="22"/>
              </w:rPr>
              <m:t>W</m:t>
            </m:r>
          </m:e>
          <m:sub>
            <m:r>
              <w:rPr>
                <w:rFonts w:ascii="Cambria Math" w:hAnsi="Cambria Math" w:cs="Times New Roman"/>
                <w:sz w:val="22"/>
              </w:rPr>
              <m:t>ARW</m:t>
            </m:r>
          </m:sub>
          <m:sup>
            <m:r>
              <w:rPr>
                <w:rFonts w:ascii="Cambria Math" w:hAnsi="Cambria Math" w:cs="Times New Roman"/>
                <w:sz w:val="22"/>
              </w:rPr>
              <m:t>wet</m:t>
            </m:r>
          </m:sup>
        </m:sSubSup>
        <m:d>
          <m:dPr>
            <m:ctrlPr>
              <w:rPr>
                <w:rFonts w:ascii="Cambria Math" w:hAnsi="Cambria Math" w:cs="Times New Roman"/>
                <w:i/>
                <w:sz w:val="22"/>
              </w:rPr>
            </m:ctrlPr>
          </m:dPr>
          <m:e>
            <m:r>
              <w:rPr>
                <w:rFonts w:ascii="Cambria Math" w:hAnsi="Cambria Math" w:cs="Times New Roman"/>
                <w:sz w:val="22"/>
              </w:rPr>
              <m:t>Wu</m:t>
            </m:r>
          </m:e>
        </m:d>
        <m:r>
          <w:rPr>
            <w:rFonts w:ascii="Cambria Math" w:hAnsi="Cambria Math" w:cs="Times New Roman"/>
            <w:sz w:val="22"/>
          </w:rPr>
          <m:t>=2</m:t>
        </m:r>
        <m:d>
          <m:dPr>
            <m:ctrlPr>
              <w:rPr>
                <w:rFonts w:ascii="Cambria Math" w:hAnsi="Cambria Math" w:cs="Times New Roman"/>
                <w:i/>
                <w:sz w:val="22"/>
              </w:rPr>
            </m:ctrlPr>
          </m:dPr>
          <m:e>
            <m:f>
              <m:fPr>
                <m:ctrlPr>
                  <w:rPr>
                    <w:rFonts w:ascii="Cambria Math" w:hAnsi="Cambria Math" w:cs="Times New Roman"/>
                    <w:i/>
                    <w:sz w:val="22"/>
                  </w:rPr>
                </m:ctrlPr>
              </m:fPr>
              <m:num>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A</m:t>
                    </m:r>
                  </m:sub>
                  <m:sup>
                    <m:r>
                      <w:rPr>
                        <w:rFonts w:ascii="Cambria Math" w:hAnsi="Cambria Math" w:cs="Times New Roman"/>
                        <w:sz w:val="22"/>
                      </w:rPr>
                      <m:t>d</m:t>
                    </m:r>
                  </m:sup>
                </m:sSubSup>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W</m:t>
                    </m:r>
                  </m:sub>
                  <m:sup>
                    <m:r>
                      <w:rPr>
                        <w:rFonts w:ascii="Cambria Math" w:hAnsi="Cambria Math" w:cs="Times New Roman"/>
                        <w:sz w:val="22"/>
                      </w:rPr>
                      <m:t>d</m:t>
                    </m:r>
                  </m:sup>
                </m:sSubSup>
              </m:num>
              <m:den>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A</m:t>
                    </m:r>
                  </m:sub>
                  <m:sup>
                    <m:r>
                      <w:rPr>
                        <w:rFonts w:ascii="Cambria Math" w:hAnsi="Cambria Math" w:cs="Times New Roman"/>
                        <w:sz w:val="22"/>
                      </w:rPr>
                      <m:t>d</m:t>
                    </m:r>
                  </m:sup>
                </m:sSubSup>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W</m:t>
                    </m:r>
                  </m:sub>
                  <m:sup>
                    <m:r>
                      <w:rPr>
                        <w:rFonts w:ascii="Cambria Math" w:hAnsi="Cambria Math" w:cs="Times New Roman"/>
                        <w:sz w:val="22"/>
                      </w:rPr>
                      <m:t>d</m:t>
                    </m:r>
                  </m:sup>
                </m:sSubSup>
              </m:den>
            </m:f>
            <m:r>
              <w:rPr>
                <w:rFonts w:ascii="Cambria Math" w:hAnsi="Cambria Math" w:cs="Times New Roman"/>
                <w:sz w:val="22"/>
              </w:rPr>
              <m:t>+</m:t>
            </m:r>
            <m:f>
              <m:fPr>
                <m:ctrlPr>
                  <w:rPr>
                    <w:rFonts w:ascii="Cambria Math" w:hAnsi="Cambria Math" w:cs="Times New Roman"/>
                    <w:i/>
                    <w:sz w:val="22"/>
                  </w:rPr>
                </m:ctrlPr>
              </m:fPr>
              <m:num>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A</m:t>
                    </m:r>
                  </m:sub>
                  <m:sup>
                    <m:r>
                      <w:rPr>
                        <w:rFonts w:ascii="Cambria Math" w:hAnsi="Cambria Math" w:cs="Times New Roman"/>
                        <w:sz w:val="22"/>
                      </w:rPr>
                      <m:t>P</m:t>
                    </m:r>
                  </m:sup>
                </m:sSubSup>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W</m:t>
                    </m:r>
                  </m:sub>
                  <m:sup>
                    <m:r>
                      <w:rPr>
                        <w:rFonts w:ascii="Cambria Math" w:hAnsi="Cambria Math" w:cs="Times New Roman"/>
                        <w:sz w:val="22"/>
                      </w:rPr>
                      <m:t>P</m:t>
                    </m:r>
                  </m:sup>
                </m:sSubSup>
              </m:num>
              <m:den>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A</m:t>
                    </m:r>
                  </m:sub>
                  <m:sup>
                    <m:r>
                      <w:rPr>
                        <w:rFonts w:ascii="Cambria Math" w:hAnsi="Cambria Math" w:cs="Times New Roman"/>
                        <w:sz w:val="22"/>
                      </w:rPr>
                      <m:t>P</m:t>
                    </m:r>
                  </m:sup>
                </m:sSubSup>
                <m:r>
                  <w:rPr>
                    <w:rFonts w:ascii="Cambria Math" w:hAnsi="Cambria Math" w:cs="Times New Roman"/>
                    <w:sz w:val="22"/>
                  </w:rPr>
                  <m:t>+</m:t>
                </m:r>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W</m:t>
                    </m:r>
                  </m:sub>
                  <m:sup>
                    <m:r>
                      <w:rPr>
                        <w:rFonts w:ascii="Cambria Math" w:hAnsi="Cambria Math" w:cs="Times New Roman"/>
                        <w:sz w:val="22"/>
                      </w:rPr>
                      <m:t>P</m:t>
                    </m:r>
                  </m:sup>
                </m:sSubSup>
              </m:den>
            </m:f>
            <m:r>
              <w:rPr>
                <w:rFonts w:ascii="Cambria Math" w:hAnsi="Cambria Math" w:cs="Times New Roman"/>
                <w:sz w:val="22"/>
              </w:rPr>
              <m:t>+</m:t>
            </m:r>
            <m:f>
              <m:fPr>
                <m:ctrlPr>
                  <w:rPr>
                    <w:rFonts w:ascii="Cambria Math" w:hAnsi="Cambria Math" w:cs="Times New Roman"/>
                    <w:i/>
                    <w:sz w:val="22"/>
                  </w:rPr>
                </m:ctrlPr>
              </m:fPr>
              <m:num>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R</m:t>
                    </m:r>
                  </m:sub>
                  <m:sup>
                    <m:r>
                      <w:rPr>
                        <w:rFonts w:ascii="Cambria Math" w:hAnsi="Cambria Math" w:cs="Times New Roman"/>
                        <w:sz w:val="22"/>
                      </w:rPr>
                      <m:t>d</m:t>
                    </m:r>
                  </m:sup>
                </m:sSubSup>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W</m:t>
                    </m:r>
                  </m:sub>
                  <m:sup>
                    <m:r>
                      <w:rPr>
                        <w:rFonts w:ascii="Cambria Math" w:hAnsi="Cambria Math" w:cs="Times New Roman"/>
                        <w:sz w:val="22"/>
                      </w:rPr>
                      <m:t>d</m:t>
                    </m:r>
                  </m:sup>
                </m:sSubSup>
              </m:num>
              <m:den>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R</m:t>
                    </m:r>
                  </m:sub>
                  <m:sup>
                    <m:r>
                      <w:rPr>
                        <w:rFonts w:ascii="Cambria Math" w:hAnsi="Cambria Math" w:cs="Times New Roman"/>
                        <w:sz w:val="22"/>
                      </w:rPr>
                      <m:t>d</m:t>
                    </m:r>
                  </m:sup>
                </m:sSubSup>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W</m:t>
                    </m:r>
                  </m:sub>
                  <m:sup>
                    <m:r>
                      <w:rPr>
                        <w:rFonts w:ascii="Cambria Math" w:hAnsi="Cambria Math" w:cs="Times New Roman"/>
                        <w:sz w:val="22"/>
                      </w:rPr>
                      <m:t>d</m:t>
                    </m:r>
                  </m:sup>
                </m:sSubSup>
              </m:den>
            </m:f>
            <m:r>
              <w:rPr>
                <w:rFonts w:ascii="Cambria Math" w:hAnsi="Cambria Math" w:cs="Times New Roman"/>
                <w:sz w:val="22"/>
              </w:rPr>
              <m:t>+</m:t>
            </m:r>
            <m:f>
              <m:fPr>
                <m:ctrlPr>
                  <w:rPr>
                    <w:rFonts w:ascii="Cambria Math" w:hAnsi="Cambria Math" w:cs="Times New Roman"/>
                    <w:i/>
                    <w:sz w:val="22"/>
                  </w:rPr>
                </m:ctrlPr>
              </m:fPr>
              <m:num>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R</m:t>
                    </m:r>
                  </m:sub>
                  <m:sup>
                    <m:r>
                      <w:rPr>
                        <w:rFonts w:ascii="Cambria Math" w:hAnsi="Cambria Math" w:cs="Times New Roman"/>
                        <w:sz w:val="22"/>
                      </w:rPr>
                      <m:t>P</m:t>
                    </m:r>
                  </m:sup>
                </m:sSubSup>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W</m:t>
                    </m:r>
                  </m:sub>
                  <m:sup>
                    <m:r>
                      <w:rPr>
                        <w:rFonts w:ascii="Cambria Math" w:hAnsi="Cambria Math" w:cs="Times New Roman"/>
                        <w:sz w:val="22"/>
                      </w:rPr>
                      <m:t>P</m:t>
                    </m:r>
                  </m:sup>
                </m:sSubSup>
              </m:num>
              <m:den>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R</m:t>
                    </m:r>
                  </m:sub>
                  <m:sup>
                    <m:r>
                      <w:rPr>
                        <w:rFonts w:ascii="Cambria Math" w:hAnsi="Cambria Math" w:cs="Times New Roman"/>
                        <w:sz w:val="22"/>
                      </w:rPr>
                      <m:t>P</m:t>
                    </m:r>
                  </m:sup>
                </m:sSubSup>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W</m:t>
                    </m:r>
                  </m:sub>
                  <m:sup>
                    <m:r>
                      <w:rPr>
                        <w:rFonts w:ascii="Cambria Math" w:hAnsi="Cambria Math" w:cs="Times New Roman"/>
                        <w:sz w:val="22"/>
                      </w:rPr>
                      <m:t>P</m:t>
                    </m:r>
                  </m:sup>
                </m:sSubSup>
              </m:den>
            </m:f>
            <m:r>
              <w:rPr>
                <w:rFonts w:ascii="Cambria Math" w:hAnsi="Cambria Math" w:cs="Times New Roman"/>
                <w:sz w:val="22"/>
              </w:rPr>
              <m:t>-</m:t>
            </m:r>
            <m:f>
              <m:fPr>
                <m:ctrlPr>
                  <w:rPr>
                    <w:rFonts w:ascii="Cambria Math" w:hAnsi="Cambria Math" w:cs="Times New Roman"/>
                    <w:i/>
                    <w:sz w:val="22"/>
                  </w:rPr>
                </m:ctrlPr>
              </m:fPr>
              <m:num>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A</m:t>
                    </m:r>
                  </m:sub>
                  <m:sup>
                    <m:r>
                      <w:rPr>
                        <w:rFonts w:ascii="Cambria Math" w:hAnsi="Cambria Math" w:cs="Times New Roman"/>
                        <w:sz w:val="22"/>
                      </w:rPr>
                      <m:t>d</m:t>
                    </m:r>
                  </m:sup>
                </m:sSubSup>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R</m:t>
                    </m:r>
                  </m:sub>
                  <m:sup>
                    <m:r>
                      <w:rPr>
                        <w:rFonts w:ascii="Cambria Math" w:hAnsi="Cambria Math" w:cs="Times New Roman"/>
                        <w:sz w:val="22"/>
                      </w:rPr>
                      <m:t>d</m:t>
                    </m:r>
                  </m:sup>
                </m:sSubSup>
              </m:num>
              <m:den>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A</m:t>
                    </m:r>
                  </m:sub>
                  <m:sup>
                    <m:r>
                      <w:rPr>
                        <w:rFonts w:ascii="Cambria Math" w:hAnsi="Cambria Math" w:cs="Times New Roman"/>
                        <w:sz w:val="22"/>
                      </w:rPr>
                      <m:t>d</m:t>
                    </m:r>
                  </m:sup>
                </m:sSubSup>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R</m:t>
                    </m:r>
                  </m:sub>
                  <m:sup>
                    <m:r>
                      <w:rPr>
                        <w:rFonts w:ascii="Cambria Math" w:hAnsi="Cambria Math" w:cs="Times New Roman"/>
                        <w:sz w:val="22"/>
                      </w:rPr>
                      <m:t>d</m:t>
                    </m:r>
                  </m:sup>
                </m:sSubSup>
              </m:den>
            </m:f>
            <m:r>
              <w:rPr>
                <w:rFonts w:ascii="Cambria Math" w:hAnsi="Cambria Math" w:cs="Times New Roman"/>
                <w:sz w:val="22"/>
              </w:rPr>
              <m:t>-</m:t>
            </m:r>
            <m:f>
              <m:fPr>
                <m:ctrlPr>
                  <w:rPr>
                    <w:rFonts w:ascii="Cambria Math" w:hAnsi="Cambria Math" w:cs="Times New Roman"/>
                    <w:i/>
                    <w:sz w:val="22"/>
                  </w:rPr>
                </m:ctrlPr>
              </m:fPr>
              <m:num>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R</m:t>
                    </m:r>
                  </m:sub>
                  <m:sup>
                    <m:r>
                      <w:rPr>
                        <w:rFonts w:ascii="Cambria Math" w:hAnsi="Cambria Math" w:cs="Times New Roman"/>
                        <w:sz w:val="22"/>
                      </w:rPr>
                      <m:t>P</m:t>
                    </m:r>
                  </m:sup>
                </m:sSubSup>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W</m:t>
                    </m:r>
                  </m:sub>
                  <m:sup>
                    <m:r>
                      <w:rPr>
                        <w:rFonts w:ascii="Cambria Math" w:hAnsi="Cambria Math" w:cs="Times New Roman"/>
                        <w:sz w:val="22"/>
                      </w:rPr>
                      <m:t>P</m:t>
                    </m:r>
                  </m:sup>
                </m:sSubSup>
              </m:num>
              <m:den>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R</m:t>
                    </m:r>
                  </m:sub>
                  <m:sup>
                    <m:r>
                      <w:rPr>
                        <w:rFonts w:ascii="Cambria Math" w:hAnsi="Cambria Math" w:cs="Times New Roman"/>
                        <w:sz w:val="22"/>
                      </w:rPr>
                      <m:t>P</m:t>
                    </m:r>
                  </m:sup>
                </m:sSubSup>
                <m:r>
                  <w:rPr>
                    <w:rFonts w:ascii="Cambria Math" w:hAnsi="Cambria Math" w:cs="Times New Roman"/>
                    <w:sz w:val="22"/>
                  </w:rPr>
                  <m:t>+</m:t>
                </m:r>
                <m:sSubSup>
                  <m:sSubSupPr>
                    <m:ctrlPr>
                      <w:rPr>
                        <w:rFonts w:ascii="Cambria Math" w:hAnsi="Cambria Math" w:cs="Times New Roman"/>
                        <w:i/>
                        <w:sz w:val="22"/>
                      </w:rPr>
                    </m:ctrlPr>
                  </m:sSubSupPr>
                  <m:e>
                    <m:r>
                      <m:rPr>
                        <m:sty m:val="p"/>
                      </m:rPr>
                      <w:rPr>
                        <w:rFonts w:ascii="Cambria Math" w:hAnsi="Cambria Math" w:cs="Times New Roman"/>
                        <w:sz w:val="22"/>
                      </w:rPr>
                      <m:t>Γ</m:t>
                    </m:r>
                  </m:e>
                  <m:sub>
                    <m:r>
                      <w:rPr>
                        <w:rFonts w:ascii="Cambria Math" w:hAnsi="Cambria Math" w:cs="Times New Roman"/>
                        <w:sz w:val="22"/>
                      </w:rPr>
                      <m:t>W</m:t>
                    </m:r>
                  </m:sub>
                  <m:sup>
                    <m:r>
                      <w:rPr>
                        <w:rFonts w:ascii="Cambria Math" w:hAnsi="Cambria Math" w:cs="Times New Roman"/>
                        <w:sz w:val="22"/>
                      </w:rPr>
                      <m:t>P</m:t>
                    </m:r>
                  </m:sup>
                </m:sSubSup>
              </m:den>
            </m:f>
            <m:r>
              <w:rPr>
                <w:rFonts w:ascii="Cambria Math" w:hAnsi="Cambria Math" w:cs="Times New Roman"/>
                <w:sz w:val="22"/>
              </w:rPr>
              <m:t>-</m:t>
            </m:r>
            <m:f>
              <m:fPr>
                <m:ctrlPr>
                  <w:rPr>
                    <w:rFonts w:ascii="Cambria Math" w:hAnsi="Cambria Math" w:cs="Times New Roman"/>
                    <w:i/>
                    <w:sz w:val="22"/>
                  </w:rPr>
                </m:ctrlPr>
              </m:fPr>
              <m:num>
                <m:sSub>
                  <m:sSubPr>
                    <m:ctrlPr>
                      <w:rPr>
                        <w:rFonts w:ascii="Cambria Math" w:hAnsi="Cambria Math" w:cs="Times New Roman"/>
                        <w:i/>
                        <w:sz w:val="22"/>
                      </w:rPr>
                    </m:ctrlPr>
                  </m:sSubPr>
                  <m:e>
                    <m:r>
                      <m:rPr>
                        <m:sty m:val="p"/>
                      </m:rPr>
                      <w:rPr>
                        <w:rFonts w:ascii="Cambria Math" w:hAnsi="Cambria Math" w:cs="Times New Roman"/>
                        <w:sz w:val="22"/>
                      </w:rPr>
                      <m:t>Γ</m:t>
                    </m:r>
                  </m:e>
                  <m:sub>
                    <m:r>
                      <w:rPr>
                        <w:rFonts w:ascii="Cambria Math" w:hAnsi="Cambria Math" w:cs="Times New Roman"/>
                        <w:sz w:val="22"/>
                      </w:rPr>
                      <m:t>w</m:t>
                    </m:r>
                  </m:sub>
                </m:sSub>
              </m:num>
              <m:den>
                <m:r>
                  <w:rPr>
                    <w:rFonts w:ascii="Cambria Math" w:hAnsi="Cambria Math" w:cs="Times New Roman"/>
                    <w:sz w:val="22"/>
                  </w:rPr>
                  <m:t>2</m:t>
                </m:r>
              </m:den>
            </m:f>
          </m:e>
        </m:d>
      </m:oMath>
      <w:r w:rsidR="0003506A" w:rsidRPr="0098140B">
        <w:rPr>
          <w:rFonts w:eastAsiaTheme="minorEastAsia" w:cs="Times New Roman"/>
          <w:szCs w:val="24"/>
        </w:rPr>
        <w:t xml:space="preserve">     (</w:t>
      </w:r>
      <w:r w:rsidR="007655DB">
        <w:rPr>
          <w:rFonts w:cs="Times New Roman"/>
          <w:szCs w:val="24"/>
        </w:rPr>
        <w:t>2.</w:t>
      </w:r>
      <w:r w:rsidR="0003506A" w:rsidRPr="0098140B">
        <w:rPr>
          <w:rFonts w:eastAsiaTheme="minorEastAsia" w:cs="Times New Roman"/>
          <w:szCs w:val="24"/>
        </w:rPr>
        <w:t>23)</w:t>
      </w:r>
    </w:p>
    <w:p w14:paraId="3DBB171F" w14:textId="12C1C60D" w:rsidR="0003506A" w:rsidRPr="0098140B" w:rsidRDefault="0003506A" w:rsidP="008A24F0">
      <w:pPr>
        <w:jc w:val="center"/>
        <w:rPr>
          <w:rFonts w:cs="Times New Roman"/>
          <w:szCs w:val="24"/>
        </w:rPr>
      </w:pPr>
      <m:oMath>
        <m:r>
          <w:rPr>
            <w:rFonts w:ascii="Cambria Math" w:hAnsi="Cambria Math" w:cs="Times New Roman"/>
            <w:szCs w:val="24"/>
          </w:rPr>
          <m:t xml:space="preserve">ER </m:t>
        </m:r>
        <m:d>
          <m:dPr>
            <m:ctrlPr>
              <w:rPr>
                <w:rFonts w:ascii="Cambria Math" w:hAnsi="Cambria Math" w:cs="Times New Roman"/>
                <w:i/>
                <w:szCs w:val="24"/>
              </w:rPr>
            </m:ctrlPr>
          </m:dPr>
          <m:e>
            <m:r>
              <w:rPr>
                <w:rFonts w:ascii="Cambria Math" w:hAnsi="Cambria Math" w:cs="Times New Roman"/>
                <w:szCs w:val="24"/>
              </w:rPr>
              <m:t>Wu</m:t>
            </m:r>
          </m:e>
        </m:d>
        <m:r>
          <w:rPr>
            <w:rFonts w:ascii="Cambria Math" w:hAnsi="Cambria Math" w:cs="Times New Roman"/>
            <w:szCs w:val="24"/>
          </w:rPr>
          <m:t xml:space="preserve">= </m:t>
        </m:r>
        <m:d>
          <m:dPr>
            <m:begChr m:val="|"/>
            <m:endChr m:val="|"/>
            <m:ctrlPr>
              <w:rPr>
                <w:rFonts w:ascii="Cambria Math" w:hAnsi="Cambria Math" w:cs="Times New Roman"/>
                <w:i/>
                <w:szCs w:val="24"/>
              </w:rPr>
            </m:ctrlPr>
          </m:dPr>
          <m:e>
            <m:f>
              <m:fPr>
                <m:ctrlPr>
                  <w:rPr>
                    <w:rFonts w:ascii="Cambria Math" w:hAnsi="Cambria Math" w:cs="Times New Roman"/>
                    <w:i/>
                    <w:szCs w:val="24"/>
                  </w:rPr>
                </m:ctrlPr>
              </m:fPr>
              <m:num>
                <m:f>
                  <m:fPr>
                    <m:ctrlPr>
                      <w:rPr>
                        <w:rFonts w:ascii="Cambria Math" w:hAnsi="Cambria Math" w:cs="Times New Roman"/>
                        <w:i/>
                        <w:szCs w:val="24"/>
                      </w:rPr>
                    </m:ctrlPr>
                  </m:fPr>
                  <m:num>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d</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d</m:t>
                        </m:r>
                      </m:sup>
                    </m:sSubSup>
                  </m:num>
                  <m:den>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d</m:t>
                        </m:r>
                      </m:sup>
                    </m:sSubSup>
                    <m:r>
                      <w:rPr>
                        <w:rFonts w:ascii="Cambria Math" w:hAnsi="Cambria Math" w:cs="Times New Roman"/>
                        <w:szCs w:val="24"/>
                      </w:rPr>
                      <m:t>+</m:t>
                    </m:r>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d</m:t>
                        </m:r>
                      </m:sup>
                    </m:sSubSup>
                  </m:den>
                </m:f>
                <m:r>
                  <w:rPr>
                    <w:rFonts w:ascii="Cambria Math" w:hAnsi="Cambria Math" w:cs="Times New Roman"/>
                    <w:szCs w:val="24"/>
                  </w:rPr>
                  <m:t>+</m:t>
                </m:r>
                <m:f>
                  <m:fPr>
                    <m:ctrlPr>
                      <w:rPr>
                        <w:rFonts w:ascii="Cambria Math" w:hAnsi="Cambria Math" w:cs="Times New Roman"/>
                        <w:i/>
                        <w:szCs w:val="24"/>
                      </w:rPr>
                    </m:ctrlPr>
                  </m:fPr>
                  <m:num>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d</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d</m:t>
                        </m:r>
                      </m:sup>
                    </m:sSubSup>
                  </m:num>
                  <m:den>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d</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d</m:t>
                        </m:r>
                      </m:sup>
                    </m:sSubSup>
                  </m:den>
                </m:f>
              </m:num>
              <m:den>
                <m:f>
                  <m:fPr>
                    <m:ctrlPr>
                      <w:rPr>
                        <w:rFonts w:ascii="Cambria Math" w:hAnsi="Cambria Math" w:cs="Times New Roman"/>
                        <w:i/>
                        <w:szCs w:val="24"/>
                      </w:rPr>
                    </m:ctrlPr>
                  </m:fPr>
                  <m:num>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d</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W</m:t>
                        </m:r>
                      </m:sub>
                      <m:sup>
                        <m:r>
                          <w:rPr>
                            <w:rFonts w:ascii="Cambria Math" w:hAnsi="Cambria Math" w:cs="Times New Roman"/>
                            <w:szCs w:val="24"/>
                          </w:rPr>
                          <m:t>d</m:t>
                        </m:r>
                      </m:sup>
                    </m:sSubSup>
                  </m:num>
                  <m:den>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d</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W</m:t>
                        </m:r>
                      </m:sub>
                      <m:sup>
                        <m:r>
                          <w:rPr>
                            <w:rFonts w:ascii="Cambria Math" w:hAnsi="Cambria Math" w:cs="Times New Roman"/>
                            <w:szCs w:val="24"/>
                          </w:rPr>
                          <m:t>d</m:t>
                        </m:r>
                      </m:sup>
                    </m:sSubSup>
                  </m:den>
                </m:f>
                <m:r>
                  <w:rPr>
                    <w:rFonts w:ascii="Cambria Math" w:hAnsi="Cambria Math" w:cs="Times New Roman"/>
                    <w:szCs w:val="24"/>
                  </w:rPr>
                  <m:t>+</m:t>
                </m:r>
                <m:f>
                  <m:fPr>
                    <m:ctrlPr>
                      <w:rPr>
                        <w:rFonts w:ascii="Cambria Math" w:hAnsi="Cambria Math" w:cs="Times New Roman"/>
                        <w:i/>
                        <w:szCs w:val="24"/>
                      </w:rPr>
                    </m:ctrlPr>
                  </m:fPr>
                  <m:num>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P</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W</m:t>
                        </m:r>
                      </m:sub>
                      <m:sup>
                        <m:r>
                          <w:rPr>
                            <w:rFonts w:ascii="Cambria Math" w:hAnsi="Cambria Math" w:cs="Times New Roman"/>
                            <w:szCs w:val="24"/>
                          </w:rPr>
                          <m:t>P</m:t>
                        </m:r>
                      </m:sup>
                    </m:sSubSup>
                  </m:num>
                  <m:den>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P</m:t>
                        </m:r>
                      </m:sup>
                    </m:sSubSup>
                    <m:r>
                      <w:rPr>
                        <w:rFonts w:ascii="Cambria Math" w:hAnsi="Cambria Math" w:cs="Times New Roman"/>
                        <w:szCs w:val="24"/>
                      </w:rPr>
                      <m:t>+</m:t>
                    </m:r>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W</m:t>
                        </m:r>
                      </m:sub>
                      <m:sup>
                        <m:r>
                          <w:rPr>
                            <w:rFonts w:ascii="Cambria Math" w:hAnsi="Cambria Math" w:cs="Times New Roman"/>
                            <w:szCs w:val="24"/>
                          </w:rPr>
                          <m:t>P</m:t>
                        </m:r>
                      </m:sup>
                    </m:sSubSup>
                  </m:den>
                </m:f>
                <m:r>
                  <w:rPr>
                    <w:rFonts w:ascii="Cambria Math" w:hAnsi="Cambria Math" w:cs="Times New Roman"/>
                    <w:szCs w:val="24"/>
                  </w:rPr>
                  <m:t>+</m:t>
                </m:r>
                <m:f>
                  <m:fPr>
                    <m:ctrlPr>
                      <w:rPr>
                        <w:rFonts w:ascii="Cambria Math" w:hAnsi="Cambria Math" w:cs="Times New Roman"/>
                        <w:i/>
                        <w:szCs w:val="24"/>
                      </w:rPr>
                    </m:ctrlPr>
                  </m:fPr>
                  <m:num>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d</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W</m:t>
                        </m:r>
                      </m:sub>
                      <m:sup>
                        <m:r>
                          <w:rPr>
                            <w:rFonts w:ascii="Cambria Math" w:hAnsi="Cambria Math" w:cs="Times New Roman"/>
                            <w:szCs w:val="24"/>
                          </w:rPr>
                          <m:t>d</m:t>
                        </m:r>
                      </m:sup>
                    </m:sSubSup>
                  </m:num>
                  <m:den>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d</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W</m:t>
                        </m:r>
                      </m:sub>
                      <m:sup>
                        <m:r>
                          <w:rPr>
                            <w:rFonts w:ascii="Cambria Math" w:hAnsi="Cambria Math" w:cs="Times New Roman"/>
                            <w:szCs w:val="24"/>
                          </w:rPr>
                          <m:t>d</m:t>
                        </m:r>
                      </m:sup>
                    </m:sSubSup>
                  </m:den>
                </m:f>
                <m:r>
                  <w:rPr>
                    <w:rFonts w:ascii="Cambria Math" w:hAnsi="Cambria Math" w:cs="Times New Roman"/>
                    <w:szCs w:val="24"/>
                  </w:rPr>
                  <m:t>+</m:t>
                </m:r>
                <m:f>
                  <m:fPr>
                    <m:ctrlPr>
                      <w:rPr>
                        <w:rFonts w:ascii="Cambria Math" w:hAnsi="Cambria Math" w:cs="Times New Roman"/>
                        <w:i/>
                        <w:szCs w:val="24"/>
                      </w:rPr>
                    </m:ctrlPr>
                  </m:fPr>
                  <m:num>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P</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W</m:t>
                        </m:r>
                      </m:sub>
                      <m:sup>
                        <m:r>
                          <w:rPr>
                            <w:rFonts w:ascii="Cambria Math" w:hAnsi="Cambria Math" w:cs="Times New Roman"/>
                            <w:szCs w:val="24"/>
                          </w:rPr>
                          <m:t>P</m:t>
                        </m:r>
                      </m:sup>
                    </m:sSubSup>
                  </m:num>
                  <m:den>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P</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W</m:t>
                        </m:r>
                      </m:sub>
                      <m:sup>
                        <m:r>
                          <w:rPr>
                            <w:rFonts w:ascii="Cambria Math" w:hAnsi="Cambria Math" w:cs="Times New Roman"/>
                            <w:szCs w:val="24"/>
                          </w:rPr>
                          <m:t>P</m:t>
                        </m:r>
                      </m:sup>
                    </m:sSubSup>
                  </m:den>
                </m:f>
                <m:r>
                  <w:rPr>
                    <w:rFonts w:ascii="Cambria Math" w:hAnsi="Cambria Math" w:cs="Times New Roman"/>
                    <w:szCs w:val="24"/>
                  </w:rPr>
                  <m:t>-</m:t>
                </m:r>
                <m:f>
                  <m:fPr>
                    <m:ctrlPr>
                      <w:rPr>
                        <w:rFonts w:ascii="Cambria Math" w:hAnsi="Cambria Math" w:cs="Times New Roman"/>
                        <w:i/>
                        <w:szCs w:val="24"/>
                      </w:rPr>
                    </m:ctrlPr>
                  </m:fPr>
                  <m:num>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d</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d</m:t>
                        </m:r>
                      </m:sup>
                    </m:sSubSup>
                  </m:num>
                  <m:den>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d</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d</m:t>
                        </m:r>
                      </m:sup>
                    </m:sSubSup>
                  </m:den>
                </m:f>
                <m:r>
                  <w:rPr>
                    <w:rFonts w:ascii="Cambria Math" w:hAnsi="Cambria Math" w:cs="Times New Roman"/>
                    <w:szCs w:val="24"/>
                  </w:rPr>
                  <m:t>-</m:t>
                </m:r>
                <m:f>
                  <m:fPr>
                    <m:ctrlPr>
                      <w:rPr>
                        <w:rFonts w:ascii="Cambria Math" w:hAnsi="Cambria Math" w:cs="Times New Roman"/>
                        <w:i/>
                        <w:szCs w:val="24"/>
                      </w:rPr>
                    </m:ctrlPr>
                  </m:fPr>
                  <m:num>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P</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W</m:t>
                        </m:r>
                      </m:sub>
                      <m:sup>
                        <m:r>
                          <w:rPr>
                            <w:rFonts w:ascii="Cambria Math" w:hAnsi="Cambria Math" w:cs="Times New Roman"/>
                            <w:szCs w:val="24"/>
                          </w:rPr>
                          <m:t>P</m:t>
                        </m:r>
                      </m:sup>
                    </m:sSubSup>
                  </m:num>
                  <m:den>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P</m:t>
                        </m:r>
                      </m:sup>
                    </m:sSubSup>
                    <m:r>
                      <w:rPr>
                        <w:rFonts w:ascii="Cambria Math" w:hAnsi="Cambria Math" w:cs="Times New Roman"/>
                        <w:szCs w:val="24"/>
                      </w:rPr>
                      <m:t>+</m:t>
                    </m:r>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W</m:t>
                        </m:r>
                      </m:sub>
                      <m:sup>
                        <m:r>
                          <w:rPr>
                            <w:rFonts w:ascii="Cambria Math" w:hAnsi="Cambria Math" w:cs="Times New Roman"/>
                            <w:szCs w:val="24"/>
                          </w:rPr>
                          <m:t>P</m:t>
                        </m:r>
                      </m:sup>
                    </m:sSubSup>
                  </m:den>
                </m:f>
                <m:r>
                  <w:rPr>
                    <w:rFonts w:ascii="Cambria Math" w:hAnsi="Cambria Math" w:cs="Times New Roman"/>
                    <w:szCs w:val="24"/>
                  </w:rPr>
                  <m:t>-</m:t>
                </m:r>
                <m:f>
                  <m:fPr>
                    <m:ctrlPr>
                      <w:rPr>
                        <w:rFonts w:ascii="Cambria Math" w:hAnsi="Cambria Math" w:cs="Times New Roman"/>
                        <w:i/>
                        <w:szCs w:val="24"/>
                      </w:rPr>
                    </m:ctrlPr>
                  </m:fPr>
                  <m:num>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w</m:t>
                        </m:r>
                      </m:sub>
                    </m:sSub>
                  </m:num>
                  <m:den>
                    <m:r>
                      <w:rPr>
                        <w:rFonts w:ascii="Cambria Math" w:hAnsi="Cambria Math" w:cs="Times New Roman"/>
                        <w:szCs w:val="24"/>
                      </w:rPr>
                      <m:t>2</m:t>
                    </m:r>
                  </m:den>
                </m:f>
              </m:den>
            </m:f>
          </m:e>
        </m:d>
      </m:oMath>
      <w:r w:rsidRPr="0098140B">
        <w:rPr>
          <w:rFonts w:eastAsiaTheme="minorEastAsia" w:cs="Times New Roman"/>
          <w:szCs w:val="24"/>
        </w:rPr>
        <w:t xml:space="preserve">    (</w:t>
      </w:r>
      <w:r w:rsidR="007655DB">
        <w:rPr>
          <w:rFonts w:cs="Times New Roman"/>
          <w:szCs w:val="24"/>
        </w:rPr>
        <w:t>2.</w:t>
      </w:r>
      <w:r w:rsidRPr="0098140B">
        <w:rPr>
          <w:rFonts w:eastAsiaTheme="minorEastAsia" w:cs="Times New Roman"/>
          <w:szCs w:val="24"/>
        </w:rPr>
        <w:t>24)</w:t>
      </w:r>
    </w:p>
    <w:p w14:paraId="423A2180" w14:textId="77777777" w:rsidR="0003506A" w:rsidRPr="0098140B" w:rsidRDefault="0003506A" w:rsidP="008A24F0">
      <w:pPr>
        <w:pStyle w:val="Heading4"/>
        <w:spacing w:before="0" w:after="0"/>
        <w:rPr>
          <w:szCs w:val="24"/>
        </w:rPr>
      </w:pPr>
      <w:r w:rsidRPr="0098140B">
        <w:rPr>
          <w:szCs w:val="24"/>
        </w:rPr>
        <w:t>Equation of State (EOS) Approach</w:t>
      </w:r>
    </w:p>
    <w:p w14:paraId="4B23F48E" w14:textId="77777777" w:rsidR="0003506A" w:rsidRPr="0098140B" w:rsidRDefault="0003506A" w:rsidP="008A24F0">
      <w:pPr>
        <w:pStyle w:val="Heading5"/>
        <w:spacing w:before="0" w:after="0"/>
        <w:rPr>
          <w:szCs w:val="24"/>
        </w:rPr>
      </w:pPr>
      <w:r w:rsidRPr="0098140B">
        <w:rPr>
          <w:szCs w:val="24"/>
        </w:rPr>
        <w:t>Neumann Method</w:t>
      </w:r>
    </w:p>
    <w:p w14:paraId="3D69C93F" w14:textId="721980B5" w:rsidR="0003506A" w:rsidRPr="0098140B" w:rsidRDefault="0003506A" w:rsidP="008A24F0">
      <w:pPr>
        <w:ind w:firstLine="720"/>
        <w:contextualSpacing/>
        <w:rPr>
          <w:rFonts w:cs="Times New Roman"/>
          <w:szCs w:val="24"/>
        </w:rPr>
      </w:pPr>
      <w:r w:rsidRPr="0098140B">
        <w:rPr>
          <w:rFonts w:cs="Times New Roman"/>
          <w:szCs w:val="24"/>
        </w:rPr>
        <w:t>As noted earlier, the Neumann method of SFE determination is based on the equation of state approach which disqualifies the separation of SFE into smaller components. According to the Neumann method, the interfacial free energy is a function of surface tension of probe liquid and the solid surface free energy, as shown in Equation (</w:t>
      </w:r>
      <w:r w:rsidR="007655DB">
        <w:rPr>
          <w:rFonts w:cs="Times New Roman"/>
          <w:szCs w:val="24"/>
        </w:rPr>
        <w:t>2.</w:t>
      </w:r>
      <w:r w:rsidRPr="0098140B">
        <w:rPr>
          <w:rFonts w:cs="Times New Roman"/>
          <w:szCs w:val="24"/>
        </w:rPr>
        <w:t>13). Neumann and his colleagues proposed Equation (</w:t>
      </w:r>
      <w:r w:rsidR="007655DB">
        <w:rPr>
          <w:rFonts w:cs="Times New Roman"/>
          <w:szCs w:val="24"/>
        </w:rPr>
        <w:t>2.</w:t>
      </w:r>
      <w:r w:rsidRPr="0098140B">
        <w:rPr>
          <w:rFonts w:cs="Times New Roman"/>
          <w:szCs w:val="24"/>
        </w:rPr>
        <w:t xml:space="preserve">14) to determine SFE components of </w:t>
      </w:r>
      <w:r w:rsidRPr="00E64D15">
        <w:rPr>
          <w:rFonts w:cs="Times New Roman"/>
          <w:szCs w:val="24"/>
        </w:rPr>
        <w:t xml:space="preserve">solid surfaces </w:t>
      </w:r>
      <w:r w:rsidRPr="00E64D15">
        <w:rPr>
          <w:rFonts w:cs="Times New Roman"/>
          <w:szCs w:val="24"/>
        </w:rPr>
        <w:fldChar w:fldCharType="begin">
          <w:fldData xml:space="preserve">PEVuZE5vdGU+PENpdGU+PEF1dGhvcj5OZXVtYW5uPC9BdXRob3I+PFllYXI+MTk3NDwvWWVhcj48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</w:fldData>
        </w:fldChar>
      </w:r>
      <w:r w:rsidR="00282238" w:rsidRPr="00E64D15">
        <w:rPr>
          <w:rFonts w:cs="Times New Roman"/>
          <w:szCs w:val="24"/>
        </w:rPr>
        <w:instrText xml:space="preserve"> ADDIN EN.CITE </w:instrText>
      </w:r>
      <w:r w:rsidR="00282238" w:rsidRPr="00E64D15">
        <w:rPr>
          <w:rFonts w:cs="Times New Roman"/>
          <w:szCs w:val="24"/>
        </w:rPr>
        <w:fldChar w:fldCharType="begin">
          <w:fldData xml:space="preserve">PEVuZE5vdGU+PENpdGU+PEF1dGhvcj5OZXVtYW5uPC9BdXRob3I+PFllYXI+MTk3NDwvWWVhcj48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</w:fldData>
        </w:fldChar>
      </w:r>
      <w:r w:rsidR="00282238" w:rsidRPr="00E64D15">
        <w:rPr>
          <w:rFonts w:cs="Times New Roman"/>
          <w:szCs w:val="24"/>
        </w:rPr>
        <w:instrText xml:space="preserve"> ADDIN EN.CITE.DATA </w:instrText>
      </w:r>
      <w:r w:rsidR="00282238" w:rsidRPr="00E64D15">
        <w:rPr>
          <w:rFonts w:cs="Times New Roman"/>
          <w:szCs w:val="24"/>
        </w:rPr>
      </w:r>
      <w:r w:rsidR="00282238" w:rsidRPr="00E64D15">
        <w:rPr>
          <w:rFonts w:cs="Times New Roman"/>
          <w:szCs w:val="24"/>
        </w:rPr>
        <w:fldChar w:fldCharType="end"/>
      </w:r>
      <w:r w:rsidRPr="00E64D15">
        <w:rPr>
          <w:rFonts w:cs="Times New Roman"/>
          <w:szCs w:val="24"/>
        </w:rPr>
      </w:r>
      <w:r w:rsidRPr="00E64D15">
        <w:rPr>
          <w:rFonts w:cs="Times New Roman"/>
          <w:szCs w:val="24"/>
        </w:rPr>
        <w:fldChar w:fldCharType="separate"/>
      </w:r>
      <w:r w:rsidR="00282238" w:rsidRPr="00E64D15">
        <w:rPr>
          <w:rFonts w:cs="Times New Roman"/>
          <w:noProof/>
          <w:szCs w:val="24"/>
        </w:rPr>
        <w:t>(Neumann et al., 1974; Li and Neumann, 1990; Li and Neumann, 1992)</w:t>
      </w:r>
      <w:r w:rsidRPr="00E64D15">
        <w:rPr>
          <w:rFonts w:cs="Times New Roman"/>
          <w:szCs w:val="24"/>
        </w:rPr>
        <w:fldChar w:fldCharType="end"/>
      </w:r>
      <w:r w:rsidRPr="00E64D15">
        <w:rPr>
          <w:rFonts w:cs="Times New Roman"/>
          <w:szCs w:val="24"/>
        </w:rPr>
        <w:t xml:space="preserve">. The constants β and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S</m:t>
            </m:r>
          </m:sub>
        </m:sSub>
      </m:oMath>
      <w:r w:rsidRPr="00E64D15">
        <w:rPr>
          <w:rFonts w:cs="Times New Roman"/>
          <w:szCs w:val="24"/>
        </w:rPr>
        <w:t xml:space="preserve"> in Equation (</w:t>
      </w:r>
      <w:r w:rsidR="007655DB" w:rsidRPr="00E64D15">
        <w:rPr>
          <w:rFonts w:cs="Times New Roman"/>
          <w:szCs w:val="24"/>
        </w:rPr>
        <w:t>2.</w:t>
      </w:r>
      <w:r w:rsidRPr="00E64D15">
        <w:rPr>
          <w:rFonts w:cs="Times New Roman"/>
          <w:szCs w:val="24"/>
        </w:rPr>
        <w:t xml:space="preserve">14) can be determined by a multi-variable optimization using a least-square technique for a given set of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L</m:t>
            </m:r>
          </m:sub>
        </m:sSub>
      </m:oMath>
      <w:r w:rsidRPr="00E64D15">
        <w:rPr>
          <w:rFonts w:cs="Times New Roman"/>
          <w:szCs w:val="24"/>
        </w:rPr>
        <w:t xml:space="preserve"> and θ, measured for different probe liquids on a solid surface.</w:t>
      </w:r>
      <w:r w:rsidR="00F161DC" w:rsidRPr="00E64D15">
        <w:rPr>
          <w:rFonts w:cs="Times New Roman"/>
          <w:szCs w:val="24"/>
        </w:rPr>
        <w:t xml:space="preserve"> Li and Neumann</w:t>
      </w:r>
      <w:r w:rsidR="00685B84" w:rsidRPr="00E64D15">
        <w:rPr>
          <w:rFonts w:cs="Times New Roman"/>
          <w:szCs w:val="24"/>
        </w:rPr>
        <w:t xml:space="preserve"> (1990, 1992)</w:t>
      </w:r>
      <w:r w:rsidRPr="00E64D15">
        <w:rPr>
          <w:rFonts w:cs="Times New Roman"/>
          <w:szCs w:val="24"/>
        </w:rPr>
        <w:t xml:space="preserve"> conducted a series of tests on polymeric surfaces and found the weighted average of β as 0.000125 (mJ/m</w:t>
      </w:r>
      <w:r w:rsidRPr="00E64D15">
        <w:rPr>
          <w:rFonts w:cs="Times New Roman"/>
          <w:szCs w:val="24"/>
          <w:vertAlign w:val="superscript"/>
        </w:rPr>
        <w:t>2</w:t>
      </w:r>
      <w:r w:rsidRPr="00E64D15">
        <w:rPr>
          <w:rFonts w:cs="Times New Roman"/>
          <w:szCs w:val="24"/>
        </w:rPr>
        <w:t>)</w:t>
      </w:r>
      <w:r w:rsidRPr="00E64D15">
        <w:rPr>
          <w:rFonts w:cs="Times New Roman"/>
          <w:szCs w:val="24"/>
          <w:vertAlign w:val="superscript"/>
        </w:rPr>
        <w:t>−2</w:t>
      </w:r>
      <w:r w:rsidR="00685B84" w:rsidRPr="00E64D15">
        <w:rPr>
          <w:rFonts w:cs="Times New Roman"/>
          <w:szCs w:val="24"/>
          <w:vertAlign w:val="superscript"/>
        </w:rPr>
        <w:t xml:space="preserve"> </w:t>
      </w:r>
      <w:r w:rsidR="00685B84" w:rsidRPr="00E64D15">
        <w:rPr>
          <w:rFonts w:cs="Times New Roman"/>
          <w:szCs w:val="24"/>
        </w:rPr>
        <w:fldChar w:fldCharType="begin"/>
      </w:r>
      <w:r w:rsidR="00282238" w:rsidRPr="00E64D15">
        <w:rPr>
          <w:rFonts w:cs="Times New Roman"/>
          <w:szCs w:val="24"/>
        </w:rPr>
        <w:instrText xml:space="preserve"> ADDIN EN.CITE &lt;EndNote&gt;&lt;Cite&gt;&lt;Author&gt;Li&lt;/Author&gt;&lt;Year&gt;1990&lt;/Year&gt;&lt;RecNum&gt;406&lt;/RecNum&gt;&lt;DisplayText&gt;(Li and Neumann, 1990; Li and Neumann, 1992)&lt;/DisplayText&gt;&lt;record&gt;&lt;rec-number&gt;406&lt;/rec-number&gt;&lt;foreign-keys&gt;&lt;key app="EN" db-id="tfx2va9ropw5p7evdr2pf5rw2vszzx9t0xzs" timestamp="1620332806"&gt;406&lt;/key&gt;&lt;/foreign-keys&gt;&lt;ref-type name="Journal Article"&gt;17&lt;/ref-type&gt;&lt;contributors&gt;&lt;authors&gt;&lt;author&gt;Li, D&lt;/author&gt;&lt;author&gt;Neumann, AW&lt;/author&gt;&lt;/authors&gt;&lt;/contributors&gt;&lt;titles&gt;&lt;title&gt;A reformulation of the equation of state for interfacial tensions&lt;/title&gt;&lt;secondary-title&gt;Journal of Colloid and Interface Science&lt;/secondary-title&gt;&lt;/titles&gt;&lt;periodical&gt;&lt;full-title&gt;Journal of colloid and interface science&lt;/full-title&gt;&lt;/periodical&gt;&lt;pages&gt;304-307&lt;/pages&gt;&lt;volume&gt;137&lt;/volume&gt;&lt;number&gt;1&lt;/number&gt;&lt;dates&gt;&lt;year&gt;1990&lt;/year&gt;&lt;/dates&gt;&lt;isbn&gt;0021-9797&lt;/isbn&gt;&lt;urls&gt;&lt;/urls&gt;&lt;/record&gt;&lt;/Cite&gt;&lt;Cite&gt;&lt;Author&gt;Li&lt;/Author&gt;&lt;Year&gt;1992&lt;/Year&gt;&lt;RecNum&gt;407&lt;/RecNum&gt;&lt;record&gt;&lt;rec-number&gt;407&lt;/rec-number&gt;&lt;foreign-keys&gt;&lt;key app="EN" db-id="tfx2va9ropw5p7evdr2pf5rw2vszzx9t0xzs" timestamp="1620332905"&gt;407&lt;/key&gt;&lt;/foreign-keys&gt;&lt;ref-type name="Journal Article"&gt;17&lt;/ref-type&gt;&lt;contributors&gt;&lt;authors&gt;&lt;author&gt;Li, D&lt;/author&gt;&lt;author&gt;Neumann, AW&lt;/author&gt;&lt;/authors&gt;&lt;/contributors&gt;&lt;titles&gt;&lt;title&gt;Equation of state for interfacial tensions of solid-liquid systems&lt;/title&gt;&lt;secondary-title&gt;Advances in Colloid and Interface Science&lt;/secondary-title&gt;&lt;/titles&gt;&lt;periodical&gt;&lt;full-title&gt;Advances in Colloid and Interface Science&lt;/full-title&gt;&lt;/periodical&gt;&lt;pages&gt;299-345&lt;/pages&gt;&lt;volume&gt;39&lt;/volume&gt;&lt;dates&gt;&lt;year&gt;1992&lt;/year&gt;&lt;/dates&gt;&lt;isbn&gt;0001-8686&lt;/isbn&gt;&lt;urls&gt;&lt;/urls&gt;&lt;/record&gt;&lt;/Cite&gt;&lt;/EndNote&gt;</w:instrText>
      </w:r>
      <w:r w:rsidR="00685B84" w:rsidRPr="00E64D15">
        <w:rPr>
          <w:rFonts w:cs="Times New Roman"/>
          <w:szCs w:val="24"/>
        </w:rPr>
        <w:fldChar w:fldCharType="separate"/>
      </w:r>
      <w:r w:rsidR="00282238" w:rsidRPr="00E64D15">
        <w:rPr>
          <w:rFonts w:cs="Times New Roman"/>
          <w:noProof/>
          <w:szCs w:val="24"/>
        </w:rPr>
        <w:t>(Li and Neumann, 1990; Li and Neumann, 1992)</w:t>
      </w:r>
      <w:r w:rsidR="00685B84" w:rsidRPr="00E64D15">
        <w:rPr>
          <w:rFonts w:cs="Times New Roman"/>
          <w:szCs w:val="24"/>
        </w:rPr>
        <w:fldChar w:fldCharType="end"/>
      </w:r>
      <w:r w:rsidRPr="00E64D15">
        <w:rPr>
          <w:rFonts w:cs="Times New Roman"/>
          <w:szCs w:val="24"/>
        </w:rPr>
        <w:t>. However, β is expected to be different for a binder as the surface is chemically and physically</w:t>
      </w:r>
      <w:r w:rsidRPr="0098140B">
        <w:rPr>
          <w:rFonts w:cs="Times New Roman"/>
          <w:szCs w:val="24"/>
        </w:rPr>
        <w:t xml:space="preserve"> different than a polymeric surface. Therefore, in this study, β was considered as a variable equation parameter. The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L</m:t>
            </m:r>
          </m:sub>
        </m:sSub>
      </m:oMath>
      <w:r w:rsidRPr="0098140B">
        <w:rPr>
          <w:rFonts w:eastAsiaTheme="minorEastAsia" w:cs="Times New Roman"/>
          <w:b/>
          <w:bCs/>
          <w:color w:val="000000"/>
          <w:szCs w:val="24"/>
        </w:rPr>
        <w:t xml:space="preserve"> </w:t>
      </w:r>
      <w:r w:rsidRPr="0098140B">
        <w:rPr>
          <w:rFonts w:eastAsiaTheme="minorEastAsia" w:cs="Times New Roman"/>
          <w:color w:val="000000"/>
          <w:szCs w:val="24"/>
        </w:rPr>
        <w:t xml:space="preserve">and </w:t>
      </w:r>
      <w:r w:rsidRPr="0098140B">
        <w:rPr>
          <w:rFonts w:cs="Times New Roman"/>
          <w:szCs w:val="24"/>
        </w:rPr>
        <w:t>contact angles (θ) of water, glycer</w:t>
      </w:r>
      <w:r w:rsidR="002B735E">
        <w:rPr>
          <w:rFonts w:cs="Times New Roman"/>
          <w:szCs w:val="24"/>
        </w:rPr>
        <w:t>ol</w:t>
      </w:r>
      <w:r w:rsidRPr="0098140B">
        <w:rPr>
          <w:rFonts w:cs="Times New Roman"/>
          <w:szCs w:val="24"/>
        </w:rPr>
        <w:t xml:space="preserve">, formamide, ethylene glycol and diiodomethane were used to determine the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A</m:t>
            </m:r>
          </m:sub>
        </m:sSub>
      </m:oMath>
      <w:r w:rsidRPr="0098140B">
        <w:rPr>
          <w:rFonts w:eastAsiaTheme="minorEastAsia" w:cs="Times New Roman"/>
          <w:szCs w:val="24"/>
        </w:rPr>
        <w:t xml:space="preserve"> component </w:t>
      </w:r>
      <w:r w:rsidRPr="0098140B">
        <w:rPr>
          <w:rFonts w:cs="Times New Roman"/>
          <w:szCs w:val="24"/>
        </w:rPr>
        <w:t xml:space="preserve">of all binders. Figure </w:t>
      </w:r>
      <w:r w:rsidR="001D08FC" w:rsidRPr="0098140B">
        <w:rPr>
          <w:rFonts w:cs="Times New Roman"/>
          <w:szCs w:val="24"/>
        </w:rPr>
        <w:t>2.</w:t>
      </w:r>
      <w:r w:rsidRPr="0098140B">
        <w:rPr>
          <w:rFonts w:cs="Times New Roman"/>
          <w:szCs w:val="24"/>
        </w:rPr>
        <w:t xml:space="preserve">3 shows the plot of </w:t>
      </w:r>
      <m:oMath>
        <m:sSub>
          <m:sSubPr>
            <m:ctrlPr>
              <w:rPr>
                <w:rFonts w:ascii="Cambria Math" w:eastAsia="Times New Roman" w:hAnsi="Cambria Math" w:cs="Times New Roman"/>
                <w:i/>
                <w:color w:val="000000"/>
                <w:szCs w:val="24"/>
              </w:rPr>
            </m:ctrlPr>
          </m:sSubPr>
          <m:e>
            <m:r>
              <m:rPr>
                <m:sty m:val="p"/>
              </m:rPr>
              <w:rPr>
                <w:rFonts w:ascii="Cambria Math" w:eastAsia="Times New Roman" w:hAnsi="Cambria Math" w:cs="Times New Roman"/>
                <w:color w:val="000000"/>
                <w:szCs w:val="24"/>
              </w:rPr>
              <m:t>Γ</m:t>
            </m:r>
          </m:e>
          <m:sub>
            <m:r>
              <w:rPr>
                <w:rFonts w:ascii="Cambria Math" w:eastAsia="Times New Roman" w:hAnsi="Cambria Math" w:cs="Times New Roman"/>
                <w:color w:val="000000"/>
                <w:szCs w:val="24"/>
              </w:rPr>
              <m:t>L</m:t>
            </m:r>
          </m:sub>
        </m:sSub>
        <m:r>
          <w:rPr>
            <w:rFonts w:ascii="Cambria Math" w:eastAsia="Times New Roman" w:hAnsi="Cambria Math" w:cs="Times New Roman"/>
            <w:color w:val="000000"/>
            <w:szCs w:val="24"/>
          </w:rPr>
          <m:t>cosθ</m:t>
        </m:r>
      </m:oMath>
      <w:r w:rsidRPr="0098140B">
        <w:rPr>
          <w:rFonts w:eastAsiaTheme="minorEastAsia" w:cs="Times New Roman"/>
          <w:color w:val="000000"/>
          <w:szCs w:val="24"/>
        </w:rPr>
        <w:t xml:space="preserve"> versus </w:t>
      </w:r>
      <m:oMath>
        <m:sSub>
          <m:sSubPr>
            <m:ctrlPr>
              <w:rPr>
                <w:rFonts w:ascii="Cambria Math" w:eastAsia="Times New Roman" w:hAnsi="Cambria Math" w:cs="Times New Roman"/>
                <w:i/>
                <w:color w:val="000000"/>
                <w:szCs w:val="24"/>
              </w:rPr>
            </m:ctrlPr>
          </m:sSubPr>
          <m:e>
            <m:r>
              <m:rPr>
                <m:sty m:val="p"/>
              </m:rPr>
              <w:rPr>
                <w:rFonts w:ascii="Cambria Math" w:eastAsia="Times New Roman" w:hAnsi="Cambria Math" w:cs="Times New Roman"/>
                <w:color w:val="000000"/>
                <w:szCs w:val="24"/>
              </w:rPr>
              <m:t>Γ</m:t>
            </m:r>
          </m:e>
          <m:sub>
            <m:r>
              <w:rPr>
                <w:rFonts w:ascii="Cambria Math" w:eastAsia="Times New Roman" w:hAnsi="Cambria Math" w:cs="Times New Roman"/>
                <w:color w:val="000000"/>
                <w:szCs w:val="24"/>
              </w:rPr>
              <m:t>L</m:t>
            </m:r>
          </m:sub>
        </m:sSub>
      </m:oMath>
      <w:r w:rsidRPr="0098140B">
        <w:rPr>
          <w:rFonts w:eastAsiaTheme="minorEastAsia" w:cs="Times New Roman"/>
          <w:color w:val="000000"/>
          <w:szCs w:val="24"/>
        </w:rPr>
        <w:t xml:space="preserve"> for S1, S2, S3 and S4 binders. The curved lines in Figure </w:t>
      </w:r>
      <w:r w:rsidR="001D08FC" w:rsidRPr="0098140B">
        <w:rPr>
          <w:rFonts w:eastAsiaTheme="minorEastAsia" w:cs="Times New Roman"/>
          <w:color w:val="000000"/>
          <w:szCs w:val="24"/>
        </w:rPr>
        <w:t>2.</w:t>
      </w:r>
      <w:r w:rsidRPr="0098140B">
        <w:rPr>
          <w:rFonts w:eastAsiaTheme="minorEastAsia" w:cs="Times New Roman"/>
          <w:color w:val="000000"/>
          <w:szCs w:val="24"/>
        </w:rPr>
        <w:t xml:space="preserve">3 represent the model fitting using the Neumann method. Table </w:t>
      </w:r>
      <w:r w:rsidR="002B038B" w:rsidRPr="0098140B">
        <w:rPr>
          <w:rFonts w:eastAsiaTheme="minorEastAsia" w:cs="Times New Roman"/>
          <w:color w:val="000000"/>
          <w:szCs w:val="24"/>
        </w:rPr>
        <w:t>2.</w:t>
      </w:r>
      <w:r w:rsidRPr="0098140B">
        <w:rPr>
          <w:rFonts w:eastAsiaTheme="minorEastAsia" w:cs="Times New Roman"/>
          <w:color w:val="000000"/>
          <w:szCs w:val="24"/>
        </w:rPr>
        <w:t xml:space="preserve">11 presents the </w:t>
      </w:r>
      <w:r w:rsidRPr="0098140B">
        <w:rPr>
          <w:rFonts w:cs="Times New Roman"/>
          <w:szCs w:val="24"/>
        </w:rPr>
        <w:t xml:space="preserve">β and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A</m:t>
            </m:r>
          </m:sub>
        </m:sSub>
      </m:oMath>
      <w:r w:rsidRPr="0098140B">
        <w:rPr>
          <w:rFonts w:eastAsiaTheme="minorEastAsia" w:cs="Times New Roman"/>
          <w:color w:val="000000"/>
          <w:szCs w:val="24"/>
        </w:rPr>
        <w:t xml:space="preserve"> obtained from the Neumann method. The </w:t>
      </w:r>
      <w:r w:rsidRPr="0098140B">
        <w:rPr>
          <w:rFonts w:cs="Times New Roman"/>
          <w:szCs w:val="24"/>
        </w:rPr>
        <w:t xml:space="preserve">β parameter was found to vary between </w:t>
      </w:r>
      <w:r w:rsidRPr="0098140B">
        <w:rPr>
          <w:rFonts w:eastAsia="Times New Roman" w:cs="Times New Roman"/>
          <w:color w:val="000000"/>
          <w:szCs w:val="24"/>
        </w:rPr>
        <w:t xml:space="preserve">0.000029 to 0.000149 </w:t>
      </w:r>
      <w:r w:rsidRPr="0098140B">
        <w:rPr>
          <w:rFonts w:cs="Times New Roman"/>
          <w:szCs w:val="24"/>
        </w:rPr>
        <w:t>(mJ/m</w:t>
      </w:r>
      <w:r w:rsidRPr="0098140B">
        <w:rPr>
          <w:rFonts w:cs="Times New Roman"/>
          <w:szCs w:val="24"/>
          <w:vertAlign w:val="superscript"/>
        </w:rPr>
        <w:t>2</w:t>
      </w:r>
      <w:r w:rsidRPr="0098140B">
        <w:rPr>
          <w:rFonts w:cs="Times New Roman"/>
          <w:szCs w:val="24"/>
        </w:rPr>
        <w:t>)</w:t>
      </w:r>
      <w:r w:rsidRPr="0098140B">
        <w:rPr>
          <w:rFonts w:cs="Times New Roman"/>
          <w:szCs w:val="24"/>
          <w:vertAlign w:val="superscript"/>
        </w:rPr>
        <w:t>−2</w:t>
      </w:r>
      <w:r w:rsidRPr="0098140B">
        <w:rPr>
          <w:rFonts w:cs="Times New Roman"/>
          <w:szCs w:val="24"/>
        </w:rPr>
        <w:t xml:space="preserve"> </w:t>
      </w:r>
      <w:r w:rsidRPr="0098140B">
        <w:rPr>
          <w:rFonts w:eastAsia="Times New Roman" w:cs="Times New Roman"/>
          <w:color w:val="000000"/>
          <w:szCs w:val="24"/>
        </w:rPr>
        <w:t xml:space="preserve">for different binders. This variation is expected to arise from the difference in surface composition for different binders. </w:t>
      </w:r>
      <w:r w:rsidRPr="0098140B">
        <w:rPr>
          <w:rFonts w:cs="Times New Roman"/>
          <w:szCs w:val="24"/>
        </w:rPr>
        <w:t xml:space="preserve">Table </w:t>
      </w:r>
      <w:r w:rsidR="002B038B" w:rsidRPr="0098140B">
        <w:rPr>
          <w:rFonts w:cs="Times New Roman"/>
          <w:szCs w:val="24"/>
        </w:rPr>
        <w:t>2.</w:t>
      </w:r>
      <w:r w:rsidRPr="0098140B">
        <w:rPr>
          <w:rFonts w:cs="Times New Roman"/>
          <w:szCs w:val="24"/>
        </w:rPr>
        <w:t xml:space="preserve">12 presents the differences in measured and predicted contact angles from the Neumann method. It was observed that the differences between the measured and predicted contact angles are less than 3°. A contact angle variation of 1- 3° from the Neumann model was reported by other studies </w:t>
      </w:r>
      <w:r w:rsidRPr="0098140B">
        <w:rPr>
          <w:rFonts w:cs="Times New Roman"/>
          <w:szCs w:val="24"/>
        </w:rPr>
        <w:fldChar w:fldCharType="begin"/>
      </w:r>
      <w:r w:rsidR="00282238">
        <w:rPr>
          <w:rFonts w:cs="Times New Roman"/>
          <w:szCs w:val="24"/>
        </w:rPr>
        <w:instrText xml:space="preserve"> ADDIN EN.CITE &lt;EndNote&gt;&lt;Cite&gt;&lt;Author&gt;Kwok&lt;/Author&gt;&lt;Year&gt;1998&lt;/Year&gt;&lt;RecNum&gt;233&lt;/RecNum&gt;&lt;DisplayText&gt;(Kwok, 1998; Tavana and Neumann, 2007)&lt;/DisplayText&gt;&lt;record&gt;&lt;rec-number&gt;233&lt;/rec-number&gt;&lt;foreign-keys&gt;&lt;key app="EN" db-id="d55vzfpwawdafteedfoxsf0lv0v0wp5va2aa" timestamp="1613138176"&gt;233&lt;/key&gt;&lt;/foreign-keys&gt;&lt;ref-type name="Thesis"&gt;32&lt;/ref-type&gt;&lt;contributors&gt;&lt;authors&gt;&lt;author&gt;Kwok, Daniel Yu Hing&lt;/author&gt;&lt;/authors&gt;&lt;/contributors&gt;&lt;titles&gt;&lt;title&gt;CONTACT ANGLES AND SURFACE EMRGETICS&lt;/title&gt;&lt;/titles&gt;&lt;dates&gt;&lt;year&gt;1998&lt;/year&gt;&lt;/dates&gt;&lt;publisher&gt;University of Toronto&lt;/publisher&gt;&lt;urls&gt;&lt;/urls&gt;&lt;/record&gt;&lt;/Cite&gt;&lt;Cite&gt;&lt;Author&gt;Tavana&lt;/Author&gt;&lt;Year&gt;2007&lt;/Year&gt;&lt;RecNum&gt;232&lt;/RecNum&gt;&lt;record&gt;&lt;rec-number&gt;232&lt;/rec-number&gt;&lt;foreign-keys&gt;&lt;key app="EN" db-id="d55vzfpwawdafteedfoxsf0lv0v0wp5va2aa" timestamp="1613113534"&gt;232&lt;/key&gt;&lt;/foreign-keys&gt;&lt;ref-type name="Journal Article"&gt;17&lt;/ref-type&gt;&lt;contributors&gt;&lt;authors&gt;&lt;author&gt;Tavana, H&lt;/author&gt;&lt;author&gt;Neumann, AW&lt;/author&gt;&lt;/authors&gt;&lt;/contributors&gt;&lt;titles&gt;&lt;title&gt;Recent progress in the determination of solid surface tensions from contact angles&lt;/title&gt;&lt;secondary-title&gt;Advances in colloid and interface science&lt;/secondary-title&gt;&lt;/titles&gt;&lt;periodical&gt;&lt;full-title&gt;Advances in colloid and interface science&lt;/full-title&gt;&lt;/periodical&gt;&lt;pages&gt;1-32&lt;/pages&gt;&lt;volume&gt;132&lt;/volume&gt;&lt;number&gt;1&lt;/number&gt;&lt;dates&gt;&lt;year&gt;2007&lt;/year&gt;&lt;/dates&gt;&lt;isbn&gt;0001-8686&lt;/isbn&gt;&lt;urls&gt;&lt;/urls&gt;&lt;/record&gt;&lt;/Cite&gt;&lt;/EndNote&gt;</w:instrText>
      </w:r>
      <w:r w:rsidRPr="0098140B">
        <w:rPr>
          <w:rFonts w:cs="Times New Roman"/>
          <w:szCs w:val="24"/>
        </w:rPr>
        <w:fldChar w:fldCharType="separate"/>
      </w:r>
      <w:r w:rsidR="00282238">
        <w:rPr>
          <w:rFonts w:cs="Times New Roman"/>
          <w:noProof/>
          <w:szCs w:val="24"/>
        </w:rPr>
        <w:t>(Kwok, 1998; Tavana and Neumann, 2007)</w:t>
      </w:r>
      <w:r w:rsidRPr="0098140B">
        <w:rPr>
          <w:rFonts w:cs="Times New Roman"/>
          <w:szCs w:val="24"/>
        </w:rPr>
        <w:fldChar w:fldCharType="end"/>
      </w:r>
      <w:r w:rsidRPr="0098140B">
        <w:rPr>
          <w:rFonts w:cs="Times New Roman"/>
          <w:szCs w:val="24"/>
        </w:rPr>
        <w:t xml:space="preserve">. This indicates good fittings of the Neumann model for all binders. </w:t>
      </w:r>
      <w:r w:rsidRPr="0098140B">
        <w:rPr>
          <w:rFonts w:eastAsiaTheme="minorEastAsia" w:cs="Times New Roman"/>
          <w:color w:val="000000"/>
          <w:szCs w:val="24"/>
        </w:rPr>
        <w:t xml:space="preserve">The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A</m:t>
            </m:r>
          </m:sub>
        </m:sSub>
      </m:oMath>
      <w:r w:rsidRPr="0098140B">
        <w:rPr>
          <w:rFonts w:eastAsiaTheme="minorEastAsia" w:cs="Times New Roman"/>
          <w:color w:val="000000"/>
          <w:szCs w:val="24"/>
        </w:rPr>
        <w:t xml:space="preserve"> values for </w:t>
      </w:r>
      <w:r w:rsidRPr="0098140B">
        <w:rPr>
          <w:rFonts w:cs="Times New Roman"/>
          <w:szCs w:val="24"/>
        </w:rPr>
        <w:t>S1, S2, S3 and S4 binder were 21.16, 16.92, 10.87 and 18.02 mJ/m</w:t>
      </w:r>
      <w:r w:rsidRPr="0098140B">
        <w:rPr>
          <w:rFonts w:cs="Times New Roman"/>
          <w:szCs w:val="24"/>
          <w:vertAlign w:val="superscript"/>
        </w:rPr>
        <w:t>2</w:t>
      </w:r>
      <w:r w:rsidRPr="0098140B">
        <w:rPr>
          <w:rFonts w:cs="Times New Roman"/>
          <w:szCs w:val="24"/>
        </w:rPr>
        <w:t xml:space="preserve">, respectively, which are different from the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A</m:t>
            </m:r>
          </m:sub>
        </m:sSub>
      </m:oMath>
      <w:r w:rsidRPr="0098140B">
        <w:rPr>
          <w:rFonts w:eastAsiaTheme="minorEastAsia" w:cs="Times New Roman"/>
          <w:szCs w:val="24"/>
        </w:rPr>
        <w:t xml:space="preserve"> components obtained from the GvOC, Owens-Wendt and Wu methods. This variation among different SFE estimation method is discussed in the following section. </w:t>
      </w:r>
      <w:r w:rsidRPr="0098140B">
        <w:rPr>
          <w:rFonts w:cs="Times New Roman"/>
          <w:szCs w:val="24"/>
        </w:rPr>
        <w:t xml:space="preserve">The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98140B">
        <w:rPr>
          <w:rFonts w:cs="Times New Roman"/>
          <w:szCs w:val="24"/>
        </w:rPr>
        <w:t xml:space="preserve">, </w:t>
      </w:r>
      <m:oMath>
        <m:sSubSup>
          <m:sSubSupPr>
            <m:ctrlPr>
              <w:rPr>
                <w:rFonts w:ascii="Cambria Math" w:hAnsi="Cambria Math" w:cs="Times New Roman"/>
                <w:i/>
                <w:szCs w:val="24"/>
              </w:rPr>
            </m:ctrlPr>
          </m:sSubSupPr>
          <m:e>
            <m:r>
              <w:rPr>
                <w:rFonts w:ascii="Cambria Math" w:hAnsi="Cambria Math" w:cs="Times New Roman"/>
                <w:szCs w:val="24"/>
              </w:rPr>
              <m:t>W</m:t>
            </m:r>
          </m:e>
          <m:sub>
            <m:r>
              <w:rPr>
                <w:rFonts w:ascii="Cambria Math" w:hAnsi="Cambria Math" w:cs="Times New Roman"/>
                <w:szCs w:val="24"/>
              </w:rPr>
              <m:t>ARW</m:t>
            </m:r>
          </m:sub>
          <m:sup>
            <m:r>
              <w:rPr>
                <w:rFonts w:ascii="Cambria Math" w:hAnsi="Cambria Math" w:cs="Times New Roman"/>
                <w:szCs w:val="24"/>
              </w:rPr>
              <m:t>wet</m:t>
            </m:r>
          </m:sup>
        </m:sSubSup>
      </m:oMath>
      <w:r w:rsidRPr="0098140B">
        <w:rPr>
          <w:rFonts w:cs="Times New Roman"/>
          <w:szCs w:val="24"/>
        </w:rPr>
        <w:t xml:space="preserve"> and </w:t>
      </w:r>
      <w:r w:rsidRPr="0098140B">
        <w:rPr>
          <w:rFonts w:cs="Times New Roman"/>
          <w:i/>
          <w:iCs/>
          <w:szCs w:val="24"/>
        </w:rPr>
        <w:t>ER</w:t>
      </w:r>
      <w:r w:rsidRPr="0098140B">
        <w:rPr>
          <w:rFonts w:cs="Times New Roman"/>
          <w:szCs w:val="24"/>
        </w:rPr>
        <w:t xml:space="preserve"> from the Neumann method are calculated using Equations (</w:t>
      </w:r>
      <w:r w:rsidR="000F75AD">
        <w:rPr>
          <w:rFonts w:cs="Times New Roman"/>
          <w:szCs w:val="24"/>
        </w:rPr>
        <w:t>2.</w:t>
      </w:r>
      <w:r w:rsidRPr="0098140B">
        <w:rPr>
          <w:rFonts w:cs="Times New Roman"/>
          <w:szCs w:val="24"/>
        </w:rPr>
        <w:t>25), (</w:t>
      </w:r>
      <w:r w:rsidR="000F75AD">
        <w:rPr>
          <w:rFonts w:cs="Times New Roman"/>
          <w:szCs w:val="24"/>
        </w:rPr>
        <w:t>2.</w:t>
      </w:r>
      <w:r w:rsidRPr="0098140B">
        <w:rPr>
          <w:rFonts w:cs="Times New Roman"/>
          <w:szCs w:val="24"/>
        </w:rPr>
        <w:t>26) and (</w:t>
      </w:r>
      <w:r w:rsidR="000F75AD">
        <w:rPr>
          <w:rFonts w:cs="Times New Roman"/>
          <w:szCs w:val="24"/>
        </w:rPr>
        <w:t>2.</w:t>
      </w:r>
      <w:r w:rsidRPr="0098140B">
        <w:rPr>
          <w:rFonts w:cs="Times New Roman"/>
          <w:szCs w:val="24"/>
        </w:rPr>
        <w:t xml:space="preserve">27), respectively, and presented in Table </w:t>
      </w:r>
      <w:r w:rsidR="002B038B" w:rsidRPr="0098140B">
        <w:rPr>
          <w:rFonts w:cs="Times New Roman"/>
          <w:szCs w:val="24"/>
        </w:rPr>
        <w:t>2.</w:t>
      </w:r>
      <w:r w:rsidRPr="0098140B">
        <w:rPr>
          <w:rFonts w:cs="Times New Roman"/>
          <w:szCs w:val="24"/>
        </w:rPr>
        <w:t xml:space="preserve">13. From Table </w:t>
      </w:r>
      <w:r w:rsidR="002B038B" w:rsidRPr="0098140B">
        <w:rPr>
          <w:rFonts w:cs="Times New Roman"/>
          <w:szCs w:val="24"/>
        </w:rPr>
        <w:t>2.</w:t>
      </w:r>
      <w:r w:rsidRPr="0098140B">
        <w:rPr>
          <w:rFonts w:cs="Times New Roman"/>
          <w:szCs w:val="24"/>
        </w:rPr>
        <w:t xml:space="preserve">13, the S1 binder exhibited the highest whereas the S3 binder exhibited the lowest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98140B">
        <w:rPr>
          <w:rFonts w:eastAsiaTheme="minorEastAsia" w:cs="Times New Roman"/>
          <w:szCs w:val="24"/>
          <w:lang w:val="en-GB" w:eastAsia="en-GB"/>
        </w:rPr>
        <w:t xml:space="preserve"> </w:t>
      </w:r>
      <w:r w:rsidRPr="0098140B">
        <w:rPr>
          <w:rFonts w:cs="Times New Roman"/>
          <w:szCs w:val="24"/>
        </w:rPr>
        <w:t xml:space="preserve">and </w:t>
      </w:r>
      <w:r w:rsidRPr="0098140B">
        <w:rPr>
          <w:rFonts w:cs="Times New Roman"/>
          <w:i/>
          <w:iCs/>
          <w:szCs w:val="24"/>
        </w:rPr>
        <w:t>ER</w:t>
      </w:r>
      <w:r w:rsidRPr="0098140B">
        <w:rPr>
          <w:rFonts w:cs="Times New Roman"/>
          <w:szCs w:val="24"/>
        </w:rPr>
        <w:t xml:space="preserve"> among all the binders.</w:t>
      </w:r>
    </w:p>
    <w:p w14:paraId="1E5A51AD" w14:textId="44B7971B" w:rsidR="0003506A" w:rsidRPr="0098140B" w:rsidRDefault="007F7885" w:rsidP="0055690E">
      <w:pPr>
        <w:contextualSpacing/>
        <w:jc w:val="center"/>
        <w:rPr>
          <w:rFonts w:eastAsiaTheme="minorEastAsia" w:cs="Times New Roman"/>
          <w:szCs w:val="24"/>
        </w:rPr>
      </w:pP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r>
          <w:rPr>
            <w:rFonts w:ascii="Cambria Math" w:hAnsi="Cambria Math" w:cs="Times New Roman"/>
            <w:szCs w:val="24"/>
            <w:lang w:val="en-GB" w:eastAsia="en-GB"/>
          </w:rPr>
          <m:t>(Neumann)=</m:t>
        </m:r>
        <m:rad>
          <m:radPr>
            <m:degHide m:val="1"/>
            <m:ctrlPr>
              <w:rPr>
                <w:rFonts w:ascii="Cambria Math" w:hAnsi="Cambria Math" w:cs="Times New Roman"/>
                <w:i/>
                <w:szCs w:val="24"/>
              </w:rPr>
            </m:ctrlPr>
          </m:radPr>
          <m:deg/>
          <m:e>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A</m:t>
                </m:r>
              </m:sub>
            </m:sSub>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R</m:t>
                </m:r>
              </m:sub>
            </m:sSub>
          </m:e>
        </m:rad>
      </m:oMath>
      <w:r w:rsidR="0003506A" w:rsidRPr="0098140B">
        <w:rPr>
          <w:rFonts w:eastAsiaTheme="minorEastAsia" w:cs="Times New Roman"/>
          <w:szCs w:val="24"/>
        </w:rPr>
        <w:t xml:space="preserve">                                              (</w:t>
      </w:r>
      <w:r w:rsidR="000F75AD">
        <w:rPr>
          <w:rFonts w:cs="Times New Roman"/>
          <w:szCs w:val="24"/>
        </w:rPr>
        <w:t>2.</w:t>
      </w:r>
      <w:r w:rsidR="0003506A" w:rsidRPr="0098140B">
        <w:rPr>
          <w:rFonts w:eastAsiaTheme="minorEastAsia" w:cs="Times New Roman"/>
          <w:szCs w:val="24"/>
        </w:rPr>
        <w:t>25)</w:t>
      </w:r>
    </w:p>
    <w:p w14:paraId="09FC20E2" w14:textId="522CC79D" w:rsidR="0003506A" w:rsidRPr="0098140B" w:rsidRDefault="007F7885" w:rsidP="0055690E">
      <w:pPr>
        <w:contextualSpacing/>
        <w:jc w:val="center"/>
        <w:rPr>
          <w:rFonts w:eastAsiaTheme="minorEastAsia" w:cs="Times New Roman"/>
          <w:szCs w:val="24"/>
        </w:rPr>
      </w:pPr>
      <m:oMath>
        <m:sSubSup>
          <m:sSubSupPr>
            <m:ctrlPr>
              <w:rPr>
                <w:rFonts w:ascii="Cambria Math" w:hAnsi="Cambria Math" w:cs="Times New Roman"/>
                <w:i/>
                <w:szCs w:val="24"/>
              </w:rPr>
            </m:ctrlPr>
          </m:sSubSupPr>
          <m:e>
            <m:r>
              <w:rPr>
                <w:rFonts w:ascii="Cambria Math" w:hAnsi="Cambria Math" w:cs="Times New Roman"/>
                <w:szCs w:val="24"/>
              </w:rPr>
              <m:t>W</m:t>
            </m:r>
          </m:e>
          <m:sub>
            <m:r>
              <w:rPr>
                <w:rFonts w:ascii="Cambria Math" w:hAnsi="Cambria Math" w:cs="Times New Roman"/>
                <w:szCs w:val="24"/>
              </w:rPr>
              <m:t>ARW</m:t>
            </m:r>
          </m:sub>
          <m:sup>
            <m:r>
              <w:rPr>
                <w:rFonts w:ascii="Cambria Math" w:hAnsi="Cambria Math" w:cs="Times New Roman"/>
                <w:szCs w:val="24"/>
              </w:rPr>
              <m:t>wet</m:t>
            </m:r>
          </m:sup>
        </m:sSubSup>
        <m:r>
          <w:rPr>
            <w:rFonts w:ascii="Cambria Math" w:hAnsi="Cambria Math" w:cs="Times New Roman"/>
            <w:szCs w:val="24"/>
          </w:rPr>
          <m:t xml:space="preserve">= </m:t>
        </m:r>
        <m:rad>
          <m:radPr>
            <m:degHide m:val="1"/>
            <m:ctrlPr>
              <w:rPr>
                <w:rFonts w:ascii="Cambria Math" w:hAnsi="Cambria Math" w:cs="Times New Roman"/>
                <w:i/>
                <w:szCs w:val="24"/>
              </w:rPr>
            </m:ctrlPr>
          </m:radPr>
          <m:deg/>
          <m:e>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A</m:t>
                </m:r>
              </m:sub>
            </m:sSub>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W</m:t>
                </m:r>
              </m:sub>
            </m:sSub>
          </m:e>
        </m:rad>
        <m:r>
          <w:rPr>
            <w:rFonts w:ascii="Cambria Math" w:hAnsi="Cambria Math" w:cs="Times New Roman"/>
            <w:szCs w:val="24"/>
          </w:rPr>
          <m:t>+</m:t>
        </m:r>
        <m:rad>
          <m:radPr>
            <m:degHide m:val="1"/>
            <m:ctrlPr>
              <w:rPr>
                <w:rFonts w:ascii="Cambria Math" w:hAnsi="Cambria Math" w:cs="Times New Roman"/>
                <w:i/>
                <w:szCs w:val="24"/>
              </w:rPr>
            </m:ctrlPr>
          </m:radPr>
          <m:deg/>
          <m:e>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R</m:t>
                </m:r>
              </m:sub>
            </m:sSub>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W</m:t>
                </m:r>
              </m:sub>
            </m:sSub>
          </m:e>
        </m:rad>
        <m:r>
          <w:rPr>
            <w:rFonts w:ascii="Cambria Math" w:hAnsi="Cambria Math" w:cs="Times New Roman"/>
            <w:szCs w:val="24"/>
          </w:rPr>
          <m:t>-</m:t>
        </m:r>
        <m:rad>
          <m:radPr>
            <m:degHide m:val="1"/>
            <m:ctrlPr>
              <w:rPr>
                <w:rFonts w:ascii="Cambria Math" w:hAnsi="Cambria Math" w:cs="Times New Roman"/>
                <w:i/>
                <w:szCs w:val="24"/>
              </w:rPr>
            </m:ctrlPr>
          </m:radPr>
          <m:deg/>
          <m:e>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A</m:t>
                </m:r>
              </m:sub>
            </m:sSub>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R</m:t>
                </m:r>
              </m:sub>
            </m:sSub>
          </m:e>
        </m:rad>
        <m:r>
          <w:rPr>
            <w:rFonts w:ascii="Cambria Math" w:hAnsi="Cambria Math" w:cs="Times New Roman"/>
            <w:szCs w:val="24"/>
          </w:rPr>
          <m:t>-</m:t>
        </m:r>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w</m:t>
            </m:r>
          </m:sub>
        </m:sSub>
      </m:oMath>
      <w:r w:rsidR="0003506A" w:rsidRPr="0098140B">
        <w:rPr>
          <w:rFonts w:eastAsiaTheme="minorEastAsia" w:cs="Times New Roman"/>
          <w:szCs w:val="24"/>
        </w:rPr>
        <w:t xml:space="preserve">                      (</w:t>
      </w:r>
      <w:r w:rsidR="000F75AD">
        <w:rPr>
          <w:rFonts w:cs="Times New Roman"/>
          <w:szCs w:val="24"/>
        </w:rPr>
        <w:t>2.</w:t>
      </w:r>
      <w:r w:rsidR="0003506A" w:rsidRPr="0098140B">
        <w:rPr>
          <w:rFonts w:eastAsiaTheme="minorEastAsia" w:cs="Times New Roman"/>
          <w:szCs w:val="24"/>
        </w:rPr>
        <w:t>26)</w:t>
      </w:r>
    </w:p>
    <w:p w14:paraId="28863912" w14:textId="1AF2C5F4" w:rsidR="0003506A" w:rsidRPr="0098140B" w:rsidRDefault="0003506A" w:rsidP="0055690E">
      <w:pPr>
        <w:contextualSpacing/>
        <w:jc w:val="center"/>
        <w:rPr>
          <w:rFonts w:cs="Times New Roman"/>
          <w:szCs w:val="24"/>
        </w:rPr>
      </w:pPr>
      <m:oMath>
        <m:r>
          <w:rPr>
            <w:rFonts w:ascii="Cambria Math" w:hAnsi="Cambria Math" w:cs="Times New Roman"/>
            <w:szCs w:val="24"/>
          </w:rPr>
          <m:t xml:space="preserve">ER </m:t>
        </m:r>
        <m:d>
          <m:dPr>
            <m:ctrlPr>
              <w:rPr>
                <w:rFonts w:ascii="Cambria Math" w:hAnsi="Cambria Math" w:cs="Times New Roman"/>
                <w:i/>
                <w:szCs w:val="24"/>
              </w:rPr>
            </m:ctrlPr>
          </m:dPr>
          <m:e>
            <m:r>
              <w:rPr>
                <w:rFonts w:ascii="Cambria Math" w:hAnsi="Cambria Math" w:cs="Times New Roman"/>
                <w:szCs w:val="24"/>
              </w:rPr>
              <m:t>Neumann</m:t>
            </m:r>
          </m:e>
        </m:d>
        <m:r>
          <w:rPr>
            <w:rFonts w:ascii="Cambria Math" w:hAnsi="Cambria Math" w:cs="Times New Roman"/>
            <w:szCs w:val="24"/>
          </w:rPr>
          <m:t>=</m:t>
        </m:r>
        <m:d>
          <m:dPr>
            <m:begChr m:val="|"/>
            <m:endChr m:val="|"/>
            <m:ctrlPr>
              <w:rPr>
                <w:rFonts w:ascii="Cambria Math" w:hAnsi="Cambria Math" w:cs="Times New Roman"/>
                <w:i/>
                <w:szCs w:val="24"/>
              </w:rPr>
            </m:ctrlPr>
          </m:dPr>
          <m:e>
            <m:f>
              <m:fPr>
                <m:ctrlPr>
                  <w:rPr>
                    <w:rFonts w:ascii="Cambria Math" w:hAnsi="Cambria Math" w:cs="Times New Roman"/>
                    <w:i/>
                    <w:szCs w:val="24"/>
                  </w:rPr>
                </m:ctrlPr>
              </m:fPr>
              <m:num>
                <m:rad>
                  <m:radPr>
                    <m:degHide m:val="1"/>
                    <m:ctrlPr>
                      <w:rPr>
                        <w:rFonts w:ascii="Cambria Math" w:hAnsi="Cambria Math" w:cs="Times New Roman"/>
                        <w:i/>
                        <w:szCs w:val="24"/>
                      </w:rPr>
                    </m:ctrlPr>
                  </m:radPr>
                  <m:deg/>
                  <m:e>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A</m:t>
                        </m:r>
                      </m:sub>
                    </m:sSub>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R</m:t>
                        </m:r>
                      </m:sub>
                    </m:sSub>
                  </m:e>
                </m:rad>
              </m:num>
              <m:den>
                <m:rad>
                  <m:radPr>
                    <m:degHide m:val="1"/>
                    <m:ctrlPr>
                      <w:rPr>
                        <w:rFonts w:ascii="Cambria Math" w:hAnsi="Cambria Math" w:cs="Times New Roman"/>
                        <w:i/>
                        <w:szCs w:val="24"/>
                      </w:rPr>
                    </m:ctrlPr>
                  </m:radPr>
                  <m:deg/>
                  <m:e>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A</m:t>
                        </m:r>
                      </m:sub>
                    </m:sSub>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W</m:t>
                        </m:r>
                      </m:sub>
                    </m:sSub>
                  </m:e>
                </m:rad>
                <m:r>
                  <w:rPr>
                    <w:rFonts w:ascii="Cambria Math" w:hAnsi="Cambria Math" w:cs="Times New Roman"/>
                    <w:szCs w:val="24"/>
                  </w:rPr>
                  <m:t>+</m:t>
                </m:r>
                <m:rad>
                  <m:radPr>
                    <m:degHide m:val="1"/>
                    <m:ctrlPr>
                      <w:rPr>
                        <w:rFonts w:ascii="Cambria Math" w:hAnsi="Cambria Math" w:cs="Times New Roman"/>
                        <w:i/>
                        <w:szCs w:val="24"/>
                      </w:rPr>
                    </m:ctrlPr>
                  </m:radPr>
                  <m:deg/>
                  <m:e>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R</m:t>
                        </m:r>
                      </m:sub>
                    </m:sSub>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W</m:t>
                        </m:r>
                      </m:sub>
                    </m:sSub>
                  </m:e>
                </m:rad>
                <m:r>
                  <w:rPr>
                    <w:rFonts w:ascii="Cambria Math" w:hAnsi="Cambria Math" w:cs="Times New Roman"/>
                    <w:szCs w:val="24"/>
                  </w:rPr>
                  <m:t>-</m:t>
                </m:r>
                <m:rad>
                  <m:radPr>
                    <m:degHide m:val="1"/>
                    <m:ctrlPr>
                      <w:rPr>
                        <w:rFonts w:ascii="Cambria Math" w:hAnsi="Cambria Math" w:cs="Times New Roman"/>
                        <w:i/>
                        <w:szCs w:val="24"/>
                      </w:rPr>
                    </m:ctrlPr>
                  </m:radPr>
                  <m:deg/>
                  <m:e>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A</m:t>
                        </m:r>
                      </m:sub>
                    </m:sSub>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R</m:t>
                        </m:r>
                      </m:sub>
                    </m:sSub>
                  </m:e>
                </m:rad>
                <m:r>
                  <w:rPr>
                    <w:rFonts w:ascii="Cambria Math" w:hAnsi="Cambria Math" w:cs="Times New Roman"/>
                    <w:szCs w:val="24"/>
                  </w:rPr>
                  <m:t>-</m:t>
                </m:r>
                <m:sSub>
                  <m:sSubPr>
                    <m:ctrlPr>
                      <w:rPr>
                        <w:rFonts w:ascii="Cambria Math" w:hAnsi="Cambria Math" w:cs="Times New Roman"/>
                        <w:i/>
                        <w:szCs w:val="24"/>
                      </w:rPr>
                    </m:ctrlPr>
                  </m:sSubPr>
                  <m:e>
                    <m:r>
                      <m:rPr>
                        <m:sty m:val="p"/>
                      </m:rPr>
                      <w:rPr>
                        <w:rFonts w:ascii="Cambria Math" w:hAnsi="Cambria Math" w:cs="Times New Roman"/>
                        <w:szCs w:val="24"/>
                      </w:rPr>
                      <m:t>Γ</m:t>
                    </m:r>
                  </m:e>
                  <m:sub>
                    <m:r>
                      <w:rPr>
                        <w:rFonts w:ascii="Cambria Math" w:hAnsi="Cambria Math" w:cs="Times New Roman"/>
                        <w:szCs w:val="24"/>
                      </w:rPr>
                      <m:t>w</m:t>
                    </m:r>
                  </m:sub>
                </m:sSub>
              </m:den>
            </m:f>
          </m:e>
        </m:d>
      </m:oMath>
      <w:r w:rsidRPr="0098140B">
        <w:rPr>
          <w:rFonts w:eastAsiaTheme="minorEastAsia" w:cs="Times New Roman"/>
          <w:szCs w:val="24"/>
        </w:rPr>
        <w:t xml:space="preserve">                 (</w:t>
      </w:r>
      <w:r w:rsidR="000F75AD">
        <w:rPr>
          <w:rFonts w:cs="Times New Roman"/>
          <w:szCs w:val="24"/>
        </w:rPr>
        <w:t>2.</w:t>
      </w:r>
      <w:r w:rsidRPr="0098140B">
        <w:rPr>
          <w:rFonts w:eastAsiaTheme="minorEastAsia" w:cs="Times New Roman"/>
          <w:szCs w:val="24"/>
        </w:rPr>
        <w:t>27)</w:t>
      </w:r>
    </w:p>
    <w:p w14:paraId="5F504D92" w14:textId="190ABE33" w:rsidR="0003506A" w:rsidRPr="0098140B" w:rsidRDefault="0003506A" w:rsidP="00985A4A">
      <w:pPr>
        <w:pStyle w:val="Heading3"/>
      </w:pPr>
      <w:bookmarkStart w:id="47" w:name="_Toc71728420"/>
      <w:r w:rsidRPr="0098140B">
        <w:rPr>
          <w:rFonts w:eastAsiaTheme="minorEastAsia"/>
        </w:rPr>
        <w:t>Comparison of Surface Free Energy Estimation Methods</w:t>
      </w:r>
      <w:bookmarkEnd w:id="47"/>
    </w:p>
    <w:p w14:paraId="26BCCBC8" w14:textId="1CD3218E" w:rsidR="0003506A" w:rsidRPr="0098140B" w:rsidRDefault="0003506A" w:rsidP="0055690E">
      <w:pPr>
        <w:ind w:firstLine="720"/>
        <w:rPr>
          <w:rFonts w:cs="Times New Roman"/>
          <w:szCs w:val="24"/>
        </w:rPr>
      </w:pPr>
      <w:r w:rsidRPr="0098140B">
        <w:rPr>
          <w:rFonts w:cs="Times New Roman"/>
          <w:szCs w:val="24"/>
        </w:rPr>
        <w:t xml:space="preserve">Table </w:t>
      </w:r>
      <w:r w:rsidR="002B038B" w:rsidRPr="0098140B">
        <w:rPr>
          <w:rFonts w:cs="Times New Roman"/>
          <w:szCs w:val="24"/>
        </w:rPr>
        <w:t>2.</w:t>
      </w:r>
      <w:r w:rsidRPr="0098140B">
        <w:rPr>
          <w:rFonts w:cs="Times New Roman"/>
          <w:szCs w:val="24"/>
        </w:rPr>
        <w:t xml:space="preserve">14 presents the %difference in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A</m:t>
            </m:r>
          </m:sub>
        </m:sSub>
      </m:oMath>
      <w:r w:rsidRPr="0098140B">
        <w:rPr>
          <w:rFonts w:cs="Times New Roman"/>
          <w:szCs w:val="24"/>
        </w:rPr>
        <w:t xml:space="preserve"> SFE component of the component-based approaches (the GvOC, </w:t>
      </w:r>
      <w:r w:rsidRPr="0098140B">
        <w:rPr>
          <w:rFonts w:eastAsiaTheme="minorEastAsia" w:cs="Times New Roman"/>
          <w:szCs w:val="24"/>
        </w:rPr>
        <w:t>Owens-Wendt</w:t>
      </w:r>
      <w:r w:rsidRPr="0098140B">
        <w:rPr>
          <w:rFonts w:cs="Times New Roman"/>
          <w:szCs w:val="24"/>
        </w:rPr>
        <w:t xml:space="preserve"> and Wu methods) from the Neumann method. Only probe liquid sets with consistent energy parameters from different methods were considered and are presented in Table </w:t>
      </w:r>
      <w:r w:rsidR="002B038B" w:rsidRPr="0098140B">
        <w:rPr>
          <w:rFonts w:cs="Times New Roman"/>
          <w:szCs w:val="24"/>
        </w:rPr>
        <w:t>2.</w:t>
      </w:r>
      <w:r w:rsidRPr="0098140B">
        <w:rPr>
          <w:rFonts w:cs="Times New Roman"/>
          <w:szCs w:val="24"/>
        </w:rPr>
        <w:t xml:space="preserve">14. It was observed that the differences in total SFE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A</m:t>
            </m:r>
          </m:sub>
        </m:sSub>
      </m:oMath>
      <w:r w:rsidRPr="0098140B">
        <w:rPr>
          <w:rFonts w:cs="Times New Roman"/>
          <w:szCs w:val="24"/>
        </w:rPr>
        <w:t xml:space="preserve">  between the GvOC and Neumann methods can vary from 0.4 to 24.4%. Similar variations were observed for the </w:t>
      </w:r>
      <w:r w:rsidRPr="0098140B">
        <w:rPr>
          <w:rFonts w:eastAsiaTheme="minorEastAsia" w:cs="Times New Roman"/>
          <w:szCs w:val="24"/>
        </w:rPr>
        <w:t>Owens-Wendt</w:t>
      </w:r>
      <w:r w:rsidRPr="0098140B">
        <w:rPr>
          <w:rFonts w:cs="Times New Roman"/>
          <w:szCs w:val="24"/>
        </w:rPr>
        <w:t xml:space="preserve"> method as both of these methods resulted in same total SFE for identical probe liquid sets. The Wu method was found to produce highest variation with the Neumann method. A variation of 53.5% was obtained for the S3 binder while the SFE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A</m:t>
            </m:r>
          </m:sub>
        </m:sSub>
      </m:oMath>
      <w:r w:rsidRPr="0098140B">
        <w:rPr>
          <w:rFonts w:eastAsiaTheme="minorEastAsia" w:cs="Times New Roman"/>
          <w:szCs w:val="24"/>
        </w:rPr>
        <w:t xml:space="preserve"> </w:t>
      </w:r>
      <w:r w:rsidRPr="0098140B">
        <w:rPr>
          <w:rFonts w:cs="Times New Roman"/>
          <w:szCs w:val="24"/>
        </w:rPr>
        <w:t xml:space="preserve"> was calculated using the Wu method. Differences in the mathematical formulation used by different method are responsible for these variations.</w:t>
      </w:r>
    </w:p>
    <w:p w14:paraId="28B477F7" w14:textId="7B5F785F" w:rsidR="0003506A" w:rsidRPr="0098140B" w:rsidRDefault="0003506A" w:rsidP="0055690E">
      <w:pPr>
        <w:ind w:firstLine="720"/>
        <w:rPr>
          <w:rFonts w:cs="Times New Roman"/>
          <w:szCs w:val="24"/>
        </w:rPr>
      </w:pPr>
      <w:r w:rsidRPr="0098140B">
        <w:rPr>
          <w:rFonts w:cs="Times New Roman"/>
          <w:szCs w:val="24"/>
        </w:rPr>
        <w:t xml:space="preserve">Table </w:t>
      </w:r>
      <w:r w:rsidR="002B038B" w:rsidRPr="0098140B">
        <w:rPr>
          <w:rFonts w:cs="Times New Roman"/>
          <w:szCs w:val="24"/>
        </w:rPr>
        <w:t>2.</w:t>
      </w:r>
      <w:r w:rsidRPr="0098140B">
        <w:rPr>
          <w:rFonts w:cs="Times New Roman"/>
          <w:szCs w:val="24"/>
        </w:rPr>
        <w:t xml:space="preserve">15 presents a ranking of the binder-limestone aggregate systems using </w:t>
      </w:r>
      <w:r w:rsidRPr="0098140B">
        <w:rPr>
          <w:rFonts w:cs="Times New Roman"/>
          <w:i/>
          <w:iCs/>
          <w:szCs w:val="24"/>
        </w:rPr>
        <w:t>ER</w:t>
      </w:r>
      <w:r w:rsidRPr="0098140B">
        <w:rPr>
          <w:rFonts w:cs="Times New Roman"/>
          <w:szCs w:val="24"/>
        </w:rPr>
        <w:t xml:space="preserve"> values from different SFE estimation methods. A higher value of </w:t>
      </w:r>
      <w:r w:rsidRPr="0098140B">
        <w:rPr>
          <w:rFonts w:cs="Times New Roman"/>
          <w:i/>
          <w:iCs/>
          <w:szCs w:val="24"/>
        </w:rPr>
        <w:t>ER</w:t>
      </w:r>
      <w:r w:rsidRPr="0098140B">
        <w:rPr>
          <w:rFonts w:cs="Times New Roman"/>
          <w:szCs w:val="24"/>
        </w:rPr>
        <w:t xml:space="preserve"> is expected to reduce moisture-induced damage potential of an asphalt mix. In Table </w:t>
      </w:r>
      <w:r w:rsidR="002B038B" w:rsidRPr="0098140B">
        <w:rPr>
          <w:rFonts w:cs="Times New Roman"/>
          <w:szCs w:val="24"/>
        </w:rPr>
        <w:t>2.</w:t>
      </w:r>
      <w:r w:rsidRPr="0098140B">
        <w:rPr>
          <w:rFonts w:cs="Times New Roman"/>
          <w:szCs w:val="24"/>
        </w:rPr>
        <w:t xml:space="preserve">15, ranking 1 was used to represent the highest and ranking 4 to indicate the lowest </w:t>
      </w:r>
      <w:r w:rsidRPr="0098140B">
        <w:rPr>
          <w:rFonts w:cs="Times New Roman"/>
          <w:i/>
          <w:iCs/>
          <w:szCs w:val="24"/>
        </w:rPr>
        <w:t>ER</w:t>
      </w:r>
      <w:r w:rsidRPr="0098140B">
        <w:rPr>
          <w:rFonts w:cs="Times New Roman"/>
          <w:szCs w:val="24"/>
        </w:rPr>
        <w:t xml:space="preserve"> value among the binder-aggregate systems. Therefore, the binder-aggregate system ranked 1 will be less susceptible, whereas the binder-aggregate system ranked 4 will be most susceptible to moisture-induced damage. It was found that WGFDE, WGED and WFED provided similar ranking using the GvOC method. Based on these probe liquid sets, S1, S4, S2 and S3 binders were ranked as 1</w:t>
      </w:r>
      <w:r w:rsidRPr="0098140B">
        <w:rPr>
          <w:rFonts w:cs="Times New Roman"/>
          <w:szCs w:val="24"/>
          <w:vertAlign w:val="superscript"/>
        </w:rPr>
        <w:t>st</w:t>
      </w:r>
      <w:r w:rsidRPr="0098140B">
        <w:rPr>
          <w:rFonts w:cs="Times New Roman"/>
          <w:szCs w:val="24"/>
        </w:rPr>
        <w:t>, 2</w:t>
      </w:r>
      <w:r w:rsidRPr="0098140B">
        <w:rPr>
          <w:rFonts w:cs="Times New Roman"/>
          <w:szCs w:val="24"/>
          <w:vertAlign w:val="superscript"/>
        </w:rPr>
        <w:t>nd</w:t>
      </w:r>
      <w:r w:rsidRPr="0098140B">
        <w:rPr>
          <w:rFonts w:cs="Times New Roman"/>
          <w:szCs w:val="24"/>
        </w:rPr>
        <w:t>, 3</w:t>
      </w:r>
      <w:r w:rsidRPr="0098140B">
        <w:rPr>
          <w:rFonts w:cs="Times New Roman"/>
          <w:szCs w:val="24"/>
          <w:vertAlign w:val="superscript"/>
        </w:rPr>
        <w:t>rd</w:t>
      </w:r>
      <w:r w:rsidRPr="0098140B">
        <w:rPr>
          <w:rFonts w:cs="Times New Roman"/>
          <w:szCs w:val="24"/>
        </w:rPr>
        <w:t xml:space="preserve"> and 4</w:t>
      </w:r>
      <w:r w:rsidRPr="0098140B">
        <w:rPr>
          <w:rFonts w:cs="Times New Roman"/>
          <w:szCs w:val="24"/>
          <w:vertAlign w:val="superscript"/>
        </w:rPr>
        <w:t>th</w:t>
      </w:r>
      <w:r w:rsidRPr="0098140B">
        <w:rPr>
          <w:rFonts w:cs="Times New Roman"/>
          <w:szCs w:val="24"/>
        </w:rPr>
        <w:t xml:space="preserve">, respectively. Similar ranking was observed from the Neumann method as well. The WGFDE, WGED and WFED probe liquid set from the </w:t>
      </w:r>
      <w:r w:rsidRPr="0098140B">
        <w:rPr>
          <w:rFonts w:eastAsiaTheme="minorEastAsia" w:cs="Times New Roman"/>
          <w:szCs w:val="24"/>
        </w:rPr>
        <w:t>Owens-Wendt</w:t>
      </w:r>
      <w:r w:rsidRPr="0098140B">
        <w:rPr>
          <w:rFonts w:cs="Times New Roman"/>
          <w:szCs w:val="24"/>
        </w:rPr>
        <w:t xml:space="preserve"> method provided slightly different ranking among themselves. In the </w:t>
      </w:r>
      <w:r w:rsidRPr="0098140B">
        <w:rPr>
          <w:rFonts w:eastAsiaTheme="minorEastAsia" w:cs="Times New Roman"/>
          <w:szCs w:val="24"/>
        </w:rPr>
        <w:t>Owens-Wendt</w:t>
      </w:r>
      <w:r w:rsidRPr="0098140B">
        <w:rPr>
          <w:rFonts w:cs="Times New Roman"/>
          <w:szCs w:val="24"/>
        </w:rPr>
        <w:t xml:space="preserve"> method, the WGFDE and WFED ranked the S1, S2, S3 and S4 binders as 1</w:t>
      </w:r>
      <w:r w:rsidRPr="0098140B">
        <w:rPr>
          <w:rFonts w:cs="Times New Roman"/>
          <w:szCs w:val="24"/>
          <w:vertAlign w:val="superscript"/>
        </w:rPr>
        <w:t>st</w:t>
      </w:r>
      <w:r w:rsidRPr="0098140B">
        <w:rPr>
          <w:rFonts w:cs="Times New Roman"/>
          <w:szCs w:val="24"/>
        </w:rPr>
        <w:t>, 2</w:t>
      </w:r>
      <w:r w:rsidRPr="0098140B">
        <w:rPr>
          <w:rFonts w:cs="Times New Roman"/>
          <w:szCs w:val="24"/>
          <w:vertAlign w:val="superscript"/>
        </w:rPr>
        <w:t>nd</w:t>
      </w:r>
      <w:r w:rsidRPr="0098140B">
        <w:rPr>
          <w:rFonts w:cs="Times New Roman"/>
          <w:szCs w:val="24"/>
        </w:rPr>
        <w:t>, 4</w:t>
      </w:r>
      <w:r w:rsidRPr="0098140B">
        <w:rPr>
          <w:rFonts w:cs="Times New Roman"/>
          <w:szCs w:val="24"/>
          <w:vertAlign w:val="superscript"/>
        </w:rPr>
        <w:t>th</w:t>
      </w:r>
      <w:r w:rsidRPr="0098140B">
        <w:rPr>
          <w:rFonts w:cs="Times New Roman"/>
          <w:szCs w:val="24"/>
        </w:rPr>
        <w:t xml:space="preserve"> and 3</w:t>
      </w:r>
      <w:r w:rsidRPr="0098140B">
        <w:rPr>
          <w:rFonts w:cs="Times New Roman"/>
          <w:szCs w:val="24"/>
          <w:vertAlign w:val="superscript"/>
        </w:rPr>
        <w:t>rd</w:t>
      </w:r>
      <w:r w:rsidRPr="0098140B">
        <w:rPr>
          <w:rFonts w:cs="Times New Roman"/>
          <w:szCs w:val="24"/>
        </w:rPr>
        <w:t>, respectively. Also, the WGED probe liquid set ranked S1, S2, S3 and S4 binders as 2</w:t>
      </w:r>
      <w:r w:rsidRPr="0098140B">
        <w:rPr>
          <w:rFonts w:cs="Times New Roman"/>
          <w:szCs w:val="24"/>
          <w:vertAlign w:val="superscript"/>
        </w:rPr>
        <w:t>nd</w:t>
      </w:r>
      <w:r w:rsidRPr="0098140B">
        <w:rPr>
          <w:rFonts w:cs="Times New Roman"/>
          <w:szCs w:val="24"/>
        </w:rPr>
        <w:t>, 1</w:t>
      </w:r>
      <w:r w:rsidRPr="0098140B">
        <w:rPr>
          <w:rFonts w:cs="Times New Roman"/>
          <w:szCs w:val="24"/>
          <w:vertAlign w:val="superscript"/>
        </w:rPr>
        <w:t>st</w:t>
      </w:r>
      <w:r w:rsidRPr="0098140B">
        <w:rPr>
          <w:rFonts w:cs="Times New Roman"/>
          <w:szCs w:val="24"/>
        </w:rPr>
        <w:t>, 4</w:t>
      </w:r>
      <w:r w:rsidRPr="0098140B">
        <w:rPr>
          <w:rFonts w:cs="Times New Roman"/>
          <w:szCs w:val="24"/>
          <w:vertAlign w:val="superscript"/>
        </w:rPr>
        <w:t>th</w:t>
      </w:r>
      <w:r w:rsidRPr="0098140B">
        <w:rPr>
          <w:rFonts w:cs="Times New Roman"/>
          <w:szCs w:val="24"/>
        </w:rPr>
        <w:t xml:space="preserve"> and 3</w:t>
      </w:r>
      <w:r w:rsidRPr="0098140B">
        <w:rPr>
          <w:rFonts w:cs="Times New Roman"/>
          <w:szCs w:val="24"/>
          <w:vertAlign w:val="superscript"/>
        </w:rPr>
        <w:t>rd</w:t>
      </w:r>
      <w:r w:rsidRPr="0098140B">
        <w:rPr>
          <w:rFonts w:cs="Times New Roman"/>
          <w:szCs w:val="24"/>
        </w:rPr>
        <w:t xml:space="preserve">, respectively. The WGFDE and WFED probe liquid sets exhibited a similar ranking of the binder-aggregate systems for the Wu method and the </w:t>
      </w:r>
      <w:r w:rsidRPr="0098140B">
        <w:rPr>
          <w:rFonts w:eastAsiaTheme="minorEastAsia" w:cs="Times New Roman"/>
          <w:szCs w:val="24"/>
        </w:rPr>
        <w:t>Owens-Wendt</w:t>
      </w:r>
      <w:r w:rsidRPr="0098140B">
        <w:rPr>
          <w:rFonts w:cs="Times New Roman"/>
          <w:szCs w:val="24"/>
        </w:rPr>
        <w:t xml:space="preserve"> method. However, the Owens-Wendt method and the Wu methods ranked the binders differently than the Neumann method. Therefore, differences in the ranking of the moisture-induced damage potential of binder-aggregate system are expected from the use of different SFE estimation methods. </w:t>
      </w:r>
    </w:p>
    <w:p w14:paraId="3ACB583B" w14:textId="5340B38C" w:rsidR="0003506A" w:rsidRPr="0098140B" w:rsidRDefault="0003506A" w:rsidP="00E57694">
      <w:pPr>
        <w:pStyle w:val="Heading2"/>
      </w:pPr>
      <w:bookmarkStart w:id="48" w:name="_Toc71728421"/>
      <w:r w:rsidRPr="0098140B">
        <w:t>CONCLUSIONS</w:t>
      </w:r>
      <w:bookmarkEnd w:id="48"/>
    </w:p>
    <w:p w14:paraId="26049651" w14:textId="77777777" w:rsidR="0003506A" w:rsidRPr="0098140B" w:rsidRDefault="0003506A" w:rsidP="0055690E">
      <w:pPr>
        <w:ind w:firstLine="720"/>
        <w:rPr>
          <w:rFonts w:cs="Times New Roman"/>
          <w:szCs w:val="24"/>
        </w:rPr>
      </w:pPr>
      <w:r w:rsidRPr="0098140B">
        <w:rPr>
          <w:rFonts w:cs="Times New Roman"/>
          <w:szCs w:val="24"/>
        </w:rPr>
        <w:t>The purpose of this study was to understand the differences in the surface free energy estimation of binders using different methods, namely the GvOC, Owens-Wendt, Wu and Neumann methods. Also, the effect of probe liquid sets on the calculation of SFE components by the GvOC, Owens-Wendt and Wu method were evaluated. Furthermore, attempts were made to identify the probe liquid sets that produce consistent energy parameters for a binder-aggregate system. The specific findings from this study are summarized below.</w:t>
      </w:r>
    </w:p>
    <w:p w14:paraId="190774D3" w14:textId="77777777" w:rsidR="0003506A" w:rsidRPr="0098140B" w:rsidRDefault="0003506A" w:rsidP="00D377F8">
      <w:pPr>
        <w:pStyle w:val="ListParagraph"/>
        <w:numPr>
          <w:ilvl w:val="0"/>
          <w:numId w:val="2"/>
        </w:numPr>
      </w:pPr>
      <w:r w:rsidRPr="0098140B">
        <w:t xml:space="preserve">Different SFE estimation methods were found to characterize binders differently. The differences in the SFE yielded from the assumptions and mathematical formulations used by different methods. The difference in the SFE was found to be reflected in the energy parameters of the binder-aggregate system. Therefore, the selection of binder-aggregate combination with respect to moisture susceptibility will be influenced by the choice of SFE estimation methods. </w:t>
      </w:r>
    </w:p>
    <w:p w14:paraId="4E197C7F" w14:textId="3F6B3B7B" w:rsidR="0003506A" w:rsidRPr="0098140B" w:rsidRDefault="0003506A" w:rsidP="00D377F8">
      <w:pPr>
        <w:pStyle w:val="ListParagraph"/>
        <w:numPr>
          <w:ilvl w:val="0"/>
          <w:numId w:val="2"/>
        </w:numPr>
      </w:pPr>
      <w:r w:rsidRPr="0098140B">
        <w:t>Significant differences were observed in the SFE components of the same binder with different probe liquid sets from the GvOC methods. It was observed that, the FGED, GED, GEF, FED, WGE and FGD sets could lead to negative square root of SFE components of binders. A higher value of condition number obtained for these probe liquid sets pointed toward the ill-conditioning of the equation sets from these probe liquid sets. Also, for the GvOC method, inclusion of water and diiodomethane was found to be necessary for proper conditioning of the equation sets with at least one or more probe liquid(s). Over-determined probe liquid sets with SFE components determined by minimized the sum of the square error was more likely to yield constant results. Incorporation of ethylene glycol resulted in higher acid components of the binders, whereas formamide and glycer</w:t>
      </w:r>
      <w:r w:rsidR="002B735E">
        <w:t>ol</w:t>
      </w:r>
      <w:r w:rsidRPr="0098140B">
        <w:t xml:space="preserve"> resulted in higher basic components.</w:t>
      </w:r>
    </w:p>
    <w:p w14:paraId="42C9F6AB" w14:textId="77777777" w:rsidR="0003506A" w:rsidRPr="0098140B" w:rsidRDefault="0003506A" w:rsidP="00D377F8">
      <w:pPr>
        <w:pStyle w:val="ListParagraph"/>
        <w:numPr>
          <w:ilvl w:val="0"/>
          <w:numId w:val="2"/>
        </w:numPr>
      </w:pPr>
      <w:r w:rsidRPr="0098140B">
        <w:t>The WGFDE, WGDE and WFDE probe liquid sets were found to provide consistent energy parameters for the GvOC method. Similar probe liquid sets are expected to produce consistent energy parameter for the OW method as well. In case of the Wu method, the WGFDE, WFGD and WFED probe liquid sets can be used to obtain consistent SFE of binders.</w:t>
      </w:r>
    </w:p>
    <w:p w14:paraId="5908D27D" w14:textId="77777777" w:rsidR="0003506A" w:rsidRPr="0098140B" w:rsidRDefault="0003506A" w:rsidP="00D377F8">
      <w:pPr>
        <w:pStyle w:val="ListParagraph"/>
        <w:numPr>
          <w:ilvl w:val="0"/>
          <w:numId w:val="2"/>
        </w:numPr>
      </w:pPr>
      <w:r w:rsidRPr="0098140B">
        <w:t>Among different component-based approaches, only the GvOC method was found to characterize asphalt mixes similar to the Neumann method. Therefore, the GvOC method with WGFDE, WGDE and WFDE probe liquid sets is expected to provide a better evaluation of the moisture-induced potential of asphalt mixes.</w:t>
      </w:r>
    </w:p>
    <w:p w14:paraId="2CA1EF34" w14:textId="16A33299" w:rsidR="00B555D8" w:rsidRDefault="00B555D8" w:rsidP="0055690E"/>
    <w:p w14:paraId="57D5A968" w14:textId="49471A69" w:rsidR="00A225B5" w:rsidRPr="00491C68" w:rsidRDefault="002438A2" w:rsidP="00537471">
      <w:pPr>
        <w:pStyle w:val="Caption"/>
        <w:spacing w:line="480" w:lineRule="auto"/>
        <w:jc w:val="center"/>
        <w:rPr>
          <w:rFonts w:eastAsiaTheme="minorEastAsia"/>
        </w:rPr>
      </w:pPr>
      <w:bookmarkStart w:id="49" w:name="_Toc71330972"/>
      <w:r>
        <w:t xml:space="preserve">Table </w:t>
      </w:r>
      <w:fldSimple w:instr=" STYLEREF 1 \s ">
        <w:r w:rsidR="005050F0">
          <w:rPr>
            <w:noProof/>
          </w:rPr>
          <w:t>2</w:t>
        </w:r>
      </w:fldSimple>
      <w:r w:rsidR="00700639">
        <w:t>.</w:t>
      </w:r>
      <w:fldSimple w:instr=" SEQ Table \* ARABIC \s 1 ">
        <w:r w:rsidR="005050F0">
          <w:rPr>
            <w:noProof/>
          </w:rPr>
          <w:t>1</w:t>
        </w:r>
      </w:fldSimple>
      <w:r>
        <w:t xml:space="preserve"> </w:t>
      </w:r>
      <w:r w:rsidR="00A225B5" w:rsidRPr="00491C68">
        <w:rPr>
          <w:rFonts w:eastAsiaTheme="minorEastAsia"/>
        </w:rPr>
        <w:t>Surface Free Energy Components of the Probe Liquids at 20</w:t>
      </w:r>
      <w:r w:rsidR="00A225B5" w:rsidRPr="00491C68">
        <w:rPr>
          <w:rFonts w:eastAsiaTheme="minorEastAsia"/>
        </w:rPr>
        <w:sym w:font="Symbol" w:char="F0B0"/>
      </w:r>
      <w:r w:rsidR="00A225B5" w:rsidRPr="00491C68">
        <w:rPr>
          <w:rFonts w:eastAsiaTheme="minorEastAsia"/>
        </w:rPr>
        <w:t>C</w:t>
      </w:r>
      <w:r w:rsidR="00A225B5">
        <w:rPr>
          <w:rFonts w:eastAsiaTheme="minorEastAsia"/>
        </w:rPr>
        <w:t xml:space="preserve"> </w:t>
      </w:r>
      <w:r w:rsidR="00A225B5">
        <w:rPr>
          <w:rFonts w:eastAsiaTheme="minorEastAsia"/>
        </w:rPr>
        <w:fldChar w:fldCharType="begin"/>
      </w:r>
      <w:r w:rsidR="00282238">
        <w:rPr>
          <w:rFonts w:eastAsiaTheme="minorEastAsia"/>
        </w:rPr>
        <w:instrText xml:space="preserve"> ADDIN EN.CITE &lt;EndNote&gt;&lt;Cite&gt;&lt;Author&gt;Hefer&lt;/Author&gt;&lt;Year&gt;2006&lt;/Year&gt;&lt;RecNum&gt;24&lt;/RecNum&gt;&lt;DisplayText&gt;(Hefer et al., 2006)&lt;/DisplayText&gt;&lt;record&gt;&lt;rec-number&gt;24&lt;/rec-number&gt;&lt;foreign-keys&gt;&lt;key app="EN" db-id="d55vzfpwawdafteedfoxsf0lv0v0wp5va2aa" timestamp="1509901126"&gt;24&lt;/key&gt;&lt;/foreign-keys&gt;&lt;ref-type name="Journal Article"&gt;17&lt;/ref-type&gt;&lt;contributors&gt;&lt;authors&gt;&lt;author&gt;Hefer, Arno W&lt;/author&gt;&lt;author&gt;Bhasin, Amit&lt;/author&gt;&lt;author&gt;Little, Dallas N&lt;/author&gt;&lt;/authors&gt;&lt;/contributors&gt;&lt;titles&gt;&lt;title&gt;Bitumen Surface Energy Characterization Using a Contact Angle Approach&lt;/title&gt;&lt;secondary-title&gt;Journal of Materials in Civil Engineering&lt;/secondary-title&gt;&lt;/titles&gt;&lt;periodical&gt;&lt;full-title&gt;Journal of Materials in Civil Engineering&lt;/full-title&gt;&lt;/periodical&gt;&lt;pages&gt;759-767&lt;/pages&gt;&lt;volume&gt;18&lt;/volume&gt;&lt;number&gt;6&lt;/number&gt;&lt;dates&gt;&lt;year&gt;2006&lt;/year&gt;&lt;/dates&gt;&lt;isbn&gt;0899-1561&lt;/isbn&gt;&lt;urls&gt;&lt;/urls&gt;&lt;/record&gt;&lt;/Cite&gt;&lt;/EndNote&gt;</w:instrText>
      </w:r>
      <w:r w:rsidR="00A225B5">
        <w:rPr>
          <w:rFonts w:eastAsiaTheme="minorEastAsia"/>
        </w:rPr>
        <w:fldChar w:fldCharType="separate"/>
      </w:r>
      <w:r w:rsidR="00282238">
        <w:rPr>
          <w:rFonts w:eastAsiaTheme="minorEastAsia"/>
          <w:noProof/>
        </w:rPr>
        <w:t>(Hefer et al., 2006)</w:t>
      </w:r>
      <w:bookmarkEnd w:id="49"/>
      <w:r w:rsidR="00A225B5">
        <w:rPr>
          <w:rFonts w:eastAsiaTheme="minorEastAsia"/>
        </w:rPr>
        <w:fldChar w:fldCharType="end"/>
      </w:r>
    </w:p>
    <w:tbl>
      <w:tblPr>
        <w:tblW w:w="8301" w:type="dxa"/>
        <w:tblInd w:w="265" w:type="dxa"/>
        <w:tblLook w:val="04A0" w:firstRow="1" w:lastRow="0" w:firstColumn="1" w:lastColumn="0" w:noHBand="0" w:noVBand="1"/>
      </w:tblPr>
      <w:tblGrid>
        <w:gridCol w:w="1964"/>
        <w:gridCol w:w="1235"/>
        <w:gridCol w:w="1483"/>
        <w:gridCol w:w="1153"/>
        <w:gridCol w:w="1153"/>
        <w:gridCol w:w="1313"/>
      </w:tblGrid>
      <w:tr w:rsidR="00A225B5" w:rsidRPr="00556D10" w14:paraId="2F2993E4" w14:textId="77777777" w:rsidTr="00556D10">
        <w:trPr>
          <w:trHeight w:val="544"/>
        </w:trPr>
        <w:tc>
          <w:tcPr>
            <w:tcW w:w="196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D0EC00" w14:textId="77777777" w:rsidR="00A225B5" w:rsidRPr="00556D10" w:rsidRDefault="00A225B5" w:rsidP="00650395">
            <w:pPr>
              <w:spacing w:line="276" w:lineRule="auto"/>
              <w:jc w:val="center"/>
              <w:rPr>
                <w:rFonts w:eastAsia="Times New Roman" w:cs="Times New Roman"/>
                <w:b/>
                <w:bCs/>
                <w:color w:val="000000"/>
                <w:sz w:val="20"/>
                <w:szCs w:val="20"/>
              </w:rPr>
            </w:pPr>
            <w:r w:rsidRPr="00556D10">
              <w:rPr>
                <w:rFonts w:eastAsia="Times New Roman" w:cs="Times New Roman"/>
                <w:b/>
                <w:bCs/>
                <w:color w:val="000000"/>
                <w:sz w:val="20"/>
                <w:szCs w:val="20"/>
              </w:rPr>
              <w:t>Probe Liquid</w:t>
            </w:r>
          </w:p>
        </w:tc>
        <w:tc>
          <w:tcPr>
            <w:tcW w:w="1235" w:type="dxa"/>
            <w:tcBorders>
              <w:top w:val="single" w:sz="4" w:space="0" w:color="auto"/>
              <w:left w:val="nil"/>
              <w:bottom w:val="single" w:sz="4" w:space="0" w:color="auto"/>
              <w:right w:val="single" w:sz="4" w:space="0" w:color="auto"/>
            </w:tcBorders>
            <w:shd w:val="clear" w:color="auto" w:fill="auto"/>
            <w:noWrap/>
            <w:vAlign w:val="center"/>
            <w:hideMark/>
          </w:tcPr>
          <w:p w14:paraId="7BFA8115" w14:textId="77777777" w:rsidR="00A225B5" w:rsidRPr="00556D10" w:rsidRDefault="007F7885" w:rsidP="00650395">
            <w:pPr>
              <w:spacing w:line="276" w:lineRule="auto"/>
              <w:jc w:val="center"/>
              <w:rPr>
                <w:rFonts w:eastAsia="Times New Roman" w:cs="Times New Roman"/>
                <w:b/>
                <w:bCs/>
                <w:color w:val="000000"/>
                <w:sz w:val="20"/>
                <w:szCs w:val="20"/>
              </w:rPr>
            </w:pPr>
            <m:oMathPara>
              <m:oMath>
                <m:sSub>
                  <m:sSubPr>
                    <m:ctrlPr>
                      <w:rPr>
                        <w:rFonts w:ascii="Cambria Math" w:eastAsia="Times New Roman" w:hAnsi="Cambria Math" w:cs="Times New Roman"/>
                        <w:b/>
                        <w:bCs/>
                        <w:i/>
                        <w:color w:val="000000"/>
                        <w:sz w:val="20"/>
                        <w:szCs w:val="20"/>
                      </w:rPr>
                    </m:ctrlPr>
                  </m:sSubPr>
                  <m:e>
                    <m:r>
                      <m:rPr>
                        <m:sty m:val="b"/>
                      </m:rPr>
                      <w:rPr>
                        <w:rFonts w:ascii="Cambria Math" w:eastAsia="Times New Roman" w:hAnsi="Cambria Math" w:cs="Times New Roman"/>
                        <w:color w:val="000000"/>
                        <w:sz w:val="20"/>
                        <w:szCs w:val="20"/>
                      </w:rPr>
                      <m:t>Γ</m:t>
                    </m:r>
                  </m:e>
                  <m:sub>
                    <m:r>
                      <m:rPr>
                        <m:sty m:val="bi"/>
                      </m:rPr>
                      <w:rPr>
                        <w:rFonts w:ascii="Cambria Math" w:eastAsia="Times New Roman" w:hAnsi="Cambria Math" w:cs="Times New Roman"/>
                        <w:color w:val="000000"/>
                        <w:sz w:val="20"/>
                        <w:szCs w:val="20"/>
                      </w:rPr>
                      <m:t>L</m:t>
                    </m:r>
                  </m:sub>
                </m:sSub>
              </m:oMath>
            </m:oMathPara>
          </w:p>
          <w:p w14:paraId="5436EE9A" w14:textId="77777777" w:rsidR="00A225B5" w:rsidRPr="00556D10" w:rsidRDefault="00A225B5" w:rsidP="00650395">
            <w:pPr>
              <w:spacing w:line="276" w:lineRule="auto"/>
              <w:jc w:val="center"/>
              <w:rPr>
                <w:rFonts w:eastAsia="Times New Roman" w:cs="Times New Roman"/>
                <w:b/>
                <w:bCs/>
                <w:color w:val="000000"/>
                <w:sz w:val="20"/>
                <w:szCs w:val="20"/>
              </w:rPr>
            </w:pPr>
            <w:r w:rsidRPr="00556D10">
              <w:rPr>
                <w:rFonts w:eastAsia="Times New Roman" w:cs="Times New Roman"/>
                <w:b/>
                <w:bCs/>
                <w:color w:val="000000"/>
                <w:sz w:val="20"/>
                <w:szCs w:val="20"/>
              </w:rPr>
              <w:t>(mJ/m</w:t>
            </w:r>
            <w:r w:rsidRPr="00556D10">
              <w:rPr>
                <w:rFonts w:eastAsia="Times New Roman" w:cs="Times New Roman"/>
                <w:b/>
                <w:bCs/>
                <w:color w:val="000000"/>
                <w:sz w:val="20"/>
                <w:szCs w:val="20"/>
                <w:vertAlign w:val="superscript"/>
              </w:rPr>
              <w:t>2</w:t>
            </w:r>
            <w:r w:rsidRPr="00556D10">
              <w:rPr>
                <w:rFonts w:eastAsia="Times New Roman" w:cs="Times New Roman"/>
                <w:b/>
                <w:bCs/>
                <w:color w:val="000000"/>
                <w:sz w:val="20"/>
                <w:szCs w:val="20"/>
              </w:rPr>
              <w:t>)</w:t>
            </w:r>
          </w:p>
        </w:tc>
        <w:tc>
          <w:tcPr>
            <w:tcW w:w="1483" w:type="dxa"/>
            <w:tcBorders>
              <w:top w:val="single" w:sz="4" w:space="0" w:color="auto"/>
              <w:left w:val="nil"/>
              <w:bottom w:val="single" w:sz="4" w:space="0" w:color="auto"/>
              <w:right w:val="single" w:sz="4" w:space="0" w:color="auto"/>
            </w:tcBorders>
            <w:shd w:val="clear" w:color="auto" w:fill="auto"/>
            <w:noWrap/>
            <w:vAlign w:val="center"/>
            <w:hideMark/>
          </w:tcPr>
          <w:p w14:paraId="5A6C5A0B" w14:textId="77777777" w:rsidR="00A225B5" w:rsidRPr="00556D10" w:rsidRDefault="007F7885" w:rsidP="00650395">
            <w:pPr>
              <w:spacing w:line="276" w:lineRule="auto"/>
              <w:jc w:val="center"/>
              <w:rPr>
                <w:rFonts w:eastAsia="Times New Roman" w:cs="Times New Roman"/>
                <w:b/>
                <w:bCs/>
                <w:color w:val="000000"/>
                <w:sz w:val="20"/>
                <w:szCs w:val="20"/>
              </w:rPr>
            </w:pPr>
            <m:oMath>
              <m:sSubSup>
                <m:sSubSupPr>
                  <m:ctrlPr>
                    <w:rPr>
                      <w:rFonts w:ascii="Cambria Math" w:eastAsia="Times New Roman" w:hAnsi="Cambria Math" w:cs="Times New Roman"/>
                      <w:b/>
                      <w:bCs/>
                      <w:i/>
                      <w:color w:val="000000"/>
                      <w:sz w:val="20"/>
                      <w:szCs w:val="20"/>
                    </w:rPr>
                  </m:ctrlPr>
                </m:sSubSupPr>
                <m:e>
                  <m:r>
                    <m:rPr>
                      <m:sty m:val="b"/>
                    </m:rPr>
                    <w:rPr>
                      <w:rFonts w:ascii="Cambria Math" w:eastAsia="Times New Roman" w:hAnsi="Cambria Math" w:cs="Times New Roman"/>
                      <w:color w:val="000000"/>
                      <w:sz w:val="20"/>
                      <w:szCs w:val="20"/>
                    </w:rPr>
                    <m:t>Γ</m:t>
                  </m:r>
                </m:e>
                <m:sub>
                  <m:r>
                    <m:rPr>
                      <m:sty m:val="bi"/>
                    </m:rPr>
                    <w:rPr>
                      <w:rFonts w:ascii="Cambria Math" w:eastAsia="Times New Roman" w:hAnsi="Cambria Math" w:cs="Times New Roman"/>
                      <w:color w:val="000000"/>
                      <w:sz w:val="20"/>
                      <w:szCs w:val="20"/>
                    </w:rPr>
                    <m:t>L</m:t>
                  </m:r>
                </m:sub>
                <m:sup>
                  <m:r>
                    <m:rPr>
                      <m:sty m:val="bi"/>
                    </m:rPr>
                    <w:rPr>
                      <w:rFonts w:ascii="Cambria Math" w:eastAsia="Times New Roman" w:hAnsi="Cambria Math" w:cs="Times New Roman"/>
                      <w:color w:val="000000"/>
                      <w:sz w:val="20"/>
                      <w:szCs w:val="20"/>
                    </w:rPr>
                    <m:t>LW</m:t>
                  </m:r>
                </m:sup>
              </m:sSubSup>
            </m:oMath>
            <w:r w:rsidR="00A225B5" w:rsidRPr="00556D10">
              <w:rPr>
                <w:rFonts w:eastAsia="Times New Roman" w:cs="Times New Roman"/>
                <w:b/>
                <w:bCs/>
                <w:color w:val="000000"/>
                <w:sz w:val="20"/>
                <w:szCs w:val="20"/>
              </w:rPr>
              <w:t xml:space="preserve"> (or </w:t>
            </w:r>
            <m:oMath>
              <m:sSubSup>
                <m:sSubSupPr>
                  <m:ctrlPr>
                    <w:rPr>
                      <w:rFonts w:ascii="Cambria Math" w:eastAsia="Times New Roman" w:hAnsi="Cambria Math" w:cs="Times New Roman"/>
                      <w:b/>
                      <w:bCs/>
                      <w:i/>
                      <w:color w:val="000000"/>
                      <w:sz w:val="20"/>
                      <w:szCs w:val="20"/>
                    </w:rPr>
                  </m:ctrlPr>
                </m:sSubSupPr>
                <m:e>
                  <m:r>
                    <m:rPr>
                      <m:sty m:val="b"/>
                    </m:rPr>
                    <w:rPr>
                      <w:rFonts w:ascii="Cambria Math" w:eastAsia="Times New Roman" w:hAnsi="Cambria Math" w:cs="Times New Roman"/>
                      <w:color w:val="000000"/>
                      <w:sz w:val="20"/>
                      <w:szCs w:val="20"/>
                    </w:rPr>
                    <m:t>Γ</m:t>
                  </m:r>
                </m:e>
                <m:sub>
                  <m:r>
                    <m:rPr>
                      <m:sty m:val="bi"/>
                    </m:rPr>
                    <w:rPr>
                      <w:rFonts w:ascii="Cambria Math" w:eastAsia="Times New Roman" w:hAnsi="Cambria Math" w:cs="Times New Roman"/>
                      <w:color w:val="000000"/>
                      <w:sz w:val="20"/>
                      <w:szCs w:val="20"/>
                    </w:rPr>
                    <m:t>L</m:t>
                  </m:r>
                </m:sub>
                <m:sup>
                  <m:r>
                    <m:rPr>
                      <m:sty m:val="bi"/>
                    </m:rPr>
                    <w:rPr>
                      <w:rFonts w:ascii="Cambria Math" w:eastAsia="Times New Roman" w:hAnsi="Cambria Math" w:cs="Times New Roman"/>
                      <w:color w:val="000000"/>
                      <w:sz w:val="20"/>
                      <w:szCs w:val="20"/>
                    </w:rPr>
                    <m:t>d</m:t>
                  </m:r>
                </m:sup>
              </m:sSubSup>
            </m:oMath>
            <w:r w:rsidR="00A225B5" w:rsidRPr="00556D10">
              <w:rPr>
                <w:rFonts w:eastAsia="Times New Roman" w:cs="Times New Roman"/>
                <w:b/>
                <w:bCs/>
                <w:color w:val="000000"/>
                <w:sz w:val="20"/>
                <w:szCs w:val="20"/>
              </w:rPr>
              <w:t xml:space="preserve"> ) (mJ/m</w:t>
            </w:r>
            <w:r w:rsidR="00A225B5" w:rsidRPr="00556D10">
              <w:rPr>
                <w:rFonts w:eastAsia="Times New Roman" w:cs="Times New Roman"/>
                <w:b/>
                <w:bCs/>
                <w:color w:val="000000"/>
                <w:sz w:val="20"/>
                <w:szCs w:val="20"/>
                <w:vertAlign w:val="superscript"/>
              </w:rPr>
              <w:t>2</w:t>
            </w:r>
            <w:r w:rsidR="00A225B5" w:rsidRPr="00556D10">
              <w:rPr>
                <w:rFonts w:eastAsia="Times New Roman" w:cs="Times New Roman"/>
                <w:b/>
                <w:bCs/>
                <w:color w:val="000000"/>
                <w:sz w:val="20"/>
                <w:szCs w:val="20"/>
              </w:rPr>
              <w:t>)</w:t>
            </w:r>
          </w:p>
        </w:tc>
        <w:tc>
          <w:tcPr>
            <w:tcW w:w="1153" w:type="dxa"/>
            <w:tcBorders>
              <w:top w:val="single" w:sz="4" w:space="0" w:color="auto"/>
              <w:left w:val="nil"/>
              <w:bottom w:val="single" w:sz="4" w:space="0" w:color="auto"/>
              <w:right w:val="single" w:sz="4" w:space="0" w:color="auto"/>
            </w:tcBorders>
            <w:shd w:val="clear" w:color="auto" w:fill="auto"/>
            <w:noWrap/>
            <w:vAlign w:val="center"/>
            <w:hideMark/>
          </w:tcPr>
          <w:p w14:paraId="09C73882" w14:textId="77777777" w:rsidR="00A225B5" w:rsidRPr="00556D10" w:rsidRDefault="007F7885" w:rsidP="00650395">
            <w:pPr>
              <w:spacing w:line="276" w:lineRule="auto"/>
              <w:jc w:val="center"/>
              <w:rPr>
                <w:rFonts w:eastAsia="Times New Roman" w:cs="Times New Roman"/>
                <w:b/>
                <w:bCs/>
                <w:color w:val="000000"/>
                <w:sz w:val="20"/>
                <w:szCs w:val="20"/>
              </w:rPr>
            </w:pPr>
            <m:oMathPara>
              <m:oMath>
                <m:sSubSup>
                  <m:sSubSupPr>
                    <m:ctrlPr>
                      <w:rPr>
                        <w:rFonts w:ascii="Cambria Math" w:eastAsia="Times New Roman" w:hAnsi="Cambria Math" w:cs="Times New Roman"/>
                        <w:b/>
                        <w:bCs/>
                        <w:i/>
                        <w:color w:val="000000"/>
                        <w:sz w:val="20"/>
                        <w:szCs w:val="20"/>
                      </w:rPr>
                    </m:ctrlPr>
                  </m:sSubSupPr>
                  <m:e>
                    <m:r>
                      <m:rPr>
                        <m:sty m:val="b"/>
                      </m:rPr>
                      <w:rPr>
                        <w:rFonts w:ascii="Cambria Math" w:eastAsia="Times New Roman" w:hAnsi="Cambria Math" w:cs="Times New Roman"/>
                        <w:color w:val="000000"/>
                        <w:sz w:val="20"/>
                        <w:szCs w:val="20"/>
                      </w:rPr>
                      <m:t>Γ</m:t>
                    </m:r>
                  </m:e>
                  <m:sub>
                    <m:r>
                      <m:rPr>
                        <m:sty m:val="bi"/>
                      </m:rPr>
                      <w:rPr>
                        <w:rFonts w:ascii="Cambria Math" w:eastAsia="Times New Roman" w:hAnsi="Cambria Math" w:cs="Times New Roman"/>
                        <w:color w:val="000000"/>
                        <w:sz w:val="20"/>
                        <w:szCs w:val="20"/>
                      </w:rPr>
                      <m:t>L</m:t>
                    </m:r>
                  </m:sub>
                  <m:sup>
                    <m:r>
                      <m:rPr>
                        <m:sty m:val="bi"/>
                      </m:rPr>
                      <w:rPr>
                        <w:rFonts w:ascii="Cambria Math" w:eastAsia="Times New Roman" w:hAnsi="Cambria Math" w:cs="Times New Roman"/>
                        <w:color w:val="000000"/>
                        <w:sz w:val="20"/>
                        <w:szCs w:val="20"/>
                      </w:rPr>
                      <m:t>+</m:t>
                    </m:r>
                  </m:sup>
                </m:sSubSup>
              </m:oMath>
            </m:oMathPara>
          </w:p>
          <w:p w14:paraId="3ACF84E8" w14:textId="77777777" w:rsidR="00A225B5" w:rsidRPr="00556D10" w:rsidRDefault="00A225B5" w:rsidP="00650395">
            <w:pPr>
              <w:spacing w:line="276" w:lineRule="auto"/>
              <w:jc w:val="center"/>
              <w:rPr>
                <w:rFonts w:eastAsia="Times New Roman" w:cs="Times New Roman"/>
                <w:b/>
                <w:bCs/>
                <w:color w:val="000000"/>
                <w:sz w:val="20"/>
                <w:szCs w:val="20"/>
              </w:rPr>
            </w:pPr>
            <w:r w:rsidRPr="00556D10">
              <w:rPr>
                <w:rFonts w:eastAsia="Times New Roman" w:cs="Times New Roman"/>
                <w:b/>
                <w:bCs/>
                <w:color w:val="000000"/>
                <w:sz w:val="20"/>
                <w:szCs w:val="20"/>
              </w:rPr>
              <w:t>(mJ/m</w:t>
            </w:r>
            <w:r w:rsidRPr="00556D10">
              <w:rPr>
                <w:rFonts w:eastAsia="Times New Roman" w:cs="Times New Roman"/>
                <w:b/>
                <w:bCs/>
                <w:color w:val="000000"/>
                <w:sz w:val="20"/>
                <w:szCs w:val="20"/>
                <w:vertAlign w:val="superscript"/>
              </w:rPr>
              <w:t>2</w:t>
            </w:r>
            <w:r w:rsidRPr="00556D10">
              <w:rPr>
                <w:rFonts w:eastAsia="Times New Roman" w:cs="Times New Roman"/>
                <w:b/>
                <w:bCs/>
                <w:color w:val="000000"/>
                <w:sz w:val="20"/>
                <w:szCs w:val="20"/>
              </w:rPr>
              <w:t>)</w:t>
            </w:r>
          </w:p>
        </w:tc>
        <w:tc>
          <w:tcPr>
            <w:tcW w:w="1153" w:type="dxa"/>
            <w:tcBorders>
              <w:top w:val="single" w:sz="4" w:space="0" w:color="auto"/>
              <w:left w:val="nil"/>
              <w:bottom w:val="single" w:sz="4" w:space="0" w:color="auto"/>
              <w:right w:val="single" w:sz="4" w:space="0" w:color="auto"/>
            </w:tcBorders>
            <w:shd w:val="clear" w:color="auto" w:fill="auto"/>
            <w:noWrap/>
            <w:vAlign w:val="center"/>
            <w:hideMark/>
          </w:tcPr>
          <w:p w14:paraId="462A7C2B" w14:textId="77777777" w:rsidR="00A225B5" w:rsidRPr="00556D10" w:rsidRDefault="007F7885" w:rsidP="00650395">
            <w:pPr>
              <w:spacing w:line="276" w:lineRule="auto"/>
              <w:jc w:val="center"/>
              <w:rPr>
                <w:rFonts w:eastAsia="Times New Roman" w:cs="Times New Roman"/>
                <w:b/>
                <w:bCs/>
                <w:color w:val="000000"/>
                <w:sz w:val="20"/>
                <w:szCs w:val="20"/>
              </w:rPr>
            </w:pPr>
            <m:oMathPara>
              <m:oMath>
                <m:sSubSup>
                  <m:sSubSupPr>
                    <m:ctrlPr>
                      <w:rPr>
                        <w:rFonts w:ascii="Cambria Math" w:eastAsia="Times New Roman" w:hAnsi="Cambria Math" w:cs="Times New Roman"/>
                        <w:b/>
                        <w:bCs/>
                        <w:i/>
                        <w:color w:val="000000"/>
                        <w:sz w:val="20"/>
                        <w:szCs w:val="20"/>
                      </w:rPr>
                    </m:ctrlPr>
                  </m:sSubSupPr>
                  <m:e>
                    <m:r>
                      <m:rPr>
                        <m:sty m:val="b"/>
                      </m:rPr>
                      <w:rPr>
                        <w:rFonts w:ascii="Cambria Math" w:eastAsia="Times New Roman" w:hAnsi="Cambria Math" w:cs="Times New Roman"/>
                        <w:color w:val="000000"/>
                        <w:sz w:val="20"/>
                        <w:szCs w:val="20"/>
                      </w:rPr>
                      <m:t>Γ</m:t>
                    </m:r>
                  </m:e>
                  <m:sub>
                    <m:r>
                      <m:rPr>
                        <m:sty m:val="bi"/>
                      </m:rPr>
                      <w:rPr>
                        <w:rFonts w:ascii="Cambria Math" w:eastAsia="Times New Roman" w:hAnsi="Cambria Math" w:cs="Times New Roman"/>
                        <w:color w:val="000000"/>
                        <w:sz w:val="20"/>
                        <w:szCs w:val="20"/>
                      </w:rPr>
                      <m:t>L</m:t>
                    </m:r>
                  </m:sub>
                  <m:sup>
                    <m:r>
                      <m:rPr>
                        <m:sty m:val="bi"/>
                      </m:rPr>
                      <w:rPr>
                        <w:rFonts w:ascii="Cambria Math" w:eastAsia="Times New Roman" w:hAnsi="Cambria Math" w:cs="Times New Roman"/>
                        <w:color w:val="000000"/>
                        <w:sz w:val="20"/>
                        <w:szCs w:val="20"/>
                      </w:rPr>
                      <m:t>-</m:t>
                    </m:r>
                  </m:sup>
                </m:sSubSup>
              </m:oMath>
            </m:oMathPara>
          </w:p>
          <w:p w14:paraId="66EA46D3" w14:textId="77777777" w:rsidR="00A225B5" w:rsidRPr="00556D10" w:rsidRDefault="00A225B5" w:rsidP="00650395">
            <w:pPr>
              <w:spacing w:line="276" w:lineRule="auto"/>
              <w:jc w:val="center"/>
              <w:rPr>
                <w:rFonts w:eastAsia="Times New Roman" w:cs="Times New Roman"/>
                <w:b/>
                <w:bCs/>
                <w:color w:val="000000"/>
                <w:sz w:val="20"/>
                <w:szCs w:val="20"/>
              </w:rPr>
            </w:pPr>
            <w:r w:rsidRPr="00556D10">
              <w:rPr>
                <w:rFonts w:eastAsia="Times New Roman" w:cs="Times New Roman"/>
                <w:b/>
                <w:bCs/>
                <w:color w:val="000000"/>
                <w:sz w:val="20"/>
                <w:szCs w:val="20"/>
              </w:rPr>
              <w:t>(mJ/m</w:t>
            </w:r>
            <w:r w:rsidRPr="00556D10">
              <w:rPr>
                <w:rFonts w:eastAsia="Times New Roman" w:cs="Times New Roman"/>
                <w:b/>
                <w:bCs/>
                <w:color w:val="000000"/>
                <w:sz w:val="20"/>
                <w:szCs w:val="20"/>
                <w:vertAlign w:val="superscript"/>
              </w:rPr>
              <w:t>2</w:t>
            </w:r>
            <w:r w:rsidRPr="00556D10">
              <w:rPr>
                <w:rFonts w:eastAsia="Times New Roman" w:cs="Times New Roman"/>
                <w:b/>
                <w:bCs/>
                <w:color w:val="000000"/>
                <w:sz w:val="20"/>
                <w:szCs w:val="20"/>
              </w:rPr>
              <w:t>)</w:t>
            </w:r>
          </w:p>
        </w:tc>
        <w:tc>
          <w:tcPr>
            <w:tcW w:w="1313" w:type="dxa"/>
            <w:tcBorders>
              <w:top w:val="single" w:sz="4" w:space="0" w:color="auto"/>
              <w:left w:val="nil"/>
              <w:bottom w:val="single" w:sz="4" w:space="0" w:color="auto"/>
              <w:right w:val="single" w:sz="4" w:space="0" w:color="auto"/>
            </w:tcBorders>
            <w:vAlign w:val="center"/>
          </w:tcPr>
          <w:p w14:paraId="44ABF840" w14:textId="77777777" w:rsidR="00A225B5" w:rsidRPr="00556D10" w:rsidRDefault="007F7885" w:rsidP="00650395">
            <w:pPr>
              <w:spacing w:line="276" w:lineRule="auto"/>
              <w:jc w:val="center"/>
              <w:rPr>
                <w:rFonts w:eastAsia="Times New Roman" w:cs="Times New Roman"/>
                <w:b/>
                <w:bCs/>
                <w:color w:val="000000"/>
                <w:sz w:val="20"/>
                <w:szCs w:val="20"/>
              </w:rPr>
            </w:pPr>
            <m:oMath>
              <m:sSubSup>
                <m:sSubSupPr>
                  <m:ctrlPr>
                    <w:rPr>
                      <w:rFonts w:ascii="Cambria Math" w:eastAsia="Times New Roman" w:hAnsi="Cambria Math" w:cs="Times New Roman"/>
                      <w:b/>
                      <w:bCs/>
                      <w:i/>
                      <w:color w:val="000000"/>
                      <w:sz w:val="20"/>
                      <w:szCs w:val="20"/>
                    </w:rPr>
                  </m:ctrlPr>
                </m:sSubSupPr>
                <m:e>
                  <m:r>
                    <m:rPr>
                      <m:sty m:val="b"/>
                    </m:rPr>
                    <w:rPr>
                      <w:rFonts w:ascii="Cambria Math" w:eastAsia="Times New Roman" w:hAnsi="Cambria Math" w:cs="Times New Roman"/>
                      <w:color w:val="000000"/>
                      <w:sz w:val="20"/>
                      <w:szCs w:val="20"/>
                    </w:rPr>
                    <m:t>Γ</m:t>
                  </m:r>
                </m:e>
                <m:sub>
                  <m:r>
                    <m:rPr>
                      <m:sty m:val="bi"/>
                    </m:rPr>
                    <w:rPr>
                      <w:rFonts w:ascii="Cambria Math" w:eastAsia="Times New Roman" w:hAnsi="Cambria Math" w:cs="Times New Roman"/>
                      <w:color w:val="000000"/>
                      <w:sz w:val="20"/>
                      <w:szCs w:val="20"/>
                    </w:rPr>
                    <m:t>L</m:t>
                  </m:r>
                </m:sub>
                <m:sup>
                  <m:r>
                    <m:rPr>
                      <m:sty m:val="bi"/>
                    </m:rPr>
                    <w:rPr>
                      <w:rFonts w:ascii="Cambria Math" w:eastAsia="Times New Roman" w:hAnsi="Cambria Math" w:cs="Times New Roman"/>
                      <w:color w:val="000000"/>
                      <w:sz w:val="20"/>
                      <w:szCs w:val="20"/>
                    </w:rPr>
                    <m:t>AB</m:t>
                  </m:r>
                </m:sup>
              </m:sSubSup>
            </m:oMath>
            <w:r w:rsidR="00A225B5" w:rsidRPr="00556D10">
              <w:rPr>
                <w:rFonts w:eastAsia="Times New Roman" w:cs="Times New Roman"/>
                <w:b/>
                <w:bCs/>
                <w:color w:val="000000"/>
                <w:sz w:val="20"/>
                <w:szCs w:val="20"/>
              </w:rPr>
              <w:t xml:space="preserve"> (or </w:t>
            </w:r>
            <m:oMath>
              <m:sSubSup>
                <m:sSubSupPr>
                  <m:ctrlPr>
                    <w:rPr>
                      <w:rFonts w:ascii="Cambria Math" w:eastAsia="Times New Roman" w:hAnsi="Cambria Math" w:cs="Times New Roman"/>
                      <w:b/>
                      <w:bCs/>
                      <w:i/>
                      <w:color w:val="000000"/>
                      <w:sz w:val="20"/>
                      <w:szCs w:val="20"/>
                    </w:rPr>
                  </m:ctrlPr>
                </m:sSubSupPr>
                <m:e>
                  <m:r>
                    <m:rPr>
                      <m:sty m:val="b"/>
                    </m:rPr>
                    <w:rPr>
                      <w:rFonts w:ascii="Cambria Math" w:eastAsia="Times New Roman" w:hAnsi="Cambria Math" w:cs="Times New Roman"/>
                      <w:color w:val="000000"/>
                      <w:sz w:val="20"/>
                      <w:szCs w:val="20"/>
                    </w:rPr>
                    <m:t>Γ</m:t>
                  </m:r>
                </m:e>
                <m:sub>
                  <m:r>
                    <m:rPr>
                      <m:sty m:val="bi"/>
                    </m:rPr>
                    <w:rPr>
                      <w:rFonts w:ascii="Cambria Math" w:eastAsia="Times New Roman" w:hAnsi="Cambria Math" w:cs="Times New Roman"/>
                      <w:color w:val="000000"/>
                      <w:sz w:val="20"/>
                      <w:szCs w:val="20"/>
                    </w:rPr>
                    <m:t>L</m:t>
                  </m:r>
                </m:sub>
                <m:sup>
                  <m:r>
                    <m:rPr>
                      <m:sty m:val="bi"/>
                    </m:rPr>
                    <w:rPr>
                      <w:rFonts w:ascii="Cambria Math" w:eastAsia="Times New Roman" w:hAnsi="Cambria Math" w:cs="Times New Roman"/>
                      <w:color w:val="000000"/>
                      <w:sz w:val="20"/>
                      <w:szCs w:val="20"/>
                    </w:rPr>
                    <m:t>p</m:t>
                  </m:r>
                </m:sup>
              </m:sSubSup>
            </m:oMath>
            <w:r w:rsidR="00A225B5" w:rsidRPr="00556D10">
              <w:rPr>
                <w:rFonts w:eastAsia="Times New Roman" w:cs="Times New Roman"/>
                <w:b/>
                <w:bCs/>
                <w:color w:val="000000"/>
                <w:sz w:val="20"/>
                <w:szCs w:val="20"/>
              </w:rPr>
              <w:t xml:space="preserve"> )</w:t>
            </w:r>
          </w:p>
          <w:p w14:paraId="145F82CC" w14:textId="77777777" w:rsidR="00A225B5" w:rsidRPr="00556D10" w:rsidRDefault="00A225B5" w:rsidP="00650395">
            <w:pPr>
              <w:spacing w:line="276" w:lineRule="auto"/>
              <w:jc w:val="center"/>
              <w:rPr>
                <w:rFonts w:eastAsia="Times New Roman" w:cs="Times New Roman"/>
                <w:b/>
                <w:bCs/>
                <w:color w:val="000000"/>
                <w:sz w:val="20"/>
                <w:szCs w:val="20"/>
              </w:rPr>
            </w:pPr>
            <w:r w:rsidRPr="00556D10">
              <w:rPr>
                <w:rFonts w:eastAsia="Times New Roman" w:cs="Times New Roman"/>
                <w:b/>
                <w:bCs/>
                <w:color w:val="000000"/>
                <w:sz w:val="20"/>
                <w:szCs w:val="20"/>
              </w:rPr>
              <w:t>(mJ/m</w:t>
            </w:r>
            <w:r w:rsidRPr="00556D10">
              <w:rPr>
                <w:rFonts w:eastAsia="Times New Roman" w:cs="Times New Roman"/>
                <w:b/>
                <w:bCs/>
                <w:color w:val="000000"/>
                <w:sz w:val="20"/>
                <w:szCs w:val="20"/>
                <w:vertAlign w:val="superscript"/>
              </w:rPr>
              <w:t>2</w:t>
            </w:r>
            <w:r w:rsidRPr="00556D10">
              <w:rPr>
                <w:rFonts w:eastAsia="Times New Roman" w:cs="Times New Roman"/>
                <w:b/>
                <w:bCs/>
                <w:color w:val="000000"/>
                <w:sz w:val="20"/>
                <w:szCs w:val="20"/>
              </w:rPr>
              <w:t>)</w:t>
            </w:r>
          </w:p>
        </w:tc>
      </w:tr>
      <w:tr w:rsidR="00A225B5" w:rsidRPr="00556D10" w14:paraId="4D4EFCDF" w14:textId="77777777" w:rsidTr="00556D10">
        <w:trPr>
          <w:trHeight w:val="132"/>
        </w:trPr>
        <w:tc>
          <w:tcPr>
            <w:tcW w:w="1964" w:type="dxa"/>
            <w:tcBorders>
              <w:top w:val="nil"/>
              <w:left w:val="single" w:sz="4" w:space="0" w:color="auto"/>
              <w:bottom w:val="single" w:sz="4" w:space="0" w:color="auto"/>
              <w:right w:val="single" w:sz="4" w:space="0" w:color="auto"/>
            </w:tcBorders>
            <w:shd w:val="clear" w:color="auto" w:fill="auto"/>
            <w:noWrap/>
            <w:vAlign w:val="center"/>
            <w:hideMark/>
          </w:tcPr>
          <w:p w14:paraId="691B6C1D" w14:textId="77777777" w:rsidR="00A225B5" w:rsidRPr="00556D10" w:rsidRDefault="00A225B5" w:rsidP="00650395">
            <w:pPr>
              <w:spacing w:line="276" w:lineRule="auto"/>
              <w:jc w:val="center"/>
              <w:rPr>
                <w:rFonts w:eastAsia="Times New Roman" w:cs="Times New Roman"/>
                <w:b/>
                <w:bCs/>
                <w:color w:val="000000"/>
                <w:sz w:val="20"/>
                <w:szCs w:val="20"/>
              </w:rPr>
            </w:pPr>
            <w:r w:rsidRPr="00556D10">
              <w:rPr>
                <w:rFonts w:eastAsia="Times New Roman" w:cs="Times New Roman"/>
                <w:b/>
                <w:bCs/>
                <w:color w:val="000000"/>
                <w:sz w:val="20"/>
                <w:szCs w:val="20"/>
              </w:rPr>
              <w:t>Water (W)</w:t>
            </w:r>
          </w:p>
        </w:tc>
        <w:tc>
          <w:tcPr>
            <w:tcW w:w="1235" w:type="dxa"/>
            <w:tcBorders>
              <w:top w:val="nil"/>
              <w:left w:val="nil"/>
              <w:bottom w:val="single" w:sz="4" w:space="0" w:color="auto"/>
              <w:right w:val="single" w:sz="4" w:space="0" w:color="auto"/>
            </w:tcBorders>
            <w:shd w:val="clear" w:color="auto" w:fill="auto"/>
            <w:noWrap/>
            <w:vAlign w:val="center"/>
            <w:hideMark/>
          </w:tcPr>
          <w:p w14:paraId="5C0F9004" w14:textId="77777777" w:rsidR="00A225B5" w:rsidRPr="00556D10" w:rsidRDefault="00A225B5" w:rsidP="00650395">
            <w:pPr>
              <w:spacing w:line="276" w:lineRule="auto"/>
              <w:jc w:val="center"/>
              <w:rPr>
                <w:rFonts w:eastAsia="Times New Roman" w:cs="Times New Roman"/>
                <w:color w:val="000000"/>
                <w:sz w:val="20"/>
                <w:szCs w:val="20"/>
              </w:rPr>
            </w:pPr>
            <w:r w:rsidRPr="00556D10">
              <w:rPr>
                <w:rFonts w:eastAsia="Times New Roman" w:cs="Times New Roman"/>
                <w:color w:val="000000"/>
                <w:sz w:val="20"/>
                <w:szCs w:val="20"/>
              </w:rPr>
              <w:t>72.8</w:t>
            </w:r>
          </w:p>
        </w:tc>
        <w:tc>
          <w:tcPr>
            <w:tcW w:w="1483" w:type="dxa"/>
            <w:tcBorders>
              <w:top w:val="nil"/>
              <w:left w:val="nil"/>
              <w:bottom w:val="single" w:sz="4" w:space="0" w:color="auto"/>
              <w:right w:val="single" w:sz="4" w:space="0" w:color="auto"/>
            </w:tcBorders>
            <w:shd w:val="clear" w:color="auto" w:fill="auto"/>
            <w:noWrap/>
            <w:vAlign w:val="center"/>
            <w:hideMark/>
          </w:tcPr>
          <w:p w14:paraId="5C14D07A" w14:textId="77777777" w:rsidR="00A225B5" w:rsidRPr="00556D10" w:rsidRDefault="00A225B5" w:rsidP="00650395">
            <w:pPr>
              <w:spacing w:line="276" w:lineRule="auto"/>
              <w:jc w:val="center"/>
              <w:rPr>
                <w:rFonts w:eastAsia="Times New Roman" w:cs="Times New Roman"/>
                <w:color w:val="000000"/>
                <w:sz w:val="20"/>
                <w:szCs w:val="20"/>
              </w:rPr>
            </w:pPr>
            <w:r w:rsidRPr="00556D10">
              <w:rPr>
                <w:rFonts w:eastAsia="Times New Roman" w:cs="Times New Roman"/>
                <w:color w:val="000000"/>
                <w:sz w:val="20"/>
                <w:szCs w:val="20"/>
              </w:rPr>
              <w:t>21.8</w:t>
            </w:r>
          </w:p>
        </w:tc>
        <w:tc>
          <w:tcPr>
            <w:tcW w:w="1153" w:type="dxa"/>
            <w:tcBorders>
              <w:top w:val="nil"/>
              <w:left w:val="nil"/>
              <w:bottom w:val="single" w:sz="4" w:space="0" w:color="auto"/>
              <w:right w:val="single" w:sz="4" w:space="0" w:color="auto"/>
            </w:tcBorders>
            <w:shd w:val="clear" w:color="auto" w:fill="auto"/>
            <w:noWrap/>
            <w:vAlign w:val="center"/>
            <w:hideMark/>
          </w:tcPr>
          <w:p w14:paraId="258ECF29" w14:textId="77777777" w:rsidR="00A225B5" w:rsidRPr="00556D10" w:rsidRDefault="00A225B5" w:rsidP="00650395">
            <w:pPr>
              <w:spacing w:line="276" w:lineRule="auto"/>
              <w:jc w:val="center"/>
              <w:rPr>
                <w:rFonts w:eastAsia="Times New Roman" w:cs="Times New Roman"/>
                <w:color w:val="000000"/>
                <w:sz w:val="20"/>
                <w:szCs w:val="20"/>
              </w:rPr>
            </w:pPr>
            <w:r w:rsidRPr="00556D10">
              <w:rPr>
                <w:rFonts w:eastAsia="Times New Roman" w:cs="Times New Roman"/>
                <w:color w:val="000000"/>
                <w:sz w:val="20"/>
                <w:szCs w:val="20"/>
              </w:rPr>
              <w:t>25.5</w:t>
            </w:r>
          </w:p>
        </w:tc>
        <w:tc>
          <w:tcPr>
            <w:tcW w:w="1153" w:type="dxa"/>
            <w:tcBorders>
              <w:top w:val="nil"/>
              <w:left w:val="nil"/>
              <w:bottom w:val="single" w:sz="4" w:space="0" w:color="auto"/>
              <w:right w:val="single" w:sz="4" w:space="0" w:color="auto"/>
            </w:tcBorders>
            <w:shd w:val="clear" w:color="auto" w:fill="auto"/>
            <w:noWrap/>
            <w:vAlign w:val="center"/>
            <w:hideMark/>
          </w:tcPr>
          <w:p w14:paraId="72AE0E84" w14:textId="77777777" w:rsidR="00A225B5" w:rsidRPr="00556D10" w:rsidRDefault="00A225B5" w:rsidP="00650395">
            <w:pPr>
              <w:spacing w:line="276" w:lineRule="auto"/>
              <w:jc w:val="center"/>
              <w:rPr>
                <w:rFonts w:eastAsia="Times New Roman" w:cs="Times New Roman"/>
                <w:color w:val="000000"/>
                <w:sz w:val="20"/>
                <w:szCs w:val="20"/>
              </w:rPr>
            </w:pPr>
            <w:r w:rsidRPr="00556D10">
              <w:rPr>
                <w:rFonts w:eastAsia="Times New Roman" w:cs="Times New Roman"/>
                <w:color w:val="000000"/>
                <w:sz w:val="20"/>
                <w:szCs w:val="20"/>
              </w:rPr>
              <w:t>25.5</w:t>
            </w:r>
          </w:p>
        </w:tc>
        <w:tc>
          <w:tcPr>
            <w:tcW w:w="1313" w:type="dxa"/>
            <w:tcBorders>
              <w:top w:val="nil"/>
              <w:left w:val="nil"/>
              <w:bottom w:val="single" w:sz="4" w:space="0" w:color="auto"/>
              <w:right w:val="single" w:sz="4" w:space="0" w:color="auto"/>
            </w:tcBorders>
            <w:vAlign w:val="center"/>
          </w:tcPr>
          <w:p w14:paraId="1A6FC7C1" w14:textId="77777777" w:rsidR="00A225B5" w:rsidRPr="00556D10" w:rsidRDefault="00A225B5" w:rsidP="00650395">
            <w:pPr>
              <w:spacing w:line="276" w:lineRule="auto"/>
              <w:jc w:val="center"/>
              <w:rPr>
                <w:rFonts w:eastAsia="Times New Roman" w:cs="Times New Roman"/>
                <w:color w:val="000000"/>
                <w:sz w:val="20"/>
                <w:szCs w:val="20"/>
              </w:rPr>
            </w:pPr>
            <w:r w:rsidRPr="00556D10">
              <w:rPr>
                <w:rFonts w:eastAsia="Times New Roman" w:cs="Times New Roman"/>
                <w:color w:val="000000"/>
                <w:sz w:val="20"/>
                <w:szCs w:val="20"/>
              </w:rPr>
              <w:t>51.0</w:t>
            </w:r>
          </w:p>
        </w:tc>
      </w:tr>
      <w:tr w:rsidR="00A225B5" w:rsidRPr="00556D10" w14:paraId="113ED608" w14:textId="77777777" w:rsidTr="00556D10">
        <w:trPr>
          <w:trHeight w:val="132"/>
        </w:trPr>
        <w:tc>
          <w:tcPr>
            <w:tcW w:w="1964" w:type="dxa"/>
            <w:tcBorders>
              <w:top w:val="nil"/>
              <w:left w:val="single" w:sz="4" w:space="0" w:color="auto"/>
              <w:bottom w:val="single" w:sz="4" w:space="0" w:color="auto"/>
              <w:right w:val="single" w:sz="4" w:space="0" w:color="auto"/>
            </w:tcBorders>
            <w:shd w:val="clear" w:color="auto" w:fill="auto"/>
            <w:noWrap/>
            <w:vAlign w:val="center"/>
            <w:hideMark/>
          </w:tcPr>
          <w:p w14:paraId="6A47D4F8" w14:textId="77777777" w:rsidR="00A225B5" w:rsidRPr="00556D10" w:rsidRDefault="00A225B5" w:rsidP="00650395">
            <w:pPr>
              <w:spacing w:line="276" w:lineRule="auto"/>
              <w:jc w:val="center"/>
              <w:rPr>
                <w:rFonts w:eastAsia="Times New Roman" w:cs="Times New Roman"/>
                <w:b/>
                <w:bCs/>
                <w:color w:val="000000"/>
                <w:sz w:val="20"/>
                <w:szCs w:val="20"/>
              </w:rPr>
            </w:pPr>
            <w:r w:rsidRPr="00556D10">
              <w:rPr>
                <w:rFonts w:eastAsia="Times New Roman" w:cs="Times New Roman"/>
                <w:b/>
                <w:bCs/>
                <w:color w:val="000000"/>
                <w:sz w:val="20"/>
                <w:szCs w:val="20"/>
              </w:rPr>
              <w:t>Glycerol (G)</w:t>
            </w:r>
          </w:p>
        </w:tc>
        <w:tc>
          <w:tcPr>
            <w:tcW w:w="1235" w:type="dxa"/>
            <w:tcBorders>
              <w:top w:val="nil"/>
              <w:left w:val="nil"/>
              <w:bottom w:val="single" w:sz="4" w:space="0" w:color="auto"/>
              <w:right w:val="single" w:sz="4" w:space="0" w:color="auto"/>
            </w:tcBorders>
            <w:shd w:val="clear" w:color="auto" w:fill="auto"/>
            <w:noWrap/>
            <w:vAlign w:val="center"/>
            <w:hideMark/>
          </w:tcPr>
          <w:p w14:paraId="60C225C1" w14:textId="77777777" w:rsidR="00A225B5" w:rsidRPr="00556D10" w:rsidRDefault="00A225B5" w:rsidP="00650395">
            <w:pPr>
              <w:spacing w:line="276" w:lineRule="auto"/>
              <w:jc w:val="center"/>
              <w:rPr>
                <w:rFonts w:eastAsia="Times New Roman" w:cs="Times New Roman"/>
                <w:color w:val="000000"/>
                <w:sz w:val="20"/>
                <w:szCs w:val="20"/>
              </w:rPr>
            </w:pPr>
            <w:r w:rsidRPr="00556D10">
              <w:rPr>
                <w:rFonts w:eastAsia="Times New Roman" w:cs="Times New Roman"/>
                <w:color w:val="000000"/>
                <w:sz w:val="20"/>
                <w:szCs w:val="20"/>
              </w:rPr>
              <w:t>64.0</w:t>
            </w:r>
          </w:p>
        </w:tc>
        <w:tc>
          <w:tcPr>
            <w:tcW w:w="1483" w:type="dxa"/>
            <w:tcBorders>
              <w:top w:val="nil"/>
              <w:left w:val="nil"/>
              <w:bottom w:val="single" w:sz="4" w:space="0" w:color="auto"/>
              <w:right w:val="single" w:sz="4" w:space="0" w:color="auto"/>
            </w:tcBorders>
            <w:shd w:val="clear" w:color="auto" w:fill="auto"/>
            <w:noWrap/>
            <w:vAlign w:val="center"/>
            <w:hideMark/>
          </w:tcPr>
          <w:p w14:paraId="132F3A07" w14:textId="77777777" w:rsidR="00A225B5" w:rsidRPr="00556D10" w:rsidRDefault="00A225B5" w:rsidP="00650395">
            <w:pPr>
              <w:spacing w:line="276" w:lineRule="auto"/>
              <w:jc w:val="center"/>
              <w:rPr>
                <w:rFonts w:eastAsia="Times New Roman" w:cs="Times New Roman"/>
                <w:color w:val="000000"/>
                <w:sz w:val="20"/>
                <w:szCs w:val="20"/>
              </w:rPr>
            </w:pPr>
            <w:r w:rsidRPr="00556D10">
              <w:rPr>
                <w:rFonts w:eastAsia="Times New Roman" w:cs="Times New Roman"/>
                <w:color w:val="000000"/>
                <w:sz w:val="20"/>
                <w:szCs w:val="20"/>
              </w:rPr>
              <w:t>34.0</w:t>
            </w:r>
          </w:p>
        </w:tc>
        <w:tc>
          <w:tcPr>
            <w:tcW w:w="1153" w:type="dxa"/>
            <w:tcBorders>
              <w:top w:val="nil"/>
              <w:left w:val="nil"/>
              <w:bottom w:val="single" w:sz="4" w:space="0" w:color="auto"/>
              <w:right w:val="single" w:sz="4" w:space="0" w:color="auto"/>
            </w:tcBorders>
            <w:shd w:val="clear" w:color="auto" w:fill="auto"/>
            <w:noWrap/>
            <w:vAlign w:val="center"/>
            <w:hideMark/>
          </w:tcPr>
          <w:p w14:paraId="15D1DB03" w14:textId="77777777" w:rsidR="00A225B5" w:rsidRPr="00556D10" w:rsidRDefault="00A225B5" w:rsidP="00650395">
            <w:pPr>
              <w:spacing w:line="276" w:lineRule="auto"/>
              <w:jc w:val="center"/>
              <w:rPr>
                <w:rFonts w:eastAsia="Times New Roman" w:cs="Times New Roman"/>
                <w:color w:val="000000"/>
                <w:sz w:val="20"/>
                <w:szCs w:val="20"/>
              </w:rPr>
            </w:pPr>
            <w:r w:rsidRPr="00556D10">
              <w:rPr>
                <w:rFonts w:eastAsia="Times New Roman" w:cs="Times New Roman"/>
                <w:color w:val="000000"/>
                <w:sz w:val="20"/>
                <w:szCs w:val="20"/>
              </w:rPr>
              <w:t>3.92</w:t>
            </w:r>
          </w:p>
        </w:tc>
        <w:tc>
          <w:tcPr>
            <w:tcW w:w="1153" w:type="dxa"/>
            <w:tcBorders>
              <w:top w:val="nil"/>
              <w:left w:val="nil"/>
              <w:bottom w:val="single" w:sz="4" w:space="0" w:color="auto"/>
              <w:right w:val="single" w:sz="4" w:space="0" w:color="auto"/>
            </w:tcBorders>
            <w:shd w:val="clear" w:color="auto" w:fill="auto"/>
            <w:noWrap/>
            <w:vAlign w:val="center"/>
            <w:hideMark/>
          </w:tcPr>
          <w:p w14:paraId="2ECBCBF8" w14:textId="77777777" w:rsidR="00A225B5" w:rsidRPr="00556D10" w:rsidRDefault="00A225B5" w:rsidP="00650395">
            <w:pPr>
              <w:spacing w:line="276" w:lineRule="auto"/>
              <w:jc w:val="center"/>
              <w:rPr>
                <w:rFonts w:eastAsia="Times New Roman" w:cs="Times New Roman"/>
                <w:color w:val="000000"/>
                <w:sz w:val="20"/>
                <w:szCs w:val="20"/>
              </w:rPr>
            </w:pPr>
            <w:r w:rsidRPr="00556D10">
              <w:rPr>
                <w:rFonts w:eastAsia="Times New Roman" w:cs="Times New Roman"/>
                <w:color w:val="000000"/>
                <w:sz w:val="20"/>
                <w:szCs w:val="20"/>
              </w:rPr>
              <w:t>57.4</w:t>
            </w:r>
          </w:p>
        </w:tc>
        <w:tc>
          <w:tcPr>
            <w:tcW w:w="1313" w:type="dxa"/>
            <w:tcBorders>
              <w:top w:val="nil"/>
              <w:left w:val="nil"/>
              <w:bottom w:val="single" w:sz="4" w:space="0" w:color="auto"/>
              <w:right w:val="single" w:sz="4" w:space="0" w:color="auto"/>
            </w:tcBorders>
            <w:vAlign w:val="center"/>
          </w:tcPr>
          <w:p w14:paraId="5B5CC6AE" w14:textId="77777777" w:rsidR="00A225B5" w:rsidRPr="00556D10" w:rsidRDefault="00A225B5" w:rsidP="00650395">
            <w:pPr>
              <w:spacing w:line="276" w:lineRule="auto"/>
              <w:jc w:val="center"/>
              <w:rPr>
                <w:rFonts w:eastAsia="Times New Roman" w:cs="Times New Roman"/>
                <w:color w:val="000000"/>
                <w:sz w:val="20"/>
                <w:szCs w:val="20"/>
              </w:rPr>
            </w:pPr>
            <w:r w:rsidRPr="00556D10">
              <w:rPr>
                <w:rFonts w:eastAsia="Times New Roman" w:cs="Times New Roman"/>
                <w:color w:val="000000"/>
                <w:sz w:val="20"/>
                <w:szCs w:val="20"/>
              </w:rPr>
              <w:t>30.0</w:t>
            </w:r>
          </w:p>
        </w:tc>
      </w:tr>
      <w:tr w:rsidR="00A225B5" w:rsidRPr="00556D10" w14:paraId="2016E6A0" w14:textId="77777777" w:rsidTr="00556D10">
        <w:trPr>
          <w:trHeight w:val="132"/>
        </w:trPr>
        <w:tc>
          <w:tcPr>
            <w:tcW w:w="1964" w:type="dxa"/>
            <w:tcBorders>
              <w:top w:val="nil"/>
              <w:left w:val="single" w:sz="4" w:space="0" w:color="auto"/>
              <w:bottom w:val="single" w:sz="4" w:space="0" w:color="auto"/>
              <w:right w:val="single" w:sz="4" w:space="0" w:color="auto"/>
            </w:tcBorders>
            <w:shd w:val="clear" w:color="auto" w:fill="auto"/>
            <w:noWrap/>
            <w:vAlign w:val="center"/>
            <w:hideMark/>
          </w:tcPr>
          <w:p w14:paraId="32A5BC0F" w14:textId="77777777" w:rsidR="00A225B5" w:rsidRPr="00556D10" w:rsidRDefault="00A225B5" w:rsidP="00650395">
            <w:pPr>
              <w:spacing w:line="276" w:lineRule="auto"/>
              <w:jc w:val="center"/>
              <w:rPr>
                <w:rFonts w:eastAsia="Times New Roman" w:cs="Times New Roman"/>
                <w:b/>
                <w:bCs/>
                <w:color w:val="000000"/>
                <w:sz w:val="20"/>
                <w:szCs w:val="20"/>
              </w:rPr>
            </w:pPr>
            <w:r w:rsidRPr="00556D10">
              <w:rPr>
                <w:rFonts w:eastAsia="Times New Roman" w:cs="Times New Roman"/>
                <w:b/>
                <w:bCs/>
                <w:color w:val="000000"/>
                <w:sz w:val="20"/>
                <w:szCs w:val="20"/>
              </w:rPr>
              <w:t>Formamide (F)</w:t>
            </w:r>
          </w:p>
        </w:tc>
        <w:tc>
          <w:tcPr>
            <w:tcW w:w="1235" w:type="dxa"/>
            <w:tcBorders>
              <w:top w:val="nil"/>
              <w:left w:val="nil"/>
              <w:bottom w:val="single" w:sz="4" w:space="0" w:color="auto"/>
              <w:right w:val="single" w:sz="4" w:space="0" w:color="auto"/>
            </w:tcBorders>
            <w:shd w:val="clear" w:color="auto" w:fill="auto"/>
            <w:noWrap/>
            <w:vAlign w:val="center"/>
            <w:hideMark/>
          </w:tcPr>
          <w:p w14:paraId="1B2C6C69" w14:textId="77777777" w:rsidR="00A225B5" w:rsidRPr="00556D10" w:rsidRDefault="00A225B5" w:rsidP="00650395">
            <w:pPr>
              <w:spacing w:line="276" w:lineRule="auto"/>
              <w:jc w:val="center"/>
              <w:rPr>
                <w:rFonts w:eastAsia="Times New Roman" w:cs="Times New Roman"/>
                <w:color w:val="000000"/>
                <w:sz w:val="20"/>
                <w:szCs w:val="20"/>
              </w:rPr>
            </w:pPr>
            <w:r w:rsidRPr="00556D10">
              <w:rPr>
                <w:rFonts w:eastAsia="Times New Roman" w:cs="Times New Roman"/>
                <w:color w:val="000000"/>
                <w:sz w:val="20"/>
                <w:szCs w:val="20"/>
              </w:rPr>
              <w:t>58.0</w:t>
            </w:r>
          </w:p>
        </w:tc>
        <w:tc>
          <w:tcPr>
            <w:tcW w:w="1483" w:type="dxa"/>
            <w:tcBorders>
              <w:top w:val="nil"/>
              <w:left w:val="nil"/>
              <w:bottom w:val="single" w:sz="4" w:space="0" w:color="auto"/>
              <w:right w:val="single" w:sz="4" w:space="0" w:color="auto"/>
            </w:tcBorders>
            <w:shd w:val="clear" w:color="auto" w:fill="auto"/>
            <w:noWrap/>
            <w:vAlign w:val="center"/>
            <w:hideMark/>
          </w:tcPr>
          <w:p w14:paraId="1247AD46" w14:textId="77777777" w:rsidR="00A225B5" w:rsidRPr="00556D10" w:rsidRDefault="00A225B5" w:rsidP="00650395">
            <w:pPr>
              <w:spacing w:line="276" w:lineRule="auto"/>
              <w:jc w:val="center"/>
              <w:rPr>
                <w:rFonts w:eastAsia="Times New Roman" w:cs="Times New Roman"/>
                <w:color w:val="000000"/>
                <w:sz w:val="20"/>
                <w:szCs w:val="20"/>
              </w:rPr>
            </w:pPr>
            <w:r w:rsidRPr="00556D10">
              <w:rPr>
                <w:rFonts w:eastAsia="Times New Roman" w:cs="Times New Roman"/>
                <w:color w:val="000000"/>
                <w:sz w:val="20"/>
                <w:szCs w:val="20"/>
              </w:rPr>
              <w:t>39.0</w:t>
            </w:r>
          </w:p>
        </w:tc>
        <w:tc>
          <w:tcPr>
            <w:tcW w:w="1153" w:type="dxa"/>
            <w:tcBorders>
              <w:top w:val="nil"/>
              <w:left w:val="nil"/>
              <w:bottom w:val="single" w:sz="4" w:space="0" w:color="auto"/>
              <w:right w:val="single" w:sz="4" w:space="0" w:color="auto"/>
            </w:tcBorders>
            <w:shd w:val="clear" w:color="auto" w:fill="auto"/>
            <w:noWrap/>
            <w:vAlign w:val="center"/>
            <w:hideMark/>
          </w:tcPr>
          <w:p w14:paraId="62CF0196" w14:textId="77777777" w:rsidR="00A225B5" w:rsidRPr="00556D10" w:rsidRDefault="00A225B5" w:rsidP="00650395">
            <w:pPr>
              <w:spacing w:line="276" w:lineRule="auto"/>
              <w:jc w:val="center"/>
              <w:rPr>
                <w:rFonts w:eastAsia="Times New Roman" w:cs="Times New Roman"/>
                <w:color w:val="000000"/>
                <w:sz w:val="20"/>
                <w:szCs w:val="20"/>
              </w:rPr>
            </w:pPr>
            <w:r w:rsidRPr="00556D10">
              <w:rPr>
                <w:rFonts w:eastAsia="Times New Roman" w:cs="Times New Roman"/>
                <w:color w:val="000000"/>
                <w:sz w:val="20"/>
                <w:szCs w:val="20"/>
              </w:rPr>
              <w:t>2.28</w:t>
            </w:r>
          </w:p>
        </w:tc>
        <w:tc>
          <w:tcPr>
            <w:tcW w:w="1153" w:type="dxa"/>
            <w:tcBorders>
              <w:top w:val="nil"/>
              <w:left w:val="nil"/>
              <w:bottom w:val="single" w:sz="4" w:space="0" w:color="auto"/>
              <w:right w:val="single" w:sz="4" w:space="0" w:color="auto"/>
            </w:tcBorders>
            <w:shd w:val="clear" w:color="auto" w:fill="auto"/>
            <w:noWrap/>
            <w:vAlign w:val="center"/>
            <w:hideMark/>
          </w:tcPr>
          <w:p w14:paraId="3A7CC94F" w14:textId="77777777" w:rsidR="00A225B5" w:rsidRPr="00556D10" w:rsidRDefault="00A225B5" w:rsidP="00650395">
            <w:pPr>
              <w:spacing w:line="276" w:lineRule="auto"/>
              <w:jc w:val="center"/>
              <w:rPr>
                <w:rFonts w:eastAsia="Times New Roman" w:cs="Times New Roman"/>
                <w:color w:val="000000"/>
                <w:sz w:val="20"/>
                <w:szCs w:val="20"/>
              </w:rPr>
            </w:pPr>
            <w:r w:rsidRPr="00556D10">
              <w:rPr>
                <w:rFonts w:eastAsia="Times New Roman" w:cs="Times New Roman"/>
                <w:color w:val="000000"/>
                <w:sz w:val="20"/>
                <w:szCs w:val="20"/>
              </w:rPr>
              <w:t>39.6</w:t>
            </w:r>
          </w:p>
        </w:tc>
        <w:tc>
          <w:tcPr>
            <w:tcW w:w="1313" w:type="dxa"/>
            <w:tcBorders>
              <w:top w:val="nil"/>
              <w:left w:val="nil"/>
              <w:bottom w:val="single" w:sz="4" w:space="0" w:color="auto"/>
              <w:right w:val="single" w:sz="4" w:space="0" w:color="auto"/>
            </w:tcBorders>
            <w:vAlign w:val="center"/>
          </w:tcPr>
          <w:p w14:paraId="6043B22A" w14:textId="77777777" w:rsidR="00A225B5" w:rsidRPr="00556D10" w:rsidRDefault="00A225B5" w:rsidP="00650395">
            <w:pPr>
              <w:spacing w:line="276" w:lineRule="auto"/>
              <w:jc w:val="center"/>
              <w:rPr>
                <w:rFonts w:eastAsia="Times New Roman" w:cs="Times New Roman"/>
                <w:color w:val="000000"/>
                <w:sz w:val="20"/>
                <w:szCs w:val="20"/>
              </w:rPr>
            </w:pPr>
            <w:r w:rsidRPr="00556D10">
              <w:rPr>
                <w:rFonts w:eastAsia="Times New Roman" w:cs="Times New Roman"/>
                <w:color w:val="000000"/>
                <w:sz w:val="20"/>
                <w:szCs w:val="20"/>
              </w:rPr>
              <w:t>19.0</w:t>
            </w:r>
          </w:p>
        </w:tc>
      </w:tr>
      <w:tr w:rsidR="00A225B5" w:rsidRPr="00556D10" w14:paraId="2471FB50" w14:textId="77777777" w:rsidTr="00556D10">
        <w:trPr>
          <w:trHeight w:val="132"/>
        </w:trPr>
        <w:tc>
          <w:tcPr>
            <w:tcW w:w="1964" w:type="dxa"/>
            <w:tcBorders>
              <w:top w:val="nil"/>
              <w:left w:val="single" w:sz="4" w:space="0" w:color="auto"/>
              <w:bottom w:val="single" w:sz="4" w:space="0" w:color="auto"/>
              <w:right w:val="single" w:sz="4" w:space="0" w:color="auto"/>
            </w:tcBorders>
            <w:shd w:val="clear" w:color="auto" w:fill="auto"/>
            <w:noWrap/>
            <w:vAlign w:val="center"/>
            <w:hideMark/>
          </w:tcPr>
          <w:p w14:paraId="299A5B26" w14:textId="77777777" w:rsidR="00A225B5" w:rsidRPr="00556D10" w:rsidRDefault="00A225B5" w:rsidP="00650395">
            <w:pPr>
              <w:spacing w:line="276" w:lineRule="auto"/>
              <w:jc w:val="center"/>
              <w:rPr>
                <w:rFonts w:eastAsia="Times New Roman" w:cs="Times New Roman"/>
                <w:b/>
                <w:bCs/>
                <w:color w:val="000000"/>
                <w:sz w:val="20"/>
                <w:szCs w:val="20"/>
              </w:rPr>
            </w:pPr>
            <w:r w:rsidRPr="00556D10">
              <w:rPr>
                <w:rFonts w:eastAsia="Times New Roman" w:cs="Times New Roman"/>
                <w:b/>
                <w:bCs/>
                <w:color w:val="000000"/>
                <w:sz w:val="20"/>
                <w:szCs w:val="20"/>
              </w:rPr>
              <w:t>Ethylene glycol (E)</w:t>
            </w:r>
          </w:p>
        </w:tc>
        <w:tc>
          <w:tcPr>
            <w:tcW w:w="1235" w:type="dxa"/>
            <w:tcBorders>
              <w:top w:val="nil"/>
              <w:left w:val="nil"/>
              <w:bottom w:val="single" w:sz="4" w:space="0" w:color="auto"/>
              <w:right w:val="single" w:sz="4" w:space="0" w:color="auto"/>
            </w:tcBorders>
            <w:shd w:val="clear" w:color="auto" w:fill="auto"/>
            <w:noWrap/>
            <w:vAlign w:val="center"/>
            <w:hideMark/>
          </w:tcPr>
          <w:p w14:paraId="21A77E2C" w14:textId="77777777" w:rsidR="00A225B5" w:rsidRPr="00556D10" w:rsidRDefault="00A225B5" w:rsidP="00650395">
            <w:pPr>
              <w:spacing w:line="276" w:lineRule="auto"/>
              <w:jc w:val="center"/>
              <w:rPr>
                <w:rFonts w:eastAsia="Times New Roman" w:cs="Times New Roman"/>
                <w:color w:val="000000"/>
                <w:sz w:val="20"/>
                <w:szCs w:val="20"/>
              </w:rPr>
            </w:pPr>
            <w:r w:rsidRPr="00556D10">
              <w:rPr>
                <w:rFonts w:eastAsia="Times New Roman" w:cs="Times New Roman"/>
                <w:color w:val="000000"/>
                <w:sz w:val="20"/>
                <w:szCs w:val="20"/>
              </w:rPr>
              <w:t>48.0</w:t>
            </w:r>
          </w:p>
        </w:tc>
        <w:tc>
          <w:tcPr>
            <w:tcW w:w="1483" w:type="dxa"/>
            <w:tcBorders>
              <w:top w:val="nil"/>
              <w:left w:val="nil"/>
              <w:bottom w:val="single" w:sz="4" w:space="0" w:color="auto"/>
              <w:right w:val="single" w:sz="4" w:space="0" w:color="auto"/>
            </w:tcBorders>
            <w:shd w:val="clear" w:color="auto" w:fill="auto"/>
            <w:noWrap/>
            <w:vAlign w:val="center"/>
            <w:hideMark/>
          </w:tcPr>
          <w:p w14:paraId="31A02EC2" w14:textId="77777777" w:rsidR="00A225B5" w:rsidRPr="00556D10" w:rsidRDefault="00A225B5" w:rsidP="00650395">
            <w:pPr>
              <w:spacing w:line="276" w:lineRule="auto"/>
              <w:jc w:val="center"/>
              <w:rPr>
                <w:rFonts w:eastAsia="Times New Roman" w:cs="Times New Roman"/>
                <w:color w:val="000000"/>
                <w:sz w:val="20"/>
                <w:szCs w:val="20"/>
              </w:rPr>
            </w:pPr>
            <w:r w:rsidRPr="00556D10">
              <w:rPr>
                <w:rFonts w:eastAsia="Times New Roman" w:cs="Times New Roman"/>
                <w:color w:val="000000"/>
                <w:sz w:val="20"/>
                <w:szCs w:val="20"/>
              </w:rPr>
              <w:t>29.0</w:t>
            </w:r>
          </w:p>
        </w:tc>
        <w:tc>
          <w:tcPr>
            <w:tcW w:w="1153" w:type="dxa"/>
            <w:tcBorders>
              <w:top w:val="nil"/>
              <w:left w:val="nil"/>
              <w:bottom w:val="single" w:sz="4" w:space="0" w:color="auto"/>
              <w:right w:val="single" w:sz="4" w:space="0" w:color="auto"/>
            </w:tcBorders>
            <w:shd w:val="clear" w:color="auto" w:fill="auto"/>
            <w:noWrap/>
            <w:vAlign w:val="center"/>
            <w:hideMark/>
          </w:tcPr>
          <w:p w14:paraId="692E9AF8" w14:textId="77777777" w:rsidR="00A225B5" w:rsidRPr="00556D10" w:rsidRDefault="00A225B5" w:rsidP="00650395">
            <w:pPr>
              <w:spacing w:line="276" w:lineRule="auto"/>
              <w:jc w:val="center"/>
              <w:rPr>
                <w:rFonts w:eastAsia="Times New Roman" w:cs="Times New Roman"/>
                <w:color w:val="000000"/>
                <w:sz w:val="20"/>
                <w:szCs w:val="20"/>
              </w:rPr>
            </w:pPr>
            <w:r w:rsidRPr="00556D10">
              <w:rPr>
                <w:rFonts w:eastAsia="Times New Roman" w:cs="Times New Roman"/>
                <w:color w:val="000000"/>
                <w:sz w:val="20"/>
                <w:szCs w:val="20"/>
              </w:rPr>
              <w:t>1.92</w:t>
            </w:r>
          </w:p>
        </w:tc>
        <w:tc>
          <w:tcPr>
            <w:tcW w:w="1153" w:type="dxa"/>
            <w:tcBorders>
              <w:top w:val="nil"/>
              <w:left w:val="nil"/>
              <w:bottom w:val="single" w:sz="4" w:space="0" w:color="auto"/>
              <w:right w:val="single" w:sz="4" w:space="0" w:color="auto"/>
            </w:tcBorders>
            <w:shd w:val="clear" w:color="auto" w:fill="auto"/>
            <w:noWrap/>
            <w:vAlign w:val="center"/>
            <w:hideMark/>
          </w:tcPr>
          <w:p w14:paraId="3BFC1BC6" w14:textId="77777777" w:rsidR="00A225B5" w:rsidRPr="00556D10" w:rsidRDefault="00A225B5" w:rsidP="00650395">
            <w:pPr>
              <w:spacing w:line="276" w:lineRule="auto"/>
              <w:jc w:val="center"/>
              <w:rPr>
                <w:rFonts w:eastAsia="Times New Roman" w:cs="Times New Roman"/>
                <w:color w:val="000000"/>
                <w:sz w:val="20"/>
                <w:szCs w:val="20"/>
              </w:rPr>
            </w:pPr>
            <w:r w:rsidRPr="00556D10">
              <w:rPr>
                <w:rFonts w:eastAsia="Times New Roman" w:cs="Times New Roman"/>
                <w:color w:val="000000"/>
                <w:sz w:val="20"/>
                <w:szCs w:val="20"/>
              </w:rPr>
              <w:t>47.0</w:t>
            </w:r>
          </w:p>
        </w:tc>
        <w:tc>
          <w:tcPr>
            <w:tcW w:w="1313" w:type="dxa"/>
            <w:tcBorders>
              <w:top w:val="nil"/>
              <w:left w:val="nil"/>
              <w:bottom w:val="single" w:sz="4" w:space="0" w:color="auto"/>
              <w:right w:val="single" w:sz="4" w:space="0" w:color="auto"/>
            </w:tcBorders>
            <w:vAlign w:val="center"/>
          </w:tcPr>
          <w:p w14:paraId="51C24230" w14:textId="77777777" w:rsidR="00A225B5" w:rsidRPr="00556D10" w:rsidRDefault="00A225B5" w:rsidP="00650395">
            <w:pPr>
              <w:spacing w:line="276" w:lineRule="auto"/>
              <w:jc w:val="center"/>
              <w:rPr>
                <w:rFonts w:eastAsia="Times New Roman" w:cs="Times New Roman"/>
                <w:color w:val="000000"/>
                <w:sz w:val="20"/>
                <w:szCs w:val="20"/>
              </w:rPr>
            </w:pPr>
            <w:r w:rsidRPr="00556D10">
              <w:rPr>
                <w:rFonts w:eastAsia="Times New Roman" w:cs="Times New Roman"/>
                <w:color w:val="000000"/>
                <w:sz w:val="20"/>
                <w:szCs w:val="20"/>
              </w:rPr>
              <w:t>19.0</w:t>
            </w:r>
          </w:p>
        </w:tc>
      </w:tr>
      <w:tr w:rsidR="00A225B5" w:rsidRPr="00556D10" w14:paraId="0A46AE76" w14:textId="77777777" w:rsidTr="00556D10">
        <w:trPr>
          <w:trHeight w:val="132"/>
        </w:trPr>
        <w:tc>
          <w:tcPr>
            <w:tcW w:w="1964" w:type="dxa"/>
            <w:tcBorders>
              <w:top w:val="nil"/>
              <w:left w:val="single" w:sz="4" w:space="0" w:color="auto"/>
              <w:bottom w:val="single" w:sz="4" w:space="0" w:color="auto"/>
              <w:right w:val="single" w:sz="4" w:space="0" w:color="auto"/>
            </w:tcBorders>
            <w:shd w:val="clear" w:color="auto" w:fill="auto"/>
            <w:noWrap/>
            <w:vAlign w:val="center"/>
            <w:hideMark/>
          </w:tcPr>
          <w:p w14:paraId="43C2F7AA" w14:textId="77777777" w:rsidR="00A225B5" w:rsidRPr="00556D10" w:rsidRDefault="00A225B5" w:rsidP="00650395">
            <w:pPr>
              <w:spacing w:line="276" w:lineRule="auto"/>
              <w:jc w:val="center"/>
              <w:rPr>
                <w:rFonts w:eastAsia="Times New Roman" w:cs="Times New Roman"/>
                <w:b/>
                <w:bCs/>
                <w:color w:val="000000"/>
                <w:sz w:val="20"/>
                <w:szCs w:val="20"/>
              </w:rPr>
            </w:pPr>
            <w:r w:rsidRPr="00556D10">
              <w:rPr>
                <w:rFonts w:eastAsia="Times New Roman" w:cs="Times New Roman"/>
                <w:b/>
                <w:bCs/>
                <w:color w:val="000000"/>
                <w:sz w:val="20"/>
                <w:szCs w:val="20"/>
              </w:rPr>
              <w:t>Diiodomethane (D)</w:t>
            </w:r>
          </w:p>
        </w:tc>
        <w:tc>
          <w:tcPr>
            <w:tcW w:w="1235" w:type="dxa"/>
            <w:tcBorders>
              <w:top w:val="nil"/>
              <w:left w:val="nil"/>
              <w:bottom w:val="single" w:sz="4" w:space="0" w:color="auto"/>
              <w:right w:val="single" w:sz="4" w:space="0" w:color="auto"/>
            </w:tcBorders>
            <w:shd w:val="clear" w:color="auto" w:fill="auto"/>
            <w:noWrap/>
            <w:vAlign w:val="center"/>
            <w:hideMark/>
          </w:tcPr>
          <w:p w14:paraId="29A4192A" w14:textId="77777777" w:rsidR="00A225B5" w:rsidRPr="00556D10" w:rsidRDefault="00A225B5" w:rsidP="00650395">
            <w:pPr>
              <w:spacing w:line="276" w:lineRule="auto"/>
              <w:jc w:val="center"/>
              <w:rPr>
                <w:rFonts w:eastAsia="Times New Roman" w:cs="Times New Roman"/>
                <w:color w:val="000000"/>
                <w:sz w:val="20"/>
                <w:szCs w:val="20"/>
              </w:rPr>
            </w:pPr>
            <w:r w:rsidRPr="00556D10">
              <w:rPr>
                <w:rFonts w:eastAsia="Times New Roman" w:cs="Times New Roman"/>
                <w:color w:val="000000"/>
                <w:sz w:val="20"/>
                <w:szCs w:val="20"/>
              </w:rPr>
              <w:t>50.8</w:t>
            </w:r>
          </w:p>
        </w:tc>
        <w:tc>
          <w:tcPr>
            <w:tcW w:w="1483" w:type="dxa"/>
            <w:tcBorders>
              <w:top w:val="nil"/>
              <w:left w:val="nil"/>
              <w:bottom w:val="single" w:sz="4" w:space="0" w:color="auto"/>
              <w:right w:val="single" w:sz="4" w:space="0" w:color="auto"/>
            </w:tcBorders>
            <w:shd w:val="clear" w:color="auto" w:fill="auto"/>
            <w:noWrap/>
            <w:vAlign w:val="center"/>
            <w:hideMark/>
          </w:tcPr>
          <w:p w14:paraId="17662306" w14:textId="77777777" w:rsidR="00A225B5" w:rsidRPr="00556D10" w:rsidRDefault="00A225B5" w:rsidP="00650395">
            <w:pPr>
              <w:spacing w:line="276" w:lineRule="auto"/>
              <w:jc w:val="center"/>
              <w:rPr>
                <w:rFonts w:eastAsia="Times New Roman" w:cs="Times New Roman"/>
                <w:color w:val="000000"/>
                <w:sz w:val="20"/>
                <w:szCs w:val="20"/>
              </w:rPr>
            </w:pPr>
            <w:r w:rsidRPr="00556D10">
              <w:rPr>
                <w:rFonts w:eastAsia="Times New Roman" w:cs="Times New Roman"/>
                <w:color w:val="000000"/>
                <w:sz w:val="20"/>
                <w:szCs w:val="20"/>
              </w:rPr>
              <w:t>50.8</w:t>
            </w:r>
          </w:p>
        </w:tc>
        <w:tc>
          <w:tcPr>
            <w:tcW w:w="1153" w:type="dxa"/>
            <w:tcBorders>
              <w:top w:val="nil"/>
              <w:left w:val="nil"/>
              <w:bottom w:val="single" w:sz="4" w:space="0" w:color="auto"/>
              <w:right w:val="single" w:sz="4" w:space="0" w:color="auto"/>
            </w:tcBorders>
            <w:shd w:val="clear" w:color="auto" w:fill="auto"/>
            <w:noWrap/>
            <w:vAlign w:val="center"/>
            <w:hideMark/>
          </w:tcPr>
          <w:p w14:paraId="445A4A96" w14:textId="77777777" w:rsidR="00A225B5" w:rsidRPr="00556D10" w:rsidRDefault="00A225B5" w:rsidP="00650395">
            <w:pPr>
              <w:spacing w:line="276" w:lineRule="auto"/>
              <w:jc w:val="center"/>
              <w:rPr>
                <w:rFonts w:eastAsia="Times New Roman" w:cs="Times New Roman"/>
                <w:color w:val="000000"/>
                <w:sz w:val="20"/>
                <w:szCs w:val="20"/>
              </w:rPr>
            </w:pPr>
            <w:r w:rsidRPr="00556D10">
              <w:rPr>
                <w:rFonts w:eastAsia="Times New Roman" w:cs="Times New Roman"/>
                <w:color w:val="000000"/>
                <w:sz w:val="20"/>
                <w:szCs w:val="20"/>
              </w:rPr>
              <w:t>0.0</w:t>
            </w:r>
          </w:p>
        </w:tc>
        <w:tc>
          <w:tcPr>
            <w:tcW w:w="1153" w:type="dxa"/>
            <w:tcBorders>
              <w:top w:val="nil"/>
              <w:left w:val="nil"/>
              <w:bottom w:val="single" w:sz="4" w:space="0" w:color="auto"/>
              <w:right w:val="single" w:sz="4" w:space="0" w:color="auto"/>
            </w:tcBorders>
            <w:shd w:val="clear" w:color="auto" w:fill="auto"/>
            <w:noWrap/>
            <w:vAlign w:val="center"/>
            <w:hideMark/>
          </w:tcPr>
          <w:p w14:paraId="56EC392D" w14:textId="77777777" w:rsidR="00A225B5" w:rsidRPr="00556D10" w:rsidRDefault="00A225B5" w:rsidP="00650395">
            <w:pPr>
              <w:spacing w:line="276" w:lineRule="auto"/>
              <w:jc w:val="center"/>
              <w:rPr>
                <w:rFonts w:eastAsia="Times New Roman" w:cs="Times New Roman"/>
                <w:color w:val="000000"/>
                <w:sz w:val="20"/>
                <w:szCs w:val="20"/>
              </w:rPr>
            </w:pPr>
            <w:r w:rsidRPr="00556D10">
              <w:rPr>
                <w:rFonts w:eastAsia="Times New Roman" w:cs="Times New Roman"/>
                <w:color w:val="000000"/>
                <w:sz w:val="20"/>
                <w:szCs w:val="20"/>
              </w:rPr>
              <w:t>0.0</w:t>
            </w:r>
          </w:p>
        </w:tc>
        <w:tc>
          <w:tcPr>
            <w:tcW w:w="1313" w:type="dxa"/>
            <w:tcBorders>
              <w:top w:val="nil"/>
              <w:left w:val="nil"/>
              <w:bottom w:val="single" w:sz="4" w:space="0" w:color="auto"/>
              <w:right w:val="single" w:sz="4" w:space="0" w:color="auto"/>
            </w:tcBorders>
            <w:vAlign w:val="center"/>
          </w:tcPr>
          <w:p w14:paraId="3F5A67A3" w14:textId="77777777" w:rsidR="00A225B5" w:rsidRPr="00556D10" w:rsidRDefault="00A225B5" w:rsidP="00650395">
            <w:pPr>
              <w:spacing w:line="276" w:lineRule="auto"/>
              <w:jc w:val="center"/>
              <w:rPr>
                <w:rFonts w:eastAsia="Times New Roman" w:cs="Times New Roman"/>
                <w:color w:val="000000"/>
                <w:sz w:val="20"/>
                <w:szCs w:val="20"/>
              </w:rPr>
            </w:pPr>
            <w:r w:rsidRPr="00556D10">
              <w:rPr>
                <w:rFonts w:eastAsia="Times New Roman" w:cs="Times New Roman"/>
                <w:color w:val="000000"/>
                <w:sz w:val="20"/>
                <w:szCs w:val="20"/>
              </w:rPr>
              <w:t>0.0</w:t>
            </w:r>
          </w:p>
        </w:tc>
      </w:tr>
    </w:tbl>
    <w:p w14:paraId="60DE08A1" w14:textId="77777777" w:rsidR="00537471" w:rsidRDefault="00537471" w:rsidP="00537471">
      <w:pPr>
        <w:pStyle w:val="Caption"/>
        <w:jc w:val="center"/>
      </w:pPr>
    </w:p>
    <w:p w14:paraId="58D58B08" w14:textId="08A36426" w:rsidR="00B80273" w:rsidRPr="009835B8" w:rsidRDefault="002438A2" w:rsidP="00537471">
      <w:pPr>
        <w:pStyle w:val="Caption"/>
        <w:spacing w:line="480" w:lineRule="auto"/>
        <w:jc w:val="center"/>
        <w:rPr>
          <w:szCs w:val="24"/>
        </w:rPr>
      </w:pPr>
      <w:bookmarkStart w:id="50" w:name="_Toc71330973"/>
      <w:r>
        <w:t xml:space="preserve">Table </w:t>
      </w:r>
      <w:fldSimple w:instr=" STYLEREF 1 \s ">
        <w:r w:rsidR="005050F0">
          <w:rPr>
            <w:noProof/>
          </w:rPr>
          <w:t>2</w:t>
        </w:r>
      </w:fldSimple>
      <w:r w:rsidR="00700639">
        <w:t>.</w:t>
      </w:r>
      <w:fldSimple w:instr=" SEQ Table \* ARABIC \s 1 ">
        <w:r w:rsidR="005050F0">
          <w:rPr>
            <w:noProof/>
          </w:rPr>
          <w:t>2</w:t>
        </w:r>
      </w:fldSimple>
      <w:r>
        <w:t xml:space="preserve"> </w:t>
      </w:r>
      <w:r w:rsidR="00B80273" w:rsidRPr="009835B8">
        <w:rPr>
          <w:szCs w:val="24"/>
        </w:rPr>
        <w:t xml:space="preserve">Contact </w:t>
      </w:r>
      <w:r w:rsidR="00B80273">
        <w:rPr>
          <w:szCs w:val="24"/>
        </w:rPr>
        <w:t>A</w:t>
      </w:r>
      <w:r w:rsidR="00B80273" w:rsidRPr="009835B8">
        <w:rPr>
          <w:szCs w:val="24"/>
        </w:rPr>
        <w:t xml:space="preserve">ngles of </w:t>
      </w:r>
      <w:r w:rsidR="00B80273">
        <w:rPr>
          <w:szCs w:val="24"/>
        </w:rPr>
        <w:t>B</w:t>
      </w:r>
      <w:r w:rsidR="00B80273" w:rsidRPr="009835B8">
        <w:rPr>
          <w:szCs w:val="24"/>
        </w:rPr>
        <w:t xml:space="preserve">inders with </w:t>
      </w:r>
      <w:r w:rsidR="00B80273">
        <w:rPr>
          <w:szCs w:val="24"/>
        </w:rPr>
        <w:t>D</w:t>
      </w:r>
      <w:r w:rsidR="00B80273" w:rsidRPr="009835B8">
        <w:rPr>
          <w:szCs w:val="24"/>
        </w:rPr>
        <w:t xml:space="preserve">ifferent </w:t>
      </w:r>
      <w:r w:rsidR="00B80273">
        <w:rPr>
          <w:szCs w:val="24"/>
        </w:rPr>
        <w:t>P</w:t>
      </w:r>
      <w:r w:rsidR="00B80273" w:rsidRPr="009835B8">
        <w:rPr>
          <w:szCs w:val="24"/>
        </w:rPr>
        <w:t xml:space="preserve">robe </w:t>
      </w:r>
      <w:r w:rsidR="00B80273">
        <w:rPr>
          <w:szCs w:val="24"/>
        </w:rPr>
        <w:t>L</w:t>
      </w:r>
      <w:r w:rsidR="00B80273" w:rsidRPr="009835B8">
        <w:rPr>
          <w:szCs w:val="24"/>
        </w:rPr>
        <w:t>iquids</w:t>
      </w:r>
      <w:bookmarkEnd w:id="50"/>
    </w:p>
    <w:tbl>
      <w:tblPr>
        <w:tblW w:w="8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792"/>
        <w:gridCol w:w="667"/>
        <w:gridCol w:w="833"/>
        <w:gridCol w:w="584"/>
        <w:gridCol w:w="767"/>
        <w:gridCol w:w="733"/>
        <w:gridCol w:w="917"/>
        <w:gridCol w:w="750"/>
        <w:gridCol w:w="917"/>
        <w:gridCol w:w="749"/>
      </w:tblGrid>
      <w:tr w:rsidR="00B80273" w:rsidRPr="00401B79" w14:paraId="38D7CB27" w14:textId="77777777" w:rsidTr="00556D10">
        <w:trPr>
          <w:trHeight w:val="282"/>
        </w:trPr>
        <w:tc>
          <w:tcPr>
            <w:tcW w:w="787" w:type="dxa"/>
            <w:vMerge w:val="restart"/>
            <w:shd w:val="clear" w:color="auto" w:fill="auto"/>
            <w:noWrap/>
            <w:vAlign w:val="center"/>
          </w:tcPr>
          <w:p w14:paraId="13438FA5" w14:textId="77777777" w:rsidR="00B80273" w:rsidRPr="00401B79" w:rsidRDefault="00B80273" w:rsidP="00650395">
            <w:pPr>
              <w:spacing w:line="276" w:lineRule="auto"/>
              <w:jc w:val="center"/>
              <w:rPr>
                <w:rFonts w:eastAsia="Times New Roman" w:cs="Times New Roman"/>
                <w:b/>
                <w:bCs/>
                <w:sz w:val="20"/>
                <w:szCs w:val="20"/>
              </w:rPr>
            </w:pPr>
            <w:r w:rsidRPr="00401B79">
              <w:rPr>
                <w:rFonts w:eastAsia="Times New Roman" w:cs="Times New Roman"/>
                <w:b/>
                <w:bCs/>
                <w:sz w:val="20"/>
                <w:szCs w:val="20"/>
              </w:rPr>
              <w:t>Binder</w:t>
            </w:r>
          </w:p>
        </w:tc>
        <w:tc>
          <w:tcPr>
            <w:tcW w:w="7709" w:type="dxa"/>
            <w:gridSpan w:val="10"/>
            <w:shd w:val="clear" w:color="auto" w:fill="auto"/>
            <w:noWrap/>
            <w:vAlign w:val="center"/>
          </w:tcPr>
          <w:p w14:paraId="21EA6956" w14:textId="77777777" w:rsidR="00B80273" w:rsidRPr="00401B79" w:rsidRDefault="00B80273" w:rsidP="00650395">
            <w:pPr>
              <w:spacing w:line="276" w:lineRule="auto"/>
              <w:jc w:val="center"/>
              <w:rPr>
                <w:rFonts w:eastAsia="Times New Roman" w:cs="Times New Roman"/>
                <w:b/>
                <w:bCs/>
                <w:sz w:val="20"/>
                <w:szCs w:val="20"/>
              </w:rPr>
            </w:pPr>
            <w:r w:rsidRPr="00401B79">
              <w:rPr>
                <w:rFonts w:eastAsia="Times New Roman" w:cs="Times New Roman"/>
                <w:b/>
                <w:bCs/>
                <w:sz w:val="20"/>
                <w:szCs w:val="20"/>
              </w:rPr>
              <w:t xml:space="preserve">Contact </w:t>
            </w:r>
            <w:r>
              <w:rPr>
                <w:rFonts w:eastAsia="Times New Roman" w:cs="Times New Roman"/>
                <w:b/>
                <w:bCs/>
                <w:sz w:val="20"/>
                <w:szCs w:val="20"/>
              </w:rPr>
              <w:t>A</w:t>
            </w:r>
            <w:r w:rsidRPr="00401B79">
              <w:rPr>
                <w:rFonts w:eastAsia="Times New Roman" w:cs="Times New Roman"/>
                <w:b/>
                <w:bCs/>
                <w:sz w:val="20"/>
                <w:szCs w:val="20"/>
              </w:rPr>
              <w:t>ngles (</w:t>
            </w:r>
            <w:r w:rsidRPr="009150F5">
              <w:rPr>
                <w:rFonts w:cs="Times New Roman"/>
                <w:szCs w:val="24"/>
              </w:rPr>
              <w:t>°</w:t>
            </w:r>
            <w:r w:rsidRPr="00401B79">
              <w:rPr>
                <w:rFonts w:cs="Times New Roman"/>
                <w:b/>
                <w:bCs/>
                <w:sz w:val="20"/>
                <w:szCs w:val="20"/>
              </w:rPr>
              <w:t>)</w:t>
            </w:r>
          </w:p>
        </w:tc>
      </w:tr>
      <w:tr w:rsidR="00B80273" w:rsidRPr="00401B79" w14:paraId="3F73EB8D" w14:textId="77777777" w:rsidTr="00556D10">
        <w:trPr>
          <w:trHeight w:val="282"/>
        </w:trPr>
        <w:tc>
          <w:tcPr>
            <w:tcW w:w="787" w:type="dxa"/>
            <w:vMerge/>
            <w:shd w:val="clear" w:color="auto" w:fill="auto"/>
            <w:noWrap/>
            <w:vAlign w:val="center"/>
            <w:hideMark/>
          </w:tcPr>
          <w:p w14:paraId="499978E0" w14:textId="77777777" w:rsidR="00B80273" w:rsidRPr="00401B79" w:rsidRDefault="00B80273" w:rsidP="00650395">
            <w:pPr>
              <w:spacing w:line="276" w:lineRule="auto"/>
              <w:jc w:val="center"/>
              <w:rPr>
                <w:rFonts w:eastAsia="Times New Roman" w:cs="Times New Roman"/>
                <w:sz w:val="20"/>
                <w:szCs w:val="20"/>
              </w:rPr>
            </w:pPr>
          </w:p>
        </w:tc>
        <w:tc>
          <w:tcPr>
            <w:tcW w:w="1459" w:type="dxa"/>
            <w:gridSpan w:val="2"/>
            <w:shd w:val="clear" w:color="auto" w:fill="auto"/>
            <w:noWrap/>
            <w:vAlign w:val="center"/>
            <w:hideMark/>
          </w:tcPr>
          <w:p w14:paraId="1FBEFDD2" w14:textId="77777777" w:rsidR="00B80273" w:rsidRPr="00401B79" w:rsidRDefault="00B80273" w:rsidP="00650395">
            <w:pPr>
              <w:spacing w:line="276" w:lineRule="auto"/>
              <w:jc w:val="center"/>
              <w:rPr>
                <w:rFonts w:eastAsia="Times New Roman" w:cs="Times New Roman"/>
                <w:b/>
                <w:bCs/>
                <w:sz w:val="20"/>
                <w:szCs w:val="20"/>
              </w:rPr>
            </w:pPr>
            <w:r w:rsidRPr="00401B79">
              <w:rPr>
                <w:rFonts w:eastAsia="Times New Roman" w:cs="Times New Roman"/>
                <w:b/>
                <w:bCs/>
                <w:sz w:val="20"/>
                <w:szCs w:val="20"/>
              </w:rPr>
              <w:t>Water</w:t>
            </w:r>
          </w:p>
        </w:tc>
        <w:tc>
          <w:tcPr>
            <w:tcW w:w="1417" w:type="dxa"/>
            <w:gridSpan w:val="2"/>
            <w:shd w:val="clear" w:color="auto" w:fill="auto"/>
            <w:noWrap/>
            <w:vAlign w:val="center"/>
            <w:hideMark/>
          </w:tcPr>
          <w:p w14:paraId="7D1C2FF6" w14:textId="6E0F4D61" w:rsidR="00B80273" w:rsidRPr="00401B79" w:rsidRDefault="00B80273" w:rsidP="00650395">
            <w:pPr>
              <w:spacing w:line="276" w:lineRule="auto"/>
              <w:jc w:val="center"/>
              <w:rPr>
                <w:rFonts w:eastAsia="Times New Roman" w:cs="Times New Roman"/>
                <w:b/>
                <w:bCs/>
                <w:sz w:val="20"/>
                <w:szCs w:val="20"/>
              </w:rPr>
            </w:pPr>
            <w:r w:rsidRPr="00401B79">
              <w:rPr>
                <w:rFonts w:eastAsia="Times New Roman" w:cs="Times New Roman"/>
                <w:b/>
                <w:bCs/>
                <w:sz w:val="20"/>
                <w:szCs w:val="20"/>
              </w:rPr>
              <w:t>Glycer</w:t>
            </w:r>
            <w:r w:rsidR="002B735E">
              <w:rPr>
                <w:rFonts w:eastAsia="Times New Roman" w:cs="Times New Roman"/>
                <w:b/>
                <w:bCs/>
                <w:sz w:val="20"/>
                <w:szCs w:val="20"/>
              </w:rPr>
              <w:t>ol</w:t>
            </w:r>
          </w:p>
        </w:tc>
        <w:tc>
          <w:tcPr>
            <w:tcW w:w="1500" w:type="dxa"/>
            <w:gridSpan w:val="2"/>
            <w:shd w:val="clear" w:color="auto" w:fill="auto"/>
            <w:noWrap/>
            <w:vAlign w:val="center"/>
            <w:hideMark/>
          </w:tcPr>
          <w:p w14:paraId="3D68E5EE" w14:textId="77777777" w:rsidR="00B80273" w:rsidRPr="00401B79" w:rsidRDefault="00B80273" w:rsidP="00650395">
            <w:pPr>
              <w:spacing w:line="276" w:lineRule="auto"/>
              <w:jc w:val="center"/>
              <w:rPr>
                <w:rFonts w:eastAsia="Times New Roman" w:cs="Times New Roman"/>
                <w:b/>
                <w:bCs/>
                <w:sz w:val="20"/>
                <w:szCs w:val="20"/>
              </w:rPr>
            </w:pPr>
            <w:r w:rsidRPr="00401B79">
              <w:rPr>
                <w:rFonts w:eastAsia="Times New Roman" w:cs="Times New Roman"/>
                <w:b/>
                <w:bCs/>
                <w:sz w:val="20"/>
                <w:szCs w:val="20"/>
              </w:rPr>
              <w:t>Formamide</w:t>
            </w:r>
          </w:p>
        </w:tc>
        <w:tc>
          <w:tcPr>
            <w:tcW w:w="1667" w:type="dxa"/>
            <w:gridSpan w:val="2"/>
            <w:shd w:val="clear" w:color="auto" w:fill="auto"/>
            <w:noWrap/>
            <w:vAlign w:val="center"/>
            <w:hideMark/>
          </w:tcPr>
          <w:p w14:paraId="7C49B526" w14:textId="77777777" w:rsidR="00B80273" w:rsidRPr="00401B79" w:rsidRDefault="00B80273" w:rsidP="00650395">
            <w:pPr>
              <w:spacing w:line="276" w:lineRule="auto"/>
              <w:jc w:val="center"/>
              <w:rPr>
                <w:rFonts w:eastAsia="Times New Roman" w:cs="Times New Roman"/>
                <w:b/>
                <w:bCs/>
                <w:sz w:val="20"/>
                <w:szCs w:val="20"/>
              </w:rPr>
            </w:pPr>
            <w:r w:rsidRPr="00401B79">
              <w:rPr>
                <w:rFonts w:eastAsia="Times New Roman" w:cs="Times New Roman"/>
                <w:b/>
                <w:bCs/>
                <w:sz w:val="20"/>
                <w:szCs w:val="20"/>
              </w:rPr>
              <w:t>Diiodomethane</w:t>
            </w:r>
          </w:p>
        </w:tc>
        <w:tc>
          <w:tcPr>
            <w:tcW w:w="1663" w:type="dxa"/>
            <w:gridSpan w:val="2"/>
            <w:shd w:val="clear" w:color="auto" w:fill="auto"/>
            <w:noWrap/>
            <w:vAlign w:val="center"/>
            <w:hideMark/>
          </w:tcPr>
          <w:p w14:paraId="32B75CE7" w14:textId="77777777" w:rsidR="00B80273" w:rsidRPr="00401B79" w:rsidRDefault="00B80273" w:rsidP="00650395">
            <w:pPr>
              <w:spacing w:line="276" w:lineRule="auto"/>
              <w:jc w:val="center"/>
              <w:rPr>
                <w:rFonts w:eastAsia="Times New Roman" w:cs="Times New Roman"/>
                <w:b/>
                <w:bCs/>
                <w:sz w:val="20"/>
                <w:szCs w:val="20"/>
              </w:rPr>
            </w:pPr>
            <w:r w:rsidRPr="00401B79">
              <w:rPr>
                <w:rFonts w:eastAsia="Times New Roman" w:cs="Times New Roman"/>
                <w:b/>
                <w:bCs/>
                <w:sz w:val="20"/>
                <w:szCs w:val="20"/>
              </w:rPr>
              <w:t>Ethylene Glycol</w:t>
            </w:r>
          </w:p>
        </w:tc>
      </w:tr>
      <w:tr w:rsidR="00B80273" w:rsidRPr="00401B79" w14:paraId="7A875E50" w14:textId="77777777" w:rsidTr="00556D10">
        <w:trPr>
          <w:trHeight w:val="311"/>
        </w:trPr>
        <w:tc>
          <w:tcPr>
            <w:tcW w:w="787" w:type="dxa"/>
            <w:vMerge/>
            <w:shd w:val="clear" w:color="auto" w:fill="auto"/>
            <w:noWrap/>
            <w:vAlign w:val="center"/>
            <w:hideMark/>
          </w:tcPr>
          <w:p w14:paraId="5D204DB2" w14:textId="77777777" w:rsidR="00B80273" w:rsidRPr="00401B79" w:rsidRDefault="00B80273" w:rsidP="00650395">
            <w:pPr>
              <w:spacing w:line="276" w:lineRule="auto"/>
              <w:jc w:val="center"/>
              <w:rPr>
                <w:rFonts w:eastAsia="Times New Roman" w:cs="Times New Roman"/>
                <w:b/>
                <w:bCs/>
                <w:sz w:val="20"/>
                <w:szCs w:val="20"/>
              </w:rPr>
            </w:pPr>
          </w:p>
        </w:tc>
        <w:tc>
          <w:tcPr>
            <w:tcW w:w="792" w:type="dxa"/>
            <w:shd w:val="clear" w:color="auto" w:fill="auto"/>
            <w:noWrap/>
            <w:vAlign w:val="center"/>
            <w:hideMark/>
          </w:tcPr>
          <w:p w14:paraId="3B519ED3" w14:textId="77777777" w:rsidR="00B80273" w:rsidRPr="00401B79" w:rsidRDefault="00B80273" w:rsidP="00650395">
            <w:pPr>
              <w:spacing w:line="276" w:lineRule="auto"/>
              <w:jc w:val="center"/>
              <w:rPr>
                <w:rFonts w:eastAsia="Times New Roman" w:cs="Times New Roman"/>
                <w:b/>
                <w:bCs/>
                <w:sz w:val="20"/>
                <w:szCs w:val="20"/>
              </w:rPr>
            </w:pPr>
            <w:r w:rsidRPr="00401B79">
              <w:rPr>
                <w:rFonts w:eastAsia="Times New Roman" w:cs="Times New Roman"/>
                <w:b/>
                <w:bCs/>
                <w:sz w:val="20"/>
                <w:szCs w:val="20"/>
              </w:rPr>
              <w:t>Avg</w:t>
            </w:r>
          </w:p>
        </w:tc>
        <w:tc>
          <w:tcPr>
            <w:tcW w:w="667" w:type="dxa"/>
            <w:shd w:val="clear" w:color="auto" w:fill="auto"/>
            <w:noWrap/>
            <w:vAlign w:val="center"/>
            <w:hideMark/>
          </w:tcPr>
          <w:p w14:paraId="4546D37A" w14:textId="77777777" w:rsidR="00B80273" w:rsidRPr="00401B79" w:rsidRDefault="00B80273" w:rsidP="00650395">
            <w:pPr>
              <w:spacing w:line="276" w:lineRule="auto"/>
              <w:jc w:val="center"/>
              <w:rPr>
                <w:rFonts w:eastAsia="Times New Roman" w:cs="Times New Roman"/>
                <w:b/>
                <w:bCs/>
                <w:sz w:val="20"/>
                <w:szCs w:val="20"/>
              </w:rPr>
            </w:pPr>
            <w:r w:rsidRPr="00401B79">
              <w:rPr>
                <w:rFonts w:eastAsia="Times New Roman" w:cs="Times New Roman"/>
                <w:b/>
                <w:bCs/>
                <w:sz w:val="20"/>
                <w:szCs w:val="20"/>
              </w:rPr>
              <w:t>SD</w:t>
            </w:r>
          </w:p>
        </w:tc>
        <w:tc>
          <w:tcPr>
            <w:tcW w:w="833" w:type="dxa"/>
            <w:shd w:val="clear" w:color="auto" w:fill="auto"/>
            <w:noWrap/>
            <w:vAlign w:val="center"/>
            <w:hideMark/>
          </w:tcPr>
          <w:p w14:paraId="492BCC75" w14:textId="77777777" w:rsidR="00B80273" w:rsidRPr="00401B79" w:rsidRDefault="00B80273" w:rsidP="00650395">
            <w:pPr>
              <w:spacing w:line="276" w:lineRule="auto"/>
              <w:jc w:val="center"/>
              <w:rPr>
                <w:rFonts w:eastAsia="Times New Roman" w:cs="Times New Roman"/>
                <w:b/>
                <w:bCs/>
                <w:sz w:val="20"/>
                <w:szCs w:val="20"/>
              </w:rPr>
            </w:pPr>
            <w:r w:rsidRPr="00401B79">
              <w:rPr>
                <w:rFonts w:eastAsia="Times New Roman" w:cs="Times New Roman"/>
                <w:b/>
                <w:bCs/>
                <w:sz w:val="20"/>
                <w:szCs w:val="20"/>
              </w:rPr>
              <w:t>Avg</w:t>
            </w:r>
          </w:p>
        </w:tc>
        <w:tc>
          <w:tcPr>
            <w:tcW w:w="583" w:type="dxa"/>
            <w:shd w:val="clear" w:color="auto" w:fill="auto"/>
            <w:noWrap/>
            <w:vAlign w:val="center"/>
            <w:hideMark/>
          </w:tcPr>
          <w:p w14:paraId="304F75E1" w14:textId="77777777" w:rsidR="00B80273" w:rsidRPr="00401B79" w:rsidRDefault="00B80273" w:rsidP="00650395">
            <w:pPr>
              <w:spacing w:line="276" w:lineRule="auto"/>
              <w:jc w:val="center"/>
              <w:rPr>
                <w:rFonts w:eastAsia="Times New Roman" w:cs="Times New Roman"/>
                <w:b/>
                <w:bCs/>
                <w:sz w:val="20"/>
                <w:szCs w:val="20"/>
              </w:rPr>
            </w:pPr>
            <w:r w:rsidRPr="00401B79">
              <w:rPr>
                <w:rFonts w:eastAsia="Times New Roman" w:cs="Times New Roman"/>
                <w:b/>
                <w:bCs/>
                <w:sz w:val="20"/>
                <w:szCs w:val="20"/>
              </w:rPr>
              <w:t>SD</w:t>
            </w:r>
          </w:p>
        </w:tc>
        <w:tc>
          <w:tcPr>
            <w:tcW w:w="767" w:type="dxa"/>
            <w:shd w:val="clear" w:color="auto" w:fill="auto"/>
            <w:noWrap/>
            <w:vAlign w:val="center"/>
            <w:hideMark/>
          </w:tcPr>
          <w:p w14:paraId="7369F640" w14:textId="77777777" w:rsidR="00B80273" w:rsidRPr="00401B79" w:rsidRDefault="00B80273" w:rsidP="00650395">
            <w:pPr>
              <w:spacing w:line="276" w:lineRule="auto"/>
              <w:jc w:val="center"/>
              <w:rPr>
                <w:rFonts w:eastAsia="Times New Roman" w:cs="Times New Roman"/>
                <w:b/>
                <w:bCs/>
                <w:sz w:val="20"/>
                <w:szCs w:val="20"/>
              </w:rPr>
            </w:pPr>
            <w:r w:rsidRPr="00401B79">
              <w:rPr>
                <w:rFonts w:eastAsia="Times New Roman" w:cs="Times New Roman"/>
                <w:b/>
                <w:bCs/>
                <w:sz w:val="20"/>
                <w:szCs w:val="20"/>
              </w:rPr>
              <w:t>Avg</w:t>
            </w:r>
          </w:p>
        </w:tc>
        <w:tc>
          <w:tcPr>
            <w:tcW w:w="733" w:type="dxa"/>
            <w:shd w:val="clear" w:color="auto" w:fill="auto"/>
            <w:noWrap/>
            <w:vAlign w:val="center"/>
            <w:hideMark/>
          </w:tcPr>
          <w:p w14:paraId="4318FA53" w14:textId="77777777" w:rsidR="00B80273" w:rsidRPr="00401B79" w:rsidRDefault="00B80273" w:rsidP="00650395">
            <w:pPr>
              <w:spacing w:line="276" w:lineRule="auto"/>
              <w:jc w:val="center"/>
              <w:rPr>
                <w:rFonts w:eastAsia="Times New Roman" w:cs="Times New Roman"/>
                <w:b/>
                <w:bCs/>
                <w:sz w:val="20"/>
                <w:szCs w:val="20"/>
              </w:rPr>
            </w:pPr>
            <w:r w:rsidRPr="00401B79">
              <w:rPr>
                <w:rFonts w:eastAsia="Times New Roman" w:cs="Times New Roman"/>
                <w:b/>
                <w:bCs/>
                <w:sz w:val="20"/>
                <w:szCs w:val="20"/>
              </w:rPr>
              <w:t>SD</w:t>
            </w:r>
          </w:p>
        </w:tc>
        <w:tc>
          <w:tcPr>
            <w:tcW w:w="917" w:type="dxa"/>
            <w:shd w:val="clear" w:color="auto" w:fill="auto"/>
            <w:noWrap/>
            <w:vAlign w:val="center"/>
            <w:hideMark/>
          </w:tcPr>
          <w:p w14:paraId="30480C68" w14:textId="77777777" w:rsidR="00B80273" w:rsidRPr="00401B79" w:rsidRDefault="00B80273" w:rsidP="00650395">
            <w:pPr>
              <w:spacing w:line="276" w:lineRule="auto"/>
              <w:jc w:val="center"/>
              <w:rPr>
                <w:rFonts w:eastAsia="Times New Roman" w:cs="Times New Roman"/>
                <w:b/>
                <w:bCs/>
                <w:sz w:val="20"/>
                <w:szCs w:val="20"/>
              </w:rPr>
            </w:pPr>
            <w:r w:rsidRPr="00401B79">
              <w:rPr>
                <w:rFonts w:eastAsia="Times New Roman" w:cs="Times New Roman"/>
                <w:b/>
                <w:bCs/>
                <w:sz w:val="20"/>
                <w:szCs w:val="20"/>
              </w:rPr>
              <w:t>Avg</w:t>
            </w:r>
          </w:p>
        </w:tc>
        <w:tc>
          <w:tcPr>
            <w:tcW w:w="750" w:type="dxa"/>
            <w:shd w:val="clear" w:color="auto" w:fill="auto"/>
            <w:noWrap/>
            <w:vAlign w:val="center"/>
            <w:hideMark/>
          </w:tcPr>
          <w:p w14:paraId="5710CBD8" w14:textId="77777777" w:rsidR="00B80273" w:rsidRPr="00401B79" w:rsidRDefault="00B80273" w:rsidP="00650395">
            <w:pPr>
              <w:spacing w:line="276" w:lineRule="auto"/>
              <w:jc w:val="center"/>
              <w:rPr>
                <w:rFonts w:eastAsia="Times New Roman" w:cs="Times New Roman"/>
                <w:b/>
                <w:bCs/>
                <w:sz w:val="20"/>
                <w:szCs w:val="20"/>
              </w:rPr>
            </w:pPr>
            <w:r w:rsidRPr="00401B79">
              <w:rPr>
                <w:rFonts w:eastAsia="Times New Roman" w:cs="Times New Roman"/>
                <w:b/>
                <w:bCs/>
                <w:sz w:val="20"/>
                <w:szCs w:val="20"/>
              </w:rPr>
              <w:t>SD</w:t>
            </w:r>
          </w:p>
        </w:tc>
        <w:tc>
          <w:tcPr>
            <w:tcW w:w="917" w:type="dxa"/>
            <w:shd w:val="clear" w:color="auto" w:fill="auto"/>
            <w:noWrap/>
            <w:vAlign w:val="center"/>
            <w:hideMark/>
          </w:tcPr>
          <w:p w14:paraId="3A69040C" w14:textId="77777777" w:rsidR="00B80273" w:rsidRPr="00401B79" w:rsidRDefault="00B80273" w:rsidP="00650395">
            <w:pPr>
              <w:spacing w:line="276" w:lineRule="auto"/>
              <w:jc w:val="center"/>
              <w:rPr>
                <w:rFonts w:eastAsia="Times New Roman" w:cs="Times New Roman"/>
                <w:b/>
                <w:bCs/>
                <w:sz w:val="20"/>
                <w:szCs w:val="20"/>
              </w:rPr>
            </w:pPr>
            <w:r w:rsidRPr="00401B79">
              <w:rPr>
                <w:rFonts w:eastAsia="Times New Roman" w:cs="Times New Roman"/>
                <w:b/>
                <w:bCs/>
                <w:sz w:val="20"/>
                <w:szCs w:val="20"/>
              </w:rPr>
              <w:t>Avg</w:t>
            </w:r>
          </w:p>
        </w:tc>
        <w:tc>
          <w:tcPr>
            <w:tcW w:w="746" w:type="dxa"/>
            <w:shd w:val="clear" w:color="auto" w:fill="auto"/>
            <w:noWrap/>
            <w:vAlign w:val="center"/>
            <w:hideMark/>
          </w:tcPr>
          <w:p w14:paraId="69CD0D62" w14:textId="77777777" w:rsidR="00B80273" w:rsidRPr="00401B79" w:rsidRDefault="00B80273" w:rsidP="00650395">
            <w:pPr>
              <w:spacing w:line="276" w:lineRule="auto"/>
              <w:jc w:val="center"/>
              <w:rPr>
                <w:rFonts w:eastAsia="Times New Roman" w:cs="Times New Roman"/>
                <w:b/>
                <w:bCs/>
                <w:sz w:val="20"/>
                <w:szCs w:val="20"/>
              </w:rPr>
            </w:pPr>
            <w:r w:rsidRPr="00401B79">
              <w:rPr>
                <w:rFonts w:eastAsia="Times New Roman" w:cs="Times New Roman"/>
                <w:b/>
                <w:bCs/>
                <w:sz w:val="20"/>
                <w:szCs w:val="20"/>
              </w:rPr>
              <w:t>SD</w:t>
            </w:r>
          </w:p>
        </w:tc>
      </w:tr>
      <w:tr w:rsidR="00B80273" w:rsidRPr="00401B79" w14:paraId="47F75447" w14:textId="77777777" w:rsidTr="00556D10">
        <w:trPr>
          <w:trHeight w:val="282"/>
        </w:trPr>
        <w:tc>
          <w:tcPr>
            <w:tcW w:w="787" w:type="dxa"/>
            <w:shd w:val="clear" w:color="auto" w:fill="auto"/>
            <w:noWrap/>
            <w:vAlign w:val="center"/>
          </w:tcPr>
          <w:p w14:paraId="363A0A9D" w14:textId="77777777" w:rsidR="00B80273" w:rsidRPr="00401B79" w:rsidRDefault="00B80273" w:rsidP="00650395">
            <w:pPr>
              <w:spacing w:line="276" w:lineRule="auto"/>
              <w:jc w:val="center"/>
              <w:rPr>
                <w:rFonts w:eastAsia="Times New Roman" w:cs="Times New Roman"/>
                <w:sz w:val="20"/>
                <w:szCs w:val="20"/>
              </w:rPr>
            </w:pPr>
            <w:r w:rsidRPr="00401B79">
              <w:rPr>
                <w:rFonts w:eastAsia="Times New Roman" w:cs="Times New Roman"/>
                <w:sz w:val="20"/>
                <w:szCs w:val="20"/>
              </w:rPr>
              <w:t>S1</w:t>
            </w:r>
          </w:p>
        </w:tc>
        <w:tc>
          <w:tcPr>
            <w:tcW w:w="792" w:type="dxa"/>
            <w:shd w:val="clear" w:color="auto" w:fill="auto"/>
            <w:noWrap/>
            <w:vAlign w:val="center"/>
            <w:hideMark/>
          </w:tcPr>
          <w:p w14:paraId="6BB60412" w14:textId="77777777" w:rsidR="00B80273" w:rsidRPr="00401B79" w:rsidRDefault="00B80273" w:rsidP="00650395">
            <w:pPr>
              <w:spacing w:line="276" w:lineRule="auto"/>
              <w:jc w:val="center"/>
              <w:rPr>
                <w:rFonts w:eastAsia="Times New Roman" w:cs="Times New Roman"/>
                <w:sz w:val="20"/>
                <w:szCs w:val="20"/>
              </w:rPr>
            </w:pPr>
            <w:r w:rsidRPr="00401B79">
              <w:rPr>
                <w:rFonts w:eastAsia="Times New Roman" w:cs="Times New Roman"/>
                <w:sz w:val="20"/>
                <w:szCs w:val="20"/>
              </w:rPr>
              <w:t>107.5</w:t>
            </w:r>
          </w:p>
        </w:tc>
        <w:tc>
          <w:tcPr>
            <w:tcW w:w="667" w:type="dxa"/>
            <w:shd w:val="clear" w:color="auto" w:fill="auto"/>
            <w:noWrap/>
            <w:vAlign w:val="center"/>
            <w:hideMark/>
          </w:tcPr>
          <w:p w14:paraId="40C71AFA" w14:textId="77777777" w:rsidR="00B80273" w:rsidRPr="00401B79" w:rsidRDefault="00B80273" w:rsidP="00650395">
            <w:pPr>
              <w:spacing w:line="276" w:lineRule="auto"/>
              <w:jc w:val="center"/>
              <w:rPr>
                <w:rFonts w:eastAsia="Times New Roman" w:cs="Times New Roman"/>
                <w:sz w:val="20"/>
                <w:szCs w:val="20"/>
              </w:rPr>
            </w:pPr>
            <w:r w:rsidRPr="00401B79">
              <w:rPr>
                <w:rFonts w:eastAsia="Times New Roman" w:cs="Times New Roman"/>
                <w:sz w:val="20"/>
                <w:szCs w:val="20"/>
              </w:rPr>
              <w:t>0.70</w:t>
            </w:r>
          </w:p>
        </w:tc>
        <w:tc>
          <w:tcPr>
            <w:tcW w:w="833" w:type="dxa"/>
            <w:shd w:val="clear" w:color="auto" w:fill="auto"/>
            <w:noWrap/>
            <w:vAlign w:val="center"/>
            <w:hideMark/>
          </w:tcPr>
          <w:p w14:paraId="3162CD27" w14:textId="77777777" w:rsidR="00B80273" w:rsidRPr="00401B79" w:rsidRDefault="00B80273" w:rsidP="00650395">
            <w:pPr>
              <w:spacing w:line="276" w:lineRule="auto"/>
              <w:jc w:val="center"/>
              <w:rPr>
                <w:rFonts w:eastAsia="Times New Roman" w:cs="Times New Roman"/>
                <w:sz w:val="20"/>
                <w:szCs w:val="20"/>
              </w:rPr>
            </w:pPr>
            <w:r w:rsidRPr="00401B79">
              <w:rPr>
                <w:rFonts w:eastAsia="Times New Roman" w:cs="Times New Roman"/>
                <w:sz w:val="20"/>
                <w:szCs w:val="20"/>
              </w:rPr>
              <w:t>94.4</w:t>
            </w:r>
          </w:p>
        </w:tc>
        <w:tc>
          <w:tcPr>
            <w:tcW w:w="583" w:type="dxa"/>
            <w:shd w:val="clear" w:color="auto" w:fill="auto"/>
            <w:noWrap/>
            <w:vAlign w:val="center"/>
            <w:hideMark/>
          </w:tcPr>
          <w:p w14:paraId="36650CF6" w14:textId="77777777" w:rsidR="00B80273" w:rsidRPr="00401B79" w:rsidRDefault="00B80273" w:rsidP="00650395">
            <w:pPr>
              <w:spacing w:line="276" w:lineRule="auto"/>
              <w:jc w:val="center"/>
              <w:rPr>
                <w:rFonts w:eastAsia="Times New Roman" w:cs="Times New Roman"/>
                <w:sz w:val="20"/>
                <w:szCs w:val="20"/>
              </w:rPr>
            </w:pPr>
            <w:r w:rsidRPr="00401B79">
              <w:rPr>
                <w:rFonts w:eastAsia="Times New Roman" w:cs="Times New Roman"/>
                <w:sz w:val="20"/>
                <w:szCs w:val="20"/>
              </w:rPr>
              <w:t>0.07</w:t>
            </w:r>
          </w:p>
        </w:tc>
        <w:tc>
          <w:tcPr>
            <w:tcW w:w="767" w:type="dxa"/>
            <w:shd w:val="clear" w:color="auto" w:fill="auto"/>
            <w:noWrap/>
            <w:vAlign w:val="center"/>
            <w:hideMark/>
          </w:tcPr>
          <w:p w14:paraId="5DAF1142" w14:textId="77777777" w:rsidR="00B80273" w:rsidRPr="00401B79" w:rsidRDefault="00B80273" w:rsidP="00650395">
            <w:pPr>
              <w:spacing w:line="276" w:lineRule="auto"/>
              <w:jc w:val="center"/>
              <w:rPr>
                <w:rFonts w:eastAsia="Times New Roman" w:cs="Times New Roman"/>
                <w:sz w:val="20"/>
                <w:szCs w:val="20"/>
              </w:rPr>
            </w:pPr>
            <w:r w:rsidRPr="00401B79">
              <w:rPr>
                <w:rFonts w:eastAsia="Times New Roman" w:cs="Times New Roman"/>
                <w:sz w:val="20"/>
                <w:szCs w:val="20"/>
              </w:rPr>
              <w:t>90.6</w:t>
            </w:r>
          </w:p>
        </w:tc>
        <w:tc>
          <w:tcPr>
            <w:tcW w:w="733" w:type="dxa"/>
            <w:shd w:val="clear" w:color="auto" w:fill="auto"/>
            <w:noWrap/>
            <w:vAlign w:val="center"/>
            <w:hideMark/>
          </w:tcPr>
          <w:p w14:paraId="2035ED4A" w14:textId="77777777" w:rsidR="00B80273" w:rsidRPr="00401B79" w:rsidRDefault="00B80273" w:rsidP="00650395">
            <w:pPr>
              <w:spacing w:line="276" w:lineRule="auto"/>
              <w:jc w:val="center"/>
              <w:rPr>
                <w:rFonts w:eastAsia="Times New Roman" w:cs="Times New Roman"/>
                <w:sz w:val="20"/>
                <w:szCs w:val="20"/>
              </w:rPr>
            </w:pPr>
            <w:r w:rsidRPr="00401B79">
              <w:rPr>
                <w:rFonts w:eastAsia="Times New Roman" w:cs="Times New Roman"/>
                <w:sz w:val="20"/>
                <w:szCs w:val="20"/>
              </w:rPr>
              <w:t>0.22</w:t>
            </w:r>
          </w:p>
        </w:tc>
        <w:tc>
          <w:tcPr>
            <w:tcW w:w="917" w:type="dxa"/>
            <w:shd w:val="clear" w:color="auto" w:fill="auto"/>
            <w:noWrap/>
            <w:vAlign w:val="center"/>
            <w:hideMark/>
          </w:tcPr>
          <w:p w14:paraId="4FDD0154" w14:textId="77777777" w:rsidR="00B80273" w:rsidRPr="00401B79" w:rsidRDefault="00B80273" w:rsidP="00650395">
            <w:pPr>
              <w:spacing w:line="276" w:lineRule="auto"/>
              <w:jc w:val="center"/>
              <w:rPr>
                <w:rFonts w:eastAsia="Times New Roman" w:cs="Times New Roman"/>
                <w:sz w:val="20"/>
                <w:szCs w:val="20"/>
              </w:rPr>
            </w:pPr>
            <w:r w:rsidRPr="00401B79">
              <w:rPr>
                <w:rFonts w:eastAsia="Times New Roman" w:cs="Times New Roman"/>
                <w:sz w:val="20"/>
                <w:szCs w:val="20"/>
              </w:rPr>
              <w:t>84.5</w:t>
            </w:r>
          </w:p>
        </w:tc>
        <w:tc>
          <w:tcPr>
            <w:tcW w:w="750" w:type="dxa"/>
            <w:shd w:val="clear" w:color="auto" w:fill="auto"/>
            <w:noWrap/>
            <w:vAlign w:val="center"/>
            <w:hideMark/>
          </w:tcPr>
          <w:p w14:paraId="6C88DE5C" w14:textId="77777777" w:rsidR="00B80273" w:rsidRPr="00401B79" w:rsidRDefault="00B80273" w:rsidP="00650395">
            <w:pPr>
              <w:spacing w:line="276" w:lineRule="auto"/>
              <w:jc w:val="center"/>
              <w:rPr>
                <w:rFonts w:eastAsia="Times New Roman" w:cs="Times New Roman"/>
                <w:sz w:val="20"/>
                <w:szCs w:val="20"/>
              </w:rPr>
            </w:pPr>
            <w:r w:rsidRPr="00401B79">
              <w:rPr>
                <w:rFonts w:eastAsia="Times New Roman" w:cs="Times New Roman"/>
                <w:sz w:val="20"/>
                <w:szCs w:val="20"/>
              </w:rPr>
              <w:t>0.97</w:t>
            </w:r>
          </w:p>
        </w:tc>
        <w:tc>
          <w:tcPr>
            <w:tcW w:w="917" w:type="dxa"/>
            <w:shd w:val="clear" w:color="auto" w:fill="auto"/>
            <w:noWrap/>
            <w:vAlign w:val="center"/>
            <w:hideMark/>
          </w:tcPr>
          <w:p w14:paraId="59C7705F" w14:textId="77777777" w:rsidR="00B80273" w:rsidRPr="00401B79" w:rsidRDefault="00B80273" w:rsidP="00650395">
            <w:pPr>
              <w:spacing w:line="276" w:lineRule="auto"/>
              <w:jc w:val="center"/>
              <w:rPr>
                <w:rFonts w:eastAsia="Times New Roman" w:cs="Times New Roman"/>
                <w:sz w:val="20"/>
                <w:szCs w:val="20"/>
              </w:rPr>
            </w:pPr>
            <w:r w:rsidRPr="00401B79">
              <w:rPr>
                <w:rFonts w:eastAsia="Times New Roman" w:cs="Times New Roman"/>
                <w:sz w:val="20"/>
                <w:szCs w:val="20"/>
              </w:rPr>
              <w:t>78.6</w:t>
            </w:r>
          </w:p>
        </w:tc>
        <w:tc>
          <w:tcPr>
            <w:tcW w:w="746" w:type="dxa"/>
            <w:shd w:val="clear" w:color="auto" w:fill="auto"/>
            <w:noWrap/>
            <w:vAlign w:val="center"/>
            <w:hideMark/>
          </w:tcPr>
          <w:p w14:paraId="532EDD94" w14:textId="77777777" w:rsidR="00B80273" w:rsidRPr="00401B79" w:rsidRDefault="00B80273" w:rsidP="00650395">
            <w:pPr>
              <w:spacing w:line="276" w:lineRule="auto"/>
              <w:jc w:val="center"/>
              <w:rPr>
                <w:rFonts w:eastAsia="Times New Roman" w:cs="Times New Roman"/>
                <w:sz w:val="20"/>
                <w:szCs w:val="20"/>
              </w:rPr>
            </w:pPr>
            <w:r w:rsidRPr="00401B79">
              <w:rPr>
                <w:rFonts w:eastAsia="Times New Roman" w:cs="Times New Roman"/>
                <w:sz w:val="20"/>
                <w:szCs w:val="20"/>
              </w:rPr>
              <w:t>0.21</w:t>
            </w:r>
          </w:p>
        </w:tc>
      </w:tr>
      <w:tr w:rsidR="00B80273" w:rsidRPr="00401B79" w14:paraId="438DBBF4" w14:textId="77777777" w:rsidTr="00556D10">
        <w:trPr>
          <w:trHeight w:val="282"/>
        </w:trPr>
        <w:tc>
          <w:tcPr>
            <w:tcW w:w="787" w:type="dxa"/>
            <w:shd w:val="clear" w:color="auto" w:fill="auto"/>
            <w:noWrap/>
            <w:vAlign w:val="center"/>
          </w:tcPr>
          <w:p w14:paraId="7668F5A4" w14:textId="77777777" w:rsidR="00B80273" w:rsidRPr="00401B79" w:rsidRDefault="00B80273" w:rsidP="00650395">
            <w:pPr>
              <w:spacing w:line="276" w:lineRule="auto"/>
              <w:jc w:val="center"/>
              <w:rPr>
                <w:rFonts w:eastAsia="Times New Roman" w:cs="Times New Roman"/>
                <w:sz w:val="20"/>
                <w:szCs w:val="20"/>
              </w:rPr>
            </w:pPr>
            <w:r>
              <w:rPr>
                <w:rFonts w:eastAsia="Times New Roman" w:cs="Times New Roman"/>
                <w:sz w:val="20"/>
                <w:szCs w:val="20"/>
              </w:rPr>
              <w:t>S2</w:t>
            </w:r>
          </w:p>
        </w:tc>
        <w:tc>
          <w:tcPr>
            <w:tcW w:w="792" w:type="dxa"/>
            <w:shd w:val="clear" w:color="auto" w:fill="auto"/>
            <w:noWrap/>
            <w:vAlign w:val="center"/>
          </w:tcPr>
          <w:p w14:paraId="33A48A37" w14:textId="77777777" w:rsidR="00B80273" w:rsidRPr="00871999" w:rsidRDefault="00B80273" w:rsidP="00650395">
            <w:pPr>
              <w:spacing w:line="276" w:lineRule="auto"/>
              <w:jc w:val="center"/>
              <w:rPr>
                <w:rFonts w:eastAsia="Times New Roman" w:cs="Times New Roman"/>
                <w:sz w:val="20"/>
                <w:szCs w:val="20"/>
              </w:rPr>
            </w:pPr>
            <w:r w:rsidRPr="00871999">
              <w:rPr>
                <w:rFonts w:eastAsia="Times New Roman" w:cs="Times New Roman"/>
                <w:sz w:val="20"/>
                <w:szCs w:val="20"/>
              </w:rPr>
              <w:t>106.1</w:t>
            </w:r>
          </w:p>
        </w:tc>
        <w:tc>
          <w:tcPr>
            <w:tcW w:w="667" w:type="dxa"/>
            <w:shd w:val="clear" w:color="auto" w:fill="auto"/>
            <w:noWrap/>
            <w:vAlign w:val="center"/>
          </w:tcPr>
          <w:p w14:paraId="4A5740B6" w14:textId="77777777" w:rsidR="00B80273" w:rsidRPr="00871999" w:rsidRDefault="00B80273" w:rsidP="00650395">
            <w:pPr>
              <w:spacing w:line="276" w:lineRule="auto"/>
              <w:jc w:val="center"/>
              <w:rPr>
                <w:rFonts w:eastAsia="Times New Roman" w:cs="Times New Roman"/>
                <w:sz w:val="20"/>
                <w:szCs w:val="20"/>
              </w:rPr>
            </w:pPr>
            <w:r w:rsidRPr="00871999">
              <w:rPr>
                <w:rFonts w:eastAsia="Times New Roman" w:cs="Times New Roman"/>
                <w:sz w:val="20"/>
                <w:szCs w:val="20"/>
              </w:rPr>
              <w:t>0.69</w:t>
            </w:r>
          </w:p>
        </w:tc>
        <w:tc>
          <w:tcPr>
            <w:tcW w:w="833" w:type="dxa"/>
            <w:shd w:val="clear" w:color="auto" w:fill="auto"/>
            <w:noWrap/>
            <w:vAlign w:val="center"/>
          </w:tcPr>
          <w:p w14:paraId="105A7311" w14:textId="77777777" w:rsidR="00B80273" w:rsidRPr="00871999" w:rsidRDefault="00B80273" w:rsidP="00650395">
            <w:pPr>
              <w:spacing w:line="276" w:lineRule="auto"/>
              <w:jc w:val="center"/>
              <w:rPr>
                <w:rFonts w:eastAsia="Times New Roman" w:cs="Times New Roman"/>
                <w:sz w:val="20"/>
                <w:szCs w:val="20"/>
              </w:rPr>
            </w:pPr>
            <w:r w:rsidRPr="00871999">
              <w:rPr>
                <w:rFonts w:eastAsia="Times New Roman" w:cs="Times New Roman"/>
                <w:sz w:val="20"/>
                <w:szCs w:val="20"/>
              </w:rPr>
              <w:t>98.3</w:t>
            </w:r>
          </w:p>
        </w:tc>
        <w:tc>
          <w:tcPr>
            <w:tcW w:w="583" w:type="dxa"/>
            <w:shd w:val="clear" w:color="auto" w:fill="auto"/>
            <w:noWrap/>
            <w:vAlign w:val="center"/>
          </w:tcPr>
          <w:p w14:paraId="78FD0AB2" w14:textId="77777777" w:rsidR="00B80273" w:rsidRPr="00871999" w:rsidRDefault="00B80273" w:rsidP="00650395">
            <w:pPr>
              <w:spacing w:line="276" w:lineRule="auto"/>
              <w:jc w:val="center"/>
              <w:rPr>
                <w:rFonts w:eastAsia="Times New Roman" w:cs="Times New Roman"/>
                <w:sz w:val="20"/>
                <w:szCs w:val="20"/>
              </w:rPr>
            </w:pPr>
            <w:r w:rsidRPr="00871999">
              <w:rPr>
                <w:rFonts w:eastAsia="Times New Roman" w:cs="Times New Roman"/>
                <w:sz w:val="20"/>
                <w:szCs w:val="20"/>
              </w:rPr>
              <w:t>0.83</w:t>
            </w:r>
          </w:p>
        </w:tc>
        <w:tc>
          <w:tcPr>
            <w:tcW w:w="767" w:type="dxa"/>
            <w:shd w:val="clear" w:color="auto" w:fill="auto"/>
            <w:noWrap/>
            <w:vAlign w:val="center"/>
          </w:tcPr>
          <w:p w14:paraId="1E903F5C" w14:textId="77777777" w:rsidR="00B80273" w:rsidRPr="00871999" w:rsidRDefault="00B80273" w:rsidP="00650395">
            <w:pPr>
              <w:spacing w:line="276" w:lineRule="auto"/>
              <w:jc w:val="center"/>
              <w:rPr>
                <w:rFonts w:eastAsia="Times New Roman" w:cs="Times New Roman"/>
                <w:sz w:val="20"/>
                <w:szCs w:val="20"/>
              </w:rPr>
            </w:pPr>
            <w:r w:rsidRPr="00871999">
              <w:rPr>
                <w:rFonts w:eastAsia="Times New Roman" w:cs="Times New Roman"/>
                <w:sz w:val="20"/>
                <w:szCs w:val="20"/>
              </w:rPr>
              <w:t>95.7</w:t>
            </w:r>
          </w:p>
        </w:tc>
        <w:tc>
          <w:tcPr>
            <w:tcW w:w="733" w:type="dxa"/>
            <w:shd w:val="clear" w:color="auto" w:fill="auto"/>
            <w:noWrap/>
            <w:vAlign w:val="center"/>
          </w:tcPr>
          <w:p w14:paraId="1EDB6718" w14:textId="77777777" w:rsidR="00B80273" w:rsidRPr="00871999" w:rsidRDefault="00B80273" w:rsidP="00650395">
            <w:pPr>
              <w:spacing w:line="276" w:lineRule="auto"/>
              <w:jc w:val="center"/>
              <w:rPr>
                <w:rFonts w:eastAsia="Times New Roman" w:cs="Times New Roman"/>
                <w:sz w:val="20"/>
                <w:szCs w:val="20"/>
              </w:rPr>
            </w:pPr>
            <w:r w:rsidRPr="00871999">
              <w:rPr>
                <w:rFonts w:eastAsia="Times New Roman" w:cs="Times New Roman"/>
                <w:sz w:val="20"/>
                <w:szCs w:val="20"/>
              </w:rPr>
              <w:t>0.40</w:t>
            </w:r>
          </w:p>
        </w:tc>
        <w:tc>
          <w:tcPr>
            <w:tcW w:w="917" w:type="dxa"/>
            <w:shd w:val="clear" w:color="auto" w:fill="auto"/>
            <w:noWrap/>
            <w:vAlign w:val="center"/>
          </w:tcPr>
          <w:p w14:paraId="620EBFCF" w14:textId="77777777" w:rsidR="00B80273" w:rsidRPr="00871999" w:rsidRDefault="00B80273" w:rsidP="00650395">
            <w:pPr>
              <w:spacing w:line="276" w:lineRule="auto"/>
              <w:jc w:val="center"/>
              <w:rPr>
                <w:rFonts w:eastAsia="Times New Roman" w:cs="Times New Roman"/>
                <w:sz w:val="20"/>
                <w:szCs w:val="20"/>
              </w:rPr>
            </w:pPr>
            <w:r w:rsidRPr="00871999">
              <w:rPr>
                <w:rFonts w:eastAsia="Times New Roman" w:cs="Times New Roman"/>
                <w:sz w:val="20"/>
                <w:szCs w:val="20"/>
              </w:rPr>
              <w:t>86.3</w:t>
            </w:r>
          </w:p>
        </w:tc>
        <w:tc>
          <w:tcPr>
            <w:tcW w:w="750" w:type="dxa"/>
            <w:shd w:val="clear" w:color="auto" w:fill="auto"/>
            <w:noWrap/>
            <w:vAlign w:val="center"/>
          </w:tcPr>
          <w:p w14:paraId="6AE15BF6" w14:textId="77777777" w:rsidR="00B80273" w:rsidRPr="00871999" w:rsidRDefault="00B80273" w:rsidP="00650395">
            <w:pPr>
              <w:spacing w:line="276" w:lineRule="auto"/>
              <w:jc w:val="center"/>
              <w:rPr>
                <w:rFonts w:eastAsia="Times New Roman" w:cs="Times New Roman"/>
                <w:sz w:val="20"/>
                <w:szCs w:val="20"/>
              </w:rPr>
            </w:pPr>
            <w:r w:rsidRPr="00871999">
              <w:rPr>
                <w:rFonts w:eastAsia="Times New Roman" w:cs="Times New Roman"/>
                <w:sz w:val="20"/>
                <w:szCs w:val="20"/>
              </w:rPr>
              <w:t>1.10</w:t>
            </w:r>
          </w:p>
        </w:tc>
        <w:tc>
          <w:tcPr>
            <w:tcW w:w="917" w:type="dxa"/>
            <w:shd w:val="clear" w:color="auto" w:fill="auto"/>
            <w:noWrap/>
            <w:vAlign w:val="center"/>
          </w:tcPr>
          <w:p w14:paraId="6291DE8E" w14:textId="77777777" w:rsidR="00B80273" w:rsidRPr="00871999" w:rsidRDefault="00B80273" w:rsidP="00650395">
            <w:pPr>
              <w:spacing w:line="276" w:lineRule="auto"/>
              <w:jc w:val="center"/>
              <w:rPr>
                <w:rFonts w:eastAsia="Times New Roman" w:cs="Times New Roman"/>
                <w:sz w:val="20"/>
                <w:szCs w:val="20"/>
              </w:rPr>
            </w:pPr>
            <w:r w:rsidRPr="00871999">
              <w:rPr>
                <w:rFonts w:eastAsia="Times New Roman" w:cs="Times New Roman"/>
                <w:sz w:val="20"/>
                <w:szCs w:val="20"/>
              </w:rPr>
              <w:t>85.8</w:t>
            </w:r>
          </w:p>
        </w:tc>
        <w:tc>
          <w:tcPr>
            <w:tcW w:w="746" w:type="dxa"/>
            <w:shd w:val="clear" w:color="auto" w:fill="auto"/>
            <w:noWrap/>
            <w:vAlign w:val="center"/>
          </w:tcPr>
          <w:p w14:paraId="1113E6E6" w14:textId="77777777" w:rsidR="00B80273" w:rsidRPr="00871999" w:rsidRDefault="00B80273" w:rsidP="00650395">
            <w:pPr>
              <w:spacing w:line="276" w:lineRule="auto"/>
              <w:jc w:val="center"/>
              <w:rPr>
                <w:rFonts w:eastAsia="Times New Roman" w:cs="Times New Roman"/>
                <w:sz w:val="20"/>
                <w:szCs w:val="20"/>
              </w:rPr>
            </w:pPr>
            <w:r w:rsidRPr="00871999">
              <w:rPr>
                <w:rFonts w:eastAsia="Times New Roman" w:cs="Times New Roman"/>
                <w:sz w:val="20"/>
                <w:szCs w:val="20"/>
              </w:rPr>
              <w:t>0.26</w:t>
            </w:r>
          </w:p>
        </w:tc>
      </w:tr>
      <w:tr w:rsidR="00B80273" w:rsidRPr="00401B79" w14:paraId="7652A35B" w14:textId="77777777" w:rsidTr="00556D10">
        <w:trPr>
          <w:trHeight w:val="282"/>
        </w:trPr>
        <w:tc>
          <w:tcPr>
            <w:tcW w:w="787" w:type="dxa"/>
            <w:shd w:val="clear" w:color="auto" w:fill="auto"/>
            <w:noWrap/>
            <w:vAlign w:val="center"/>
          </w:tcPr>
          <w:p w14:paraId="2F705489" w14:textId="77777777" w:rsidR="00B80273" w:rsidRPr="00401B79" w:rsidRDefault="00B80273" w:rsidP="00650395">
            <w:pPr>
              <w:spacing w:line="276" w:lineRule="auto"/>
              <w:jc w:val="center"/>
              <w:rPr>
                <w:rFonts w:eastAsia="Times New Roman" w:cs="Times New Roman"/>
                <w:sz w:val="20"/>
                <w:szCs w:val="20"/>
              </w:rPr>
            </w:pPr>
            <w:r w:rsidRPr="00401B79">
              <w:rPr>
                <w:rFonts w:eastAsia="Times New Roman" w:cs="Times New Roman"/>
                <w:sz w:val="20"/>
                <w:szCs w:val="20"/>
              </w:rPr>
              <w:t>S</w:t>
            </w:r>
            <w:r>
              <w:rPr>
                <w:rFonts w:eastAsia="Times New Roman" w:cs="Times New Roman"/>
                <w:sz w:val="20"/>
                <w:szCs w:val="20"/>
              </w:rPr>
              <w:t>3</w:t>
            </w:r>
          </w:p>
        </w:tc>
        <w:tc>
          <w:tcPr>
            <w:tcW w:w="792" w:type="dxa"/>
            <w:shd w:val="clear" w:color="auto" w:fill="auto"/>
            <w:noWrap/>
            <w:vAlign w:val="center"/>
            <w:hideMark/>
          </w:tcPr>
          <w:p w14:paraId="0367DDE5" w14:textId="77777777" w:rsidR="00B80273" w:rsidRPr="00401B79" w:rsidRDefault="00B80273" w:rsidP="00650395">
            <w:pPr>
              <w:spacing w:line="276" w:lineRule="auto"/>
              <w:jc w:val="center"/>
              <w:rPr>
                <w:rFonts w:eastAsia="Times New Roman" w:cs="Times New Roman"/>
                <w:sz w:val="20"/>
                <w:szCs w:val="20"/>
              </w:rPr>
            </w:pPr>
            <w:r w:rsidRPr="00401B79">
              <w:rPr>
                <w:rFonts w:eastAsia="Times New Roman" w:cs="Times New Roman"/>
                <w:sz w:val="20"/>
                <w:szCs w:val="20"/>
              </w:rPr>
              <w:t>107.2</w:t>
            </w:r>
          </w:p>
        </w:tc>
        <w:tc>
          <w:tcPr>
            <w:tcW w:w="667" w:type="dxa"/>
            <w:shd w:val="clear" w:color="auto" w:fill="auto"/>
            <w:noWrap/>
            <w:vAlign w:val="center"/>
            <w:hideMark/>
          </w:tcPr>
          <w:p w14:paraId="42B850AA" w14:textId="77777777" w:rsidR="00B80273" w:rsidRPr="00401B79" w:rsidRDefault="00B80273" w:rsidP="00650395">
            <w:pPr>
              <w:spacing w:line="276" w:lineRule="auto"/>
              <w:jc w:val="center"/>
              <w:rPr>
                <w:rFonts w:eastAsia="Times New Roman" w:cs="Times New Roman"/>
                <w:sz w:val="20"/>
                <w:szCs w:val="20"/>
              </w:rPr>
            </w:pPr>
            <w:r w:rsidRPr="00401B79">
              <w:rPr>
                <w:rFonts w:eastAsia="Times New Roman" w:cs="Times New Roman"/>
                <w:sz w:val="20"/>
                <w:szCs w:val="20"/>
              </w:rPr>
              <w:t>2.00</w:t>
            </w:r>
          </w:p>
        </w:tc>
        <w:tc>
          <w:tcPr>
            <w:tcW w:w="833" w:type="dxa"/>
            <w:shd w:val="clear" w:color="auto" w:fill="auto"/>
            <w:noWrap/>
            <w:vAlign w:val="center"/>
            <w:hideMark/>
          </w:tcPr>
          <w:p w14:paraId="33FB659F" w14:textId="77777777" w:rsidR="00B80273" w:rsidRPr="00401B79" w:rsidRDefault="00B80273" w:rsidP="00650395">
            <w:pPr>
              <w:spacing w:line="276" w:lineRule="auto"/>
              <w:jc w:val="center"/>
              <w:rPr>
                <w:rFonts w:eastAsia="Times New Roman" w:cs="Times New Roman"/>
                <w:sz w:val="20"/>
                <w:szCs w:val="20"/>
              </w:rPr>
            </w:pPr>
            <w:r w:rsidRPr="00401B79">
              <w:rPr>
                <w:rFonts w:eastAsia="Times New Roman" w:cs="Times New Roman"/>
                <w:sz w:val="20"/>
                <w:szCs w:val="20"/>
              </w:rPr>
              <w:t>105.5</w:t>
            </w:r>
          </w:p>
        </w:tc>
        <w:tc>
          <w:tcPr>
            <w:tcW w:w="583" w:type="dxa"/>
            <w:shd w:val="clear" w:color="auto" w:fill="auto"/>
            <w:noWrap/>
            <w:vAlign w:val="center"/>
            <w:hideMark/>
          </w:tcPr>
          <w:p w14:paraId="4E7652C3" w14:textId="77777777" w:rsidR="00B80273" w:rsidRPr="00401B79" w:rsidRDefault="00B80273" w:rsidP="00650395">
            <w:pPr>
              <w:spacing w:line="276" w:lineRule="auto"/>
              <w:jc w:val="center"/>
              <w:rPr>
                <w:rFonts w:eastAsia="Times New Roman" w:cs="Times New Roman"/>
                <w:sz w:val="20"/>
                <w:szCs w:val="20"/>
              </w:rPr>
            </w:pPr>
            <w:r w:rsidRPr="00401B79">
              <w:rPr>
                <w:rFonts w:eastAsia="Times New Roman" w:cs="Times New Roman"/>
                <w:sz w:val="20"/>
                <w:szCs w:val="20"/>
              </w:rPr>
              <w:t>0.78</w:t>
            </w:r>
          </w:p>
        </w:tc>
        <w:tc>
          <w:tcPr>
            <w:tcW w:w="767" w:type="dxa"/>
            <w:shd w:val="clear" w:color="auto" w:fill="auto"/>
            <w:noWrap/>
            <w:vAlign w:val="center"/>
            <w:hideMark/>
          </w:tcPr>
          <w:p w14:paraId="2C51E00D" w14:textId="77777777" w:rsidR="00B80273" w:rsidRPr="00401B79" w:rsidRDefault="00B80273" w:rsidP="00650395">
            <w:pPr>
              <w:spacing w:line="276" w:lineRule="auto"/>
              <w:jc w:val="center"/>
              <w:rPr>
                <w:rFonts w:eastAsia="Times New Roman" w:cs="Times New Roman"/>
                <w:sz w:val="20"/>
                <w:szCs w:val="20"/>
              </w:rPr>
            </w:pPr>
            <w:r w:rsidRPr="00401B79">
              <w:rPr>
                <w:rFonts w:eastAsia="Times New Roman" w:cs="Times New Roman"/>
                <w:sz w:val="20"/>
                <w:szCs w:val="20"/>
              </w:rPr>
              <w:t>101.2</w:t>
            </w:r>
          </w:p>
        </w:tc>
        <w:tc>
          <w:tcPr>
            <w:tcW w:w="733" w:type="dxa"/>
            <w:shd w:val="clear" w:color="auto" w:fill="auto"/>
            <w:noWrap/>
            <w:vAlign w:val="center"/>
            <w:hideMark/>
          </w:tcPr>
          <w:p w14:paraId="5C0D2B10" w14:textId="77777777" w:rsidR="00B80273" w:rsidRPr="00401B79" w:rsidRDefault="00B80273" w:rsidP="00650395">
            <w:pPr>
              <w:spacing w:line="276" w:lineRule="auto"/>
              <w:jc w:val="center"/>
              <w:rPr>
                <w:rFonts w:eastAsia="Times New Roman" w:cs="Times New Roman"/>
                <w:sz w:val="20"/>
                <w:szCs w:val="20"/>
              </w:rPr>
            </w:pPr>
            <w:r w:rsidRPr="00401B79">
              <w:rPr>
                <w:rFonts w:eastAsia="Times New Roman" w:cs="Times New Roman"/>
                <w:sz w:val="20"/>
                <w:szCs w:val="20"/>
              </w:rPr>
              <w:t>1.94</w:t>
            </w:r>
          </w:p>
        </w:tc>
        <w:tc>
          <w:tcPr>
            <w:tcW w:w="917" w:type="dxa"/>
            <w:shd w:val="clear" w:color="auto" w:fill="auto"/>
            <w:noWrap/>
            <w:vAlign w:val="center"/>
            <w:hideMark/>
          </w:tcPr>
          <w:p w14:paraId="0039E493" w14:textId="77777777" w:rsidR="00B80273" w:rsidRPr="00401B79" w:rsidRDefault="00B80273" w:rsidP="00650395">
            <w:pPr>
              <w:spacing w:line="276" w:lineRule="auto"/>
              <w:jc w:val="center"/>
              <w:rPr>
                <w:rFonts w:eastAsia="Times New Roman" w:cs="Times New Roman"/>
                <w:sz w:val="20"/>
                <w:szCs w:val="20"/>
              </w:rPr>
            </w:pPr>
            <w:r w:rsidRPr="00401B79">
              <w:rPr>
                <w:rFonts w:eastAsia="Times New Roman" w:cs="Times New Roman"/>
                <w:sz w:val="20"/>
                <w:szCs w:val="20"/>
              </w:rPr>
              <w:t>96.3</w:t>
            </w:r>
          </w:p>
        </w:tc>
        <w:tc>
          <w:tcPr>
            <w:tcW w:w="750" w:type="dxa"/>
            <w:shd w:val="clear" w:color="auto" w:fill="auto"/>
            <w:noWrap/>
            <w:vAlign w:val="center"/>
            <w:hideMark/>
          </w:tcPr>
          <w:p w14:paraId="4802941F" w14:textId="77777777" w:rsidR="00B80273" w:rsidRPr="00401B79" w:rsidRDefault="00B80273" w:rsidP="00650395">
            <w:pPr>
              <w:spacing w:line="276" w:lineRule="auto"/>
              <w:jc w:val="center"/>
              <w:rPr>
                <w:rFonts w:eastAsia="Times New Roman" w:cs="Times New Roman"/>
                <w:sz w:val="20"/>
                <w:szCs w:val="20"/>
              </w:rPr>
            </w:pPr>
            <w:r w:rsidRPr="00401B79">
              <w:rPr>
                <w:rFonts w:eastAsia="Times New Roman" w:cs="Times New Roman"/>
                <w:sz w:val="20"/>
                <w:szCs w:val="20"/>
              </w:rPr>
              <w:t>1.14</w:t>
            </w:r>
          </w:p>
        </w:tc>
        <w:tc>
          <w:tcPr>
            <w:tcW w:w="917" w:type="dxa"/>
            <w:shd w:val="clear" w:color="auto" w:fill="auto"/>
            <w:noWrap/>
            <w:vAlign w:val="center"/>
            <w:hideMark/>
          </w:tcPr>
          <w:p w14:paraId="25F9565C" w14:textId="77777777" w:rsidR="00B80273" w:rsidRPr="00401B79" w:rsidRDefault="00B80273" w:rsidP="00650395">
            <w:pPr>
              <w:spacing w:line="276" w:lineRule="auto"/>
              <w:jc w:val="center"/>
              <w:rPr>
                <w:rFonts w:eastAsia="Times New Roman" w:cs="Times New Roman"/>
                <w:sz w:val="20"/>
                <w:szCs w:val="20"/>
              </w:rPr>
            </w:pPr>
            <w:r w:rsidRPr="00401B79">
              <w:rPr>
                <w:rFonts w:eastAsia="Times New Roman" w:cs="Times New Roman"/>
                <w:sz w:val="20"/>
                <w:szCs w:val="20"/>
              </w:rPr>
              <w:t>94.1</w:t>
            </w:r>
          </w:p>
        </w:tc>
        <w:tc>
          <w:tcPr>
            <w:tcW w:w="746" w:type="dxa"/>
            <w:shd w:val="clear" w:color="auto" w:fill="auto"/>
            <w:noWrap/>
            <w:vAlign w:val="center"/>
            <w:hideMark/>
          </w:tcPr>
          <w:p w14:paraId="6972DB44" w14:textId="77777777" w:rsidR="00B80273" w:rsidRPr="00401B79" w:rsidRDefault="00B80273" w:rsidP="00650395">
            <w:pPr>
              <w:spacing w:line="276" w:lineRule="auto"/>
              <w:jc w:val="center"/>
              <w:rPr>
                <w:rFonts w:eastAsia="Times New Roman" w:cs="Times New Roman"/>
                <w:sz w:val="20"/>
                <w:szCs w:val="20"/>
              </w:rPr>
            </w:pPr>
            <w:r w:rsidRPr="00401B79">
              <w:rPr>
                <w:rFonts w:eastAsia="Times New Roman" w:cs="Times New Roman"/>
                <w:sz w:val="20"/>
                <w:szCs w:val="20"/>
              </w:rPr>
              <w:t>0.31</w:t>
            </w:r>
          </w:p>
        </w:tc>
      </w:tr>
      <w:tr w:rsidR="00B80273" w:rsidRPr="00401B79" w14:paraId="6D7FB411" w14:textId="77777777" w:rsidTr="00556D10">
        <w:trPr>
          <w:trHeight w:val="282"/>
        </w:trPr>
        <w:tc>
          <w:tcPr>
            <w:tcW w:w="787" w:type="dxa"/>
            <w:shd w:val="clear" w:color="auto" w:fill="auto"/>
            <w:noWrap/>
            <w:vAlign w:val="center"/>
          </w:tcPr>
          <w:p w14:paraId="5B51CA3A" w14:textId="77777777" w:rsidR="00B80273" w:rsidRPr="00401B79" w:rsidRDefault="00B80273" w:rsidP="00650395">
            <w:pPr>
              <w:spacing w:line="276" w:lineRule="auto"/>
              <w:jc w:val="center"/>
              <w:rPr>
                <w:rFonts w:eastAsia="Times New Roman" w:cs="Times New Roman"/>
                <w:sz w:val="20"/>
                <w:szCs w:val="20"/>
              </w:rPr>
            </w:pPr>
            <w:r w:rsidRPr="00401B79">
              <w:rPr>
                <w:rFonts w:eastAsia="Times New Roman" w:cs="Times New Roman"/>
                <w:sz w:val="20"/>
                <w:szCs w:val="20"/>
              </w:rPr>
              <w:t>S</w:t>
            </w:r>
            <w:r>
              <w:rPr>
                <w:rFonts w:eastAsia="Times New Roman" w:cs="Times New Roman"/>
                <w:sz w:val="20"/>
                <w:szCs w:val="20"/>
              </w:rPr>
              <w:t>4</w:t>
            </w:r>
          </w:p>
        </w:tc>
        <w:tc>
          <w:tcPr>
            <w:tcW w:w="792" w:type="dxa"/>
            <w:shd w:val="clear" w:color="auto" w:fill="auto"/>
            <w:noWrap/>
            <w:vAlign w:val="center"/>
            <w:hideMark/>
          </w:tcPr>
          <w:p w14:paraId="6BC7E9C3" w14:textId="77777777" w:rsidR="00B80273" w:rsidRPr="00401B79" w:rsidRDefault="00B80273" w:rsidP="00650395">
            <w:pPr>
              <w:spacing w:line="276" w:lineRule="auto"/>
              <w:jc w:val="center"/>
              <w:rPr>
                <w:rFonts w:eastAsia="Times New Roman" w:cs="Times New Roman"/>
                <w:sz w:val="20"/>
                <w:szCs w:val="20"/>
              </w:rPr>
            </w:pPr>
            <w:r w:rsidRPr="00401B79">
              <w:rPr>
                <w:rFonts w:eastAsia="Times New Roman" w:cs="Times New Roman"/>
                <w:sz w:val="20"/>
                <w:szCs w:val="20"/>
              </w:rPr>
              <w:t>109.1</w:t>
            </w:r>
          </w:p>
        </w:tc>
        <w:tc>
          <w:tcPr>
            <w:tcW w:w="667" w:type="dxa"/>
            <w:shd w:val="clear" w:color="auto" w:fill="auto"/>
            <w:noWrap/>
            <w:vAlign w:val="center"/>
            <w:hideMark/>
          </w:tcPr>
          <w:p w14:paraId="6F5FBDBF" w14:textId="77777777" w:rsidR="00B80273" w:rsidRPr="00401B79" w:rsidRDefault="00B80273" w:rsidP="00650395">
            <w:pPr>
              <w:spacing w:line="276" w:lineRule="auto"/>
              <w:jc w:val="center"/>
              <w:rPr>
                <w:rFonts w:eastAsia="Times New Roman" w:cs="Times New Roman"/>
                <w:sz w:val="20"/>
                <w:szCs w:val="20"/>
              </w:rPr>
            </w:pPr>
            <w:r w:rsidRPr="00401B79">
              <w:rPr>
                <w:rFonts w:eastAsia="Times New Roman" w:cs="Times New Roman"/>
                <w:sz w:val="20"/>
                <w:szCs w:val="20"/>
              </w:rPr>
              <w:t>0.30</w:t>
            </w:r>
          </w:p>
        </w:tc>
        <w:tc>
          <w:tcPr>
            <w:tcW w:w="833" w:type="dxa"/>
            <w:shd w:val="clear" w:color="auto" w:fill="auto"/>
            <w:noWrap/>
            <w:vAlign w:val="center"/>
            <w:hideMark/>
          </w:tcPr>
          <w:p w14:paraId="46FF3568" w14:textId="77777777" w:rsidR="00B80273" w:rsidRPr="00401B79" w:rsidRDefault="00B80273" w:rsidP="00650395">
            <w:pPr>
              <w:spacing w:line="276" w:lineRule="auto"/>
              <w:jc w:val="center"/>
              <w:rPr>
                <w:rFonts w:eastAsia="Times New Roman" w:cs="Times New Roman"/>
                <w:sz w:val="20"/>
                <w:szCs w:val="20"/>
              </w:rPr>
            </w:pPr>
            <w:r w:rsidRPr="00401B79">
              <w:rPr>
                <w:rFonts w:eastAsia="Times New Roman" w:cs="Times New Roman"/>
                <w:sz w:val="20"/>
                <w:szCs w:val="20"/>
              </w:rPr>
              <w:t>99.2</w:t>
            </w:r>
          </w:p>
        </w:tc>
        <w:tc>
          <w:tcPr>
            <w:tcW w:w="583" w:type="dxa"/>
            <w:shd w:val="clear" w:color="auto" w:fill="auto"/>
            <w:noWrap/>
            <w:vAlign w:val="center"/>
            <w:hideMark/>
          </w:tcPr>
          <w:p w14:paraId="47B0BBB6" w14:textId="77777777" w:rsidR="00B80273" w:rsidRPr="00401B79" w:rsidRDefault="00B80273" w:rsidP="00650395">
            <w:pPr>
              <w:spacing w:line="276" w:lineRule="auto"/>
              <w:jc w:val="center"/>
              <w:rPr>
                <w:rFonts w:eastAsia="Times New Roman" w:cs="Times New Roman"/>
                <w:sz w:val="20"/>
                <w:szCs w:val="20"/>
              </w:rPr>
            </w:pPr>
            <w:r w:rsidRPr="00401B79">
              <w:rPr>
                <w:rFonts w:eastAsia="Times New Roman" w:cs="Times New Roman"/>
                <w:sz w:val="20"/>
                <w:szCs w:val="20"/>
              </w:rPr>
              <w:t>0.40</w:t>
            </w:r>
          </w:p>
        </w:tc>
        <w:tc>
          <w:tcPr>
            <w:tcW w:w="767" w:type="dxa"/>
            <w:shd w:val="clear" w:color="auto" w:fill="auto"/>
            <w:noWrap/>
            <w:vAlign w:val="center"/>
            <w:hideMark/>
          </w:tcPr>
          <w:p w14:paraId="621E024B" w14:textId="77777777" w:rsidR="00B80273" w:rsidRPr="00401B79" w:rsidRDefault="00B80273" w:rsidP="00650395">
            <w:pPr>
              <w:spacing w:line="276" w:lineRule="auto"/>
              <w:jc w:val="center"/>
              <w:rPr>
                <w:rFonts w:eastAsia="Times New Roman" w:cs="Times New Roman"/>
                <w:sz w:val="20"/>
                <w:szCs w:val="20"/>
              </w:rPr>
            </w:pPr>
            <w:r w:rsidRPr="00401B79">
              <w:rPr>
                <w:rFonts w:eastAsia="Times New Roman" w:cs="Times New Roman"/>
                <w:sz w:val="20"/>
                <w:szCs w:val="20"/>
              </w:rPr>
              <w:t>95.9</w:t>
            </w:r>
          </w:p>
        </w:tc>
        <w:tc>
          <w:tcPr>
            <w:tcW w:w="733" w:type="dxa"/>
            <w:shd w:val="clear" w:color="auto" w:fill="auto"/>
            <w:noWrap/>
            <w:vAlign w:val="center"/>
            <w:hideMark/>
          </w:tcPr>
          <w:p w14:paraId="344AD488" w14:textId="77777777" w:rsidR="00B80273" w:rsidRPr="00401B79" w:rsidRDefault="00B80273" w:rsidP="00650395">
            <w:pPr>
              <w:spacing w:line="276" w:lineRule="auto"/>
              <w:jc w:val="center"/>
              <w:rPr>
                <w:rFonts w:eastAsia="Times New Roman" w:cs="Times New Roman"/>
                <w:sz w:val="20"/>
                <w:szCs w:val="20"/>
              </w:rPr>
            </w:pPr>
            <w:r w:rsidRPr="00401B79">
              <w:rPr>
                <w:rFonts w:eastAsia="Times New Roman" w:cs="Times New Roman"/>
                <w:sz w:val="20"/>
                <w:szCs w:val="20"/>
              </w:rPr>
              <w:t>0.60</w:t>
            </w:r>
          </w:p>
        </w:tc>
        <w:tc>
          <w:tcPr>
            <w:tcW w:w="917" w:type="dxa"/>
            <w:shd w:val="clear" w:color="auto" w:fill="auto"/>
            <w:noWrap/>
            <w:vAlign w:val="center"/>
            <w:hideMark/>
          </w:tcPr>
          <w:p w14:paraId="35C844B7" w14:textId="77777777" w:rsidR="00B80273" w:rsidRPr="00401B79" w:rsidRDefault="00B80273" w:rsidP="00650395">
            <w:pPr>
              <w:spacing w:line="276" w:lineRule="auto"/>
              <w:jc w:val="center"/>
              <w:rPr>
                <w:rFonts w:eastAsia="Times New Roman" w:cs="Times New Roman"/>
                <w:sz w:val="20"/>
                <w:szCs w:val="20"/>
              </w:rPr>
            </w:pPr>
            <w:r w:rsidRPr="00401B79">
              <w:rPr>
                <w:rFonts w:eastAsia="Times New Roman" w:cs="Times New Roman"/>
                <w:sz w:val="20"/>
                <w:szCs w:val="20"/>
              </w:rPr>
              <w:t>86.5</w:t>
            </w:r>
          </w:p>
        </w:tc>
        <w:tc>
          <w:tcPr>
            <w:tcW w:w="750" w:type="dxa"/>
            <w:shd w:val="clear" w:color="auto" w:fill="auto"/>
            <w:noWrap/>
            <w:vAlign w:val="center"/>
            <w:hideMark/>
          </w:tcPr>
          <w:p w14:paraId="5F00FC1E" w14:textId="77777777" w:rsidR="00B80273" w:rsidRPr="00401B79" w:rsidRDefault="00B80273" w:rsidP="00650395">
            <w:pPr>
              <w:spacing w:line="276" w:lineRule="auto"/>
              <w:jc w:val="center"/>
              <w:rPr>
                <w:rFonts w:eastAsia="Times New Roman" w:cs="Times New Roman"/>
                <w:sz w:val="20"/>
                <w:szCs w:val="20"/>
              </w:rPr>
            </w:pPr>
            <w:r w:rsidRPr="00401B79">
              <w:rPr>
                <w:rFonts w:eastAsia="Times New Roman" w:cs="Times New Roman"/>
                <w:sz w:val="20"/>
                <w:szCs w:val="20"/>
              </w:rPr>
              <w:t>0.20</w:t>
            </w:r>
          </w:p>
        </w:tc>
        <w:tc>
          <w:tcPr>
            <w:tcW w:w="917" w:type="dxa"/>
            <w:shd w:val="clear" w:color="auto" w:fill="auto"/>
            <w:noWrap/>
            <w:vAlign w:val="center"/>
            <w:hideMark/>
          </w:tcPr>
          <w:p w14:paraId="43D4EA5B" w14:textId="77777777" w:rsidR="00B80273" w:rsidRPr="00401B79" w:rsidRDefault="00B80273" w:rsidP="00650395">
            <w:pPr>
              <w:spacing w:line="276" w:lineRule="auto"/>
              <w:jc w:val="center"/>
              <w:rPr>
                <w:rFonts w:eastAsia="Times New Roman" w:cs="Times New Roman"/>
                <w:sz w:val="20"/>
                <w:szCs w:val="20"/>
              </w:rPr>
            </w:pPr>
            <w:r w:rsidRPr="00401B79">
              <w:rPr>
                <w:rFonts w:eastAsia="Times New Roman" w:cs="Times New Roman"/>
                <w:sz w:val="20"/>
                <w:szCs w:val="20"/>
              </w:rPr>
              <w:t>85.8</w:t>
            </w:r>
          </w:p>
        </w:tc>
        <w:tc>
          <w:tcPr>
            <w:tcW w:w="746" w:type="dxa"/>
            <w:shd w:val="clear" w:color="auto" w:fill="auto"/>
            <w:noWrap/>
            <w:vAlign w:val="center"/>
            <w:hideMark/>
          </w:tcPr>
          <w:p w14:paraId="5A2F8EA2" w14:textId="77777777" w:rsidR="00B80273" w:rsidRPr="00401B79" w:rsidRDefault="00B80273" w:rsidP="00650395">
            <w:pPr>
              <w:spacing w:line="276" w:lineRule="auto"/>
              <w:jc w:val="center"/>
              <w:rPr>
                <w:rFonts w:eastAsia="Times New Roman" w:cs="Times New Roman"/>
                <w:sz w:val="20"/>
                <w:szCs w:val="20"/>
              </w:rPr>
            </w:pPr>
            <w:r w:rsidRPr="00401B79">
              <w:rPr>
                <w:rFonts w:eastAsia="Times New Roman" w:cs="Times New Roman"/>
                <w:sz w:val="20"/>
                <w:szCs w:val="20"/>
              </w:rPr>
              <w:t>0.57</w:t>
            </w:r>
          </w:p>
        </w:tc>
      </w:tr>
    </w:tbl>
    <w:p w14:paraId="572BDA7F" w14:textId="77777777" w:rsidR="00B80273" w:rsidRDefault="00B80273" w:rsidP="00B80273">
      <w:pPr>
        <w:spacing w:line="240" w:lineRule="auto"/>
        <w:rPr>
          <w:rFonts w:cs="Times New Roman"/>
          <w:b/>
          <w:bCs/>
          <w:szCs w:val="24"/>
        </w:rPr>
      </w:pPr>
    </w:p>
    <w:p w14:paraId="164541FF" w14:textId="32A9FAB3" w:rsidR="00A259B1" w:rsidRPr="0083593B" w:rsidRDefault="002438A2" w:rsidP="00537471">
      <w:pPr>
        <w:pStyle w:val="Caption"/>
        <w:spacing w:line="480" w:lineRule="auto"/>
        <w:jc w:val="center"/>
        <w:rPr>
          <w:szCs w:val="24"/>
        </w:rPr>
      </w:pPr>
      <w:bookmarkStart w:id="51" w:name="_Toc71330974"/>
      <w:r>
        <w:t xml:space="preserve">Table </w:t>
      </w:r>
      <w:fldSimple w:instr=" STYLEREF 1 \s ">
        <w:r w:rsidR="005050F0">
          <w:rPr>
            <w:noProof/>
          </w:rPr>
          <w:t>2</w:t>
        </w:r>
      </w:fldSimple>
      <w:r w:rsidR="00700639">
        <w:t>.</w:t>
      </w:r>
      <w:fldSimple w:instr=" SEQ Table \* ARABIC \s 1 ">
        <w:r w:rsidR="005050F0">
          <w:rPr>
            <w:noProof/>
          </w:rPr>
          <w:t>3</w:t>
        </w:r>
      </w:fldSimple>
      <w:r>
        <w:t xml:space="preserve"> </w:t>
      </w:r>
      <w:r w:rsidR="00A259B1" w:rsidRPr="0083593B">
        <w:rPr>
          <w:szCs w:val="24"/>
        </w:rPr>
        <w:t xml:space="preserve">Surface </w:t>
      </w:r>
      <w:r w:rsidR="00A259B1">
        <w:rPr>
          <w:szCs w:val="24"/>
        </w:rPr>
        <w:t>F</w:t>
      </w:r>
      <w:r w:rsidR="00A259B1" w:rsidRPr="0083593B">
        <w:rPr>
          <w:szCs w:val="24"/>
        </w:rPr>
        <w:t xml:space="preserve">ree </w:t>
      </w:r>
      <w:r w:rsidR="00A259B1">
        <w:rPr>
          <w:szCs w:val="24"/>
        </w:rPr>
        <w:t>E</w:t>
      </w:r>
      <w:r w:rsidR="00A259B1" w:rsidRPr="0083593B">
        <w:rPr>
          <w:szCs w:val="24"/>
        </w:rPr>
        <w:t xml:space="preserve">nergy </w:t>
      </w:r>
      <w:r w:rsidR="00A259B1">
        <w:rPr>
          <w:szCs w:val="24"/>
        </w:rPr>
        <w:t>C</w:t>
      </w:r>
      <w:r w:rsidR="00A259B1" w:rsidRPr="0083593B">
        <w:rPr>
          <w:szCs w:val="24"/>
        </w:rPr>
        <w:t xml:space="preserve">omponents of </w:t>
      </w:r>
      <w:r w:rsidR="00A259B1">
        <w:rPr>
          <w:szCs w:val="24"/>
        </w:rPr>
        <w:t>S1 and S4 B</w:t>
      </w:r>
      <w:r w:rsidR="00A259B1" w:rsidRPr="0083593B">
        <w:rPr>
          <w:szCs w:val="24"/>
        </w:rPr>
        <w:t xml:space="preserve">inders from GvOC </w:t>
      </w:r>
      <w:r w:rsidR="00A259B1">
        <w:rPr>
          <w:szCs w:val="24"/>
        </w:rPr>
        <w:t>M</w:t>
      </w:r>
      <w:r w:rsidR="00A259B1" w:rsidRPr="0083593B">
        <w:rPr>
          <w:szCs w:val="24"/>
        </w:rPr>
        <w:t>ethod</w:t>
      </w:r>
      <w:bookmarkEnd w:id="51"/>
    </w:p>
    <w:tbl>
      <w:tblPr>
        <w:tblW w:w="9625" w:type="dxa"/>
        <w:tblLayout w:type="fixed"/>
        <w:tblLook w:val="04A0" w:firstRow="1" w:lastRow="0" w:firstColumn="1" w:lastColumn="0" w:noHBand="0" w:noVBand="1"/>
      </w:tblPr>
      <w:tblGrid>
        <w:gridCol w:w="910"/>
        <w:gridCol w:w="748"/>
        <w:gridCol w:w="831"/>
        <w:gridCol w:w="748"/>
        <w:gridCol w:w="759"/>
        <w:gridCol w:w="669"/>
        <w:gridCol w:w="588"/>
        <w:gridCol w:w="750"/>
        <w:gridCol w:w="835"/>
        <w:gridCol w:w="750"/>
        <w:gridCol w:w="758"/>
        <w:gridCol w:w="669"/>
        <w:gridCol w:w="610"/>
      </w:tblGrid>
      <w:tr w:rsidR="00A259B1" w:rsidRPr="00556D10" w14:paraId="2259D595" w14:textId="77777777" w:rsidTr="00B63832">
        <w:trPr>
          <w:trHeight w:val="205"/>
        </w:trPr>
        <w:tc>
          <w:tcPr>
            <w:tcW w:w="910" w:type="dxa"/>
            <w:vMerge w:val="restart"/>
            <w:tcBorders>
              <w:top w:val="single" w:sz="4" w:space="0" w:color="auto"/>
              <w:left w:val="single" w:sz="4" w:space="0" w:color="auto"/>
              <w:right w:val="single" w:sz="4" w:space="0" w:color="auto"/>
            </w:tcBorders>
            <w:shd w:val="clear" w:color="auto" w:fill="auto"/>
            <w:noWrap/>
            <w:vAlign w:val="center"/>
            <w:hideMark/>
          </w:tcPr>
          <w:p w14:paraId="7A01A42E" w14:textId="77777777" w:rsidR="00A259B1" w:rsidRPr="00556D10" w:rsidRDefault="00A259B1" w:rsidP="00650395">
            <w:pPr>
              <w:spacing w:line="264" w:lineRule="auto"/>
              <w:jc w:val="center"/>
              <w:rPr>
                <w:rFonts w:eastAsia="Times New Roman" w:cs="Times New Roman"/>
                <w:b/>
                <w:bCs/>
                <w:color w:val="000000"/>
                <w:sz w:val="18"/>
                <w:szCs w:val="18"/>
              </w:rPr>
            </w:pPr>
            <w:r w:rsidRPr="00556D10">
              <w:rPr>
                <w:rFonts w:eastAsia="Times New Roman" w:cs="Times New Roman"/>
                <w:b/>
                <w:bCs/>
                <w:color w:val="000000"/>
                <w:sz w:val="18"/>
                <w:szCs w:val="18"/>
              </w:rPr>
              <w:t>Probe liquid set</w:t>
            </w:r>
          </w:p>
        </w:tc>
        <w:tc>
          <w:tcPr>
            <w:tcW w:w="4343" w:type="dxa"/>
            <w:gridSpan w:val="6"/>
            <w:tcBorders>
              <w:top w:val="single" w:sz="4" w:space="0" w:color="auto"/>
              <w:left w:val="nil"/>
              <w:bottom w:val="single" w:sz="4" w:space="0" w:color="auto"/>
              <w:right w:val="single" w:sz="4" w:space="0" w:color="auto"/>
            </w:tcBorders>
            <w:shd w:val="clear" w:color="auto" w:fill="auto"/>
            <w:noWrap/>
            <w:vAlign w:val="center"/>
            <w:hideMark/>
          </w:tcPr>
          <w:p w14:paraId="2C048308" w14:textId="77777777" w:rsidR="00A259B1" w:rsidRPr="00556D10" w:rsidRDefault="00A259B1" w:rsidP="00650395">
            <w:pPr>
              <w:spacing w:line="264" w:lineRule="auto"/>
              <w:jc w:val="center"/>
              <w:rPr>
                <w:rFonts w:eastAsia="Times New Roman" w:cs="Times New Roman"/>
                <w:b/>
                <w:bCs/>
                <w:sz w:val="18"/>
                <w:szCs w:val="18"/>
              </w:rPr>
            </w:pPr>
            <w:r w:rsidRPr="00556D10">
              <w:rPr>
                <w:rFonts w:eastAsia="Times New Roman" w:cs="Times New Roman"/>
                <w:b/>
                <w:bCs/>
                <w:sz w:val="18"/>
                <w:szCs w:val="18"/>
              </w:rPr>
              <w:t>S1 Binder</w:t>
            </w:r>
          </w:p>
        </w:tc>
        <w:tc>
          <w:tcPr>
            <w:tcW w:w="4372" w:type="dxa"/>
            <w:gridSpan w:val="6"/>
            <w:tcBorders>
              <w:top w:val="single" w:sz="4" w:space="0" w:color="auto"/>
              <w:left w:val="single" w:sz="4" w:space="0" w:color="auto"/>
              <w:bottom w:val="single" w:sz="4" w:space="0" w:color="auto"/>
              <w:right w:val="single" w:sz="4" w:space="0" w:color="auto"/>
            </w:tcBorders>
            <w:vAlign w:val="center"/>
          </w:tcPr>
          <w:p w14:paraId="4423895F" w14:textId="77777777" w:rsidR="00A259B1" w:rsidRPr="00556D10" w:rsidRDefault="00A259B1" w:rsidP="00650395">
            <w:pPr>
              <w:spacing w:line="264" w:lineRule="auto"/>
              <w:jc w:val="center"/>
              <w:rPr>
                <w:rFonts w:eastAsia="Times New Roman" w:cs="Times New Roman"/>
                <w:b/>
                <w:bCs/>
                <w:sz w:val="18"/>
                <w:szCs w:val="18"/>
              </w:rPr>
            </w:pPr>
            <w:r w:rsidRPr="00556D10">
              <w:rPr>
                <w:rFonts w:eastAsia="Times New Roman" w:cs="Times New Roman"/>
                <w:b/>
                <w:bCs/>
                <w:sz w:val="18"/>
                <w:szCs w:val="18"/>
              </w:rPr>
              <w:t>S4 Binder</w:t>
            </w:r>
          </w:p>
        </w:tc>
      </w:tr>
      <w:tr w:rsidR="00B63832" w:rsidRPr="00556D10" w14:paraId="2DFA8998" w14:textId="77777777" w:rsidTr="00B63832">
        <w:trPr>
          <w:trHeight w:val="205"/>
        </w:trPr>
        <w:tc>
          <w:tcPr>
            <w:tcW w:w="910" w:type="dxa"/>
            <w:vMerge/>
            <w:tcBorders>
              <w:left w:val="single" w:sz="4" w:space="0" w:color="auto"/>
              <w:right w:val="single" w:sz="4" w:space="0" w:color="auto"/>
            </w:tcBorders>
            <w:shd w:val="clear" w:color="auto" w:fill="auto"/>
            <w:noWrap/>
            <w:vAlign w:val="center"/>
          </w:tcPr>
          <w:p w14:paraId="6B638753" w14:textId="77777777" w:rsidR="00A259B1" w:rsidRPr="00556D10" w:rsidRDefault="00A259B1" w:rsidP="00650395">
            <w:pPr>
              <w:spacing w:line="264" w:lineRule="auto"/>
              <w:jc w:val="center"/>
              <w:rPr>
                <w:rFonts w:eastAsia="Times New Roman" w:cs="Times New Roman"/>
                <w:b/>
                <w:bCs/>
                <w:color w:val="000000"/>
                <w:sz w:val="18"/>
                <w:szCs w:val="18"/>
              </w:rPr>
            </w:pPr>
          </w:p>
        </w:tc>
        <w:tc>
          <w:tcPr>
            <w:tcW w:w="3086" w:type="dxa"/>
            <w:gridSpan w:val="4"/>
            <w:tcBorders>
              <w:top w:val="single" w:sz="4" w:space="0" w:color="auto"/>
              <w:left w:val="nil"/>
              <w:bottom w:val="single" w:sz="4" w:space="0" w:color="auto"/>
              <w:right w:val="single" w:sz="4" w:space="0" w:color="auto"/>
            </w:tcBorders>
            <w:shd w:val="clear" w:color="auto" w:fill="auto"/>
            <w:noWrap/>
            <w:vAlign w:val="center"/>
          </w:tcPr>
          <w:p w14:paraId="644B5EF4" w14:textId="77777777" w:rsidR="00A259B1" w:rsidRPr="00556D10" w:rsidRDefault="00A259B1" w:rsidP="00650395">
            <w:pPr>
              <w:spacing w:line="264" w:lineRule="auto"/>
              <w:jc w:val="center"/>
              <w:rPr>
                <w:rFonts w:eastAsia="Times New Roman" w:cs="Times New Roman"/>
                <w:b/>
                <w:bCs/>
                <w:sz w:val="18"/>
                <w:szCs w:val="18"/>
              </w:rPr>
            </w:pPr>
            <w:r w:rsidRPr="00556D10">
              <w:rPr>
                <w:rFonts w:eastAsia="Times New Roman" w:cs="Times New Roman"/>
                <w:b/>
                <w:bCs/>
                <w:sz w:val="18"/>
                <w:szCs w:val="18"/>
              </w:rPr>
              <w:t xml:space="preserve">SFE Components </w:t>
            </w:r>
            <w:r w:rsidRPr="00556D10">
              <w:rPr>
                <w:rFonts w:eastAsia="Times New Roman" w:cs="Times New Roman"/>
                <w:b/>
                <w:bCs/>
                <w:color w:val="000000"/>
                <w:sz w:val="18"/>
                <w:szCs w:val="18"/>
              </w:rPr>
              <w:t>(mJ/m</w:t>
            </w:r>
            <w:r w:rsidRPr="00556D10">
              <w:rPr>
                <w:rFonts w:eastAsia="Times New Roman" w:cs="Times New Roman"/>
                <w:b/>
                <w:bCs/>
                <w:color w:val="000000"/>
                <w:sz w:val="18"/>
                <w:szCs w:val="18"/>
                <w:vertAlign w:val="superscript"/>
              </w:rPr>
              <w:t>2</w:t>
            </w:r>
            <w:r w:rsidRPr="00556D10">
              <w:rPr>
                <w:rFonts w:eastAsia="Times New Roman" w:cs="Times New Roman"/>
                <w:b/>
                <w:bCs/>
                <w:color w:val="000000"/>
                <w:sz w:val="18"/>
                <w:szCs w:val="18"/>
              </w:rPr>
              <w:t>)</w:t>
            </w:r>
          </w:p>
        </w:tc>
        <w:tc>
          <w:tcPr>
            <w:tcW w:w="669" w:type="dxa"/>
            <w:vMerge w:val="restart"/>
            <w:tcBorders>
              <w:top w:val="single" w:sz="4" w:space="0" w:color="auto"/>
              <w:left w:val="nil"/>
              <w:right w:val="single" w:sz="4" w:space="0" w:color="auto"/>
            </w:tcBorders>
            <w:shd w:val="clear" w:color="auto" w:fill="auto"/>
            <w:vAlign w:val="center"/>
          </w:tcPr>
          <w:p w14:paraId="3A86B4BF" w14:textId="77777777" w:rsidR="00A259B1" w:rsidRPr="00556D10" w:rsidRDefault="007F7885" w:rsidP="00650395">
            <w:pPr>
              <w:spacing w:line="264" w:lineRule="auto"/>
              <w:ind w:left="-24"/>
              <w:jc w:val="center"/>
              <w:rPr>
                <w:rFonts w:eastAsia="Times New Roman" w:cs="Times New Roman"/>
                <w:b/>
                <w:bCs/>
                <w:sz w:val="18"/>
                <w:szCs w:val="18"/>
              </w:rPr>
            </w:pPr>
            <m:oMathPara>
              <m:oMath>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A</m:t>
                    </m:r>
                  </m:sub>
                  <m:sup>
                    <m:r>
                      <w:rPr>
                        <w:rFonts w:ascii="Cambria Math" w:hAnsi="Cambria Math" w:cs="Times New Roman"/>
                        <w:sz w:val="18"/>
                        <w:szCs w:val="18"/>
                      </w:rPr>
                      <m:t>+</m:t>
                    </m:r>
                  </m:sup>
                </m:sSubSup>
                <m:r>
                  <w:rPr>
                    <w:rFonts w:ascii="Cambria Math" w:hAnsi="Cambria Math" w:cs="Times New Roman"/>
                    <w:sz w:val="18"/>
                    <w:szCs w:val="18"/>
                    <w:lang w:val="en-GB" w:eastAsia="en-GB"/>
                  </w:rPr>
                  <m:t>/</m:t>
                </m:r>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A</m:t>
                    </m:r>
                  </m:sub>
                  <m:sup>
                    <m:r>
                      <w:rPr>
                        <w:rFonts w:ascii="Cambria Math" w:hAnsi="Cambria Math" w:cs="Times New Roman"/>
                        <w:sz w:val="18"/>
                        <w:szCs w:val="18"/>
                      </w:rPr>
                      <m:t>-</m:t>
                    </m:r>
                  </m:sup>
                </m:sSubSup>
              </m:oMath>
            </m:oMathPara>
          </w:p>
        </w:tc>
        <w:tc>
          <w:tcPr>
            <w:tcW w:w="588" w:type="dxa"/>
            <w:vMerge w:val="restart"/>
            <w:tcBorders>
              <w:top w:val="single" w:sz="4" w:space="0" w:color="auto"/>
              <w:left w:val="nil"/>
              <w:right w:val="single" w:sz="4" w:space="0" w:color="auto"/>
            </w:tcBorders>
            <w:shd w:val="clear" w:color="auto" w:fill="auto"/>
            <w:vAlign w:val="center"/>
          </w:tcPr>
          <w:p w14:paraId="5CD0D1C3" w14:textId="77777777" w:rsidR="00A259B1" w:rsidRPr="00556D10" w:rsidRDefault="00A259B1" w:rsidP="00650395">
            <w:pPr>
              <w:spacing w:line="264" w:lineRule="auto"/>
              <w:jc w:val="center"/>
              <w:rPr>
                <w:rFonts w:eastAsia="Times New Roman" w:cs="Times New Roman"/>
                <w:sz w:val="18"/>
                <w:szCs w:val="18"/>
              </w:rPr>
            </w:pPr>
            <w:r w:rsidRPr="00556D10">
              <w:rPr>
                <w:rFonts w:eastAsia="Times New Roman" w:cs="Times New Roman"/>
                <w:color w:val="000000"/>
                <w:sz w:val="18"/>
                <w:szCs w:val="18"/>
              </w:rPr>
              <w:t>R</w:t>
            </w:r>
            <w:r w:rsidRPr="00556D10">
              <w:rPr>
                <w:rFonts w:eastAsia="Times New Roman" w:cs="Times New Roman"/>
                <w:color w:val="000000"/>
                <w:sz w:val="18"/>
                <w:szCs w:val="18"/>
                <w:vertAlign w:val="superscript"/>
              </w:rPr>
              <w:t>2</w:t>
            </w:r>
          </w:p>
        </w:tc>
        <w:tc>
          <w:tcPr>
            <w:tcW w:w="3093" w:type="dxa"/>
            <w:gridSpan w:val="4"/>
            <w:tcBorders>
              <w:top w:val="single" w:sz="4" w:space="0" w:color="auto"/>
              <w:left w:val="single" w:sz="4" w:space="0" w:color="auto"/>
              <w:bottom w:val="single" w:sz="4" w:space="0" w:color="auto"/>
              <w:right w:val="single" w:sz="4" w:space="0" w:color="auto"/>
            </w:tcBorders>
            <w:vAlign w:val="center"/>
          </w:tcPr>
          <w:p w14:paraId="520BFF87" w14:textId="77777777" w:rsidR="00A259B1" w:rsidRPr="00556D10" w:rsidRDefault="00A259B1" w:rsidP="00650395">
            <w:pPr>
              <w:spacing w:line="264" w:lineRule="auto"/>
              <w:jc w:val="center"/>
              <w:rPr>
                <w:rFonts w:eastAsia="Times New Roman" w:cs="Times New Roman"/>
                <w:b/>
                <w:bCs/>
                <w:sz w:val="18"/>
                <w:szCs w:val="18"/>
              </w:rPr>
            </w:pPr>
            <w:r w:rsidRPr="00556D10">
              <w:rPr>
                <w:rFonts w:eastAsia="Times New Roman" w:cs="Times New Roman"/>
                <w:b/>
                <w:bCs/>
                <w:sz w:val="18"/>
                <w:szCs w:val="18"/>
              </w:rPr>
              <w:t xml:space="preserve">SFE Components </w:t>
            </w:r>
            <w:r w:rsidRPr="00556D10">
              <w:rPr>
                <w:rFonts w:eastAsia="Times New Roman" w:cs="Times New Roman"/>
                <w:b/>
                <w:bCs/>
                <w:color w:val="000000"/>
                <w:sz w:val="18"/>
                <w:szCs w:val="18"/>
              </w:rPr>
              <w:t>(mJ/m</w:t>
            </w:r>
            <w:r w:rsidRPr="00556D10">
              <w:rPr>
                <w:rFonts w:eastAsia="Times New Roman" w:cs="Times New Roman"/>
                <w:b/>
                <w:bCs/>
                <w:color w:val="000000"/>
                <w:sz w:val="18"/>
                <w:szCs w:val="18"/>
                <w:vertAlign w:val="superscript"/>
              </w:rPr>
              <w:t>2</w:t>
            </w:r>
            <w:r w:rsidRPr="00556D10">
              <w:rPr>
                <w:rFonts w:eastAsia="Times New Roman" w:cs="Times New Roman"/>
                <w:b/>
                <w:bCs/>
                <w:color w:val="000000"/>
                <w:sz w:val="18"/>
                <w:szCs w:val="18"/>
              </w:rPr>
              <w:t>)</w:t>
            </w:r>
          </w:p>
        </w:tc>
        <w:tc>
          <w:tcPr>
            <w:tcW w:w="669" w:type="dxa"/>
            <w:vMerge w:val="restart"/>
            <w:tcBorders>
              <w:top w:val="single" w:sz="4" w:space="0" w:color="auto"/>
              <w:left w:val="single" w:sz="4" w:space="0" w:color="auto"/>
              <w:right w:val="single" w:sz="4" w:space="0" w:color="auto"/>
            </w:tcBorders>
            <w:vAlign w:val="center"/>
          </w:tcPr>
          <w:p w14:paraId="3156C825" w14:textId="77777777" w:rsidR="00A259B1" w:rsidRPr="00556D10" w:rsidRDefault="007F7885" w:rsidP="00650395">
            <w:pPr>
              <w:spacing w:line="264" w:lineRule="auto"/>
              <w:jc w:val="center"/>
              <w:rPr>
                <w:rFonts w:eastAsia="Times New Roman" w:cs="Times New Roman"/>
                <w:b/>
                <w:bCs/>
                <w:sz w:val="18"/>
                <w:szCs w:val="18"/>
              </w:rPr>
            </w:pPr>
            <m:oMathPara>
              <m:oMath>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A</m:t>
                    </m:r>
                  </m:sub>
                  <m:sup>
                    <m:r>
                      <w:rPr>
                        <w:rFonts w:ascii="Cambria Math" w:hAnsi="Cambria Math" w:cs="Times New Roman"/>
                        <w:sz w:val="18"/>
                        <w:szCs w:val="18"/>
                      </w:rPr>
                      <m:t>+</m:t>
                    </m:r>
                  </m:sup>
                </m:sSubSup>
                <m:r>
                  <w:rPr>
                    <w:rFonts w:ascii="Cambria Math" w:hAnsi="Cambria Math" w:cs="Times New Roman"/>
                    <w:sz w:val="18"/>
                    <w:szCs w:val="18"/>
                    <w:lang w:val="en-GB" w:eastAsia="en-GB"/>
                  </w:rPr>
                  <m:t>/</m:t>
                </m:r>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A</m:t>
                    </m:r>
                  </m:sub>
                  <m:sup>
                    <m:r>
                      <w:rPr>
                        <w:rFonts w:ascii="Cambria Math" w:hAnsi="Cambria Math" w:cs="Times New Roman"/>
                        <w:sz w:val="18"/>
                        <w:szCs w:val="18"/>
                      </w:rPr>
                      <m:t>-</m:t>
                    </m:r>
                  </m:sup>
                </m:sSubSup>
              </m:oMath>
            </m:oMathPara>
          </w:p>
        </w:tc>
        <w:tc>
          <w:tcPr>
            <w:tcW w:w="610" w:type="dxa"/>
            <w:vMerge w:val="restart"/>
            <w:tcBorders>
              <w:top w:val="single" w:sz="4" w:space="0" w:color="auto"/>
              <w:left w:val="single" w:sz="4" w:space="0" w:color="auto"/>
              <w:right w:val="single" w:sz="4" w:space="0" w:color="auto"/>
            </w:tcBorders>
            <w:vAlign w:val="center"/>
          </w:tcPr>
          <w:p w14:paraId="6948EEB5" w14:textId="77777777" w:rsidR="00A259B1" w:rsidRPr="00556D10" w:rsidRDefault="00A259B1" w:rsidP="00650395">
            <w:pPr>
              <w:spacing w:line="264" w:lineRule="auto"/>
              <w:jc w:val="center"/>
              <w:rPr>
                <w:rFonts w:eastAsia="Times New Roman" w:cs="Times New Roman"/>
                <w:sz w:val="18"/>
                <w:szCs w:val="18"/>
              </w:rPr>
            </w:pPr>
            <w:r w:rsidRPr="00556D10">
              <w:rPr>
                <w:rFonts w:cs="Times New Roman"/>
                <w:color w:val="000000"/>
                <w:sz w:val="18"/>
                <w:szCs w:val="18"/>
              </w:rPr>
              <w:t>R</w:t>
            </w:r>
            <w:r w:rsidRPr="00556D10">
              <w:rPr>
                <w:rFonts w:cs="Times New Roman"/>
                <w:color w:val="000000"/>
                <w:sz w:val="18"/>
                <w:szCs w:val="18"/>
                <w:vertAlign w:val="superscript"/>
              </w:rPr>
              <w:t>2</w:t>
            </w:r>
          </w:p>
        </w:tc>
      </w:tr>
      <w:tr w:rsidR="00B63832" w:rsidRPr="00556D10" w14:paraId="3F988986" w14:textId="77777777" w:rsidTr="00B63832">
        <w:trPr>
          <w:trHeight w:val="393"/>
        </w:trPr>
        <w:tc>
          <w:tcPr>
            <w:tcW w:w="910" w:type="dxa"/>
            <w:vMerge/>
            <w:tcBorders>
              <w:left w:val="single" w:sz="4" w:space="0" w:color="auto"/>
              <w:bottom w:val="single" w:sz="4" w:space="0" w:color="auto"/>
              <w:right w:val="single" w:sz="4" w:space="0" w:color="auto"/>
            </w:tcBorders>
            <w:shd w:val="clear" w:color="auto" w:fill="auto"/>
            <w:vAlign w:val="center"/>
            <w:hideMark/>
          </w:tcPr>
          <w:p w14:paraId="7F7D5F03" w14:textId="77777777" w:rsidR="00A259B1" w:rsidRPr="00556D10" w:rsidRDefault="00A259B1" w:rsidP="00650395">
            <w:pPr>
              <w:spacing w:line="264" w:lineRule="auto"/>
              <w:jc w:val="center"/>
              <w:rPr>
                <w:rFonts w:eastAsia="Times New Roman" w:cs="Times New Roman"/>
                <w:b/>
                <w:bCs/>
                <w:color w:val="000000"/>
                <w:sz w:val="18"/>
                <w:szCs w:val="18"/>
              </w:rPr>
            </w:pPr>
          </w:p>
        </w:tc>
        <w:tc>
          <w:tcPr>
            <w:tcW w:w="748" w:type="dxa"/>
            <w:tcBorders>
              <w:top w:val="nil"/>
              <w:left w:val="nil"/>
              <w:bottom w:val="single" w:sz="4" w:space="0" w:color="auto"/>
              <w:right w:val="single" w:sz="4" w:space="0" w:color="auto"/>
            </w:tcBorders>
            <w:shd w:val="clear" w:color="auto" w:fill="auto"/>
            <w:noWrap/>
            <w:vAlign w:val="center"/>
            <w:hideMark/>
          </w:tcPr>
          <w:p w14:paraId="07B2EB48" w14:textId="77777777" w:rsidR="00A259B1" w:rsidRPr="00556D10" w:rsidRDefault="007F7885" w:rsidP="00650395">
            <w:pPr>
              <w:spacing w:line="264" w:lineRule="auto"/>
              <w:jc w:val="center"/>
              <w:rPr>
                <w:rFonts w:eastAsia="Times New Roman" w:cs="Times New Roman"/>
                <w:b/>
                <w:bCs/>
                <w:color w:val="000000"/>
                <w:sz w:val="18"/>
                <w:szCs w:val="18"/>
              </w:rPr>
            </w:pPr>
            <m:oMathPara>
              <m:oMath>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A</m:t>
                    </m:r>
                  </m:sub>
                  <m:sup>
                    <m:r>
                      <w:rPr>
                        <w:rFonts w:ascii="Cambria Math" w:hAnsi="Cambria Math" w:cs="Times New Roman"/>
                        <w:sz w:val="18"/>
                        <w:szCs w:val="18"/>
                      </w:rPr>
                      <m:t>+</m:t>
                    </m:r>
                  </m:sup>
                </m:sSubSup>
              </m:oMath>
            </m:oMathPara>
          </w:p>
        </w:tc>
        <w:tc>
          <w:tcPr>
            <w:tcW w:w="831" w:type="dxa"/>
            <w:tcBorders>
              <w:top w:val="nil"/>
              <w:left w:val="nil"/>
              <w:bottom w:val="single" w:sz="4" w:space="0" w:color="auto"/>
              <w:right w:val="single" w:sz="4" w:space="0" w:color="auto"/>
            </w:tcBorders>
            <w:shd w:val="clear" w:color="auto" w:fill="auto"/>
            <w:noWrap/>
            <w:vAlign w:val="center"/>
            <w:hideMark/>
          </w:tcPr>
          <w:p w14:paraId="75F8DFED" w14:textId="77777777" w:rsidR="00A259B1" w:rsidRPr="00556D10" w:rsidRDefault="007F7885" w:rsidP="00650395">
            <w:pPr>
              <w:spacing w:line="264" w:lineRule="auto"/>
              <w:jc w:val="center"/>
              <w:rPr>
                <w:rFonts w:eastAsia="Times New Roman" w:cs="Times New Roman"/>
                <w:b/>
                <w:bCs/>
                <w:color w:val="000000"/>
                <w:sz w:val="18"/>
                <w:szCs w:val="18"/>
              </w:rPr>
            </w:pPr>
            <m:oMathPara>
              <m:oMath>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A</m:t>
                    </m:r>
                  </m:sub>
                  <m:sup>
                    <m:r>
                      <w:rPr>
                        <w:rFonts w:ascii="Cambria Math" w:hAnsi="Cambria Math" w:cs="Times New Roman"/>
                        <w:sz w:val="18"/>
                        <w:szCs w:val="18"/>
                      </w:rPr>
                      <m:t>-</m:t>
                    </m:r>
                  </m:sup>
                </m:sSubSup>
              </m:oMath>
            </m:oMathPara>
          </w:p>
        </w:tc>
        <w:tc>
          <w:tcPr>
            <w:tcW w:w="748" w:type="dxa"/>
            <w:tcBorders>
              <w:top w:val="nil"/>
              <w:left w:val="nil"/>
              <w:bottom w:val="single" w:sz="4" w:space="0" w:color="auto"/>
              <w:right w:val="single" w:sz="4" w:space="0" w:color="auto"/>
            </w:tcBorders>
            <w:shd w:val="clear" w:color="auto" w:fill="auto"/>
            <w:noWrap/>
            <w:vAlign w:val="center"/>
            <w:hideMark/>
          </w:tcPr>
          <w:p w14:paraId="67B37ED5" w14:textId="77777777" w:rsidR="00A259B1" w:rsidRPr="00556D10" w:rsidRDefault="007F7885" w:rsidP="00650395">
            <w:pPr>
              <w:spacing w:line="264" w:lineRule="auto"/>
              <w:jc w:val="center"/>
              <w:rPr>
                <w:rFonts w:eastAsia="Times New Roman" w:cs="Times New Roman"/>
                <w:b/>
                <w:bCs/>
                <w:color w:val="000000"/>
                <w:sz w:val="18"/>
                <w:szCs w:val="18"/>
              </w:rPr>
            </w:pPr>
            <m:oMathPara>
              <m:oMath>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A</m:t>
                    </m:r>
                  </m:sub>
                  <m:sup>
                    <m:r>
                      <w:rPr>
                        <w:rFonts w:ascii="Cambria Math" w:hAnsi="Cambria Math" w:cs="Times New Roman"/>
                        <w:sz w:val="18"/>
                        <w:szCs w:val="18"/>
                      </w:rPr>
                      <m:t>LW</m:t>
                    </m:r>
                  </m:sup>
                </m:sSubSup>
              </m:oMath>
            </m:oMathPara>
          </w:p>
        </w:tc>
        <w:tc>
          <w:tcPr>
            <w:tcW w:w="759" w:type="dxa"/>
            <w:tcBorders>
              <w:top w:val="nil"/>
              <w:left w:val="nil"/>
              <w:bottom w:val="single" w:sz="4" w:space="0" w:color="auto"/>
              <w:right w:val="single" w:sz="4" w:space="0" w:color="auto"/>
            </w:tcBorders>
            <w:shd w:val="clear" w:color="auto" w:fill="auto"/>
            <w:noWrap/>
            <w:vAlign w:val="center"/>
            <w:hideMark/>
          </w:tcPr>
          <w:p w14:paraId="6C159568" w14:textId="77777777" w:rsidR="00A259B1" w:rsidRPr="00556D10" w:rsidRDefault="007F7885" w:rsidP="00650395">
            <w:pPr>
              <w:spacing w:line="264" w:lineRule="auto"/>
              <w:jc w:val="center"/>
              <w:rPr>
                <w:rFonts w:eastAsia="Times New Roman" w:cs="Times New Roman"/>
                <w:b/>
                <w:bCs/>
                <w:color w:val="000000"/>
                <w:sz w:val="18"/>
                <w:szCs w:val="18"/>
              </w:rPr>
            </w:pPr>
            <m:oMathPara>
              <m:oMath>
                <m:sSub>
                  <m:sSubPr>
                    <m:ctrlPr>
                      <w:rPr>
                        <w:rFonts w:ascii="Cambria Math" w:eastAsiaTheme="minorEastAsia" w:hAnsi="Cambria Math" w:cs="Times New Roman"/>
                        <w:i/>
                        <w:sz w:val="18"/>
                        <w:szCs w:val="18"/>
                      </w:rPr>
                    </m:ctrlPr>
                  </m:sSubPr>
                  <m:e>
                    <m:r>
                      <m:rPr>
                        <m:sty m:val="p"/>
                      </m:rPr>
                      <w:rPr>
                        <w:rFonts w:ascii="Cambria Math" w:eastAsiaTheme="minorEastAsia" w:hAnsi="Cambria Math" w:cs="Times New Roman"/>
                        <w:sz w:val="18"/>
                        <w:szCs w:val="18"/>
                      </w:rPr>
                      <m:t>Γ</m:t>
                    </m:r>
                  </m:e>
                  <m:sub>
                    <m:r>
                      <w:rPr>
                        <w:rFonts w:ascii="Cambria Math" w:eastAsiaTheme="minorEastAsia" w:hAnsi="Cambria Math" w:cs="Times New Roman"/>
                        <w:sz w:val="18"/>
                        <w:szCs w:val="18"/>
                      </w:rPr>
                      <m:t>A</m:t>
                    </m:r>
                  </m:sub>
                </m:sSub>
              </m:oMath>
            </m:oMathPara>
          </w:p>
        </w:tc>
        <w:tc>
          <w:tcPr>
            <w:tcW w:w="669" w:type="dxa"/>
            <w:vMerge/>
            <w:tcBorders>
              <w:left w:val="nil"/>
              <w:bottom w:val="single" w:sz="4" w:space="0" w:color="auto"/>
              <w:right w:val="single" w:sz="4" w:space="0" w:color="auto"/>
            </w:tcBorders>
            <w:shd w:val="clear" w:color="auto" w:fill="auto"/>
            <w:noWrap/>
            <w:vAlign w:val="center"/>
            <w:hideMark/>
          </w:tcPr>
          <w:p w14:paraId="1311A36E" w14:textId="77777777" w:rsidR="00A259B1" w:rsidRPr="00556D10" w:rsidRDefault="00A259B1" w:rsidP="00650395">
            <w:pPr>
              <w:spacing w:line="264" w:lineRule="auto"/>
              <w:jc w:val="center"/>
              <w:rPr>
                <w:rFonts w:eastAsia="Times New Roman" w:cs="Times New Roman"/>
                <w:b/>
                <w:bCs/>
                <w:color w:val="000000"/>
                <w:sz w:val="18"/>
                <w:szCs w:val="18"/>
              </w:rPr>
            </w:pPr>
          </w:p>
        </w:tc>
        <w:tc>
          <w:tcPr>
            <w:tcW w:w="588" w:type="dxa"/>
            <w:vMerge/>
            <w:tcBorders>
              <w:left w:val="nil"/>
              <w:bottom w:val="single" w:sz="4" w:space="0" w:color="auto"/>
              <w:right w:val="single" w:sz="4" w:space="0" w:color="auto"/>
            </w:tcBorders>
            <w:shd w:val="clear" w:color="auto" w:fill="auto"/>
            <w:noWrap/>
            <w:vAlign w:val="center"/>
            <w:hideMark/>
          </w:tcPr>
          <w:p w14:paraId="26B77520" w14:textId="77777777" w:rsidR="00A259B1" w:rsidRPr="00556D10" w:rsidRDefault="00A259B1" w:rsidP="00650395">
            <w:pPr>
              <w:spacing w:line="264" w:lineRule="auto"/>
              <w:jc w:val="center"/>
              <w:rPr>
                <w:rFonts w:eastAsia="Times New Roman" w:cs="Times New Roman"/>
                <w:color w:val="000000"/>
                <w:sz w:val="18"/>
                <w:szCs w:val="18"/>
              </w:rPr>
            </w:pPr>
          </w:p>
        </w:tc>
        <w:tc>
          <w:tcPr>
            <w:tcW w:w="750" w:type="dxa"/>
            <w:tcBorders>
              <w:top w:val="single" w:sz="4" w:space="0" w:color="auto"/>
              <w:left w:val="nil"/>
              <w:bottom w:val="single" w:sz="4" w:space="0" w:color="auto"/>
              <w:right w:val="single" w:sz="4" w:space="0" w:color="auto"/>
            </w:tcBorders>
            <w:vAlign w:val="center"/>
          </w:tcPr>
          <w:p w14:paraId="67150F02" w14:textId="77777777" w:rsidR="00A259B1" w:rsidRPr="00556D10" w:rsidRDefault="007F7885" w:rsidP="00650395">
            <w:pPr>
              <w:spacing w:line="264" w:lineRule="auto"/>
              <w:jc w:val="center"/>
              <w:rPr>
                <w:rFonts w:eastAsia="Times New Roman" w:cs="Times New Roman"/>
                <w:color w:val="000000"/>
                <w:sz w:val="18"/>
                <w:szCs w:val="18"/>
              </w:rPr>
            </w:pPr>
            <m:oMathPara>
              <m:oMath>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A</m:t>
                    </m:r>
                  </m:sub>
                  <m:sup>
                    <m:r>
                      <w:rPr>
                        <w:rFonts w:ascii="Cambria Math" w:hAnsi="Cambria Math" w:cs="Times New Roman"/>
                        <w:sz w:val="18"/>
                        <w:szCs w:val="18"/>
                      </w:rPr>
                      <m:t>+</m:t>
                    </m:r>
                  </m:sup>
                </m:sSubSup>
              </m:oMath>
            </m:oMathPara>
          </w:p>
        </w:tc>
        <w:tc>
          <w:tcPr>
            <w:tcW w:w="835" w:type="dxa"/>
            <w:tcBorders>
              <w:top w:val="single" w:sz="4" w:space="0" w:color="auto"/>
              <w:left w:val="single" w:sz="4" w:space="0" w:color="auto"/>
              <w:bottom w:val="single" w:sz="4" w:space="0" w:color="auto"/>
              <w:right w:val="single" w:sz="4" w:space="0" w:color="auto"/>
            </w:tcBorders>
            <w:vAlign w:val="center"/>
          </w:tcPr>
          <w:p w14:paraId="2DEDBD62" w14:textId="77777777" w:rsidR="00A259B1" w:rsidRPr="00556D10" w:rsidRDefault="007F7885" w:rsidP="00650395">
            <w:pPr>
              <w:spacing w:line="264" w:lineRule="auto"/>
              <w:jc w:val="center"/>
              <w:rPr>
                <w:rFonts w:eastAsia="Times New Roman" w:cs="Times New Roman"/>
                <w:color w:val="000000"/>
                <w:sz w:val="18"/>
                <w:szCs w:val="18"/>
              </w:rPr>
            </w:pPr>
            <m:oMathPara>
              <m:oMath>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A</m:t>
                    </m:r>
                  </m:sub>
                  <m:sup>
                    <m:r>
                      <w:rPr>
                        <w:rFonts w:ascii="Cambria Math" w:hAnsi="Cambria Math" w:cs="Times New Roman"/>
                        <w:sz w:val="18"/>
                        <w:szCs w:val="18"/>
                      </w:rPr>
                      <m:t>-</m:t>
                    </m:r>
                  </m:sup>
                </m:sSubSup>
              </m:oMath>
            </m:oMathPara>
          </w:p>
        </w:tc>
        <w:tc>
          <w:tcPr>
            <w:tcW w:w="750" w:type="dxa"/>
            <w:tcBorders>
              <w:top w:val="single" w:sz="4" w:space="0" w:color="auto"/>
              <w:left w:val="single" w:sz="4" w:space="0" w:color="auto"/>
              <w:bottom w:val="single" w:sz="4" w:space="0" w:color="auto"/>
              <w:right w:val="single" w:sz="4" w:space="0" w:color="auto"/>
            </w:tcBorders>
            <w:vAlign w:val="center"/>
          </w:tcPr>
          <w:p w14:paraId="14872388" w14:textId="77777777" w:rsidR="00A259B1" w:rsidRPr="00556D10" w:rsidRDefault="007F7885" w:rsidP="00650395">
            <w:pPr>
              <w:spacing w:line="264" w:lineRule="auto"/>
              <w:jc w:val="center"/>
              <w:rPr>
                <w:rFonts w:eastAsia="Times New Roman" w:cs="Times New Roman"/>
                <w:color w:val="000000"/>
                <w:sz w:val="18"/>
                <w:szCs w:val="18"/>
              </w:rPr>
            </w:pPr>
            <m:oMathPara>
              <m:oMath>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A</m:t>
                    </m:r>
                  </m:sub>
                  <m:sup>
                    <m:r>
                      <w:rPr>
                        <w:rFonts w:ascii="Cambria Math" w:hAnsi="Cambria Math" w:cs="Times New Roman"/>
                        <w:sz w:val="18"/>
                        <w:szCs w:val="18"/>
                      </w:rPr>
                      <m:t>LW</m:t>
                    </m:r>
                  </m:sup>
                </m:sSubSup>
              </m:oMath>
            </m:oMathPara>
          </w:p>
        </w:tc>
        <w:tc>
          <w:tcPr>
            <w:tcW w:w="758" w:type="dxa"/>
            <w:tcBorders>
              <w:top w:val="single" w:sz="4" w:space="0" w:color="auto"/>
              <w:left w:val="single" w:sz="4" w:space="0" w:color="auto"/>
              <w:bottom w:val="single" w:sz="4" w:space="0" w:color="auto"/>
              <w:right w:val="single" w:sz="4" w:space="0" w:color="auto"/>
            </w:tcBorders>
            <w:vAlign w:val="center"/>
          </w:tcPr>
          <w:p w14:paraId="1F6AE476" w14:textId="77777777" w:rsidR="00A259B1" w:rsidRPr="00556D10" w:rsidRDefault="007F7885" w:rsidP="00650395">
            <w:pPr>
              <w:spacing w:line="264" w:lineRule="auto"/>
              <w:jc w:val="center"/>
              <w:rPr>
                <w:rFonts w:eastAsia="Times New Roman" w:cs="Times New Roman"/>
                <w:color w:val="000000"/>
                <w:sz w:val="18"/>
                <w:szCs w:val="18"/>
              </w:rPr>
            </w:pPr>
            <m:oMathPara>
              <m:oMath>
                <m:sSub>
                  <m:sSubPr>
                    <m:ctrlPr>
                      <w:rPr>
                        <w:rFonts w:ascii="Cambria Math" w:eastAsiaTheme="minorEastAsia" w:hAnsi="Cambria Math" w:cs="Times New Roman"/>
                        <w:i/>
                        <w:sz w:val="18"/>
                        <w:szCs w:val="18"/>
                      </w:rPr>
                    </m:ctrlPr>
                  </m:sSubPr>
                  <m:e>
                    <m:r>
                      <m:rPr>
                        <m:sty m:val="p"/>
                      </m:rPr>
                      <w:rPr>
                        <w:rFonts w:ascii="Cambria Math" w:eastAsiaTheme="minorEastAsia" w:hAnsi="Cambria Math" w:cs="Times New Roman"/>
                        <w:sz w:val="18"/>
                        <w:szCs w:val="18"/>
                      </w:rPr>
                      <m:t>Γ</m:t>
                    </m:r>
                  </m:e>
                  <m:sub>
                    <m:r>
                      <w:rPr>
                        <w:rFonts w:ascii="Cambria Math" w:eastAsiaTheme="minorEastAsia" w:hAnsi="Cambria Math" w:cs="Times New Roman"/>
                        <w:sz w:val="18"/>
                        <w:szCs w:val="18"/>
                      </w:rPr>
                      <m:t>A</m:t>
                    </m:r>
                  </m:sub>
                </m:sSub>
              </m:oMath>
            </m:oMathPara>
          </w:p>
        </w:tc>
        <w:tc>
          <w:tcPr>
            <w:tcW w:w="669" w:type="dxa"/>
            <w:vMerge/>
            <w:tcBorders>
              <w:left w:val="single" w:sz="4" w:space="0" w:color="auto"/>
              <w:bottom w:val="single" w:sz="4" w:space="0" w:color="auto"/>
              <w:right w:val="single" w:sz="4" w:space="0" w:color="auto"/>
            </w:tcBorders>
            <w:vAlign w:val="center"/>
          </w:tcPr>
          <w:p w14:paraId="62CB445A" w14:textId="77777777" w:rsidR="00A259B1" w:rsidRPr="00556D10" w:rsidRDefault="00A259B1" w:rsidP="00650395">
            <w:pPr>
              <w:spacing w:line="264" w:lineRule="auto"/>
              <w:jc w:val="center"/>
              <w:rPr>
                <w:rFonts w:eastAsia="Times New Roman" w:cs="Times New Roman"/>
                <w:color w:val="000000"/>
                <w:sz w:val="18"/>
                <w:szCs w:val="18"/>
              </w:rPr>
            </w:pPr>
          </w:p>
        </w:tc>
        <w:tc>
          <w:tcPr>
            <w:tcW w:w="610" w:type="dxa"/>
            <w:vMerge/>
            <w:tcBorders>
              <w:left w:val="single" w:sz="4" w:space="0" w:color="auto"/>
              <w:bottom w:val="single" w:sz="4" w:space="0" w:color="auto"/>
              <w:right w:val="single" w:sz="4" w:space="0" w:color="auto"/>
            </w:tcBorders>
            <w:vAlign w:val="center"/>
          </w:tcPr>
          <w:p w14:paraId="2B0A2775" w14:textId="77777777" w:rsidR="00A259B1" w:rsidRPr="00556D10" w:rsidRDefault="00A259B1" w:rsidP="00B63832">
            <w:pPr>
              <w:spacing w:line="264" w:lineRule="auto"/>
              <w:rPr>
                <w:rFonts w:eastAsia="Times New Roman" w:cs="Times New Roman"/>
                <w:color w:val="000000"/>
                <w:sz w:val="18"/>
                <w:szCs w:val="18"/>
              </w:rPr>
            </w:pPr>
          </w:p>
        </w:tc>
      </w:tr>
      <w:tr w:rsidR="00B63832" w:rsidRPr="00556D10" w14:paraId="5066F437" w14:textId="77777777" w:rsidTr="00B63832">
        <w:trPr>
          <w:trHeight w:val="197"/>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59E0A13C"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WGFDE</w:t>
            </w:r>
          </w:p>
        </w:tc>
        <w:tc>
          <w:tcPr>
            <w:tcW w:w="748" w:type="dxa"/>
            <w:tcBorders>
              <w:top w:val="nil"/>
              <w:left w:val="nil"/>
              <w:bottom w:val="single" w:sz="4" w:space="0" w:color="auto"/>
              <w:right w:val="single" w:sz="4" w:space="0" w:color="auto"/>
            </w:tcBorders>
            <w:shd w:val="clear" w:color="auto" w:fill="auto"/>
            <w:noWrap/>
            <w:vAlign w:val="center"/>
            <w:hideMark/>
          </w:tcPr>
          <w:p w14:paraId="1996668C"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0.62</w:t>
            </w:r>
          </w:p>
        </w:tc>
        <w:tc>
          <w:tcPr>
            <w:tcW w:w="831" w:type="dxa"/>
            <w:tcBorders>
              <w:top w:val="nil"/>
              <w:left w:val="nil"/>
              <w:bottom w:val="single" w:sz="4" w:space="0" w:color="auto"/>
              <w:right w:val="single" w:sz="4" w:space="0" w:color="auto"/>
            </w:tcBorders>
            <w:shd w:val="clear" w:color="auto" w:fill="auto"/>
            <w:noWrap/>
            <w:vAlign w:val="center"/>
            <w:hideMark/>
          </w:tcPr>
          <w:p w14:paraId="39E8C3FA"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0.43</w:t>
            </w:r>
          </w:p>
        </w:tc>
        <w:tc>
          <w:tcPr>
            <w:tcW w:w="748" w:type="dxa"/>
            <w:tcBorders>
              <w:top w:val="nil"/>
              <w:left w:val="nil"/>
              <w:bottom w:val="single" w:sz="4" w:space="0" w:color="auto"/>
              <w:right w:val="single" w:sz="4" w:space="0" w:color="auto"/>
            </w:tcBorders>
            <w:shd w:val="clear" w:color="auto" w:fill="auto"/>
            <w:noWrap/>
            <w:vAlign w:val="center"/>
            <w:hideMark/>
          </w:tcPr>
          <w:p w14:paraId="31B333B9"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15.00</w:t>
            </w:r>
          </w:p>
        </w:tc>
        <w:tc>
          <w:tcPr>
            <w:tcW w:w="759" w:type="dxa"/>
            <w:tcBorders>
              <w:top w:val="nil"/>
              <w:left w:val="nil"/>
              <w:bottom w:val="single" w:sz="4" w:space="0" w:color="auto"/>
              <w:right w:val="single" w:sz="4" w:space="0" w:color="auto"/>
            </w:tcBorders>
            <w:shd w:val="clear" w:color="auto" w:fill="auto"/>
            <w:noWrap/>
            <w:vAlign w:val="center"/>
            <w:hideMark/>
          </w:tcPr>
          <w:p w14:paraId="42D41B3F"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16.03</w:t>
            </w:r>
          </w:p>
        </w:tc>
        <w:tc>
          <w:tcPr>
            <w:tcW w:w="669" w:type="dxa"/>
            <w:tcBorders>
              <w:top w:val="nil"/>
              <w:left w:val="nil"/>
              <w:bottom w:val="single" w:sz="4" w:space="0" w:color="auto"/>
              <w:right w:val="single" w:sz="4" w:space="0" w:color="auto"/>
            </w:tcBorders>
            <w:shd w:val="clear" w:color="auto" w:fill="auto"/>
            <w:noWrap/>
            <w:vAlign w:val="center"/>
            <w:hideMark/>
          </w:tcPr>
          <w:p w14:paraId="5E260DF6"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1.46</w:t>
            </w:r>
          </w:p>
        </w:tc>
        <w:tc>
          <w:tcPr>
            <w:tcW w:w="588" w:type="dxa"/>
            <w:tcBorders>
              <w:top w:val="nil"/>
              <w:left w:val="nil"/>
              <w:bottom w:val="single" w:sz="4" w:space="0" w:color="auto"/>
              <w:right w:val="single" w:sz="4" w:space="0" w:color="auto"/>
            </w:tcBorders>
            <w:shd w:val="clear" w:color="auto" w:fill="auto"/>
            <w:noWrap/>
            <w:vAlign w:val="center"/>
            <w:hideMark/>
          </w:tcPr>
          <w:p w14:paraId="74F27A8B"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0.95</w:t>
            </w:r>
          </w:p>
        </w:tc>
        <w:tc>
          <w:tcPr>
            <w:tcW w:w="750" w:type="dxa"/>
            <w:tcBorders>
              <w:top w:val="single" w:sz="4" w:space="0" w:color="auto"/>
              <w:left w:val="nil"/>
              <w:bottom w:val="single" w:sz="4" w:space="0" w:color="auto"/>
              <w:right w:val="single" w:sz="4" w:space="0" w:color="auto"/>
            </w:tcBorders>
            <w:vAlign w:val="center"/>
          </w:tcPr>
          <w:p w14:paraId="15542115"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0.32</w:t>
            </w:r>
          </w:p>
        </w:tc>
        <w:tc>
          <w:tcPr>
            <w:tcW w:w="835" w:type="dxa"/>
            <w:tcBorders>
              <w:top w:val="single" w:sz="4" w:space="0" w:color="auto"/>
              <w:left w:val="single" w:sz="4" w:space="0" w:color="auto"/>
              <w:bottom w:val="single" w:sz="4" w:space="0" w:color="auto"/>
              <w:right w:val="single" w:sz="4" w:space="0" w:color="auto"/>
            </w:tcBorders>
            <w:vAlign w:val="center"/>
          </w:tcPr>
          <w:p w14:paraId="5785DC66"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0.45</w:t>
            </w:r>
          </w:p>
        </w:tc>
        <w:tc>
          <w:tcPr>
            <w:tcW w:w="750" w:type="dxa"/>
            <w:tcBorders>
              <w:top w:val="single" w:sz="4" w:space="0" w:color="auto"/>
              <w:left w:val="single" w:sz="4" w:space="0" w:color="auto"/>
              <w:bottom w:val="single" w:sz="4" w:space="0" w:color="auto"/>
              <w:right w:val="single" w:sz="4" w:space="0" w:color="auto"/>
            </w:tcBorders>
            <w:vAlign w:val="center"/>
          </w:tcPr>
          <w:p w14:paraId="4565109E"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14.02</w:t>
            </w:r>
          </w:p>
        </w:tc>
        <w:tc>
          <w:tcPr>
            <w:tcW w:w="758" w:type="dxa"/>
            <w:tcBorders>
              <w:top w:val="single" w:sz="4" w:space="0" w:color="auto"/>
              <w:left w:val="single" w:sz="4" w:space="0" w:color="auto"/>
              <w:bottom w:val="single" w:sz="4" w:space="0" w:color="auto"/>
              <w:right w:val="single" w:sz="4" w:space="0" w:color="auto"/>
            </w:tcBorders>
            <w:vAlign w:val="center"/>
          </w:tcPr>
          <w:p w14:paraId="513B55E3"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14.77</w:t>
            </w:r>
          </w:p>
        </w:tc>
        <w:tc>
          <w:tcPr>
            <w:tcW w:w="669" w:type="dxa"/>
            <w:tcBorders>
              <w:top w:val="single" w:sz="4" w:space="0" w:color="auto"/>
              <w:left w:val="single" w:sz="4" w:space="0" w:color="auto"/>
              <w:bottom w:val="single" w:sz="4" w:space="0" w:color="auto"/>
              <w:right w:val="single" w:sz="4" w:space="0" w:color="auto"/>
            </w:tcBorders>
            <w:vAlign w:val="center"/>
          </w:tcPr>
          <w:p w14:paraId="6C5AD328"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0.70</w:t>
            </w:r>
          </w:p>
        </w:tc>
        <w:tc>
          <w:tcPr>
            <w:tcW w:w="610" w:type="dxa"/>
            <w:tcBorders>
              <w:top w:val="single" w:sz="4" w:space="0" w:color="auto"/>
              <w:left w:val="single" w:sz="4" w:space="0" w:color="auto"/>
              <w:bottom w:val="single" w:sz="4" w:space="0" w:color="auto"/>
              <w:right w:val="single" w:sz="4" w:space="0" w:color="auto"/>
            </w:tcBorders>
            <w:vAlign w:val="center"/>
          </w:tcPr>
          <w:p w14:paraId="7363A2BC"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0.98</w:t>
            </w:r>
          </w:p>
        </w:tc>
      </w:tr>
      <w:tr w:rsidR="00B63832" w:rsidRPr="00556D10" w14:paraId="0C68F203" w14:textId="77777777" w:rsidTr="00B63832">
        <w:trPr>
          <w:trHeight w:val="197"/>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18B3CDCE"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FGED</w:t>
            </w:r>
          </w:p>
        </w:tc>
        <w:tc>
          <w:tcPr>
            <w:tcW w:w="748" w:type="dxa"/>
            <w:tcBorders>
              <w:top w:val="nil"/>
              <w:left w:val="nil"/>
              <w:bottom w:val="single" w:sz="4" w:space="0" w:color="auto"/>
              <w:right w:val="single" w:sz="4" w:space="0" w:color="auto"/>
            </w:tcBorders>
            <w:shd w:val="clear" w:color="auto" w:fill="auto"/>
            <w:noWrap/>
            <w:vAlign w:val="center"/>
            <w:hideMark/>
          </w:tcPr>
          <w:p w14:paraId="44EB19EC"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3.84</w:t>
            </w:r>
          </w:p>
        </w:tc>
        <w:tc>
          <w:tcPr>
            <w:tcW w:w="831" w:type="dxa"/>
            <w:tcBorders>
              <w:top w:val="nil"/>
              <w:left w:val="nil"/>
              <w:bottom w:val="single" w:sz="4" w:space="0" w:color="auto"/>
              <w:right w:val="single" w:sz="4" w:space="0" w:color="auto"/>
            </w:tcBorders>
            <w:shd w:val="clear" w:color="auto" w:fill="auto"/>
            <w:noWrap/>
            <w:vAlign w:val="center"/>
            <w:hideMark/>
          </w:tcPr>
          <w:p w14:paraId="0A4E5485"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18.63*</w:t>
            </w:r>
          </w:p>
        </w:tc>
        <w:tc>
          <w:tcPr>
            <w:tcW w:w="748" w:type="dxa"/>
            <w:tcBorders>
              <w:top w:val="nil"/>
              <w:left w:val="nil"/>
              <w:bottom w:val="single" w:sz="4" w:space="0" w:color="auto"/>
              <w:right w:val="single" w:sz="4" w:space="0" w:color="auto"/>
            </w:tcBorders>
            <w:shd w:val="clear" w:color="auto" w:fill="auto"/>
            <w:noWrap/>
            <w:vAlign w:val="center"/>
            <w:hideMark/>
          </w:tcPr>
          <w:p w14:paraId="7A0D275D"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15.00</w:t>
            </w:r>
          </w:p>
        </w:tc>
        <w:tc>
          <w:tcPr>
            <w:tcW w:w="759" w:type="dxa"/>
            <w:tcBorders>
              <w:top w:val="nil"/>
              <w:left w:val="nil"/>
              <w:bottom w:val="single" w:sz="4" w:space="0" w:color="auto"/>
              <w:right w:val="single" w:sz="4" w:space="0" w:color="auto"/>
            </w:tcBorders>
            <w:shd w:val="clear" w:color="auto" w:fill="auto"/>
            <w:noWrap/>
            <w:vAlign w:val="center"/>
            <w:hideMark/>
          </w:tcPr>
          <w:p w14:paraId="65AC0BB3"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31.91</w:t>
            </w:r>
          </w:p>
        </w:tc>
        <w:tc>
          <w:tcPr>
            <w:tcW w:w="669" w:type="dxa"/>
            <w:tcBorders>
              <w:top w:val="nil"/>
              <w:left w:val="nil"/>
              <w:bottom w:val="single" w:sz="4" w:space="0" w:color="auto"/>
              <w:right w:val="single" w:sz="4" w:space="0" w:color="auto"/>
            </w:tcBorders>
            <w:shd w:val="clear" w:color="auto" w:fill="auto"/>
            <w:noWrap/>
            <w:vAlign w:val="center"/>
            <w:hideMark/>
          </w:tcPr>
          <w:p w14:paraId="1449C80B"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0.21</w:t>
            </w:r>
          </w:p>
        </w:tc>
        <w:tc>
          <w:tcPr>
            <w:tcW w:w="588" w:type="dxa"/>
            <w:tcBorders>
              <w:top w:val="nil"/>
              <w:left w:val="nil"/>
              <w:bottom w:val="single" w:sz="4" w:space="0" w:color="auto"/>
              <w:right w:val="single" w:sz="4" w:space="0" w:color="auto"/>
            </w:tcBorders>
            <w:shd w:val="clear" w:color="auto" w:fill="auto"/>
            <w:noWrap/>
            <w:vAlign w:val="center"/>
            <w:hideMark/>
          </w:tcPr>
          <w:p w14:paraId="6D8C04B1"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0.98</w:t>
            </w:r>
          </w:p>
        </w:tc>
        <w:tc>
          <w:tcPr>
            <w:tcW w:w="750" w:type="dxa"/>
            <w:tcBorders>
              <w:top w:val="single" w:sz="4" w:space="0" w:color="auto"/>
              <w:left w:val="nil"/>
              <w:bottom w:val="single" w:sz="4" w:space="0" w:color="auto"/>
              <w:right w:val="single" w:sz="4" w:space="0" w:color="auto"/>
            </w:tcBorders>
            <w:vAlign w:val="center"/>
          </w:tcPr>
          <w:p w14:paraId="2F9CEB12"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0.64</w:t>
            </w:r>
          </w:p>
        </w:tc>
        <w:tc>
          <w:tcPr>
            <w:tcW w:w="835" w:type="dxa"/>
            <w:tcBorders>
              <w:top w:val="single" w:sz="4" w:space="0" w:color="auto"/>
              <w:left w:val="single" w:sz="4" w:space="0" w:color="auto"/>
              <w:bottom w:val="single" w:sz="4" w:space="0" w:color="auto"/>
              <w:right w:val="single" w:sz="4" w:space="0" w:color="auto"/>
            </w:tcBorders>
            <w:vAlign w:val="center"/>
          </w:tcPr>
          <w:p w14:paraId="31F2D341"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0.84*</w:t>
            </w:r>
          </w:p>
        </w:tc>
        <w:tc>
          <w:tcPr>
            <w:tcW w:w="750" w:type="dxa"/>
            <w:tcBorders>
              <w:top w:val="single" w:sz="4" w:space="0" w:color="auto"/>
              <w:left w:val="single" w:sz="4" w:space="0" w:color="auto"/>
              <w:bottom w:val="single" w:sz="4" w:space="0" w:color="auto"/>
              <w:right w:val="single" w:sz="4" w:space="0" w:color="auto"/>
            </w:tcBorders>
            <w:vAlign w:val="center"/>
          </w:tcPr>
          <w:p w14:paraId="4B9F238D"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14.08</w:t>
            </w:r>
          </w:p>
        </w:tc>
        <w:tc>
          <w:tcPr>
            <w:tcW w:w="758" w:type="dxa"/>
            <w:tcBorders>
              <w:top w:val="single" w:sz="4" w:space="0" w:color="auto"/>
              <w:left w:val="single" w:sz="4" w:space="0" w:color="auto"/>
              <w:bottom w:val="single" w:sz="4" w:space="0" w:color="auto"/>
              <w:right w:val="single" w:sz="4" w:space="0" w:color="auto"/>
            </w:tcBorders>
            <w:vAlign w:val="center"/>
          </w:tcPr>
          <w:p w14:paraId="3323C83E"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15.54</w:t>
            </w:r>
          </w:p>
        </w:tc>
        <w:tc>
          <w:tcPr>
            <w:tcW w:w="669" w:type="dxa"/>
            <w:tcBorders>
              <w:top w:val="single" w:sz="4" w:space="0" w:color="auto"/>
              <w:left w:val="single" w:sz="4" w:space="0" w:color="auto"/>
              <w:bottom w:val="single" w:sz="4" w:space="0" w:color="auto"/>
              <w:right w:val="single" w:sz="4" w:space="0" w:color="auto"/>
            </w:tcBorders>
            <w:vAlign w:val="center"/>
          </w:tcPr>
          <w:p w14:paraId="7EC5BB33"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0.76</w:t>
            </w:r>
          </w:p>
        </w:tc>
        <w:tc>
          <w:tcPr>
            <w:tcW w:w="610" w:type="dxa"/>
            <w:tcBorders>
              <w:top w:val="single" w:sz="4" w:space="0" w:color="auto"/>
              <w:left w:val="single" w:sz="4" w:space="0" w:color="auto"/>
              <w:bottom w:val="single" w:sz="4" w:space="0" w:color="auto"/>
              <w:right w:val="single" w:sz="4" w:space="0" w:color="auto"/>
            </w:tcBorders>
            <w:vAlign w:val="center"/>
          </w:tcPr>
          <w:p w14:paraId="02AB9B14"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0.97</w:t>
            </w:r>
          </w:p>
        </w:tc>
      </w:tr>
      <w:tr w:rsidR="00B63832" w:rsidRPr="00556D10" w14:paraId="7862EB6A" w14:textId="77777777" w:rsidTr="00B63832">
        <w:trPr>
          <w:trHeight w:val="197"/>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311902DB"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WFGE</w:t>
            </w:r>
          </w:p>
        </w:tc>
        <w:tc>
          <w:tcPr>
            <w:tcW w:w="748" w:type="dxa"/>
            <w:tcBorders>
              <w:top w:val="nil"/>
              <w:left w:val="nil"/>
              <w:bottom w:val="single" w:sz="4" w:space="0" w:color="auto"/>
              <w:right w:val="single" w:sz="4" w:space="0" w:color="auto"/>
            </w:tcBorders>
            <w:shd w:val="clear" w:color="auto" w:fill="auto"/>
            <w:noWrap/>
            <w:vAlign w:val="center"/>
            <w:hideMark/>
          </w:tcPr>
          <w:p w14:paraId="278F6B02"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3.40</w:t>
            </w:r>
          </w:p>
        </w:tc>
        <w:tc>
          <w:tcPr>
            <w:tcW w:w="831" w:type="dxa"/>
            <w:tcBorders>
              <w:top w:val="nil"/>
              <w:left w:val="nil"/>
              <w:bottom w:val="single" w:sz="4" w:space="0" w:color="auto"/>
              <w:right w:val="single" w:sz="4" w:space="0" w:color="auto"/>
            </w:tcBorders>
            <w:shd w:val="clear" w:color="auto" w:fill="auto"/>
            <w:noWrap/>
            <w:vAlign w:val="center"/>
            <w:hideMark/>
          </w:tcPr>
          <w:p w14:paraId="4409060D"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0.65</w:t>
            </w:r>
          </w:p>
        </w:tc>
        <w:tc>
          <w:tcPr>
            <w:tcW w:w="748" w:type="dxa"/>
            <w:tcBorders>
              <w:top w:val="nil"/>
              <w:left w:val="nil"/>
              <w:bottom w:val="single" w:sz="4" w:space="0" w:color="auto"/>
              <w:right w:val="single" w:sz="4" w:space="0" w:color="auto"/>
            </w:tcBorders>
            <w:shd w:val="clear" w:color="auto" w:fill="auto"/>
            <w:noWrap/>
            <w:vAlign w:val="center"/>
            <w:hideMark/>
          </w:tcPr>
          <w:p w14:paraId="293A0C82"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6.59</w:t>
            </w:r>
          </w:p>
        </w:tc>
        <w:tc>
          <w:tcPr>
            <w:tcW w:w="759" w:type="dxa"/>
            <w:tcBorders>
              <w:top w:val="nil"/>
              <w:left w:val="nil"/>
              <w:bottom w:val="single" w:sz="4" w:space="0" w:color="auto"/>
              <w:right w:val="single" w:sz="4" w:space="0" w:color="auto"/>
            </w:tcBorders>
            <w:shd w:val="clear" w:color="auto" w:fill="auto"/>
            <w:noWrap/>
            <w:vAlign w:val="center"/>
            <w:hideMark/>
          </w:tcPr>
          <w:p w14:paraId="32FEA90D"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9.56</w:t>
            </w:r>
          </w:p>
        </w:tc>
        <w:tc>
          <w:tcPr>
            <w:tcW w:w="669" w:type="dxa"/>
            <w:tcBorders>
              <w:top w:val="nil"/>
              <w:left w:val="nil"/>
              <w:bottom w:val="single" w:sz="4" w:space="0" w:color="auto"/>
              <w:right w:val="single" w:sz="4" w:space="0" w:color="auto"/>
            </w:tcBorders>
            <w:shd w:val="clear" w:color="auto" w:fill="auto"/>
            <w:noWrap/>
            <w:vAlign w:val="center"/>
            <w:hideMark/>
          </w:tcPr>
          <w:p w14:paraId="6EA818AF"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5.26</w:t>
            </w:r>
          </w:p>
        </w:tc>
        <w:tc>
          <w:tcPr>
            <w:tcW w:w="588" w:type="dxa"/>
            <w:tcBorders>
              <w:top w:val="nil"/>
              <w:left w:val="nil"/>
              <w:bottom w:val="single" w:sz="4" w:space="0" w:color="auto"/>
              <w:right w:val="single" w:sz="4" w:space="0" w:color="auto"/>
            </w:tcBorders>
            <w:shd w:val="clear" w:color="auto" w:fill="auto"/>
            <w:noWrap/>
            <w:vAlign w:val="center"/>
            <w:hideMark/>
          </w:tcPr>
          <w:p w14:paraId="41C7DDEC"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0.96</w:t>
            </w:r>
          </w:p>
        </w:tc>
        <w:tc>
          <w:tcPr>
            <w:tcW w:w="750" w:type="dxa"/>
            <w:tcBorders>
              <w:top w:val="single" w:sz="4" w:space="0" w:color="auto"/>
              <w:left w:val="nil"/>
              <w:bottom w:val="single" w:sz="4" w:space="0" w:color="auto"/>
              <w:right w:val="single" w:sz="4" w:space="0" w:color="auto"/>
            </w:tcBorders>
            <w:vAlign w:val="center"/>
          </w:tcPr>
          <w:p w14:paraId="2B997363"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3.16</w:t>
            </w:r>
          </w:p>
        </w:tc>
        <w:tc>
          <w:tcPr>
            <w:tcW w:w="835" w:type="dxa"/>
            <w:tcBorders>
              <w:top w:val="single" w:sz="4" w:space="0" w:color="auto"/>
              <w:left w:val="single" w:sz="4" w:space="0" w:color="auto"/>
              <w:bottom w:val="single" w:sz="4" w:space="0" w:color="auto"/>
              <w:right w:val="single" w:sz="4" w:space="0" w:color="auto"/>
            </w:tcBorders>
            <w:vAlign w:val="center"/>
          </w:tcPr>
          <w:p w14:paraId="38EC6FD6"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0.73</w:t>
            </w:r>
          </w:p>
        </w:tc>
        <w:tc>
          <w:tcPr>
            <w:tcW w:w="750" w:type="dxa"/>
            <w:tcBorders>
              <w:top w:val="single" w:sz="4" w:space="0" w:color="auto"/>
              <w:left w:val="single" w:sz="4" w:space="0" w:color="auto"/>
              <w:bottom w:val="single" w:sz="4" w:space="0" w:color="auto"/>
              <w:right w:val="single" w:sz="4" w:space="0" w:color="auto"/>
            </w:tcBorders>
            <w:vAlign w:val="center"/>
          </w:tcPr>
          <w:p w14:paraId="618B3A89"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5.06</w:t>
            </w:r>
          </w:p>
        </w:tc>
        <w:tc>
          <w:tcPr>
            <w:tcW w:w="758" w:type="dxa"/>
            <w:tcBorders>
              <w:top w:val="single" w:sz="4" w:space="0" w:color="auto"/>
              <w:left w:val="single" w:sz="4" w:space="0" w:color="auto"/>
              <w:bottom w:val="single" w:sz="4" w:space="0" w:color="auto"/>
              <w:right w:val="single" w:sz="4" w:space="0" w:color="auto"/>
            </w:tcBorders>
            <w:vAlign w:val="center"/>
          </w:tcPr>
          <w:p w14:paraId="355172C9"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8.10</w:t>
            </w:r>
          </w:p>
        </w:tc>
        <w:tc>
          <w:tcPr>
            <w:tcW w:w="669" w:type="dxa"/>
            <w:tcBorders>
              <w:top w:val="single" w:sz="4" w:space="0" w:color="auto"/>
              <w:left w:val="single" w:sz="4" w:space="0" w:color="auto"/>
              <w:bottom w:val="single" w:sz="4" w:space="0" w:color="auto"/>
              <w:right w:val="single" w:sz="4" w:space="0" w:color="auto"/>
            </w:tcBorders>
            <w:vAlign w:val="center"/>
          </w:tcPr>
          <w:p w14:paraId="10AD5AC5"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4.30</w:t>
            </w:r>
          </w:p>
        </w:tc>
        <w:tc>
          <w:tcPr>
            <w:tcW w:w="610" w:type="dxa"/>
            <w:tcBorders>
              <w:top w:val="single" w:sz="4" w:space="0" w:color="auto"/>
              <w:left w:val="single" w:sz="4" w:space="0" w:color="auto"/>
              <w:bottom w:val="single" w:sz="4" w:space="0" w:color="auto"/>
              <w:right w:val="single" w:sz="4" w:space="0" w:color="auto"/>
            </w:tcBorders>
            <w:vAlign w:val="center"/>
          </w:tcPr>
          <w:p w14:paraId="657FF18F"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0.90</w:t>
            </w:r>
          </w:p>
        </w:tc>
      </w:tr>
      <w:tr w:rsidR="00B63832" w:rsidRPr="00556D10" w14:paraId="63D8BFF3" w14:textId="77777777" w:rsidTr="00B63832">
        <w:trPr>
          <w:trHeight w:val="197"/>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05EE3401"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WFGD</w:t>
            </w:r>
          </w:p>
        </w:tc>
        <w:tc>
          <w:tcPr>
            <w:tcW w:w="748" w:type="dxa"/>
            <w:tcBorders>
              <w:top w:val="nil"/>
              <w:left w:val="nil"/>
              <w:bottom w:val="single" w:sz="4" w:space="0" w:color="auto"/>
              <w:right w:val="single" w:sz="4" w:space="0" w:color="auto"/>
            </w:tcBorders>
            <w:shd w:val="clear" w:color="auto" w:fill="auto"/>
            <w:noWrap/>
            <w:vAlign w:val="center"/>
            <w:hideMark/>
          </w:tcPr>
          <w:p w14:paraId="1E4DAC75"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0.37</w:t>
            </w:r>
          </w:p>
        </w:tc>
        <w:tc>
          <w:tcPr>
            <w:tcW w:w="831" w:type="dxa"/>
            <w:tcBorders>
              <w:top w:val="nil"/>
              <w:left w:val="nil"/>
              <w:bottom w:val="single" w:sz="4" w:space="0" w:color="auto"/>
              <w:right w:val="single" w:sz="4" w:space="0" w:color="auto"/>
            </w:tcBorders>
            <w:shd w:val="clear" w:color="auto" w:fill="auto"/>
            <w:noWrap/>
            <w:vAlign w:val="center"/>
            <w:hideMark/>
          </w:tcPr>
          <w:p w14:paraId="24DDD0C8"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0.72</w:t>
            </w:r>
          </w:p>
        </w:tc>
        <w:tc>
          <w:tcPr>
            <w:tcW w:w="748" w:type="dxa"/>
            <w:tcBorders>
              <w:top w:val="nil"/>
              <w:left w:val="nil"/>
              <w:bottom w:val="single" w:sz="4" w:space="0" w:color="auto"/>
              <w:right w:val="single" w:sz="4" w:space="0" w:color="auto"/>
            </w:tcBorders>
            <w:shd w:val="clear" w:color="auto" w:fill="auto"/>
            <w:noWrap/>
            <w:vAlign w:val="center"/>
            <w:hideMark/>
          </w:tcPr>
          <w:p w14:paraId="6C9F5F0C"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15.11</w:t>
            </w:r>
          </w:p>
        </w:tc>
        <w:tc>
          <w:tcPr>
            <w:tcW w:w="759" w:type="dxa"/>
            <w:tcBorders>
              <w:top w:val="nil"/>
              <w:left w:val="nil"/>
              <w:bottom w:val="single" w:sz="4" w:space="0" w:color="auto"/>
              <w:right w:val="single" w:sz="4" w:space="0" w:color="auto"/>
            </w:tcBorders>
            <w:shd w:val="clear" w:color="auto" w:fill="auto"/>
            <w:noWrap/>
            <w:vAlign w:val="center"/>
            <w:hideMark/>
          </w:tcPr>
          <w:p w14:paraId="390E39C2"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16.15</w:t>
            </w:r>
          </w:p>
        </w:tc>
        <w:tc>
          <w:tcPr>
            <w:tcW w:w="669" w:type="dxa"/>
            <w:tcBorders>
              <w:top w:val="nil"/>
              <w:left w:val="nil"/>
              <w:bottom w:val="single" w:sz="4" w:space="0" w:color="auto"/>
              <w:right w:val="single" w:sz="4" w:space="0" w:color="auto"/>
            </w:tcBorders>
            <w:shd w:val="clear" w:color="auto" w:fill="auto"/>
            <w:noWrap/>
            <w:vAlign w:val="center"/>
            <w:hideMark/>
          </w:tcPr>
          <w:p w14:paraId="71CA9E9E"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0.52</w:t>
            </w:r>
          </w:p>
        </w:tc>
        <w:tc>
          <w:tcPr>
            <w:tcW w:w="588" w:type="dxa"/>
            <w:tcBorders>
              <w:top w:val="nil"/>
              <w:left w:val="nil"/>
              <w:bottom w:val="single" w:sz="4" w:space="0" w:color="auto"/>
              <w:right w:val="single" w:sz="4" w:space="0" w:color="auto"/>
            </w:tcBorders>
            <w:shd w:val="clear" w:color="auto" w:fill="auto"/>
            <w:noWrap/>
            <w:vAlign w:val="center"/>
            <w:hideMark/>
          </w:tcPr>
          <w:p w14:paraId="0533F6C2"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0.93</w:t>
            </w:r>
          </w:p>
        </w:tc>
        <w:tc>
          <w:tcPr>
            <w:tcW w:w="750" w:type="dxa"/>
            <w:tcBorders>
              <w:top w:val="single" w:sz="4" w:space="0" w:color="auto"/>
              <w:left w:val="nil"/>
              <w:bottom w:val="single" w:sz="4" w:space="0" w:color="auto"/>
              <w:right w:val="single" w:sz="4" w:space="0" w:color="auto"/>
            </w:tcBorders>
            <w:vAlign w:val="center"/>
          </w:tcPr>
          <w:p w14:paraId="358E1E8F"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0.08</w:t>
            </w:r>
          </w:p>
        </w:tc>
        <w:tc>
          <w:tcPr>
            <w:tcW w:w="835" w:type="dxa"/>
            <w:tcBorders>
              <w:top w:val="single" w:sz="4" w:space="0" w:color="auto"/>
              <w:left w:val="single" w:sz="4" w:space="0" w:color="auto"/>
              <w:bottom w:val="single" w:sz="4" w:space="0" w:color="auto"/>
              <w:right w:val="single" w:sz="4" w:space="0" w:color="auto"/>
            </w:tcBorders>
            <w:vAlign w:val="center"/>
          </w:tcPr>
          <w:p w14:paraId="283722A0"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1.22</w:t>
            </w:r>
          </w:p>
        </w:tc>
        <w:tc>
          <w:tcPr>
            <w:tcW w:w="750" w:type="dxa"/>
            <w:tcBorders>
              <w:top w:val="single" w:sz="4" w:space="0" w:color="auto"/>
              <w:left w:val="single" w:sz="4" w:space="0" w:color="auto"/>
              <w:bottom w:val="single" w:sz="4" w:space="0" w:color="auto"/>
              <w:right w:val="single" w:sz="4" w:space="0" w:color="auto"/>
            </w:tcBorders>
            <w:vAlign w:val="center"/>
          </w:tcPr>
          <w:p w14:paraId="66382352"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14.12</w:t>
            </w:r>
          </w:p>
        </w:tc>
        <w:tc>
          <w:tcPr>
            <w:tcW w:w="758" w:type="dxa"/>
            <w:tcBorders>
              <w:top w:val="single" w:sz="4" w:space="0" w:color="auto"/>
              <w:left w:val="single" w:sz="4" w:space="0" w:color="auto"/>
              <w:bottom w:val="single" w:sz="4" w:space="0" w:color="auto"/>
              <w:right w:val="single" w:sz="4" w:space="0" w:color="auto"/>
            </w:tcBorders>
            <w:vAlign w:val="center"/>
          </w:tcPr>
          <w:p w14:paraId="12B000C5"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14.73</w:t>
            </w:r>
          </w:p>
        </w:tc>
        <w:tc>
          <w:tcPr>
            <w:tcW w:w="669" w:type="dxa"/>
            <w:tcBorders>
              <w:top w:val="single" w:sz="4" w:space="0" w:color="auto"/>
              <w:left w:val="single" w:sz="4" w:space="0" w:color="auto"/>
              <w:bottom w:val="single" w:sz="4" w:space="0" w:color="auto"/>
              <w:right w:val="single" w:sz="4" w:space="0" w:color="auto"/>
            </w:tcBorders>
            <w:vAlign w:val="center"/>
          </w:tcPr>
          <w:p w14:paraId="051A4256"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0.06</w:t>
            </w:r>
          </w:p>
        </w:tc>
        <w:tc>
          <w:tcPr>
            <w:tcW w:w="610" w:type="dxa"/>
            <w:tcBorders>
              <w:top w:val="single" w:sz="4" w:space="0" w:color="auto"/>
              <w:left w:val="single" w:sz="4" w:space="0" w:color="auto"/>
              <w:bottom w:val="single" w:sz="4" w:space="0" w:color="auto"/>
              <w:right w:val="single" w:sz="4" w:space="0" w:color="auto"/>
            </w:tcBorders>
            <w:vAlign w:val="center"/>
          </w:tcPr>
          <w:p w14:paraId="5B6F9CA1"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0.98</w:t>
            </w:r>
          </w:p>
        </w:tc>
      </w:tr>
      <w:tr w:rsidR="00B63832" w:rsidRPr="00556D10" w14:paraId="1CD7F39B" w14:textId="77777777" w:rsidTr="00B63832">
        <w:trPr>
          <w:trHeight w:val="197"/>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0D48C9F6"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WGED</w:t>
            </w:r>
          </w:p>
        </w:tc>
        <w:tc>
          <w:tcPr>
            <w:tcW w:w="748" w:type="dxa"/>
            <w:tcBorders>
              <w:top w:val="nil"/>
              <w:left w:val="nil"/>
              <w:bottom w:val="single" w:sz="4" w:space="0" w:color="auto"/>
              <w:right w:val="single" w:sz="4" w:space="0" w:color="auto"/>
            </w:tcBorders>
            <w:shd w:val="clear" w:color="auto" w:fill="auto"/>
            <w:noWrap/>
            <w:vAlign w:val="center"/>
            <w:hideMark/>
          </w:tcPr>
          <w:p w14:paraId="3C789F6F"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0.76</w:t>
            </w:r>
          </w:p>
        </w:tc>
        <w:tc>
          <w:tcPr>
            <w:tcW w:w="831" w:type="dxa"/>
            <w:tcBorders>
              <w:top w:val="nil"/>
              <w:left w:val="nil"/>
              <w:bottom w:val="single" w:sz="4" w:space="0" w:color="auto"/>
              <w:right w:val="single" w:sz="4" w:space="0" w:color="auto"/>
            </w:tcBorders>
            <w:shd w:val="clear" w:color="auto" w:fill="auto"/>
            <w:noWrap/>
            <w:vAlign w:val="center"/>
            <w:hideMark/>
          </w:tcPr>
          <w:p w14:paraId="7A894095"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0.29</w:t>
            </w:r>
          </w:p>
        </w:tc>
        <w:tc>
          <w:tcPr>
            <w:tcW w:w="748" w:type="dxa"/>
            <w:tcBorders>
              <w:top w:val="nil"/>
              <w:left w:val="nil"/>
              <w:bottom w:val="single" w:sz="4" w:space="0" w:color="auto"/>
              <w:right w:val="single" w:sz="4" w:space="0" w:color="auto"/>
            </w:tcBorders>
            <w:shd w:val="clear" w:color="auto" w:fill="auto"/>
            <w:noWrap/>
            <w:vAlign w:val="center"/>
            <w:hideMark/>
          </w:tcPr>
          <w:p w14:paraId="7E7F9D78"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15.29</w:t>
            </w:r>
          </w:p>
        </w:tc>
        <w:tc>
          <w:tcPr>
            <w:tcW w:w="759" w:type="dxa"/>
            <w:tcBorders>
              <w:top w:val="nil"/>
              <w:left w:val="nil"/>
              <w:bottom w:val="single" w:sz="4" w:space="0" w:color="auto"/>
              <w:right w:val="single" w:sz="4" w:space="0" w:color="auto"/>
            </w:tcBorders>
            <w:shd w:val="clear" w:color="auto" w:fill="auto"/>
            <w:noWrap/>
            <w:vAlign w:val="center"/>
            <w:hideMark/>
          </w:tcPr>
          <w:p w14:paraId="00C902DA"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16.23</w:t>
            </w:r>
          </w:p>
        </w:tc>
        <w:tc>
          <w:tcPr>
            <w:tcW w:w="669" w:type="dxa"/>
            <w:tcBorders>
              <w:top w:val="nil"/>
              <w:left w:val="nil"/>
              <w:bottom w:val="single" w:sz="4" w:space="0" w:color="auto"/>
              <w:right w:val="single" w:sz="4" w:space="0" w:color="auto"/>
            </w:tcBorders>
            <w:shd w:val="clear" w:color="auto" w:fill="auto"/>
            <w:noWrap/>
            <w:vAlign w:val="center"/>
            <w:hideMark/>
          </w:tcPr>
          <w:p w14:paraId="3A7F1B38"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2.63</w:t>
            </w:r>
          </w:p>
        </w:tc>
        <w:tc>
          <w:tcPr>
            <w:tcW w:w="588" w:type="dxa"/>
            <w:tcBorders>
              <w:top w:val="nil"/>
              <w:left w:val="nil"/>
              <w:bottom w:val="single" w:sz="4" w:space="0" w:color="auto"/>
              <w:right w:val="single" w:sz="4" w:space="0" w:color="auto"/>
            </w:tcBorders>
            <w:shd w:val="clear" w:color="auto" w:fill="auto"/>
            <w:noWrap/>
            <w:vAlign w:val="center"/>
            <w:hideMark/>
          </w:tcPr>
          <w:p w14:paraId="39440BC3"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0.96</w:t>
            </w:r>
          </w:p>
        </w:tc>
        <w:tc>
          <w:tcPr>
            <w:tcW w:w="750" w:type="dxa"/>
            <w:tcBorders>
              <w:top w:val="single" w:sz="4" w:space="0" w:color="auto"/>
              <w:left w:val="nil"/>
              <w:bottom w:val="single" w:sz="4" w:space="0" w:color="auto"/>
              <w:right w:val="single" w:sz="4" w:space="0" w:color="auto"/>
            </w:tcBorders>
            <w:vAlign w:val="center"/>
          </w:tcPr>
          <w:p w14:paraId="028403AC"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0.40</w:t>
            </w:r>
          </w:p>
        </w:tc>
        <w:tc>
          <w:tcPr>
            <w:tcW w:w="835" w:type="dxa"/>
            <w:tcBorders>
              <w:top w:val="single" w:sz="4" w:space="0" w:color="auto"/>
              <w:left w:val="single" w:sz="4" w:space="0" w:color="auto"/>
              <w:bottom w:val="single" w:sz="4" w:space="0" w:color="auto"/>
              <w:right w:val="single" w:sz="4" w:space="0" w:color="auto"/>
            </w:tcBorders>
            <w:vAlign w:val="center"/>
          </w:tcPr>
          <w:p w14:paraId="1D8D8A12"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0.38</w:t>
            </w:r>
          </w:p>
        </w:tc>
        <w:tc>
          <w:tcPr>
            <w:tcW w:w="750" w:type="dxa"/>
            <w:tcBorders>
              <w:top w:val="single" w:sz="4" w:space="0" w:color="auto"/>
              <w:left w:val="single" w:sz="4" w:space="0" w:color="auto"/>
              <w:bottom w:val="single" w:sz="4" w:space="0" w:color="auto"/>
              <w:right w:val="single" w:sz="4" w:space="0" w:color="auto"/>
            </w:tcBorders>
            <w:vAlign w:val="center"/>
          </w:tcPr>
          <w:p w14:paraId="59F68AF0"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14.37</w:t>
            </w:r>
          </w:p>
        </w:tc>
        <w:tc>
          <w:tcPr>
            <w:tcW w:w="758" w:type="dxa"/>
            <w:tcBorders>
              <w:top w:val="single" w:sz="4" w:space="0" w:color="auto"/>
              <w:left w:val="single" w:sz="4" w:space="0" w:color="auto"/>
              <w:bottom w:val="single" w:sz="4" w:space="0" w:color="auto"/>
              <w:right w:val="single" w:sz="4" w:space="0" w:color="auto"/>
            </w:tcBorders>
            <w:vAlign w:val="center"/>
          </w:tcPr>
          <w:p w14:paraId="623D0515"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15.15</w:t>
            </w:r>
          </w:p>
        </w:tc>
        <w:tc>
          <w:tcPr>
            <w:tcW w:w="669" w:type="dxa"/>
            <w:tcBorders>
              <w:top w:val="single" w:sz="4" w:space="0" w:color="auto"/>
              <w:left w:val="single" w:sz="4" w:space="0" w:color="auto"/>
              <w:bottom w:val="single" w:sz="4" w:space="0" w:color="auto"/>
              <w:right w:val="single" w:sz="4" w:space="0" w:color="auto"/>
            </w:tcBorders>
            <w:vAlign w:val="center"/>
          </w:tcPr>
          <w:p w14:paraId="59F8E60C"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1.06</w:t>
            </w:r>
          </w:p>
        </w:tc>
        <w:tc>
          <w:tcPr>
            <w:tcW w:w="610" w:type="dxa"/>
            <w:tcBorders>
              <w:top w:val="single" w:sz="4" w:space="0" w:color="auto"/>
              <w:left w:val="single" w:sz="4" w:space="0" w:color="auto"/>
              <w:bottom w:val="single" w:sz="4" w:space="0" w:color="auto"/>
              <w:right w:val="single" w:sz="4" w:space="0" w:color="auto"/>
            </w:tcBorders>
            <w:vAlign w:val="center"/>
          </w:tcPr>
          <w:p w14:paraId="3C9E3805"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0.98</w:t>
            </w:r>
          </w:p>
        </w:tc>
      </w:tr>
      <w:tr w:rsidR="00B63832" w:rsidRPr="00556D10" w14:paraId="282A2434" w14:textId="77777777" w:rsidTr="00B63832">
        <w:trPr>
          <w:trHeight w:val="141"/>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23A94858"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WFED</w:t>
            </w:r>
          </w:p>
        </w:tc>
        <w:tc>
          <w:tcPr>
            <w:tcW w:w="748" w:type="dxa"/>
            <w:tcBorders>
              <w:top w:val="nil"/>
              <w:left w:val="nil"/>
              <w:bottom w:val="single" w:sz="4" w:space="0" w:color="auto"/>
              <w:right w:val="single" w:sz="4" w:space="0" w:color="auto"/>
            </w:tcBorders>
            <w:shd w:val="clear" w:color="auto" w:fill="auto"/>
            <w:noWrap/>
            <w:vAlign w:val="center"/>
            <w:hideMark/>
          </w:tcPr>
          <w:p w14:paraId="304912F0"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0.68</w:t>
            </w:r>
          </w:p>
        </w:tc>
        <w:tc>
          <w:tcPr>
            <w:tcW w:w="831" w:type="dxa"/>
            <w:tcBorders>
              <w:top w:val="nil"/>
              <w:left w:val="nil"/>
              <w:bottom w:val="single" w:sz="4" w:space="0" w:color="auto"/>
              <w:right w:val="single" w:sz="4" w:space="0" w:color="auto"/>
            </w:tcBorders>
            <w:shd w:val="clear" w:color="auto" w:fill="auto"/>
            <w:noWrap/>
            <w:vAlign w:val="center"/>
            <w:hideMark/>
          </w:tcPr>
          <w:p w14:paraId="7E685926"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0.39</w:t>
            </w:r>
          </w:p>
        </w:tc>
        <w:tc>
          <w:tcPr>
            <w:tcW w:w="748" w:type="dxa"/>
            <w:tcBorders>
              <w:top w:val="nil"/>
              <w:left w:val="nil"/>
              <w:bottom w:val="single" w:sz="4" w:space="0" w:color="auto"/>
              <w:right w:val="single" w:sz="4" w:space="0" w:color="auto"/>
            </w:tcBorders>
            <w:shd w:val="clear" w:color="auto" w:fill="auto"/>
            <w:noWrap/>
            <w:vAlign w:val="center"/>
            <w:hideMark/>
          </w:tcPr>
          <w:p w14:paraId="04311074"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14.96</w:t>
            </w:r>
          </w:p>
        </w:tc>
        <w:tc>
          <w:tcPr>
            <w:tcW w:w="759" w:type="dxa"/>
            <w:tcBorders>
              <w:top w:val="nil"/>
              <w:left w:val="nil"/>
              <w:bottom w:val="single" w:sz="4" w:space="0" w:color="auto"/>
              <w:right w:val="single" w:sz="4" w:space="0" w:color="auto"/>
            </w:tcBorders>
            <w:shd w:val="clear" w:color="auto" w:fill="auto"/>
            <w:noWrap/>
            <w:vAlign w:val="center"/>
            <w:hideMark/>
          </w:tcPr>
          <w:p w14:paraId="6950D92D"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16.00</w:t>
            </w:r>
          </w:p>
        </w:tc>
        <w:tc>
          <w:tcPr>
            <w:tcW w:w="669" w:type="dxa"/>
            <w:tcBorders>
              <w:top w:val="nil"/>
              <w:left w:val="nil"/>
              <w:bottom w:val="single" w:sz="4" w:space="0" w:color="auto"/>
              <w:right w:val="single" w:sz="4" w:space="0" w:color="auto"/>
            </w:tcBorders>
            <w:shd w:val="clear" w:color="auto" w:fill="auto"/>
            <w:noWrap/>
            <w:vAlign w:val="center"/>
            <w:hideMark/>
          </w:tcPr>
          <w:p w14:paraId="5DA88589"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1.72</w:t>
            </w:r>
          </w:p>
        </w:tc>
        <w:tc>
          <w:tcPr>
            <w:tcW w:w="588" w:type="dxa"/>
            <w:tcBorders>
              <w:top w:val="nil"/>
              <w:left w:val="nil"/>
              <w:bottom w:val="single" w:sz="4" w:space="0" w:color="auto"/>
              <w:right w:val="single" w:sz="4" w:space="0" w:color="auto"/>
            </w:tcBorders>
            <w:shd w:val="clear" w:color="auto" w:fill="auto"/>
            <w:noWrap/>
            <w:vAlign w:val="center"/>
            <w:hideMark/>
          </w:tcPr>
          <w:p w14:paraId="2517D215"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0.99</w:t>
            </w:r>
          </w:p>
        </w:tc>
        <w:tc>
          <w:tcPr>
            <w:tcW w:w="750" w:type="dxa"/>
            <w:tcBorders>
              <w:top w:val="single" w:sz="4" w:space="0" w:color="auto"/>
              <w:left w:val="nil"/>
              <w:bottom w:val="single" w:sz="4" w:space="0" w:color="auto"/>
              <w:right w:val="single" w:sz="4" w:space="0" w:color="auto"/>
            </w:tcBorders>
            <w:vAlign w:val="center"/>
          </w:tcPr>
          <w:p w14:paraId="1DE32607"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0.37</w:t>
            </w:r>
          </w:p>
        </w:tc>
        <w:tc>
          <w:tcPr>
            <w:tcW w:w="835" w:type="dxa"/>
            <w:tcBorders>
              <w:top w:val="single" w:sz="4" w:space="0" w:color="auto"/>
              <w:left w:val="single" w:sz="4" w:space="0" w:color="auto"/>
              <w:bottom w:val="single" w:sz="4" w:space="0" w:color="auto"/>
              <w:right w:val="single" w:sz="4" w:space="0" w:color="auto"/>
            </w:tcBorders>
            <w:vAlign w:val="center"/>
          </w:tcPr>
          <w:p w14:paraId="2E36AF70"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0.44</w:t>
            </w:r>
          </w:p>
        </w:tc>
        <w:tc>
          <w:tcPr>
            <w:tcW w:w="750" w:type="dxa"/>
            <w:tcBorders>
              <w:top w:val="single" w:sz="4" w:space="0" w:color="auto"/>
              <w:left w:val="single" w:sz="4" w:space="0" w:color="auto"/>
              <w:bottom w:val="single" w:sz="4" w:space="0" w:color="auto"/>
              <w:right w:val="single" w:sz="4" w:space="0" w:color="auto"/>
            </w:tcBorders>
            <w:vAlign w:val="center"/>
          </w:tcPr>
          <w:p w14:paraId="02F52DD0"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13.95</w:t>
            </w:r>
          </w:p>
        </w:tc>
        <w:tc>
          <w:tcPr>
            <w:tcW w:w="758" w:type="dxa"/>
            <w:tcBorders>
              <w:top w:val="single" w:sz="4" w:space="0" w:color="auto"/>
              <w:left w:val="single" w:sz="4" w:space="0" w:color="auto"/>
              <w:bottom w:val="single" w:sz="4" w:space="0" w:color="auto"/>
              <w:right w:val="single" w:sz="4" w:space="0" w:color="auto"/>
            </w:tcBorders>
            <w:vAlign w:val="center"/>
          </w:tcPr>
          <w:p w14:paraId="12EB3B0A"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14.76</w:t>
            </w:r>
          </w:p>
        </w:tc>
        <w:tc>
          <w:tcPr>
            <w:tcW w:w="669" w:type="dxa"/>
            <w:tcBorders>
              <w:top w:val="single" w:sz="4" w:space="0" w:color="auto"/>
              <w:left w:val="single" w:sz="4" w:space="0" w:color="auto"/>
              <w:bottom w:val="single" w:sz="4" w:space="0" w:color="auto"/>
              <w:right w:val="single" w:sz="4" w:space="0" w:color="auto"/>
            </w:tcBorders>
            <w:vAlign w:val="center"/>
          </w:tcPr>
          <w:p w14:paraId="6544A422"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0.84</w:t>
            </w:r>
          </w:p>
        </w:tc>
        <w:tc>
          <w:tcPr>
            <w:tcW w:w="610" w:type="dxa"/>
            <w:tcBorders>
              <w:top w:val="single" w:sz="4" w:space="0" w:color="auto"/>
              <w:left w:val="single" w:sz="4" w:space="0" w:color="auto"/>
              <w:bottom w:val="single" w:sz="4" w:space="0" w:color="auto"/>
              <w:right w:val="single" w:sz="4" w:space="0" w:color="auto"/>
            </w:tcBorders>
            <w:vAlign w:val="center"/>
          </w:tcPr>
          <w:p w14:paraId="1559915C"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0.99</w:t>
            </w:r>
          </w:p>
        </w:tc>
      </w:tr>
      <w:tr w:rsidR="00B63832" w:rsidRPr="00556D10" w14:paraId="0D8A2868" w14:textId="77777777" w:rsidTr="00B63832">
        <w:trPr>
          <w:trHeight w:val="197"/>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73BBB80D"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WED</w:t>
            </w:r>
          </w:p>
        </w:tc>
        <w:tc>
          <w:tcPr>
            <w:tcW w:w="748" w:type="dxa"/>
            <w:tcBorders>
              <w:top w:val="nil"/>
              <w:left w:val="nil"/>
              <w:bottom w:val="single" w:sz="4" w:space="0" w:color="auto"/>
              <w:right w:val="single" w:sz="4" w:space="0" w:color="auto"/>
            </w:tcBorders>
            <w:shd w:val="clear" w:color="auto" w:fill="auto"/>
            <w:noWrap/>
            <w:vAlign w:val="center"/>
            <w:hideMark/>
          </w:tcPr>
          <w:p w14:paraId="0390D0C6"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1.09</w:t>
            </w:r>
          </w:p>
        </w:tc>
        <w:tc>
          <w:tcPr>
            <w:tcW w:w="831" w:type="dxa"/>
            <w:tcBorders>
              <w:top w:val="nil"/>
              <w:left w:val="nil"/>
              <w:bottom w:val="single" w:sz="4" w:space="0" w:color="auto"/>
              <w:right w:val="single" w:sz="4" w:space="0" w:color="auto"/>
            </w:tcBorders>
            <w:shd w:val="clear" w:color="auto" w:fill="auto"/>
            <w:noWrap/>
            <w:vAlign w:val="center"/>
            <w:hideMark/>
          </w:tcPr>
          <w:p w14:paraId="65A5EDC1"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0.15</w:t>
            </w:r>
          </w:p>
        </w:tc>
        <w:tc>
          <w:tcPr>
            <w:tcW w:w="748" w:type="dxa"/>
            <w:tcBorders>
              <w:top w:val="nil"/>
              <w:left w:val="nil"/>
              <w:bottom w:val="single" w:sz="4" w:space="0" w:color="auto"/>
              <w:right w:val="single" w:sz="4" w:space="0" w:color="auto"/>
            </w:tcBorders>
            <w:shd w:val="clear" w:color="auto" w:fill="auto"/>
            <w:noWrap/>
            <w:vAlign w:val="center"/>
            <w:hideMark/>
          </w:tcPr>
          <w:p w14:paraId="299EFD4D"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15.27</w:t>
            </w:r>
          </w:p>
        </w:tc>
        <w:tc>
          <w:tcPr>
            <w:tcW w:w="759" w:type="dxa"/>
            <w:tcBorders>
              <w:top w:val="nil"/>
              <w:left w:val="nil"/>
              <w:bottom w:val="single" w:sz="4" w:space="0" w:color="auto"/>
              <w:right w:val="single" w:sz="4" w:space="0" w:color="auto"/>
            </w:tcBorders>
            <w:shd w:val="clear" w:color="auto" w:fill="auto"/>
            <w:noWrap/>
            <w:vAlign w:val="center"/>
            <w:hideMark/>
          </w:tcPr>
          <w:p w14:paraId="536833EF"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16.08</w:t>
            </w:r>
          </w:p>
        </w:tc>
        <w:tc>
          <w:tcPr>
            <w:tcW w:w="669" w:type="dxa"/>
            <w:tcBorders>
              <w:top w:val="nil"/>
              <w:left w:val="nil"/>
              <w:bottom w:val="single" w:sz="4" w:space="0" w:color="auto"/>
              <w:right w:val="single" w:sz="4" w:space="0" w:color="auto"/>
            </w:tcBorders>
            <w:shd w:val="clear" w:color="auto" w:fill="auto"/>
            <w:noWrap/>
            <w:vAlign w:val="center"/>
            <w:hideMark/>
          </w:tcPr>
          <w:p w14:paraId="5F9D442B"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7.07</w:t>
            </w:r>
          </w:p>
        </w:tc>
        <w:tc>
          <w:tcPr>
            <w:tcW w:w="588" w:type="dxa"/>
            <w:tcBorders>
              <w:top w:val="nil"/>
              <w:left w:val="nil"/>
              <w:bottom w:val="single" w:sz="4" w:space="0" w:color="auto"/>
              <w:right w:val="single" w:sz="4" w:space="0" w:color="auto"/>
            </w:tcBorders>
            <w:shd w:val="clear" w:color="auto" w:fill="auto"/>
            <w:noWrap/>
            <w:vAlign w:val="center"/>
            <w:hideMark/>
          </w:tcPr>
          <w:p w14:paraId="2F4D187D"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1.00</w:t>
            </w:r>
          </w:p>
        </w:tc>
        <w:tc>
          <w:tcPr>
            <w:tcW w:w="750" w:type="dxa"/>
            <w:tcBorders>
              <w:top w:val="single" w:sz="4" w:space="0" w:color="auto"/>
              <w:left w:val="nil"/>
              <w:bottom w:val="single" w:sz="4" w:space="0" w:color="auto"/>
              <w:right w:val="single" w:sz="4" w:space="0" w:color="auto"/>
            </w:tcBorders>
            <w:vAlign w:val="center"/>
          </w:tcPr>
          <w:p w14:paraId="3BB13858"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0.62</w:t>
            </w:r>
          </w:p>
        </w:tc>
        <w:tc>
          <w:tcPr>
            <w:tcW w:w="835" w:type="dxa"/>
            <w:tcBorders>
              <w:top w:val="single" w:sz="4" w:space="0" w:color="auto"/>
              <w:left w:val="single" w:sz="4" w:space="0" w:color="auto"/>
              <w:bottom w:val="single" w:sz="4" w:space="0" w:color="auto"/>
              <w:right w:val="single" w:sz="4" w:space="0" w:color="auto"/>
            </w:tcBorders>
            <w:vAlign w:val="center"/>
          </w:tcPr>
          <w:p w14:paraId="18CB6602"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0.32</w:t>
            </w:r>
          </w:p>
        </w:tc>
        <w:tc>
          <w:tcPr>
            <w:tcW w:w="750" w:type="dxa"/>
            <w:tcBorders>
              <w:top w:val="single" w:sz="4" w:space="0" w:color="auto"/>
              <w:left w:val="single" w:sz="4" w:space="0" w:color="auto"/>
              <w:bottom w:val="single" w:sz="4" w:space="0" w:color="auto"/>
              <w:right w:val="single" w:sz="4" w:space="0" w:color="auto"/>
            </w:tcBorders>
            <w:vAlign w:val="center"/>
          </w:tcPr>
          <w:p w14:paraId="4E150CA1"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14.30</w:t>
            </w:r>
          </w:p>
        </w:tc>
        <w:tc>
          <w:tcPr>
            <w:tcW w:w="758" w:type="dxa"/>
            <w:tcBorders>
              <w:top w:val="single" w:sz="4" w:space="0" w:color="auto"/>
              <w:left w:val="single" w:sz="4" w:space="0" w:color="auto"/>
              <w:bottom w:val="single" w:sz="4" w:space="0" w:color="auto"/>
              <w:right w:val="single" w:sz="4" w:space="0" w:color="auto"/>
            </w:tcBorders>
            <w:vAlign w:val="center"/>
          </w:tcPr>
          <w:p w14:paraId="18925548"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15.19</w:t>
            </w:r>
          </w:p>
        </w:tc>
        <w:tc>
          <w:tcPr>
            <w:tcW w:w="669" w:type="dxa"/>
            <w:tcBorders>
              <w:top w:val="single" w:sz="4" w:space="0" w:color="auto"/>
              <w:left w:val="single" w:sz="4" w:space="0" w:color="auto"/>
              <w:bottom w:val="single" w:sz="4" w:space="0" w:color="auto"/>
              <w:right w:val="single" w:sz="4" w:space="0" w:color="auto"/>
            </w:tcBorders>
            <w:vAlign w:val="center"/>
          </w:tcPr>
          <w:p w14:paraId="40DE6800"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1.93</w:t>
            </w:r>
          </w:p>
        </w:tc>
        <w:tc>
          <w:tcPr>
            <w:tcW w:w="610" w:type="dxa"/>
            <w:tcBorders>
              <w:top w:val="single" w:sz="4" w:space="0" w:color="auto"/>
              <w:left w:val="single" w:sz="4" w:space="0" w:color="auto"/>
              <w:bottom w:val="single" w:sz="4" w:space="0" w:color="auto"/>
              <w:right w:val="single" w:sz="4" w:space="0" w:color="auto"/>
            </w:tcBorders>
            <w:vAlign w:val="center"/>
          </w:tcPr>
          <w:p w14:paraId="2F488E5C"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0.99</w:t>
            </w:r>
          </w:p>
        </w:tc>
      </w:tr>
      <w:tr w:rsidR="00B63832" w:rsidRPr="00556D10" w14:paraId="5A4E64A0" w14:textId="77777777" w:rsidTr="00B63832">
        <w:trPr>
          <w:trHeight w:val="197"/>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083CCE1D"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WGD</w:t>
            </w:r>
          </w:p>
        </w:tc>
        <w:tc>
          <w:tcPr>
            <w:tcW w:w="748" w:type="dxa"/>
            <w:tcBorders>
              <w:top w:val="nil"/>
              <w:left w:val="nil"/>
              <w:bottom w:val="single" w:sz="4" w:space="0" w:color="auto"/>
              <w:right w:val="single" w:sz="4" w:space="0" w:color="auto"/>
            </w:tcBorders>
            <w:shd w:val="clear" w:color="auto" w:fill="auto"/>
            <w:noWrap/>
            <w:vAlign w:val="center"/>
            <w:hideMark/>
          </w:tcPr>
          <w:p w14:paraId="1FBBE815"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0.49</w:t>
            </w:r>
          </w:p>
        </w:tc>
        <w:tc>
          <w:tcPr>
            <w:tcW w:w="831" w:type="dxa"/>
            <w:tcBorders>
              <w:top w:val="nil"/>
              <w:left w:val="nil"/>
              <w:bottom w:val="single" w:sz="4" w:space="0" w:color="auto"/>
              <w:right w:val="single" w:sz="4" w:space="0" w:color="auto"/>
            </w:tcBorders>
            <w:shd w:val="clear" w:color="auto" w:fill="auto"/>
            <w:noWrap/>
            <w:vAlign w:val="center"/>
            <w:hideMark/>
          </w:tcPr>
          <w:p w14:paraId="06C3344A"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0.53</w:t>
            </w:r>
          </w:p>
        </w:tc>
        <w:tc>
          <w:tcPr>
            <w:tcW w:w="748" w:type="dxa"/>
            <w:tcBorders>
              <w:top w:val="nil"/>
              <w:left w:val="nil"/>
              <w:bottom w:val="single" w:sz="4" w:space="0" w:color="auto"/>
              <w:right w:val="single" w:sz="4" w:space="0" w:color="auto"/>
            </w:tcBorders>
            <w:shd w:val="clear" w:color="auto" w:fill="auto"/>
            <w:noWrap/>
            <w:vAlign w:val="center"/>
            <w:hideMark/>
          </w:tcPr>
          <w:p w14:paraId="09B9B960"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15.27</w:t>
            </w:r>
          </w:p>
        </w:tc>
        <w:tc>
          <w:tcPr>
            <w:tcW w:w="759" w:type="dxa"/>
            <w:tcBorders>
              <w:top w:val="nil"/>
              <w:left w:val="nil"/>
              <w:bottom w:val="single" w:sz="4" w:space="0" w:color="auto"/>
              <w:right w:val="single" w:sz="4" w:space="0" w:color="auto"/>
            </w:tcBorders>
            <w:shd w:val="clear" w:color="auto" w:fill="auto"/>
            <w:noWrap/>
            <w:vAlign w:val="center"/>
            <w:hideMark/>
          </w:tcPr>
          <w:p w14:paraId="35095E15"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16.29</w:t>
            </w:r>
          </w:p>
        </w:tc>
        <w:tc>
          <w:tcPr>
            <w:tcW w:w="669" w:type="dxa"/>
            <w:tcBorders>
              <w:top w:val="nil"/>
              <w:left w:val="nil"/>
              <w:bottom w:val="single" w:sz="4" w:space="0" w:color="auto"/>
              <w:right w:val="single" w:sz="4" w:space="0" w:color="auto"/>
            </w:tcBorders>
            <w:shd w:val="clear" w:color="auto" w:fill="auto"/>
            <w:noWrap/>
            <w:vAlign w:val="center"/>
            <w:hideMark/>
          </w:tcPr>
          <w:p w14:paraId="436B2D09"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0.93</w:t>
            </w:r>
          </w:p>
        </w:tc>
        <w:tc>
          <w:tcPr>
            <w:tcW w:w="588" w:type="dxa"/>
            <w:tcBorders>
              <w:top w:val="nil"/>
              <w:left w:val="nil"/>
              <w:bottom w:val="single" w:sz="4" w:space="0" w:color="auto"/>
              <w:right w:val="single" w:sz="4" w:space="0" w:color="auto"/>
            </w:tcBorders>
            <w:shd w:val="clear" w:color="auto" w:fill="auto"/>
            <w:noWrap/>
            <w:vAlign w:val="center"/>
            <w:hideMark/>
          </w:tcPr>
          <w:p w14:paraId="01AB9135"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0.93</w:t>
            </w:r>
          </w:p>
        </w:tc>
        <w:tc>
          <w:tcPr>
            <w:tcW w:w="750" w:type="dxa"/>
            <w:tcBorders>
              <w:top w:val="single" w:sz="4" w:space="0" w:color="auto"/>
              <w:left w:val="nil"/>
              <w:bottom w:val="single" w:sz="4" w:space="0" w:color="auto"/>
              <w:right w:val="single" w:sz="4" w:space="0" w:color="auto"/>
            </w:tcBorders>
            <w:vAlign w:val="center"/>
          </w:tcPr>
          <w:p w14:paraId="2DEE570D"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0.15</w:t>
            </w:r>
          </w:p>
        </w:tc>
        <w:tc>
          <w:tcPr>
            <w:tcW w:w="835" w:type="dxa"/>
            <w:tcBorders>
              <w:top w:val="single" w:sz="4" w:space="0" w:color="auto"/>
              <w:left w:val="single" w:sz="4" w:space="0" w:color="auto"/>
              <w:bottom w:val="single" w:sz="4" w:space="0" w:color="auto"/>
              <w:right w:val="single" w:sz="4" w:space="0" w:color="auto"/>
            </w:tcBorders>
            <w:vAlign w:val="center"/>
          </w:tcPr>
          <w:p w14:paraId="2B8E5B6D"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0.93</w:t>
            </w:r>
          </w:p>
        </w:tc>
        <w:tc>
          <w:tcPr>
            <w:tcW w:w="750" w:type="dxa"/>
            <w:tcBorders>
              <w:top w:val="single" w:sz="4" w:space="0" w:color="auto"/>
              <w:left w:val="single" w:sz="4" w:space="0" w:color="auto"/>
              <w:bottom w:val="single" w:sz="4" w:space="0" w:color="auto"/>
              <w:right w:val="single" w:sz="4" w:space="0" w:color="auto"/>
            </w:tcBorders>
            <w:vAlign w:val="center"/>
          </w:tcPr>
          <w:p w14:paraId="0F563CF1"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14.30</w:t>
            </w:r>
          </w:p>
        </w:tc>
        <w:tc>
          <w:tcPr>
            <w:tcW w:w="758" w:type="dxa"/>
            <w:tcBorders>
              <w:top w:val="single" w:sz="4" w:space="0" w:color="auto"/>
              <w:left w:val="single" w:sz="4" w:space="0" w:color="auto"/>
              <w:bottom w:val="single" w:sz="4" w:space="0" w:color="auto"/>
              <w:right w:val="single" w:sz="4" w:space="0" w:color="auto"/>
            </w:tcBorders>
            <w:vAlign w:val="center"/>
          </w:tcPr>
          <w:p w14:paraId="7A6CA2F1"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15.05</w:t>
            </w:r>
          </w:p>
        </w:tc>
        <w:tc>
          <w:tcPr>
            <w:tcW w:w="669" w:type="dxa"/>
            <w:tcBorders>
              <w:top w:val="single" w:sz="4" w:space="0" w:color="auto"/>
              <w:left w:val="single" w:sz="4" w:space="0" w:color="auto"/>
              <w:bottom w:val="single" w:sz="4" w:space="0" w:color="auto"/>
              <w:right w:val="single" w:sz="4" w:space="0" w:color="auto"/>
            </w:tcBorders>
            <w:vAlign w:val="center"/>
          </w:tcPr>
          <w:p w14:paraId="34B3FD00"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0.16</w:t>
            </w:r>
          </w:p>
        </w:tc>
        <w:tc>
          <w:tcPr>
            <w:tcW w:w="610" w:type="dxa"/>
            <w:tcBorders>
              <w:top w:val="single" w:sz="4" w:space="0" w:color="auto"/>
              <w:left w:val="single" w:sz="4" w:space="0" w:color="auto"/>
              <w:bottom w:val="single" w:sz="4" w:space="0" w:color="auto"/>
              <w:right w:val="single" w:sz="4" w:space="0" w:color="auto"/>
            </w:tcBorders>
            <w:vAlign w:val="center"/>
          </w:tcPr>
          <w:p w14:paraId="77FDAFCE"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0.99</w:t>
            </w:r>
          </w:p>
        </w:tc>
      </w:tr>
      <w:tr w:rsidR="00B63832" w:rsidRPr="00556D10" w14:paraId="69A09726" w14:textId="77777777" w:rsidTr="00B63832">
        <w:trPr>
          <w:trHeight w:val="197"/>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0C773275"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WFD</w:t>
            </w:r>
          </w:p>
        </w:tc>
        <w:tc>
          <w:tcPr>
            <w:tcW w:w="748" w:type="dxa"/>
            <w:tcBorders>
              <w:top w:val="nil"/>
              <w:left w:val="nil"/>
              <w:bottom w:val="single" w:sz="4" w:space="0" w:color="auto"/>
              <w:right w:val="single" w:sz="4" w:space="0" w:color="auto"/>
            </w:tcBorders>
            <w:shd w:val="clear" w:color="auto" w:fill="auto"/>
            <w:noWrap/>
            <w:vAlign w:val="center"/>
            <w:hideMark/>
          </w:tcPr>
          <w:p w14:paraId="53D76E4C"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0.20</w:t>
            </w:r>
          </w:p>
        </w:tc>
        <w:tc>
          <w:tcPr>
            <w:tcW w:w="831" w:type="dxa"/>
            <w:tcBorders>
              <w:top w:val="nil"/>
              <w:left w:val="nil"/>
              <w:bottom w:val="single" w:sz="4" w:space="0" w:color="auto"/>
              <w:right w:val="single" w:sz="4" w:space="0" w:color="auto"/>
            </w:tcBorders>
            <w:shd w:val="clear" w:color="auto" w:fill="auto"/>
            <w:noWrap/>
            <w:vAlign w:val="center"/>
            <w:hideMark/>
          </w:tcPr>
          <w:p w14:paraId="0AAF3181"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0.97</w:t>
            </w:r>
          </w:p>
        </w:tc>
        <w:tc>
          <w:tcPr>
            <w:tcW w:w="748" w:type="dxa"/>
            <w:tcBorders>
              <w:top w:val="nil"/>
              <w:left w:val="nil"/>
              <w:bottom w:val="single" w:sz="4" w:space="0" w:color="auto"/>
              <w:right w:val="single" w:sz="4" w:space="0" w:color="auto"/>
            </w:tcBorders>
            <w:shd w:val="clear" w:color="auto" w:fill="auto"/>
            <w:noWrap/>
            <w:vAlign w:val="center"/>
            <w:hideMark/>
          </w:tcPr>
          <w:p w14:paraId="7E0AD7CF"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15.27</w:t>
            </w:r>
          </w:p>
        </w:tc>
        <w:tc>
          <w:tcPr>
            <w:tcW w:w="759" w:type="dxa"/>
            <w:tcBorders>
              <w:top w:val="nil"/>
              <w:left w:val="nil"/>
              <w:bottom w:val="single" w:sz="4" w:space="0" w:color="auto"/>
              <w:right w:val="single" w:sz="4" w:space="0" w:color="auto"/>
            </w:tcBorders>
            <w:shd w:val="clear" w:color="auto" w:fill="auto"/>
            <w:noWrap/>
            <w:vAlign w:val="center"/>
            <w:hideMark/>
          </w:tcPr>
          <w:p w14:paraId="01061804"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16.15</w:t>
            </w:r>
          </w:p>
        </w:tc>
        <w:tc>
          <w:tcPr>
            <w:tcW w:w="669" w:type="dxa"/>
            <w:tcBorders>
              <w:top w:val="nil"/>
              <w:left w:val="nil"/>
              <w:bottom w:val="single" w:sz="4" w:space="0" w:color="auto"/>
              <w:right w:val="single" w:sz="4" w:space="0" w:color="auto"/>
            </w:tcBorders>
            <w:shd w:val="clear" w:color="auto" w:fill="auto"/>
            <w:noWrap/>
            <w:vAlign w:val="center"/>
            <w:hideMark/>
          </w:tcPr>
          <w:p w14:paraId="61D3EFA6"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0.21</w:t>
            </w:r>
          </w:p>
        </w:tc>
        <w:tc>
          <w:tcPr>
            <w:tcW w:w="588" w:type="dxa"/>
            <w:tcBorders>
              <w:top w:val="nil"/>
              <w:left w:val="nil"/>
              <w:bottom w:val="single" w:sz="4" w:space="0" w:color="auto"/>
              <w:right w:val="single" w:sz="4" w:space="0" w:color="auto"/>
            </w:tcBorders>
            <w:shd w:val="clear" w:color="auto" w:fill="auto"/>
            <w:noWrap/>
            <w:vAlign w:val="center"/>
            <w:hideMark/>
          </w:tcPr>
          <w:p w14:paraId="1A9D94DD"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0.98</w:t>
            </w:r>
          </w:p>
        </w:tc>
        <w:tc>
          <w:tcPr>
            <w:tcW w:w="750" w:type="dxa"/>
            <w:tcBorders>
              <w:top w:val="single" w:sz="4" w:space="0" w:color="auto"/>
              <w:left w:val="nil"/>
              <w:bottom w:val="single" w:sz="4" w:space="0" w:color="auto"/>
              <w:right w:val="single" w:sz="4" w:space="0" w:color="auto"/>
            </w:tcBorders>
            <w:vAlign w:val="center"/>
          </w:tcPr>
          <w:p w14:paraId="2A64B442"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0.01</w:t>
            </w:r>
          </w:p>
        </w:tc>
        <w:tc>
          <w:tcPr>
            <w:tcW w:w="835" w:type="dxa"/>
            <w:tcBorders>
              <w:top w:val="single" w:sz="4" w:space="0" w:color="auto"/>
              <w:left w:val="single" w:sz="4" w:space="0" w:color="auto"/>
              <w:bottom w:val="single" w:sz="4" w:space="0" w:color="auto"/>
              <w:right w:val="single" w:sz="4" w:space="0" w:color="auto"/>
            </w:tcBorders>
            <w:vAlign w:val="center"/>
          </w:tcPr>
          <w:p w14:paraId="746416E0"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1.63</w:t>
            </w:r>
          </w:p>
        </w:tc>
        <w:tc>
          <w:tcPr>
            <w:tcW w:w="750" w:type="dxa"/>
            <w:tcBorders>
              <w:top w:val="single" w:sz="4" w:space="0" w:color="auto"/>
              <w:left w:val="single" w:sz="4" w:space="0" w:color="auto"/>
              <w:bottom w:val="single" w:sz="4" w:space="0" w:color="auto"/>
              <w:right w:val="single" w:sz="4" w:space="0" w:color="auto"/>
            </w:tcBorders>
            <w:vAlign w:val="center"/>
          </w:tcPr>
          <w:p w14:paraId="3ECE737B"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14.30</w:t>
            </w:r>
          </w:p>
        </w:tc>
        <w:tc>
          <w:tcPr>
            <w:tcW w:w="758" w:type="dxa"/>
            <w:tcBorders>
              <w:top w:val="single" w:sz="4" w:space="0" w:color="auto"/>
              <w:left w:val="single" w:sz="4" w:space="0" w:color="auto"/>
              <w:bottom w:val="single" w:sz="4" w:space="0" w:color="auto"/>
              <w:right w:val="single" w:sz="4" w:space="0" w:color="auto"/>
            </w:tcBorders>
            <w:vAlign w:val="center"/>
          </w:tcPr>
          <w:p w14:paraId="113102F0"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14.49</w:t>
            </w:r>
          </w:p>
        </w:tc>
        <w:tc>
          <w:tcPr>
            <w:tcW w:w="669" w:type="dxa"/>
            <w:tcBorders>
              <w:top w:val="single" w:sz="4" w:space="0" w:color="auto"/>
              <w:left w:val="single" w:sz="4" w:space="0" w:color="auto"/>
              <w:bottom w:val="single" w:sz="4" w:space="0" w:color="auto"/>
              <w:right w:val="single" w:sz="4" w:space="0" w:color="auto"/>
            </w:tcBorders>
            <w:vAlign w:val="center"/>
          </w:tcPr>
          <w:p w14:paraId="204A6F15"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0.00</w:t>
            </w:r>
          </w:p>
        </w:tc>
        <w:tc>
          <w:tcPr>
            <w:tcW w:w="610" w:type="dxa"/>
            <w:tcBorders>
              <w:top w:val="single" w:sz="4" w:space="0" w:color="auto"/>
              <w:left w:val="single" w:sz="4" w:space="0" w:color="auto"/>
              <w:bottom w:val="single" w:sz="4" w:space="0" w:color="auto"/>
              <w:right w:val="single" w:sz="4" w:space="0" w:color="auto"/>
            </w:tcBorders>
            <w:vAlign w:val="center"/>
          </w:tcPr>
          <w:p w14:paraId="62942D74"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1.00</w:t>
            </w:r>
          </w:p>
        </w:tc>
      </w:tr>
      <w:tr w:rsidR="00B63832" w:rsidRPr="00556D10" w14:paraId="6B24F9FB" w14:textId="77777777" w:rsidTr="00B63832">
        <w:trPr>
          <w:trHeight w:val="197"/>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50D38F1B"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WFG</w:t>
            </w:r>
          </w:p>
        </w:tc>
        <w:tc>
          <w:tcPr>
            <w:tcW w:w="748" w:type="dxa"/>
            <w:tcBorders>
              <w:top w:val="nil"/>
              <w:left w:val="nil"/>
              <w:bottom w:val="single" w:sz="4" w:space="0" w:color="auto"/>
              <w:right w:val="single" w:sz="4" w:space="0" w:color="auto"/>
            </w:tcBorders>
            <w:shd w:val="clear" w:color="auto" w:fill="auto"/>
            <w:noWrap/>
            <w:vAlign w:val="center"/>
            <w:hideMark/>
          </w:tcPr>
          <w:p w14:paraId="5F25D3C7"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1.73</w:t>
            </w:r>
          </w:p>
        </w:tc>
        <w:tc>
          <w:tcPr>
            <w:tcW w:w="831" w:type="dxa"/>
            <w:tcBorders>
              <w:top w:val="nil"/>
              <w:left w:val="nil"/>
              <w:bottom w:val="single" w:sz="4" w:space="0" w:color="auto"/>
              <w:right w:val="single" w:sz="4" w:space="0" w:color="auto"/>
            </w:tcBorders>
            <w:shd w:val="clear" w:color="auto" w:fill="auto"/>
            <w:noWrap/>
            <w:vAlign w:val="center"/>
            <w:hideMark/>
          </w:tcPr>
          <w:p w14:paraId="493A5262"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0.83</w:t>
            </w:r>
          </w:p>
        </w:tc>
        <w:tc>
          <w:tcPr>
            <w:tcW w:w="748" w:type="dxa"/>
            <w:tcBorders>
              <w:top w:val="nil"/>
              <w:left w:val="nil"/>
              <w:bottom w:val="single" w:sz="4" w:space="0" w:color="auto"/>
              <w:right w:val="single" w:sz="4" w:space="0" w:color="auto"/>
            </w:tcBorders>
            <w:shd w:val="clear" w:color="auto" w:fill="auto"/>
            <w:noWrap/>
            <w:vAlign w:val="center"/>
            <w:hideMark/>
          </w:tcPr>
          <w:p w14:paraId="5D775251"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9.30</w:t>
            </w:r>
          </w:p>
        </w:tc>
        <w:tc>
          <w:tcPr>
            <w:tcW w:w="759" w:type="dxa"/>
            <w:tcBorders>
              <w:top w:val="nil"/>
              <w:left w:val="nil"/>
              <w:bottom w:val="single" w:sz="4" w:space="0" w:color="auto"/>
              <w:right w:val="single" w:sz="4" w:space="0" w:color="auto"/>
            </w:tcBorders>
            <w:shd w:val="clear" w:color="auto" w:fill="auto"/>
            <w:noWrap/>
            <w:vAlign w:val="center"/>
            <w:hideMark/>
          </w:tcPr>
          <w:p w14:paraId="459DC9AA"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11.70</w:t>
            </w:r>
          </w:p>
        </w:tc>
        <w:tc>
          <w:tcPr>
            <w:tcW w:w="669" w:type="dxa"/>
            <w:tcBorders>
              <w:top w:val="nil"/>
              <w:left w:val="nil"/>
              <w:bottom w:val="single" w:sz="4" w:space="0" w:color="auto"/>
              <w:right w:val="single" w:sz="4" w:space="0" w:color="auto"/>
            </w:tcBorders>
            <w:shd w:val="clear" w:color="auto" w:fill="auto"/>
            <w:noWrap/>
            <w:vAlign w:val="center"/>
            <w:hideMark/>
          </w:tcPr>
          <w:p w14:paraId="514E493C"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2.09</w:t>
            </w:r>
          </w:p>
        </w:tc>
        <w:tc>
          <w:tcPr>
            <w:tcW w:w="588" w:type="dxa"/>
            <w:tcBorders>
              <w:top w:val="nil"/>
              <w:left w:val="nil"/>
              <w:bottom w:val="single" w:sz="4" w:space="0" w:color="auto"/>
              <w:right w:val="single" w:sz="4" w:space="0" w:color="auto"/>
            </w:tcBorders>
            <w:shd w:val="clear" w:color="auto" w:fill="auto"/>
            <w:noWrap/>
            <w:vAlign w:val="center"/>
            <w:hideMark/>
          </w:tcPr>
          <w:p w14:paraId="435C71C4"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0.95</w:t>
            </w:r>
          </w:p>
        </w:tc>
        <w:tc>
          <w:tcPr>
            <w:tcW w:w="750" w:type="dxa"/>
            <w:tcBorders>
              <w:top w:val="single" w:sz="4" w:space="0" w:color="auto"/>
              <w:left w:val="nil"/>
              <w:bottom w:val="single" w:sz="4" w:space="0" w:color="auto"/>
              <w:right w:val="single" w:sz="4" w:space="0" w:color="auto"/>
            </w:tcBorders>
            <w:vAlign w:val="center"/>
          </w:tcPr>
          <w:p w14:paraId="4C85466B"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1.29</w:t>
            </w:r>
          </w:p>
        </w:tc>
        <w:tc>
          <w:tcPr>
            <w:tcW w:w="835" w:type="dxa"/>
            <w:tcBorders>
              <w:top w:val="single" w:sz="4" w:space="0" w:color="auto"/>
              <w:left w:val="single" w:sz="4" w:space="0" w:color="auto"/>
              <w:bottom w:val="single" w:sz="4" w:space="0" w:color="auto"/>
              <w:right w:val="single" w:sz="4" w:space="0" w:color="auto"/>
            </w:tcBorders>
            <w:vAlign w:val="center"/>
          </w:tcPr>
          <w:p w14:paraId="2FEB4506"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1.40</w:t>
            </w:r>
          </w:p>
        </w:tc>
        <w:tc>
          <w:tcPr>
            <w:tcW w:w="750" w:type="dxa"/>
            <w:tcBorders>
              <w:top w:val="single" w:sz="4" w:space="0" w:color="auto"/>
              <w:left w:val="single" w:sz="4" w:space="0" w:color="auto"/>
              <w:bottom w:val="single" w:sz="4" w:space="0" w:color="auto"/>
              <w:right w:val="single" w:sz="4" w:space="0" w:color="auto"/>
            </w:tcBorders>
            <w:vAlign w:val="center"/>
          </w:tcPr>
          <w:p w14:paraId="6FC3BBF6"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7.49</w:t>
            </w:r>
          </w:p>
        </w:tc>
        <w:tc>
          <w:tcPr>
            <w:tcW w:w="758" w:type="dxa"/>
            <w:tcBorders>
              <w:top w:val="single" w:sz="4" w:space="0" w:color="auto"/>
              <w:left w:val="single" w:sz="4" w:space="0" w:color="auto"/>
              <w:bottom w:val="single" w:sz="4" w:space="0" w:color="auto"/>
              <w:right w:val="single" w:sz="4" w:space="0" w:color="auto"/>
            </w:tcBorders>
            <w:vAlign w:val="center"/>
          </w:tcPr>
          <w:p w14:paraId="430EC2D4"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10.18</w:t>
            </w:r>
          </w:p>
        </w:tc>
        <w:tc>
          <w:tcPr>
            <w:tcW w:w="669" w:type="dxa"/>
            <w:tcBorders>
              <w:top w:val="single" w:sz="4" w:space="0" w:color="auto"/>
              <w:left w:val="single" w:sz="4" w:space="0" w:color="auto"/>
              <w:bottom w:val="single" w:sz="4" w:space="0" w:color="auto"/>
              <w:right w:val="single" w:sz="4" w:space="0" w:color="auto"/>
            </w:tcBorders>
            <w:vAlign w:val="center"/>
          </w:tcPr>
          <w:p w14:paraId="28551F9A"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0.92</w:t>
            </w:r>
          </w:p>
        </w:tc>
        <w:tc>
          <w:tcPr>
            <w:tcW w:w="610" w:type="dxa"/>
            <w:tcBorders>
              <w:top w:val="single" w:sz="4" w:space="0" w:color="auto"/>
              <w:left w:val="single" w:sz="4" w:space="0" w:color="auto"/>
              <w:bottom w:val="single" w:sz="4" w:space="0" w:color="auto"/>
              <w:right w:val="single" w:sz="4" w:space="0" w:color="auto"/>
            </w:tcBorders>
            <w:vAlign w:val="center"/>
          </w:tcPr>
          <w:p w14:paraId="64AA0F97"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0.97</w:t>
            </w:r>
          </w:p>
        </w:tc>
      </w:tr>
      <w:tr w:rsidR="00B63832" w:rsidRPr="00556D10" w14:paraId="647811C3" w14:textId="77777777" w:rsidTr="00B63832">
        <w:trPr>
          <w:trHeight w:val="197"/>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04970221"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WFE</w:t>
            </w:r>
          </w:p>
        </w:tc>
        <w:tc>
          <w:tcPr>
            <w:tcW w:w="748" w:type="dxa"/>
            <w:tcBorders>
              <w:top w:val="nil"/>
              <w:left w:val="nil"/>
              <w:bottom w:val="single" w:sz="4" w:space="0" w:color="auto"/>
              <w:right w:val="single" w:sz="4" w:space="0" w:color="auto"/>
            </w:tcBorders>
            <w:shd w:val="clear" w:color="auto" w:fill="auto"/>
            <w:noWrap/>
            <w:vAlign w:val="center"/>
            <w:hideMark/>
          </w:tcPr>
          <w:p w14:paraId="30396DDA"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7.49</w:t>
            </w:r>
          </w:p>
        </w:tc>
        <w:tc>
          <w:tcPr>
            <w:tcW w:w="831" w:type="dxa"/>
            <w:tcBorders>
              <w:top w:val="nil"/>
              <w:left w:val="nil"/>
              <w:bottom w:val="single" w:sz="4" w:space="0" w:color="auto"/>
              <w:right w:val="single" w:sz="4" w:space="0" w:color="auto"/>
            </w:tcBorders>
            <w:shd w:val="clear" w:color="auto" w:fill="auto"/>
            <w:noWrap/>
            <w:vAlign w:val="center"/>
            <w:hideMark/>
          </w:tcPr>
          <w:p w14:paraId="26381113"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0.62</w:t>
            </w:r>
          </w:p>
        </w:tc>
        <w:tc>
          <w:tcPr>
            <w:tcW w:w="748" w:type="dxa"/>
            <w:tcBorders>
              <w:top w:val="nil"/>
              <w:left w:val="nil"/>
              <w:bottom w:val="single" w:sz="4" w:space="0" w:color="auto"/>
              <w:right w:val="single" w:sz="4" w:space="0" w:color="auto"/>
            </w:tcBorders>
            <w:shd w:val="clear" w:color="auto" w:fill="auto"/>
            <w:noWrap/>
            <w:vAlign w:val="center"/>
            <w:hideMark/>
          </w:tcPr>
          <w:p w14:paraId="4FF3C750"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2.72</w:t>
            </w:r>
          </w:p>
        </w:tc>
        <w:tc>
          <w:tcPr>
            <w:tcW w:w="759" w:type="dxa"/>
            <w:tcBorders>
              <w:top w:val="nil"/>
              <w:left w:val="nil"/>
              <w:bottom w:val="single" w:sz="4" w:space="0" w:color="auto"/>
              <w:right w:val="single" w:sz="4" w:space="0" w:color="auto"/>
            </w:tcBorders>
            <w:shd w:val="clear" w:color="auto" w:fill="auto"/>
            <w:noWrap/>
            <w:vAlign w:val="center"/>
            <w:hideMark/>
          </w:tcPr>
          <w:p w14:paraId="563237DB"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7.02</w:t>
            </w:r>
          </w:p>
        </w:tc>
        <w:tc>
          <w:tcPr>
            <w:tcW w:w="669" w:type="dxa"/>
            <w:tcBorders>
              <w:top w:val="nil"/>
              <w:left w:val="nil"/>
              <w:bottom w:val="single" w:sz="4" w:space="0" w:color="auto"/>
              <w:right w:val="single" w:sz="4" w:space="0" w:color="auto"/>
            </w:tcBorders>
            <w:shd w:val="clear" w:color="auto" w:fill="auto"/>
            <w:noWrap/>
            <w:vAlign w:val="center"/>
            <w:hideMark/>
          </w:tcPr>
          <w:p w14:paraId="5F95A6B2"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12.14</w:t>
            </w:r>
          </w:p>
        </w:tc>
        <w:tc>
          <w:tcPr>
            <w:tcW w:w="588" w:type="dxa"/>
            <w:tcBorders>
              <w:top w:val="nil"/>
              <w:left w:val="nil"/>
              <w:bottom w:val="single" w:sz="4" w:space="0" w:color="auto"/>
              <w:right w:val="single" w:sz="4" w:space="0" w:color="auto"/>
            </w:tcBorders>
            <w:shd w:val="clear" w:color="auto" w:fill="auto"/>
            <w:noWrap/>
            <w:vAlign w:val="center"/>
            <w:hideMark/>
          </w:tcPr>
          <w:p w14:paraId="0B28E836"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0.99</w:t>
            </w:r>
          </w:p>
        </w:tc>
        <w:tc>
          <w:tcPr>
            <w:tcW w:w="750" w:type="dxa"/>
            <w:tcBorders>
              <w:top w:val="single" w:sz="4" w:space="0" w:color="auto"/>
              <w:left w:val="nil"/>
              <w:bottom w:val="single" w:sz="4" w:space="0" w:color="auto"/>
              <w:right w:val="single" w:sz="4" w:space="0" w:color="auto"/>
            </w:tcBorders>
            <w:vAlign w:val="center"/>
          </w:tcPr>
          <w:p w14:paraId="3B612886"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5.08</w:t>
            </w:r>
          </w:p>
        </w:tc>
        <w:tc>
          <w:tcPr>
            <w:tcW w:w="835" w:type="dxa"/>
            <w:tcBorders>
              <w:top w:val="single" w:sz="4" w:space="0" w:color="auto"/>
              <w:left w:val="single" w:sz="4" w:space="0" w:color="auto"/>
              <w:bottom w:val="single" w:sz="4" w:space="0" w:color="auto"/>
              <w:right w:val="single" w:sz="4" w:space="0" w:color="auto"/>
            </w:tcBorders>
            <w:vAlign w:val="center"/>
          </w:tcPr>
          <w:p w14:paraId="195C6C68"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1.17</w:t>
            </w:r>
          </w:p>
        </w:tc>
        <w:tc>
          <w:tcPr>
            <w:tcW w:w="750" w:type="dxa"/>
            <w:tcBorders>
              <w:top w:val="single" w:sz="4" w:space="0" w:color="auto"/>
              <w:left w:val="single" w:sz="4" w:space="0" w:color="auto"/>
              <w:bottom w:val="single" w:sz="4" w:space="0" w:color="auto"/>
              <w:right w:val="single" w:sz="4" w:space="0" w:color="auto"/>
            </w:tcBorders>
            <w:vAlign w:val="center"/>
          </w:tcPr>
          <w:p w14:paraId="09B78F73"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2.67</w:t>
            </w:r>
          </w:p>
        </w:tc>
        <w:tc>
          <w:tcPr>
            <w:tcW w:w="758" w:type="dxa"/>
            <w:tcBorders>
              <w:top w:val="single" w:sz="4" w:space="0" w:color="auto"/>
              <w:left w:val="single" w:sz="4" w:space="0" w:color="auto"/>
              <w:bottom w:val="single" w:sz="4" w:space="0" w:color="auto"/>
              <w:right w:val="single" w:sz="4" w:space="0" w:color="auto"/>
            </w:tcBorders>
            <w:vAlign w:val="center"/>
          </w:tcPr>
          <w:p w14:paraId="6206F50F"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7.56</w:t>
            </w:r>
          </w:p>
        </w:tc>
        <w:tc>
          <w:tcPr>
            <w:tcW w:w="669" w:type="dxa"/>
            <w:tcBorders>
              <w:top w:val="single" w:sz="4" w:space="0" w:color="auto"/>
              <w:left w:val="single" w:sz="4" w:space="0" w:color="auto"/>
              <w:bottom w:val="single" w:sz="4" w:space="0" w:color="auto"/>
              <w:right w:val="single" w:sz="4" w:space="0" w:color="auto"/>
            </w:tcBorders>
            <w:vAlign w:val="center"/>
          </w:tcPr>
          <w:p w14:paraId="3FF428D3"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4.32</w:t>
            </w:r>
          </w:p>
        </w:tc>
        <w:tc>
          <w:tcPr>
            <w:tcW w:w="610" w:type="dxa"/>
            <w:tcBorders>
              <w:top w:val="single" w:sz="4" w:space="0" w:color="auto"/>
              <w:left w:val="single" w:sz="4" w:space="0" w:color="auto"/>
              <w:bottom w:val="single" w:sz="4" w:space="0" w:color="auto"/>
              <w:right w:val="single" w:sz="4" w:space="0" w:color="auto"/>
            </w:tcBorders>
            <w:vAlign w:val="center"/>
          </w:tcPr>
          <w:p w14:paraId="14CF0178"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1.00</w:t>
            </w:r>
          </w:p>
        </w:tc>
      </w:tr>
      <w:tr w:rsidR="00B63832" w:rsidRPr="00556D10" w14:paraId="6F8BBCCF" w14:textId="77777777" w:rsidTr="00B63832">
        <w:trPr>
          <w:trHeight w:val="197"/>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6D4E5661"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GED</w:t>
            </w:r>
          </w:p>
        </w:tc>
        <w:tc>
          <w:tcPr>
            <w:tcW w:w="748" w:type="dxa"/>
            <w:tcBorders>
              <w:top w:val="nil"/>
              <w:left w:val="nil"/>
              <w:bottom w:val="single" w:sz="4" w:space="0" w:color="auto"/>
              <w:right w:val="single" w:sz="4" w:space="0" w:color="auto"/>
            </w:tcBorders>
            <w:shd w:val="clear" w:color="auto" w:fill="auto"/>
            <w:noWrap/>
            <w:vAlign w:val="center"/>
            <w:hideMark/>
          </w:tcPr>
          <w:p w14:paraId="7154C0B2"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3.60</w:t>
            </w:r>
          </w:p>
        </w:tc>
        <w:tc>
          <w:tcPr>
            <w:tcW w:w="831" w:type="dxa"/>
            <w:tcBorders>
              <w:top w:val="nil"/>
              <w:left w:val="nil"/>
              <w:bottom w:val="single" w:sz="4" w:space="0" w:color="auto"/>
              <w:right w:val="single" w:sz="4" w:space="0" w:color="auto"/>
            </w:tcBorders>
            <w:shd w:val="clear" w:color="auto" w:fill="auto"/>
            <w:noWrap/>
            <w:vAlign w:val="center"/>
            <w:hideMark/>
          </w:tcPr>
          <w:p w14:paraId="5B71576F"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14.71*</w:t>
            </w:r>
          </w:p>
        </w:tc>
        <w:tc>
          <w:tcPr>
            <w:tcW w:w="748" w:type="dxa"/>
            <w:tcBorders>
              <w:top w:val="nil"/>
              <w:left w:val="nil"/>
              <w:bottom w:val="single" w:sz="4" w:space="0" w:color="auto"/>
              <w:right w:val="single" w:sz="4" w:space="0" w:color="auto"/>
            </w:tcBorders>
            <w:shd w:val="clear" w:color="auto" w:fill="auto"/>
            <w:noWrap/>
            <w:vAlign w:val="center"/>
            <w:hideMark/>
          </w:tcPr>
          <w:p w14:paraId="26343762"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15.27</w:t>
            </w:r>
          </w:p>
        </w:tc>
        <w:tc>
          <w:tcPr>
            <w:tcW w:w="759" w:type="dxa"/>
            <w:tcBorders>
              <w:top w:val="nil"/>
              <w:left w:val="nil"/>
              <w:bottom w:val="single" w:sz="4" w:space="0" w:color="auto"/>
              <w:right w:val="single" w:sz="4" w:space="0" w:color="auto"/>
            </w:tcBorders>
            <w:shd w:val="clear" w:color="auto" w:fill="auto"/>
            <w:noWrap/>
            <w:vAlign w:val="center"/>
            <w:hideMark/>
          </w:tcPr>
          <w:p w14:paraId="3C3D8052"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29.81</w:t>
            </w:r>
          </w:p>
        </w:tc>
        <w:tc>
          <w:tcPr>
            <w:tcW w:w="669" w:type="dxa"/>
            <w:tcBorders>
              <w:top w:val="nil"/>
              <w:left w:val="nil"/>
              <w:bottom w:val="single" w:sz="4" w:space="0" w:color="auto"/>
              <w:right w:val="single" w:sz="4" w:space="0" w:color="auto"/>
            </w:tcBorders>
            <w:shd w:val="clear" w:color="auto" w:fill="auto"/>
            <w:noWrap/>
            <w:vAlign w:val="center"/>
            <w:hideMark/>
          </w:tcPr>
          <w:p w14:paraId="1E709BD7"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0.24</w:t>
            </w:r>
          </w:p>
        </w:tc>
        <w:tc>
          <w:tcPr>
            <w:tcW w:w="588" w:type="dxa"/>
            <w:tcBorders>
              <w:top w:val="nil"/>
              <w:left w:val="nil"/>
              <w:bottom w:val="single" w:sz="4" w:space="0" w:color="auto"/>
              <w:right w:val="single" w:sz="4" w:space="0" w:color="auto"/>
            </w:tcBorders>
            <w:shd w:val="clear" w:color="auto" w:fill="auto"/>
            <w:noWrap/>
            <w:vAlign w:val="center"/>
            <w:hideMark/>
          </w:tcPr>
          <w:p w14:paraId="6117369C"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0.98</w:t>
            </w:r>
          </w:p>
        </w:tc>
        <w:tc>
          <w:tcPr>
            <w:tcW w:w="750" w:type="dxa"/>
            <w:tcBorders>
              <w:top w:val="single" w:sz="4" w:space="0" w:color="auto"/>
              <w:left w:val="nil"/>
              <w:bottom w:val="single" w:sz="4" w:space="0" w:color="auto"/>
              <w:right w:val="single" w:sz="4" w:space="0" w:color="auto"/>
            </w:tcBorders>
            <w:vAlign w:val="center"/>
          </w:tcPr>
          <w:p w14:paraId="5296DEA7"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1.64</w:t>
            </w:r>
          </w:p>
        </w:tc>
        <w:tc>
          <w:tcPr>
            <w:tcW w:w="835" w:type="dxa"/>
            <w:tcBorders>
              <w:top w:val="single" w:sz="4" w:space="0" w:color="auto"/>
              <w:left w:val="single" w:sz="4" w:space="0" w:color="auto"/>
              <w:bottom w:val="single" w:sz="4" w:space="0" w:color="auto"/>
              <w:right w:val="single" w:sz="4" w:space="0" w:color="auto"/>
            </w:tcBorders>
            <w:vAlign w:val="center"/>
          </w:tcPr>
          <w:p w14:paraId="00E8A0A9"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6.01*</w:t>
            </w:r>
          </w:p>
        </w:tc>
        <w:tc>
          <w:tcPr>
            <w:tcW w:w="750" w:type="dxa"/>
            <w:tcBorders>
              <w:top w:val="single" w:sz="4" w:space="0" w:color="auto"/>
              <w:left w:val="single" w:sz="4" w:space="0" w:color="auto"/>
              <w:bottom w:val="single" w:sz="4" w:space="0" w:color="auto"/>
              <w:right w:val="single" w:sz="4" w:space="0" w:color="auto"/>
            </w:tcBorders>
            <w:vAlign w:val="center"/>
          </w:tcPr>
          <w:p w14:paraId="77682DC3"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14.30</w:t>
            </w:r>
          </w:p>
        </w:tc>
        <w:tc>
          <w:tcPr>
            <w:tcW w:w="758" w:type="dxa"/>
            <w:tcBorders>
              <w:top w:val="single" w:sz="4" w:space="0" w:color="auto"/>
              <w:left w:val="single" w:sz="4" w:space="0" w:color="auto"/>
              <w:bottom w:val="single" w:sz="4" w:space="0" w:color="auto"/>
              <w:right w:val="single" w:sz="4" w:space="0" w:color="auto"/>
            </w:tcBorders>
            <w:vAlign w:val="center"/>
          </w:tcPr>
          <w:p w14:paraId="72B07EC9"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20.58</w:t>
            </w:r>
          </w:p>
        </w:tc>
        <w:tc>
          <w:tcPr>
            <w:tcW w:w="669" w:type="dxa"/>
            <w:tcBorders>
              <w:top w:val="single" w:sz="4" w:space="0" w:color="auto"/>
              <w:left w:val="single" w:sz="4" w:space="0" w:color="auto"/>
              <w:bottom w:val="single" w:sz="4" w:space="0" w:color="auto"/>
              <w:right w:val="single" w:sz="4" w:space="0" w:color="auto"/>
            </w:tcBorders>
            <w:vAlign w:val="center"/>
          </w:tcPr>
          <w:p w14:paraId="77FCCE71"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0.27</w:t>
            </w:r>
          </w:p>
        </w:tc>
        <w:tc>
          <w:tcPr>
            <w:tcW w:w="610" w:type="dxa"/>
            <w:tcBorders>
              <w:top w:val="single" w:sz="4" w:space="0" w:color="auto"/>
              <w:left w:val="single" w:sz="4" w:space="0" w:color="auto"/>
              <w:bottom w:val="single" w:sz="4" w:space="0" w:color="auto"/>
              <w:right w:val="single" w:sz="4" w:space="0" w:color="auto"/>
            </w:tcBorders>
            <w:vAlign w:val="center"/>
          </w:tcPr>
          <w:p w14:paraId="3888B4C5"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0.98</w:t>
            </w:r>
          </w:p>
        </w:tc>
      </w:tr>
      <w:tr w:rsidR="00B63832" w:rsidRPr="00556D10" w14:paraId="02EDAA2A" w14:textId="77777777" w:rsidTr="00B63832">
        <w:trPr>
          <w:trHeight w:val="197"/>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5ED749D5"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GEF</w:t>
            </w:r>
          </w:p>
        </w:tc>
        <w:tc>
          <w:tcPr>
            <w:tcW w:w="748" w:type="dxa"/>
            <w:tcBorders>
              <w:top w:val="nil"/>
              <w:left w:val="nil"/>
              <w:bottom w:val="single" w:sz="4" w:space="0" w:color="auto"/>
              <w:right w:val="single" w:sz="4" w:space="0" w:color="auto"/>
            </w:tcBorders>
            <w:shd w:val="clear" w:color="auto" w:fill="auto"/>
            <w:noWrap/>
            <w:vAlign w:val="center"/>
            <w:hideMark/>
          </w:tcPr>
          <w:p w14:paraId="04385B4E"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9.17</w:t>
            </w:r>
          </w:p>
        </w:tc>
        <w:tc>
          <w:tcPr>
            <w:tcW w:w="831" w:type="dxa"/>
            <w:tcBorders>
              <w:top w:val="nil"/>
              <w:left w:val="nil"/>
              <w:bottom w:val="single" w:sz="4" w:space="0" w:color="auto"/>
              <w:right w:val="single" w:sz="4" w:space="0" w:color="auto"/>
            </w:tcBorders>
            <w:shd w:val="clear" w:color="auto" w:fill="auto"/>
            <w:noWrap/>
            <w:vAlign w:val="center"/>
            <w:hideMark/>
          </w:tcPr>
          <w:p w14:paraId="01137A89"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17.61*</w:t>
            </w:r>
          </w:p>
        </w:tc>
        <w:tc>
          <w:tcPr>
            <w:tcW w:w="748" w:type="dxa"/>
            <w:tcBorders>
              <w:top w:val="nil"/>
              <w:left w:val="nil"/>
              <w:bottom w:val="single" w:sz="4" w:space="0" w:color="auto"/>
              <w:right w:val="single" w:sz="4" w:space="0" w:color="auto"/>
            </w:tcBorders>
            <w:shd w:val="clear" w:color="auto" w:fill="auto"/>
            <w:noWrap/>
            <w:vAlign w:val="center"/>
            <w:hideMark/>
          </w:tcPr>
          <w:p w14:paraId="635079E9"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6.55</w:t>
            </w:r>
          </w:p>
        </w:tc>
        <w:tc>
          <w:tcPr>
            <w:tcW w:w="759" w:type="dxa"/>
            <w:tcBorders>
              <w:top w:val="nil"/>
              <w:left w:val="nil"/>
              <w:bottom w:val="single" w:sz="4" w:space="0" w:color="auto"/>
              <w:right w:val="single" w:sz="4" w:space="0" w:color="auto"/>
            </w:tcBorders>
            <w:shd w:val="clear" w:color="auto" w:fill="auto"/>
            <w:noWrap/>
            <w:vAlign w:val="center"/>
            <w:hideMark/>
          </w:tcPr>
          <w:p w14:paraId="2161DCEE"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31.97</w:t>
            </w:r>
          </w:p>
        </w:tc>
        <w:tc>
          <w:tcPr>
            <w:tcW w:w="669" w:type="dxa"/>
            <w:tcBorders>
              <w:top w:val="nil"/>
              <w:left w:val="nil"/>
              <w:bottom w:val="single" w:sz="4" w:space="0" w:color="auto"/>
              <w:right w:val="single" w:sz="4" w:space="0" w:color="auto"/>
            </w:tcBorders>
            <w:shd w:val="clear" w:color="auto" w:fill="auto"/>
            <w:noWrap/>
            <w:vAlign w:val="center"/>
            <w:hideMark/>
          </w:tcPr>
          <w:p w14:paraId="42654A03"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0.52</w:t>
            </w:r>
          </w:p>
        </w:tc>
        <w:tc>
          <w:tcPr>
            <w:tcW w:w="588" w:type="dxa"/>
            <w:tcBorders>
              <w:top w:val="nil"/>
              <w:left w:val="nil"/>
              <w:bottom w:val="single" w:sz="4" w:space="0" w:color="auto"/>
              <w:right w:val="single" w:sz="4" w:space="0" w:color="auto"/>
            </w:tcBorders>
            <w:shd w:val="clear" w:color="auto" w:fill="auto"/>
            <w:noWrap/>
            <w:vAlign w:val="center"/>
            <w:hideMark/>
          </w:tcPr>
          <w:p w14:paraId="42D52DBB"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0.99</w:t>
            </w:r>
          </w:p>
        </w:tc>
        <w:tc>
          <w:tcPr>
            <w:tcW w:w="750" w:type="dxa"/>
            <w:tcBorders>
              <w:top w:val="single" w:sz="4" w:space="0" w:color="auto"/>
              <w:left w:val="nil"/>
              <w:bottom w:val="single" w:sz="4" w:space="0" w:color="auto"/>
              <w:right w:val="single" w:sz="4" w:space="0" w:color="auto"/>
            </w:tcBorders>
            <w:vAlign w:val="center"/>
          </w:tcPr>
          <w:p w14:paraId="07483435"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6.16</w:t>
            </w:r>
          </w:p>
        </w:tc>
        <w:tc>
          <w:tcPr>
            <w:tcW w:w="835" w:type="dxa"/>
            <w:tcBorders>
              <w:top w:val="single" w:sz="4" w:space="0" w:color="auto"/>
              <w:left w:val="single" w:sz="4" w:space="0" w:color="auto"/>
              <w:bottom w:val="single" w:sz="4" w:space="0" w:color="auto"/>
              <w:right w:val="single" w:sz="4" w:space="0" w:color="auto"/>
            </w:tcBorders>
            <w:vAlign w:val="center"/>
          </w:tcPr>
          <w:p w14:paraId="78077D7D"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8.04*</w:t>
            </w:r>
          </w:p>
        </w:tc>
        <w:tc>
          <w:tcPr>
            <w:tcW w:w="750" w:type="dxa"/>
            <w:tcBorders>
              <w:top w:val="single" w:sz="4" w:space="0" w:color="auto"/>
              <w:left w:val="single" w:sz="4" w:space="0" w:color="auto"/>
              <w:bottom w:val="single" w:sz="4" w:space="0" w:color="auto"/>
              <w:right w:val="single" w:sz="4" w:space="0" w:color="auto"/>
            </w:tcBorders>
            <w:vAlign w:val="center"/>
          </w:tcPr>
          <w:p w14:paraId="52661301"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5.53</w:t>
            </w:r>
          </w:p>
        </w:tc>
        <w:tc>
          <w:tcPr>
            <w:tcW w:w="758" w:type="dxa"/>
            <w:tcBorders>
              <w:top w:val="single" w:sz="4" w:space="0" w:color="auto"/>
              <w:left w:val="single" w:sz="4" w:space="0" w:color="auto"/>
              <w:bottom w:val="single" w:sz="4" w:space="0" w:color="auto"/>
              <w:right w:val="single" w:sz="4" w:space="0" w:color="auto"/>
            </w:tcBorders>
            <w:vAlign w:val="center"/>
          </w:tcPr>
          <w:p w14:paraId="30F3EB1A"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19.60</w:t>
            </w:r>
          </w:p>
        </w:tc>
        <w:tc>
          <w:tcPr>
            <w:tcW w:w="669" w:type="dxa"/>
            <w:tcBorders>
              <w:top w:val="single" w:sz="4" w:space="0" w:color="auto"/>
              <w:left w:val="single" w:sz="4" w:space="0" w:color="auto"/>
              <w:bottom w:val="single" w:sz="4" w:space="0" w:color="auto"/>
              <w:right w:val="single" w:sz="4" w:space="0" w:color="auto"/>
            </w:tcBorders>
            <w:vAlign w:val="center"/>
          </w:tcPr>
          <w:p w14:paraId="188F00D7"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0.77</w:t>
            </w:r>
          </w:p>
        </w:tc>
        <w:tc>
          <w:tcPr>
            <w:tcW w:w="610" w:type="dxa"/>
            <w:tcBorders>
              <w:top w:val="single" w:sz="4" w:space="0" w:color="auto"/>
              <w:left w:val="single" w:sz="4" w:space="0" w:color="auto"/>
              <w:bottom w:val="single" w:sz="4" w:space="0" w:color="auto"/>
              <w:right w:val="single" w:sz="4" w:space="0" w:color="auto"/>
            </w:tcBorders>
            <w:vAlign w:val="center"/>
          </w:tcPr>
          <w:p w14:paraId="411FFB04"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0.99</w:t>
            </w:r>
          </w:p>
        </w:tc>
      </w:tr>
      <w:tr w:rsidR="00B63832" w:rsidRPr="00556D10" w14:paraId="3667FFC4" w14:textId="77777777" w:rsidTr="00B63832">
        <w:trPr>
          <w:trHeight w:val="197"/>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72A5BB56"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FED</w:t>
            </w:r>
          </w:p>
        </w:tc>
        <w:tc>
          <w:tcPr>
            <w:tcW w:w="748" w:type="dxa"/>
            <w:tcBorders>
              <w:top w:val="nil"/>
              <w:left w:val="nil"/>
              <w:bottom w:val="single" w:sz="4" w:space="0" w:color="auto"/>
              <w:right w:val="single" w:sz="4" w:space="0" w:color="auto"/>
            </w:tcBorders>
            <w:shd w:val="clear" w:color="auto" w:fill="auto"/>
            <w:noWrap/>
            <w:vAlign w:val="center"/>
            <w:hideMark/>
          </w:tcPr>
          <w:p w14:paraId="5B10C748"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11.97</w:t>
            </w:r>
          </w:p>
        </w:tc>
        <w:tc>
          <w:tcPr>
            <w:tcW w:w="831" w:type="dxa"/>
            <w:tcBorders>
              <w:top w:val="nil"/>
              <w:left w:val="nil"/>
              <w:bottom w:val="single" w:sz="4" w:space="0" w:color="auto"/>
              <w:right w:val="single" w:sz="4" w:space="0" w:color="auto"/>
            </w:tcBorders>
            <w:shd w:val="clear" w:color="auto" w:fill="auto"/>
            <w:noWrap/>
            <w:vAlign w:val="center"/>
            <w:hideMark/>
          </w:tcPr>
          <w:p w14:paraId="2DB9FB6F"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133.78*</w:t>
            </w:r>
          </w:p>
        </w:tc>
        <w:tc>
          <w:tcPr>
            <w:tcW w:w="748" w:type="dxa"/>
            <w:tcBorders>
              <w:top w:val="nil"/>
              <w:left w:val="nil"/>
              <w:bottom w:val="single" w:sz="4" w:space="0" w:color="auto"/>
              <w:right w:val="single" w:sz="4" w:space="0" w:color="auto"/>
            </w:tcBorders>
            <w:shd w:val="clear" w:color="auto" w:fill="auto"/>
            <w:noWrap/>
            <w:vAlign w:val="center"/>
            <w:hideMark/>
          </w:tcPr>
          <w:p w14:paraId="52EFA8D7"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15.27</w:t>
            </w:r>
          </w:p>
        </w:tc>
        <w:tc>
          <w:tcPr>
            <w:tcW w:w="759" w:type="dxa"/>
            <w:tcBorders>
              <w:top w:val="nil"/>
              <w:left w:val="nil"/>
              <w:bottom w:val="single" w:sz="4" w:space="0" w:color="auto"/>
              <w:right w:val="single" w:sz="4" w:space="0" w:color="auto"/>
            </w:tcBorders>
            <w:shd w:val="clear" w:color="auto" w:fill="auto"/>
            <w:noWrap/>
            <w:vAlign w:val="center"/>
            <w:hideMark/>
          </w:tcPr>
          <w:p w14:paraId="4F2D1FF0"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95.29</w:t>
            </w:r>
          </w:p>
        </w:tc>
        <w:tc>
          <w:tcPr>
            <w:tcW w:w="669" w:type="dxa"/>
            <w:tcBorders>
              <w:top w:val="nil"/>
              <w:left w:val="nil"/>
              <w:bottom w:val="single" w:sz="4" w:space="0" w:color="auto"/>
              <w:right w:val="single" w:sz="4" w:space="0" w:color="auto"/>
            </w:tcBorders>
            <w:shd w:val="clear" w:color="auto" w:fill="auto"/>
            <w:noWrap/>
            <w:vAlign w:val="center"/>
            <w:hideMark/>
          </w:tcPr>
          <w:p w14:paraId="112F203E"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0.09</w:t>
            </w:r>
          </w:p>
        </w:tc>
        <w:tc>
          <w:tcPr>
            <w:tcW w:w="588" w:type="dxa"/>
            <w:tcBorders>
              <w:top w:val="nil"/>
              <w:left w:val="nil"/>
              <w:bottom w:val="single" w:sz="4" w:space="0" w:color="auto"/>
              <w:right w:val="single" w:sz="4" w:space="0" w:color="auto"/>
            </w:tcBorders>
            <w:shd w:val="clear" w:color="auto" w:fill="auto"/>
            <w:noWrap/>
            <w:vAlign w:val="center"/>
            <w:hideMark/>
          </w:tcPr>
          <w:p w14:paraId="57F4AD22"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0.96</w:t>
            </w:r>
          </w:p>
        </w:tc>
        <w:tc>
          <w:tcPr>
            <w:tcW w:w="750" w:type="dxa"/>
            <w:tcBorders>
              <w:top w:val="single" w:sz="4" w:space="0" w:color="auto"/>
              <w:left w:val="nil"/>
              <w:bottom w:val="single" w:sz="4" w:space="0" w:color="auto"/>
              <w:right w:val="single" w:sz="4" w:space="0" w:color="auto"/>
            </w:tcBorders>
            <w:vAlign w:val="center"/>
          </w:tcPr>
          <w:p w14:paraId="60A2DD8C"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8.69</w:t>
            </w:r>
          </w:p>
        </w:tc>
        <w:tc>
          <w:tcPr>
            <w:tcW w:w="835" w:type="dxa"/>
            <w:tcBorders>
              <w:top w:val="single" w:sz="4" w:space="0" w:color="auto"/>
              <w:left w:val="single" w:sz="4" w:space="0" w:color="auto"/>
              <w:bottom w:val="single" w:sz="4" w:space="0" w:color="auto"/>
              <w:right w:val="single" w:sz="4" w:space="0" w:color="auto"/>
            </w:tcBorders>
            <w:vAlign w:val="center"/>
          </w:tcPr>
          <w:p w14:paraId="631A28C9"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116.53*</w:t>
            </w:r>
          </w:p>
        </w:tc>
        <w:tc>
          <w:tcPr>
            <w:tcW w:w="750" w:type="dxa"/>
            <w:tcBorders>
              <w:top w:val="single" w:sz="4" w:space="0" w:color="auto"/>
              <w:left w:val="single" w:sz="4" w:space="0" w:color="auto"/>
              <w:bottom w:val="single" w:sz="4" w:space="0" w:color="auto"/>
              <w:right w:val="single" w:sz="4" w:space="0" w:color="auto"/>
            </w:tcBorders>
            <w:vAlign w:val="center"/>
          </w:tcPr>
          <w:p w14:paraId="7D9B9A8E"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14.49</w:t>
            </w:r>
          </w:p>
        </w:tc>
        <w:tc>
          <w:tcPr>
            <w:tcW w:w="758" w:type="dxa"/>
            <w:tcBorders>
              <w:top w:val="single" w:sz="4" w:space="0" w:color="auto"/>
              <w:left w:val="single" w:sz="4" w:space="0" w:color="auto"/>
              <w:bottom w:val="single" w:sz="4" w:space="0" w:color="auto"/>
              <w:right w:val="single" w:sz="4" w:space="0" w:color="auto"/>
            </w:tcBorders>
            <w:vAlign w:val="center"/>
          </w:tcPr>
          <w:p w14:paraId="55853D3C"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78.15</w:t>
            </w:r>
          </w:p>
        </w:tc>
        <w:tc>
          <w:tcPr>
            <w:tcW w:w="669" w:type="dxa"/>
            <w:tcBorders>
              <w:top w:val="single" w:sz="4" w:space="0" w:color="auto"/>
              <w:left w:val="single" w:sz="4" w:space="0" w:color="auto"/>
              <w:bottom w:val="single" w:sz="4" w:space="0" w:color="auto"/>
              <w:right w:val="single" w:sz="4" w:space="0" w:color="auto"/>
            </w:tcBorders>
            <w:vAlign w:val="center"/>
          </w:tcPr>
          <w:p w14:paraId="738B062E"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0.07</w:t>
            </w:r>
          </w:p>
        </w:tc>
        <w:tc>
          <w:tcPr>
            <w:tcW w:w="610" w:type="dxa"/>
            <w:tcBorders>
              <w:top w:val="single" w:sz="4" w:space="0" w:color="auto"/>
              <w:left w:val="single" w:sz="4" w:space="0" w:color="auto"/>
              <w:bottom w:val="single" w:sz="4" w:space="0" w:color="auto"/>
              <w:right w:val="single" w:sz="4" w:space="0" w:color="auto"/>
            </w:tcBorders>
            <w:vAlign w:val="center"/>
          </w:tcPr>
          <w:p w14:paraId="3778F551"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0.95</w:t>
            </w:r>
          </w:p>
        </w:tc>
      </w:tr>
      <w:tr w:rsidR="00B63832" w:rsidRPr="00556D10" w14:paraId="319C058B" w14:textId="77777777" w:rsidTr="00B63832">
        <w:trPr>
          <w:trHeight w:val="197"/>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4ECBC5CA"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WGE</w:t>
            </w:r>
          </w:p>
        </w:tc>
        <w:tc>
          <w:tcPr>
            <w:tcW w:w="748" w:type="dxa"/>
            <w:tcBorders>
              <w:top w:val="nil"/>
              <w:left w:val="nil"/>
              <w:bottom w:val="single" w:sz="4" w:space="0" w:color="auto"/>
              <w:right w:val="single" w:sz="4" w:space="0" w:color="auto"/>
            </w:tcBorders>
            <w:shd w:val="clear" w:color="auto" w:fill="auto"/>
            <w:noWrap/>
            <w:vAlign w:val="center"/>
            <w:hideMark/>
          </w:tcPr>
          <w:p w14:paraId="7A6FAA13"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37.52*</w:t>
            </w:r>
          </w:p>
        </w:tc>
        <w:tc>
          <w:tcPr>
            <w:tcW w:w="831" w:type="dxa"/>
            <w:tcBorders>
              <w:top w:val="nil"/>
              <w:left w:val="nil"/>
              <w:bottom w:val="single" w:sz="4" w:space="0" w:color="auto"/>
              <w:right w:val="single" w:sz="4" w:space="0" w:color="auto"/>
            </w:tcBorders>
            <w:shd w:val="clear" w:color="auto" w:fill="auto"/>
            <w:noWrap/>
            <w:vAlign w:val="center"/>
            <w:hideMark/>
          </w:tcPr>
          <w:p w14:paraId="28DC96FC"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1.62*</w:t>
            </w:r>
          </w:p>
        </w:tc>
        <w:tc>
          <w:tcPr>
            <w:tcW w:w="748" w:type="dxa"/>
            <w:tcBorders>
              <w:top w:val="nil"/>
              <w:left w:val="nil"/>
              <w:bottom w:val="single" w:sz="4" w:space="0" w:color="auto"/>
              <w:right w:val="single" w:sz="4" w:space="0" w:color="auto"/>
            </w:tcBorders>
            <w:shd w:val="clear" w:color="auto" w:fill="auto"/>
            <w:noWrap/>
            <w:vAlign w:val="center"/>
            <w:hideMark/>
          </w:tcPr>
          <w:p w14:paraId="31991398"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181.19</w:t>
            </w:r>
          </w:p>
        </w:tc>
        <w:tc>
          <w:tcPr>
            <w:tcW w:w="759" w:type="dxa"/>
            <w:tcBorders>
              <w:top w:val="nil"/>
              <w:left w:val="nil"/>
              <w:bottom w:val="single" w:sz="4" w:space="0" w:color="auto"/>
              <w:right w:val="single" w:sz="4" w:space="0" w:color="auto"/>
            </w:tcBorders>
            <w:shd w:val="clear" w:color="auto" w:fill="auto"/>
            <w:noWrap/>
            <w:vAlign w:val="center"/>
            <w:hideMark/>
          </w:tcPr>
          <w:p w14:paraId="58918416"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196.80</w:t>
            </w:r>
          </w:p>
        </w:tc>
        <w:tc>
          <w:tcPr>
            <w:tcW w:w="669" w:type="dxa"/>
            <w:tcBorders>
              <w:top w:val="nil"/>
              <w:left w:val="nil"/>
              <w:bottom w:val="single" w:sz="4" w:space="0" w:color="auto"/>
              <w:right w:val="single" w:sz="4" w:space="0" w:color="auto"/>
            </w:tcBorders>
            <w:shd w:val="clear" w:color="auto" w:fill="auto"/>
            <w:noWrap/>
            <w:vAlign w:val="center"/>
            <w:hideMark/>
          </w:tcPr>
          <w:p w14:paraId="61851FF9"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23.13</w:t>
            </w:r>
          </w:p>
        </w:tc>
        <w:tc>
          <w:tcPr>
            <w:tcW w:w="588" w:type="dxa"/>
            <w:tcBorders>
              <w:top w:val="nil"/>
              <w:left w:val="nil"/>
              <w:bottom w:val="single" w:sz="4" w:space="0" w:color="auto"/>
              <w:right w:val="single" w:sz="4" w:space="0" w:color="auto"/>
            </w:tcBorders>
            <w:shd w:val="clear" w:color="auto" w:fill="auto"/>
            <w:noWrap/>
            <w:vAlign w:val="center"/>
            <w:hideMark/>
          </w:tcPr>
          <w:p w14:paraId="4B288772"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0.95</w:t>
            </w:r>
          </w:p>
        </w:tc>
        <w:tc>
          <w:tcPr>
            <w:tcW w:w="750" w:type="dxa"/>
            <w:tcBorders>
              <w:top w:val="single" w:sz="4" w:space="0" w:color="auto"/>
              <w:left w:val="nil"/>
              <w:bottom w:val="single" w:sz="4" w:space="0" w:color="auto"/>
              <w:right w:val="single" w:sz="4" w:space="0" w:color="auto"/>
            </w:tcBorders>
            <w:vAlign w:val="center"/>
          </w:tcPr>
          <w:p w14:paraId="6CE10125"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22.25*</w:t>
            </w:r>
          </w:p>
        </w:tc>
        <w:tc>
          <w:tcPr>
            <w:tcW w:w="835" w:type="dxa"/>
            <w:tcBorders>
              <w:top w:val="single" w:sz="4" w:space="0" w:color="auto"/>
              <w:left w:val="single" w:sz="4" w:space="0" w:color="auto"/>
              <w:bottom w:val="single" w:sz="4" w:space="0" w:color="auto"/>
              <w:right w:val="single" w:sz="4" w:space="0" w:color="auto"/>
            </w:tcBorders>
            <w:vAlign w:val="center"/>
          </w:tcPr>
          <w:p w14:paraId="0EF5D564"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0.29*</w:t>
            </w:r>
          </w:p>
        </w:tc>
        <w:tc>
          <w:tcPr>
            <w:tcW w:w="750" w:type="dxa"/>
            <w:tcBorders>
              <w:top w:val="single" w:sz="4" w:space="0" w:color="auto"/>
              <w:left w:val="single" w:sz="4" w:space="0" w:color="auto"/>
              <w:bottom w:val="single" w:sz="4" w:space="0" w:color="auto"/>
              <w:right w:val="single" w:sz="4" w:space="0" w:color="auto"/>
            </w:tcBorders>
            <w:vAlign w:val="center"/>
          </w:tcPr>
          <w:p w14:paraId="08081501"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119.36</w:t>
            </w:r>
          </w:p>
        </w:tc>
        <w:tc>
          <w:tcPr>
            <w:tcW w:w="758" w:type="dxa"/>
            <w:tcBorders>
              <w:top w:val="single" w:sz="4" w:space="0" w:color="auto"/>
              <w:left w:val="single" w:sz="4" w:space="0" w:color="auto"/>
              <w:bottom w:val="single" w:sz="4" w:space="0" w:color="auto"/>
              <w:right w:val="single" w:sz="4" w:space="0" w:color="auto"/>
            </w:tcBorders>
            <w:vAlign w:val="center"/>
          </w:tcPr>
          <w:p w14:paraId="391A7944"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124.42</w:t>
            </w:r>
          </w:p>
        </w:tc>
        <w:tc>
          <w:tcPr>
            <w:tcW w:w="669" w:type="dxa"/>
            <w:tcBorders>
              <w:top w:val="single" w:sz="4" w:space="0" w:color="auto"/>
              <w:left w:val="single" w:sz="4" w:space="0" w:color="auto"/>
              <w:bottom w:val="single" w:sz="4" w:space="0" w:color="auto"/>
              <w:right w:val="single" w:sz="4" w:space="0" w:color="auto"/>
            </w:tcBorders>
            <w:vAlign w:val="center"/>
          </w:tcPr>
          <w:p w14:paraId="47AAFE7E"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77.45</w:t>
            </w:r>
          </w:p>
        </w:tc>
        <w:tc>
          <w:tcPr>
            <w:tcW w:w="610" w:type="dxa"/>
            <w:tcBorders>
              <w:top w:val="single" w:sz="4" w:space="0" w:color="auto"/>
              <w:left w:val="single" w:sz="4" w:space="0" w:color="auto"/>
              <w:bottom w:val="single" w:sz="4" w:space="0" w:color="auto"/>
              <w:right w:val="single" w:sz="4" w:space="0" w:color="auto"/>
            </w:tcBorders>
            <w:vAlign w:val="center"/>
          </w:tcPr>
          <w:p w14:paraId="05F20AFB"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0.97</w:t>
            </w:r>
          </w:p>
        </w:tc>
      </w:tr>
      <w:tr w:rsidR="00B63832" w:rsidRPr="00556D10" w14:paraId="2CDBA85F" w14:textId="77777777" w:rsidTr="00B63832">
        <w:trPr>
          <w:trHeight w:val="67"/>
        </w:trPr>
        <w:tc>
          <w:tcPr>
            <w:tcW w:w="910" w:type="dxa"/>
            <w:tcBorders>
              <w:top w:val="nil"/>
              <w:left w:val="single" w:sz="4" w:space="0" w:color="auto"/>
              <w:bottom w:val="single" w:sz="4" w:space="0" w:color="auto"/>
              <w:right w:val="single" w:sz="4" w:space="0" w:color="auto"/>
            </w:tcBorders>
            <w:shd w:val="clear" w:color="auto" w:fill="auto"/>
            <w:noWrap/>
            <w:vAlign w:val="center"/>
            <w:hideMark/>
          </w:tcPr>
          <w:p w14:paraId="498D6E7A"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FGD</w:t>
            </w:r>
          </w:p>
        </w:tc>
        <w:tc>
          <w:tcPr>
            <w:tcW w:w="748" w:type="dxa"/>
            <w:tcBorders>
              <w:top w:val="nil"/>
              <w:left w:val="nil"/>
              <w:bottom w:val="single" w:sz="4" w:space="0" w:color="auto"/>
              <w:right w:val="single" w:sz="4" w:space="0" w:color="auto"/>
            </w:tcBorders>
            <w:shd w:val="clear" w:color="auto" w:fill="auto"/>
            <w:noWrap/>
            <w:vAlign w:val="center"/>
            <w:hideMark/>
          </w:tcPr>
          <w:p w14:paraId="51D41503"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2.82*</w:t>
            </w:r>
          </w:p>
        </w:tc>
        <w:tc>
          <w:tcPr>
            <w:tcW w:w="831" w:type="dxa"/>
            <w:tcBorders>
              <w:top w:val="nil"/>
              <w:left w:val="nil"/>
              <w:bottom w:val="single" w:sz="4" w:space="0" w:color="auto"/>
              <w:right w:val="single" w:sz="4" w:space="0" w:color="auto"/>
            </w:tcBorders>
            <w:shd w:val="clear" w:color="auto" w:fill="auto"/>
            <w:noWrap/>
            <w:vAlign w:val="center"/>
            <w:hideMark/>
          </w:tcPr>
          <w:p w14:paraId="5036F3FF"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96.95</w:t>
            </w:r>
          </w:p>
        </w:tc>
        <w:tc>
          <w:tcPr>
            <w:tcW w:w="748" w:type="dxa"/>
            <w:tcBorders>
              <w:top w:val="nil"/>
              <w:left w:val="nil"/>
              <w:bottom w:val="single" w:sz="4" w:space="0" w:color="auto"/>
              <w:right w:val="single" w:sz="4" w:space="0" w:color="auto"/>
            </w:tcBorders>
            <w:shd w:val="clear" w:color="auto" w:fill="auto"/>
            <w:noWrap/>
            <w:vAlign w:val="center"/>
            <w:hideMark/>
          </w:tcPr>
          <w:p w14:paraId="673B6AA8"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15.27</w:t>
            </w:r>
          </w:p>
        </w:tc>
        <w:tc>
          <w:tcPr>
            <w:tcW w:w="759" w:type="dxa"/>
            <w:tcBorders>
              <w:top w:val="nil"/>
              <w:left w:val="nil"/>
              <w:bottom w:val="single" w:sz="4" w:space="0" w:color="auto"/>
              <w:right w:val="single" w:sz="4" w:space="0" w:color="auto"/>
            </w:tcBorders>
            <w:shd w:val="clear" w:color="auto" w:fill="auto"/>
            <w:noWrap/>
            <w:vAlign w:val="center"/>
            <w:hideMark/>
          </w:tcPr>
          <w:p w14:paraId="6D7793E2"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48.32</w:t>
            </w:r>
          </w:p>
        </w:tc>
        <w:tc>
          <w:tcPr>
            <w:tcW w:w="669" w:type="dxa"/>
            <w:tcBorders>
              <w:top w:val="nil"/>
              <w:left w:val="nil"/>
              <w:bottom w:val="single" w:sz="4" w:space="0" w:color="auto"/>
              <w:right w:val="single" w:sz="4" w:space="0" w:color="auto"/>
            </w:tcBorders>
            <w:shd w:val="clear" w:color="auto" w:fill="auto"/>
            <w:noWrap/>
            <w:vAlign w:val="center"/>
            <w:hideMark/>
          </w:tcPr>
          <w:p w14:paraId="1F7131AD"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0.03</w:t>
            </w:r>
          </w:p>
        </w:tc>
        <w:tc>
          <w:tcPr>
            <w:tcW w:w="588" w:type="dxa"/>
            <w:tcBorders>
              <w:top w:val="nil"/>
              <w:left w:val="nil"/>
              <w:bottom w:val="single" w:sz="4" w:space="0" w:color="auto"/>
              <w:right w:val="single" w:sz="4" w:space="0" w:color="auto"/>
            </w:tcBorders>
            <w:shd w:val="clear" w:color="auto" w:fill="auto"/>
            <w:noWrap/>
            <w:vAlign w:val="center"/>
            <w:hideMark/>
          </w:tcPr>
          <w:p w14:paraId="548B74F7"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eastAsia="Times New Roman" w:cs="Times New Roman"/>
                <w:color w:val="000000"/>
                <w:sz w:val="18"/>
                <w:szCs w:val="18"/>
              </w:rPr>
              <w:t>1.00</w:t>
            </w:r>
          </w:p>
        </w:tc>
        <w:tc>
          <w:tcPr>
            <w:tcW w:w="750" w:type="dxa"/>
            <w:tcBorders>
              <w:top w:val="single" w:sz="4" w:space="0" w:color="auto"/>
              <w:left w:val="nil"/>
              <w:bottom w:val="single" w:sz="4" w:space="0" w:color="auto"/>
              <w:right w:val="single" w:sz="4" w:space="0" w:color="auto"/>
            </w:tcBorders>
            <w:vAlign w:val="center"/>
          </w:tcPr>
          <w:p w14:paraId="05130DA3"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6.30*</w:t>
            </w:r>
          </w:p>
        </w:tc>
        <w:tc>
          <w:tcPr>
            <w:tcW w:w="835" w:type="dxa"/>
            <w:tcBorders>
              <w:top w:val="single" w:sz="4" w:space="0" w:color="auto"/>
              <w:left w:val="single" w:sz="4" w:space="0" w:color="auto"/>
              <w:bottom w:val="single" w:sz="4" w:space="0" w:color="auto"/>
              <w:right w:val="single" w:sz="4" w:space="0" w:color="auto"/>
            </w:tcBorders>
            <w:vAlign w:val="center"/>
          </w:tcPr>
          <w:p w14:paraId="46FEDAE4"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145.52</w:t>
            </w:r>
          </w:p>
        </w:tc>
        <w:tc>
          <w:tcPr>
            <w:tcW w:w="750" w:type="dxa"/>
            <w:tcBorders>
              <w:top w:val="single" w:sz="4" w:space="0" w:color="auto"/>
              <w:left w:val="single" w:sz="4" w:space="0" w:color="auto"/>
              <w:bottom w:val="single" w:sz="4" w:space="0" w:color="auto"/>
              <w:right w:val="single" w:sz="4" w:space="0" w:color="auto"/>
            </w:tcBorders>
            <w:vAlign w:val="center"/>
          </w:tcPr>
          <w:p w14:paraId="3A202AE7"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14.30</w:t>
            </w:r>
          </w:p>
        </w:tc>
        <w:tc>
          <w:tcPr>
            <w:tcW w:w="758" w:type="dxa"/>
            <w:tcBorders>
              <w:top w:val="single" w:sz="4" w:space="0" w:color="auto"/>
              <w:left w:val="single" w:sz="4" w:space="0" w:color="auto"/>
              <w:bottom w:val="single" w:sz="4" w:space="0" w:color="auto"/>
              <w:right w:val="single" w:sz="4" w:space="0" w:color="auto"/>
            </w:tcBorders>
            <w:vAlign w:val="center"/>
          </w:tcPr>
          <w:p w14:paraId="7F1AC418"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74.87</w:t>
            </w:r>
          </w:p>
        </w:tc>
        <w:tc>
          <w:tcPr>
            <w:tcW w:w="669" w:type="dxa"/>
            <w:tcBorders>
              <w:top w:val="single" w:sz="4" w:space="0" w:color="auto"/>
              <w:left w:val="single" w:sz="4" w:space="0" w:color="auto"/>
              <w:bottom w:val="single" w:sz="4" w:space="0" w:color="auto"/>
              <w:right w:val="single" w:sz="4" w:space="0" w:color="auto"/>
            </w:tcBorders>
            <w:vAlign w:val="center"/>
          </w:tcPr>
          <w:p w14:paraId="40E1C74D"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0.04</w:t>
            </w:r>
          </w:p>
        </w:tc>
        <w:tc>
          <w:tcPr>
            <w:tcW w:w="610" w:type="dxa"/>
            <w:tcBorders>
              <w:top w:val="single" w:sz="4" w:space="0" w:color="auto"/>
              <w:left w:val="single" w:sz="4" w:space="0" w:color="auto"/>
              <w:bottom w:val="single" w:sz="4" w:space="0" w:color="auto"/>
              <w:right w:val="single" w:sz="4" w:space="0" w:color="auto"/>
            </w:tcBorders>
            <w:vAlign w:val="center"/>
          </w:tcPr>
          <w:p w14:paraId="30A7B51B" w14:textId="77777777" w:rsidR="00A259B1" w:rsidRPr="00556D10" w:rsidRDefault="00A259B1" w:rsidP="00650395">
            <w:pPr>
              <w:spacing w:line="264" w:lineRule="auto"/>
              <w:jc w:val="center"/>
              <w:rPr>
                <w:rFonts w:eastAsia="Times New Roman" w:cs="Times New Roman"/>
                <w:color w:val="000000"/>
                <w:sz w:val="18"/>
                <w:szCs w:val="18"/>
              </w:rPr>
            </w:pPr>
            <w:r w:rsidRPr="00556D10">
              <w:rPr>
                <w:rFonts w:cs="Times New Roman"/>
                <w:color w:val="000000"/>
                <w:sz w:val="18"/>
                <w:szCs w:val="18"/>
              </w:rPr>
              <w:t>1.00</w:t>
            </w:r>
          </w:p>
        </w:tc>
      </w:tr>
    </w:tbl>
    <w:p w14:paraId="01D71D02" w14:textId="77777777" w:rsidR="00A259B1" w:rsidRPr="00401B79" w:rsidRDefault="00A259B1" w:rsidP="00A259B1">
      <w:pPr>
        <w:rPr>
          <w:rFonts w:eastAsiaTheme="minorEastAsia" w:cs="Times New Roman"/>
          <w:sz w:val="20"/>
          <w:szCs w:val="20"/>
        </w:rPr>
      </w:pPr>
      <w:r w:rsidRPr="00401B79">
        <w:rPr>
          <w:rFonts w:eastAsiaTheme="minorEastAsia" w:cs="Times New Roman"/>
          <w:sz w:val="20"/>
          <w:szCs w:val="20"/>
        </w:rPr>
        <w:t xml:space="preserve">*Indicates </w:t>
      </w:r>
      <w:r w:rsidRPr="00401B79">
        <w:rPr>
          <w:rFonts w:cs="Times New Roman"/>
          <w:sz w:val="20"/>
          <w:szCs w:val="20"/>
        </w:rPr>
        <w:t>negative square root of SFE components</w:t>
      </w:r>
    </w:p>
    <w:p w14:paraId="6D29022B" w14:textId="7277F193" w:rsidR="00311F6B" w:rsidRPr="002C1D5F" w:rsidRDefault="002438A2" w:rsidP="00537471">
      <w:pPr>
        <w:pStyle w:val="Caption"/>
        <w:spacing w:line="480" w:lineRule="auto"/>
        <w:jc w:val="center"/>
        <w:rPr>
          <w:szCs w:val="24"/>
        </w:rPr>
      </w:pPr>
      <w:bookmarkStart w:id="52" w:name="_Toc71330975"/>
      <w:r>
        <w:t xml:space="preserve">Table </w:t>
      </w:r>
      <w:fldSimple w:instr=" STYLEREF 1 \s ">
        <w:r w:rsidR="005050F0">
          <w:rPr>
            <w:noProof/>
          </w:rPr>
          <w:t>2</w:t>
        </w:r>
      </w:fldSimple>
      <w:r w:rsidR="00700639">
        <w:t>.</w:t>
      </w:r>
      <w:fldSimple w:instr=" SEQ Table \* ARABIC \s 1 ">
        <w:r w:rsidR="005050F0">
          <w:rPr>
            <w:noProof/>
          </w:rPr>
          <w:t>4</w:t>
        </w:r>
      </w:fldSimple>
      <w:r>
        <w:t xml:space="preserve"> </w:t>
      </w:r>
      <w:r w:rsidR="00311F6B" w:rsidRPr="002C1D5F">
        <w:rPr>
          <w:szCs w:val="24"/>
        </w:rPr>
        <w:t xml:space="preserve">Condition </w:t>
      </w:r>
      <w:r w:rsidR="00311F6B">
        <w:rPr>
          <w:szCs w:val="24"/>
        </w:rPr>
        <w:t>N</w:t>
      </w:r>
      <w:r w:rsidR="00311F6B" w:rsidRPr="002C1D5F">
        <w:rPr>
          <w:szCs w:val="24"/>
        </w:rPr>
        <w:t xml:space="preserve">umber </w:t>
      </w:r>
      <w:r w:rsidR="00311F6B">
        <w:rPr>
          <w:szCs w:val="24"/>
        </w:rPr>
        <w:t>of</w:t>
      </w:r>
      <w:r w:rsidR="00311F6B" w:rsidRPr="002C1D5F">
        <w:rPr>
          <w:szCs w:val="24"/>
        </w:rPr>
        <w:t xml:space="preserve"> </w:t>
      </w:r>
      <w:r w:rsidR="00311F6B">
        <w:rPr>
          <w:szCs w:val="24"/>
        </w:rPr>
        <w:t>D</w:t>
      </w:r>
      <w:r w:rsidR="00311F6B" w:rsidRPr="002C1D5F">
        <w:rPr>
          <w:szCs w:val="24"/>
        </w:rPr>
        <w:t xml:space="preserve">ifferent </w:t>
      </w:r>
      <w:r w:rsidR="00311F6B">
        <w:rPr>
          <w:szCs w:val="24"/>
        </w:rPr>
        <w:t>P</w:t>
      </w:r>
      <w:r w:rsidR="00311F6B" w:rsidRPr="002C1D5F">
        <w:rPr>
          <w:szCs w:val="24"/>
        </w:rPr>
        <w:t xml:space="preserve">robe </w:t>
      </w:r>
      <w:r w:rsidR="00311F6B">
        <w:rPr>
          <w:szCs w:val="24"/>
        </w:rPr>
        <w:t>L</w:t>
      </w:r>
      <w:r w:rsidR="00311F6B" w:rsidRPr="002C1D5F">
        <w:rPr>
          <w:szCs w:val="24"/>
        </w:rPr>
        <w:t xml:space="preserve">iquid </w:t>
      </w:r>
      <w:r w:rsidR="00311F6B">
        <w:rPr>
          <w:szCs w:val="24"/>
        </w:rPr>
        <w:t>S</w:t>
      </w:r>
      <w:r w:rsidR="00311F6B" w:rsidRPr="002C1D5F">
        <w:rPr>
          <w:szCs w:val="24"/>
        </w:rPr>
        <w:t>ets</w:t>
      </w:r>
      <w:bookmarkEnd w:id="52"/>
    </w:p>
    <w:tbl>
      <w:tblPr>
        <w:tblStyle w:val="TableGrid"/>
        <w:tblW w:w="0" w:type="auto"/>
        <w:jc w:val="center"/>
        <w:tblLook w:val="04A0" w:firstRow="1" w:lastRow="0" w:firstColumn="1" w:lastColumn="0" w:noHBand="0" w:noVBand="1"/>
      </w:tblPr>
      <w:tblGrid>
        <w:gridCol w:w="1375"/>
        <w:gridCol w:w="1048"/>
        <w:gridCol w:w="828"/>
        <w:gridCol w:w="889"/>
        <w:gridCol w:w="901"/>
        <w:gridCol w:w="913"/>
        <w:gridCol w:w="876"/>
        <w:gridCol w:w="828"/>
        <w:gridCol w:w="828"/>
      </w:tblGrid>
      <w:tr w:rsidR="00311F6B" w:rsidRPr="008D39FB" w14:paraId="6C24D2CE" w14:textId="77777777" w:rsidTr="00650395">
        <w:trPr>
          <w:trHeight w:val="226"/>
          <w:jc w:val="center"/>
        </w:trPr>
        <w:tc>
          <w:tcPr>
            <w:tcW w:w="1975" w:type="dxa"/>
            <w:vAlign w:val="center"/>
          </w:tcPr>
          <w:p w14:paraId="59450B3A" w14:textId="77777777" w:rsidR="00311F6B" w:rsidRPr="008D39FB" w:rsidRDefault="00311F6B" w:rsidP="0095559C">
            <w:pPr>
              <w:spacing w:line="240" w:lineRule="auto"/>
              <w:jc w:val="center"/>
              <w:rPr>
                <w:b/>
                <w:bCs/>
                <w:sz w:val="22"/>
                <w:szCs w:val="22"/>
              </w:rPr>
            </w:pPr>
            <w:r w:rsidRPr="008D39FB">
              <w:rPr>
                <w:b/>
                <w:bCs/>
                <w:sz w:val="22"/>
                <w:szCs w:val="22"/>
              </w:rPr>
              <w:t>Probe liquid set</w:t>
            </w:r>
          </w:p>
        </w:tc>
        <w:tc>
          <w:tcPr>
            <w:tcW w:w="958" w:type="dxa"/>
            <w:vAlign w:val="center"/>
          </w:tcPr>
          <w:p w14:paraId="48CCA795" w14:textId="77777777" w:rsidR="00311F6B" w:rsidRPr="008D39FB" w:rsidRDefault="00311F6B" w:rsidP="0095559C">
            <w:pPr>
              <w:spacing w:line="240" w:lineRule="auto"/>
              <w:jc w:val="center"/>
              <w:rPr>
                <w:b/>
                <w:bCs/>
                <w:sz w:val="22"/>
                <w:szCs w:val="22"/>
              </w:rPr>
            </w:pPr>
            <w:r w:rsidRPr="008D39FB">
              <w:rPr>
                <w:b/>
                <w:bCs/>
                <w:sz w:val="22"/>
                <w:szCs w:val="22"/>
              </w:rPr>
              <w:t>WGFDE</w:t>
            </w:r>
          </w:p>
        </w:tc>
        <w:tc>
          <w:tcPr>
            <w:tcW w:w="817" w:type="dxa"/>
            <w:vAlign w:val="center"/>
          </w:tcPr>
          <w:p w14:paraId="6E45CE1A" w14:textId="77777777" w:rsidR="00311F6B" w:rsidRPr="008D39FB" w:rsidRDefault="00311F6B" w:rsidP="0095559C">
            <w:pPr>
              <w:spacing w:line="240" w:lineRule="auto"/>
              <w:jc w:val="center"/>
              <w:rPr>
                <w:b/>
                <w:bCs/>
                <w:sz w:val="22"/>
                <w:szCs w:val="22"/>
              </w:rPr>
            </w:pPr>
            <w:r w:rsidRPr="008D39FB">
              <w:rPr>
                <w:b/>
                <w:bCs/>
                <w:sz w:val="22"/>
                <w:szCs w:val="22"/>
              </w:rPr>
              <w:t>FGED</w:t>
            </w:r>
          </w:p>
        </w:tc>
        <w:tc>
          <w:tcPr>
            <w:tcW w:w="867" w:type="dxa"/>
            <w:vAlign w:val="center"/>
          </w:tcPr>
          <w:p w14:paraId="0700A686" w14:textId="77777777" w:rsidR="00311F6B" w:rsidRPr="008D39FB" w:rsidRDefault="00311F6B" w:rsidP="0095559C">
            <w:pPr>
              <w:spacing w:line="240" w:lineRule="auto"/>
              <w:jc w:val="center"/>
              <w:rPr>
                <w:b/>
                <w:bCs/>
                <w:sz w:val="22"/>
                <w:szCs w:val="22"/>
              </w:rPr>
            </w:pPr>
            <w:r w:rsidRPr="008D39FB">
              <w:rPr>
                <w:b/>
                <w:bCs/>
                <w:sz w:val="22"/>
                <w:szCs w:val="22"/>
              </w:rPr>
              <w:t>WFGE</w:t>
            </w:r>
          </w:p>
        </w:tc>
        <w:tc>
          <w:tcPr>
            <w:tcW w:w="892" w:type="dxa"/>
            <w:vAlign w:val="center"/>
          </w:tcPr>
          <w:p w14:paraId="3F010586" w14:textId="77777777" w:rsidR="00311F6B" w:rsidRPr="008D39FB" w:rsidRDefault="00311F6B" w:rsidP="0095559C">
            <w:pPr>
              <w:spacing w:line="240" w:lineRule="auto"/>
              <w:jc w:val="center"/>
              <w:rPr>
                <w:b/>
                <w:bCs/>
                <w:sz w:val="22"/>
                <w:szCs w:val="22"/>
              </w:rPr>
            </w:pPr>
            <w:r w:rsidRPr="008D39FB">
              <w:rPr>
                <w:b/>
                <w:bCs/>
                <w:sz w:val="22"/>
                <w:szCs w:val="22"/>
              </w:rPr>
              <w:t>WFGD</w:t>
            </w:r>
          </w:p>
        </w:tc>
        <w:tc>
          <w:tcPr>
            <w:tcW w:w="905" w:type="dxa"/>
            <w:vAlign w:val="center"/>
          </w:tcPr>
          <w:p w14:paraId="253DAAEA" w14:textId="77777777" w:rsidR="00311F6B" w:rsidRPr="008D39FB" w:rsidRDefault="00311F6B" w:rsidP="0095559C">
            <w:pPr>
              <w:spacing w:line="240" w:lineRule="auto"/>
              <w:jc w:val="center"/>
              <w:rPr>
                <w:b/>
                <w:bCs/>
                <w:sz w:val="22"/>
                <w:szCs w:val="22"/>
              </w:rPr>
            </w:pPr>
            <w:r w:rsidRPr="008D39FB">
              <w:rPr>
                <w:b/>
                <w:bCs/>
                <w:sz w:val="22"/>
                <w:szCs w:val="22"/>
              </w:rPr>
              <w:t>WGED</w:t>
            </w:r>
          </w:p>
        </w:tc>
        <w:tc>
          <w:tcPr>
            <w:tcW w:w="867" w:type="dxa"/>
            <w:vAlign w:val="center"/>
          </w:tcPr>
          <w:p w14:paraId="49D2A68D" w14:textId="77777777" w:rsidR="00311F6B" w:rsidRPr="008D39FB" w:rsidRDefault="00311F6B" w:rsidP="0095559C">
            <w:pPr>
              <w:spacing w:line="240" w:lineRule="auto"/>
              <w:jc w:val="center"/>
              <w:rPr>
                <w:b/>
                <w:bCs/>
                <w:sz w:val="22"/>
                <w:szCs w:val="22"/>
              </w:rPr>
            </w:pPr>
            <w:r w:rsidRPr="008D39FB">
              <w:rPr>
                <w:b/>
                <w:bCs/>
                <w:sz w:val="22"/>
                <w:szCs w:val="22"/>
              </w:rPr>
              <w:t>WFED</w:t>
            </w:r>
          </w:p>
        </w:tc>
        <w:tc>
          <w:tcPr>
            <w:tcW w:w="848" w:type="dxa"/>
            <w:vAlign w:val="center"/>
          </w:tcPr>
          <w:p w14:paraId="314C5D5E" w14:textId="77777777" w:rsidR="00311F6B" w:rsidRPr="008D39FB" w:rsidRDefault="00311F6B" w:rsidP="0095559C">
            <w:pPr>
              <w:spacing w:line="240" w:lineRule="auto"/>
              <w:jc w:val="center"/>
              <w:rPr>
                <w:b/>
                <w:bCs/>
                <w:sz w:val="22"/>
                <w:szCs w:val="22"/>
              </w:rPr>
            </w:pPr>
            <w:r w:rsidRPr="008D39FB">
              <w:rPr>
                <w:b/>
                <w:bCs/>
                <w:sz w:val="22"/>
                <w:szCs w:val="22"/>
              </w:rPr>
              <w:t>WED</w:t>
            </w:r>
          </w:p>
        </w:tc>
        <w:tc>
          <w:tcPr>
            <w:tcW w:w="848" w:type="dxa"/>
            <w:vAlign w:val="center"/>
          </w:tcPr>
          <w:p w14:paraId="59A6B970" w14:textId="77777777" w:rsidR="00311F6B" w:rsidRPr="008D39FB" w:rsidRDefault="00311F6B" w:rsidP="0095559C">
            <w:pPr>
              <w:spacing w:line="240" w:lineRule="auto"/>
              <w:jc w:val="center"/>
              <w:rPr>
                <w:b/>
                <w:bCs/>
                <w:sz w:val="22"/>
                <w:szCs w:val="22"/>
              </w:rPr>
            </w:pPr>
            <w:r w:rsidRPr="008D39FB">
              <w:rPr>
                <w:b/>
                <w:bCs/>
                <w:sz w:val="22"/>
                <w:szCs w:val="22"/>
              </w:rPr>
              <w:t>WGD</w:t>
            </w:r>
          </w:p>
        </w:tc>
      </w:tr>
      <w:tr w:rsidR="00311F6B" w:rsidRPr="008D39FB" w14:paraId="729287C7" w14:textId="77777777" w:rsidTr="00650395">
        <w:trPr>
          <w:trHeight w:val="345"/>
          <w:jc w:val="center"/>
        </w:trPr>
        <w:tc>
          <w:tcPr>
            <w:tcW w:w="1975" w:type="dxa"/>
            <w:vAlign w:val="center"/>
          </w:tcPr>
          <w:p w14:paraId="5BB80FDC" w14:textId="77777777" w:rsidR="00311F6B" w:rsidRPr="008D39FB" w:rsidRDefault="00311F6B" w:rsidP="0095559C">
            <w:pPr>
              <w:spacing w:line="240" w:lineRule="auto"/>
              <w:jc w:val="center"/>
              <w:rPr>
                <w:b/>
                <w:bCs/>
                <w:sz w:val="22"/>
                <w:szCs w:val="22"/>
              </w:rPr>
            </w:pPr>
            <w:r w:rsidRPr="008D39FB">
              <w:rPr>
                <w:b/>
                <w:bCs/>
                <w:sz w:val="22"/>
                <w:szCs w:val="22"/>
              </w:rPr>
              <w:t>Condition number</w:t>
            </w:r>
          </w:p>
        </w:tc>
        <w:tc>
          <w:tcPr>
            <w:tcW w:w="958" w:type="dxa"/>
            <w:vAlign w:val="center"/>
          </w:tcPr>
          <w:p w14:paraId="3F4561D5" w14:textId="77777777" w:rsidR="00311F6B" w:rsidRPr="008D39FB" w:rsidRDefault="00311F6B" w:rsidP="0095559C">
            <w:pPr>
              <w:spacing w:line="240" w:lineRule="auto"/>
              <w:jc w:val="center"/>
              <w:rPr>
                <w:sz w:val="22"/>
                <w:szCs w:val="22"/>
              </w:rPr>
            </w:pPr>
            <w:r w:rsidRPr="008D39FB">
              <w:rPr>
                <w:sz w:val="22"/>
                <w:szCs w:val="22"/>
              </w:rPr>
              <w:t>5.50</w:t>
            </w:r>
          </w:p>
        </w:tc>
        <w:tc>
          <w:tcPr>
            <w:tcW w:w="817" w:type="dxa"/>
            <w:vAlign w:val="center"/>
          </w:tcPr>
          <w:p w14:paraId="63C70C55" w14:textId="77777777" w:rsidR="00311F6B" w:rsidRPr="008D39FB" w:rsidRDefault="00311F6B" w:rsidP="0095559C">
            <w:pPr>
              <w:spacing w:line="240" w:lineRule="auto"/>
              <w:jc w:val="center"/>
              <w:rPr>
                <w:sz w:val="22"/>
                <w:szCs w:val="22"/>
              </w:rPr>
            </w:pPr>
            <w:r w:rsidRPr="008D39FB">
              <w:rPr>
                <w:sz w:val="22"/>
                <w:szCs w:val="22"/>
              </w:rPr>
              <w:t>56.48</w:t>
            </w:r>
          </w:p>
        </w:tc>
        <w:tc>
          <w:tcPr>
            <w:tcW w:w="867" w:type="dxa"/>
            <w:vAlign w:val="center"/>
          </w:tcPr>
          <w:p w14:paraId="6630FE8E" w14:textId="77777777" w:rsidR="00311F6B" w:rsidRPr="008D39FB" w:rsidRDefault="00311F6B" w:rsidP="0095559C">
            <w:pPr>
              <w:spacing w:line="240" w:lineRule="auto"/>
              <w:jc w:val="center"/>
              <w:rPr>
                <w:sz w:val="22"/>
                <w:szCs w:val="22"/>
              </w:rPr>
            </w:pPr>
            <w:r w:rsidRPr="008D39FB">
              <w:rPr>
                <w:sz w:val="22"/>
                <w:szCs w:val="22"/>
              </w:rPr>
              <w:t>19.81</w:t>
            </w:r>
          </w:p>
        </w:tc>
        <w:tc>
          <w:tcPr>
            <w:tcW w:w="892" w:type="dxa"/>
            <w:vAlign w:val="center"/>
          </w:tcPr>
          <w:p w14:paraId="00A27A16" w14:textId="77777777" w:rsidR="00311F6B" w:rsidRPr="008D39FB" w:rsidRDefault="00311F6B" w:rsidP="0095559C">
            <w:pPr>
              <w:spacing w:line="240" w:lineRule="auto"/>
              <w:jc w:val="center"/>
              <w:rPr>
                <w:sz w:val="22"/>
                <w:szCs w:val="22"/>
              </w:rPr>
            </w:pPr>
            <w:r w:rsidRPr="008D39FB">
              <w:rPr>
                <w:sz w:val="22"/>
                <w:szCs w:val="22"/>
              </w:rPr>
              <w:t>5.28</w:t>
            </w:r>
          </w:p>
        </w:tc>
        <w:tc>
          <w:tcPr>
            <w:tcW w:w="905" w:type="dxa"/>
            <w:vAlign w:val="center"/>
          </w:tcPr>
          <w:p w14:paraId="74325211" w14:textId="77777777" w:rsidR="00311F6B" w:rsidRPr="008D39FB" w:rsidRDefault="00311F6B" w:rsidP="0095559C">
            <w:pPr>
              <w:spacing w:line="240" w:lineRule="auto"/>
              <w:jc w:val="center"/>
              <w:rPr>
                <w:sz w:val="22"/>
                <w:szCs w:val="22"/>
              </w:rPr>
            </w:pPr>
            <w:r w:rsidRPr="008D39FB">
              <w:rPr>
                <w:sz w:val="22"/>
                <w:szCs w:val="22"/>
              </w:rPr>
              <w:t>4.97</w:t>
            </w:r>
          </w:p>
        </w:tc>
        <w:tc>
          <w:tcPr>
            <w:tcW w:w="867" w:type="dxa"/>
            <w:vAlign w:val="center"/>
          </w:tcPr>
          <w:p w14:paraId="4983393B" w14:textId="77777777" w:rsidR="00311F6B" w:rsidRPr="008D39FB" w:rsidRDefault="00311F6B" w:rsidP="0095559C">
            <w:pPr>
              <w:spacing w:line="240" w:lineRule="auto"/>
              <w:jc w:val="center"/>
              <w:rPr>
                <w:sz w:val="22"/>
                <w:szCs w:val="22"/>
              </w:rPr>
            </w:pPr>
            <w:r w:rsidRPr="008D39FB">
              <w:rPr>
                <w:sz w:val="22"/>
                <w:szCs w:val="22"/>
              </w:rPr>
              <w:t>4.93</w:t>
            </w:r>
          </w:p>
        </w:tc>
        <w:tc>
          <w:tcPr>
            <w:tcW w:w="848" w:type="dxa"/>
            <w:vAlign w:val="center"/>
          </w:tcPr>
          <w:p w14:paraId="4A3776C2" w14:textId="77777777" w:rsidR="00311F6B" w:rsidRPr="008D39FB" w:rsidRDefault="00311F6B" w:rsidP="0095559C">
            <w:pPr>
              <w:spacing w:line="240" w:lineRule="auto"/>
              <w:jc w:val="center"/>
              <w:rPr>
                <w:sz w:val="22"/>
                <w:szCs w:val="22"/>
              </w:rPr>
            </w:pPr>
            <w:r w:rsidRPr="008D39FB">
              <w:rPr>
                <w:sz w:val="22"/>
                <w:szCs w:val="22"/>
              </w:rPr>
              <w:t>4.47</w:t>
            </w:r>
          </w:p>
        </w:tc>
        <w:tc>
          <w:tcPr>
            <w:tcW w:w="848" w:type="dxa"/>
            <w:vAlign w:val="center"/>
          </w:tcPr>
          <w:p w14:paraId="4CD3C0A6" w14:textId="77777777" w:rsidR="00311F6B" w:rsidRPr="008D39FB" w:rsidRDefault="00311F6B" w:rsidP="0095559C">
            <w:pPr>
              <w:spacing w:line="240" w:lineRule="auto"/>
              <w:jc w:val="center"/>
              <w:rPr>
                <w:sz w:val="22"/>
                <w:szCs w:val="22"/>
              </w:rPr>
            </w:pPr>
            <w:r w:rsidRPr="008D39FB">
              <w:rPr>
                <w:sz w:val="22"/>
                <w:szCs w:val="22"/>
              </w:rPr>
              <w:t>4.90</w:t>
            </w:r>
          </w:p>
        </w:tc>
      </w:tr>
      <w:tr w:rsidR="00311F6B" w:rsidRPr="008D39FB" w14:paraId="0731770F" w14:textId="77777777" w:rsidTr="00650395">
        <w:trPr>
          <w:trHeight w:val="226"/>
          <w:jc w:val="center"/>
        </w:trPr>
        <w:tc>
          <w:tcPr>
            <w:tcW w:w="1975" w:type="dxa"/>
            <w:vAlign w:val="center"/>
          </w:tcPr>
          <w:p w14:paraId="7A6FD793" w14:textId="77777777" w:rsidR="00311F6B" w:rsidRPr="008D39FB" w:rsidRDefault="00311F6B" w:rsidP="0095559C">
            <w:pPr>
              <w:spacing w:line="240" w:lineRule="auto"/>
              <w:jc w:val="center"/>
              <w:rPr>
                <w:b/>
                <w:bCs/>
                <w:sz w:val="22"/>
                <w:szCs w:val="22"/>
              </w:rPr>
            </w:pPr>
            <w:r w:rsidRPr="008D39FB">
              <w:rPr>
                <w:b/>
                <w:bCs/>
                <w:sz w:val="22"/>
                <w:szCs w:val="22"/>
              </w:rPr>
              <w:t>Probe liquid set</w:t>
            </w:r>
          </w:p>
        </w:tc>
        <w:tc>
          <w:tcPr>
            <w:tcW w:w="958" w:type="dxa"/>
            <w:vAlign w:val="center"/>
          </w:tcPr>
          <w:p w14:paraId="2FAE0D07" w14:textId="77777777" w:rsidR="00311F6B" w:rsidRPr="008D39FB" w:rsidRDefault="00311F6B" w:rsidP="0095559C">
            <w:pPr>
              <w:spacing w:line="240" w:lineRule="auto"/>
              <w:jc w:val="center"/>
              <w:rPr>
                <w:b/>
                <w:bCs/>
                <w:sz w:val="22"/>
                <w:szCs w:val="22"/>
              </w:rPr>
            </w:pPr>
            <w:r w:rsidRPr="008D39FB">
              <w:rPr>
                <w:b/>
                <w:bCs/>
                <w:sz w:val="22"/>
                <w:szCs w:val="22"/>
              </w:rPr>
              <w:t>WFD</w:t>
            </w:r>
          </w:p>
        </w:tc>
        <w:tc>
          <w:tcPr>
            <w:tcW w:w="817" w:type="dxa"/>
            <w:vAlign w:val="center"/>
          </w:tcPr>
          <w:p w14:paraId="43368B4D" w14:textId="77777777" w:rsidR="00311F6B" w:rsidRPr="008D39FB" w:rsidRDefault="00311F6B" w:rsidP="0095559C">
            <w:pPr>
              <w:spacing w:line="240" w:lineRule="auto"/>
              <w:jc w:val="center"/>
              <w:rPr>
                <w:b/>
                <w:bCs/>
                <w:sz w:val="22"/>
                <w:szCs w:val="22"/>
              </w:rPr>
            </w:pPr>
            <w:r w:rsidRPr="008D39FB">
              <w:rPr>
                <w:b/>
                <w:bCs/>
                <w:sz w:val="22"/>
                <w:szCs w:val="22"/>
              </w:rPr>
              <w:t>WFG</w:t>
            </w:r>
          </w:p>
        </w:tc>
        <w:tc>
          <w:tcPr>
            <w:tcW w:w="867" w:type="dxa"/>
            <w:vAlign w:val="center"/>
          </w:tcPr>
          <w:p w14:paraId="1E8AE6EF" w14:textId="77777777" w:rsidR="00311F6B" w:rsidRPr="008D39FB" w:rsidRDefault="00311F6B" w:rsidP="0095559C">
            <w:pPr>
              <w:spacing w:line="240" w:lineRule="auto"/>
              <w:jc w:val="center"/>
              <w:rPr>
                <w:b/>
                <w:bCs/>
                <w:sz w:val="22"/>
                <w:szCs w:val="22"/>
              </w:rPr>
            </w:pPr>
            <w:r w:rsidRPr="008D39FB">
              <w:rPr>
                <w:b/>
                <w:bCs/>
                <w:sz w:val="22"/>
                <w:szCs w:val="22"/>
              </w:rPr>
              <w:t>WFE</w:t>
            </w:r>
          </w:p>
        </w:tc>
        <w:tc>
          <w:tcPr>
            <w:tcW w:w="892" w:type="dxa"/>
            <w:vAlign w:val="center"/>
          </w:tcPr>
          <w:p w14:paraId="51CA301F" w14:textId="77777777" w:rsidR="00311F6B" w:rsidRPr="008D39FB" w:rsidRDefault="00311F6B" w:rsidP="0095559C">
            <w:pPr>
              <w:spacing w:line="240" w:lineRule="auto"/>
              <w:jc w:val="center"/>
              <w:rPr>
                <w:b/>
                <w:bCs/>
                <w:sz w:val="22"/>
                <w:szCs w:val="22"/>
              </w:rPr>
            </w:pPr>
            <w:r w:rsidRPr="008D39FB">
              <w:rPr>
                <w:b/>
                <w:bCs/>
                <w:sz w:val="22"/>
                <w:szCs w:val="22"/>
              </w:rPr>
              <w:t>GED</w:t>
            </w:r>
          </w:p>
        </w:tc>
        <w:tc>
          <w:tcPr>
            <w:tcW w:w="905" w:type="dxa"/>
            <w:vAlign w:val="center"/>
          </w:tcPr>
          <w:p w14:paraId="54A4F22C" w14:textId="77777777" w:rsidR="00311F6B" w:rsidRPr="008D39FB" w:rsidRDefault="00311F6B" w:rsidP="0095559C">
            <w:pPr>
              <w:spacing w:line="240" w:lineRule="auto"/>
              <w:jc w:val="center"/>
              <w:rPr>
                <w:b/>
                <w:bCs/>
                <w:sz w:val="22"/>
                <w:szCs w:val="22"/>
              </w:rPr>
            </w:pPr>
            <w:r w:rsidRPr="008D39FB">
              <w:rPr>
                <w:b/>
                <w:bCs/>
                <w:sz w:val="22"/>
                <w:szCs w:val="22"/>
              </w:rPr>
              <w:t>GEF</w:t>
            </w:r>
          </w:p>
        </w:tc>
        <w:tc>
          <w:tcPr>
            <w:tcW w:w="867" w:type="dxa"/>
            <w:vAlign w:val="center"/>
          </w:tcPr>
          <w:p w14:paraId="56EB64D0" w14:textId="77777777" w:rsidR="00311F6B" w:rsidRPr="008D39FB" w:rsidRDefault="00311F6B" w:rsidP="0095559C">
            <w:pPr>
              <w:spacing w:line="240" w:lineRule="auto"/>
              <w:jc w:val="center"/>
              <w:rPr>
                <w:b/>
                <w:bCs/>
                <w:sz w:val="22"/>
                <w:szCs w:val="22"/>
              </w:rPr>
            </w:pPr>
            <w:r w:rsidRPr="008D39FB">
              <w:rPr>
                <w:b/>
                <w:bCs/>
                <w:sz w:val="22"/>
                <w:szCs w:val="22"/>
              </w:rPr>
              <w:t>FED</w:t>
            </w:r>
          </w:p>
        </w:tc>
        <w:tc>
          <w:tcPr>
            <w:tcW w:w="848" w:type="dxa"/>
            <w:vAlign w:val="center"/>
          </w:tcPr>
          <w:p w14:paraId="1F876FCF" w14:textId="77777777" w:rsidR="00311F6B" w:rsidRPr="008D39FB" w:rsidRDefault="00311F6B" w:rsidP="0095559C">
            <w:pPr>
              <w:spacing w:line="240" w:lineRule="auto"/>
              <w:jc w:val="center"/>
              <w:rPr>
                <w:b/>
                <w:bCs/>
                <w:sz w:val="22"/>
                <w:szCs w:val="22"/>
              </w:rPr>
            </w:pPr>
            <w:r w:rsidRPr="008D39FB">
              <w:rPr>
                <w:b/>
                <w:bCs/>
                <w:sz w:val="22"/>
                <w:szCs w:val="22"/>
              </w:rPr>
              <w:t>WGE</w:t>
            </w:r>
          </w:p>
        </w:tc>
        <w:tc>
          <w:tcPr>
            <w:tcW w:w="848" w:type="dxa"/>
            <w:vAlign w:val="center"/>
          </w:tcPr>
          <w:p w14:paraId="29D90F6C" w14:textId="77777777" w:rsidR="00311F6B" w:rsidRPr="008D39FB" w:rsidRDefault="00311F6B" w:rsidP="0095559C">
            <w:pPr>
              <w:spacing w:line="240" w:lineRule="auto"/>
              <w:jc w:val="center"/>
              <w:rPr>
                <w:b/>
                <w:bCs/>
                <w:sz w:val="22"/>
                <w:szCs w:val="22"/>
              </w:rPr>
            </w:pPr>
            <w:r w:rsidRPr="008D39FB">
              <w:rPr>
                <w:b/>
                <w:bCs/>
                <w:sz w:val="22"/>
                <w:szCs w:val="22"/>
              </w:rPr>
              <w:t>FGD</w:t>
            </w:r>
          </w:p>
        </w:tc>
      </w:tr>
      <w:tr w:rsidR="00311F6B" w:rsidRPr="008D39FB" w14:paraId="2638A22E" w14:textId="77777777" w:rsidTr="00650395">
        <w:trPr>
          <w:trHeight w:val="339"/>
          <w:jc w:val="center"/>
        </w:trPr>
        <w:tc>
          <w:tcPr>
            <w:tcW w:w="1975" w:type="dxa"/>
            <w:vAlign w:val="center"/>
          </w:tcPr>
          <w:p w14:paraId="0FB11F3E" w14:textId="77777777" w:rsidR="00311F6B" w:rsidRPr="008D39FB" w:rsidRDefault="00311F6B" w:rsidP="0095559C">
            <w:pPr>
              <w:spacing w:line="240" w:lineRule="auto"/>
              <w:jc w:val="center"/>
              <w:rPr>
                <w:b/>
                <w:bCs/>
                <w:sz w:val="22"/>
                <w:szCs w:val="22"/>
              </w:rPr>
            </w:pPr>
            <w:r w:rsidRPr="008D39FB">
              <w:rPr>
                <w:b/>
                <w:bCs/>
                <w:sz w:val="22"/>
                <w:szCs w:val="22"/>
              </w:rPr>
              <w:t>Condition number</w:t>
            </w:r>
          </w:p>
        </w:tc>
        <w:tc>
          <w:tcPr>
            <w:tcW w:w="958" w:type="dxa"/>
            <w:vAlign w:val="center"/>
          </w:tcPr>
          <w:p w14:paraId="1908481F" w14:textId="77777777" w:rsidR="00311F6B" w:rsidRPr="008D39FB" w:rsidRDefault="00311F6B" w:rsidP="0095559C">
            <w:pPr>
              <w:spacing w:line="240" w:lineRule="auto"/>
              <w:jc w:val="center"/>
              <w:rPr>
                <w:sz w:val="22"/>
                <w:szCs w:val="22"/>
              </w:rPr>
            </w:pPr>
            <w:r w:rsidRPr="008D39FB">
              <w:rPr>
                <w:sz w:val="22"/>
                <w:szCs w:val="22"/>
              </w:rPr>
              <w:t>5.17</w:t>
            </w:r>
          </w:p>
        </w:tc>
        <w:tc>
          <w:tcPr>
            <w:tcW w:w="817" w:type="dxa"/>
            <w:vAlign w:val="center"/>
          </w:tcPr>
          <w:p w14:paraId="6DC38262" w14:textId="77777777" w:rsidR="00311F6B" w:rsidRPr="008D39FB" w:rsidRDefault="00311F6B" w:rsidP="0095559C">
            <w:pPr>
              <w:spacing w:line="240" w:lineRule="auto"/>
              <w:jc w:val="center"/>
              <w:rPr>
                <w:sz w:val="22"/>
                <w:szCs w:val="22"/>
              </w:rPr>
            </w:pPr>
            <w:r w:rsidRPr="008D39FB">
              <w:rPr>
                <w:sz w:val="22"/>
                <w:szCs w:val="22"/>
              </w:rPr>
              <w:t>18.66</w:t>
            </w:r>
          </w:p>
        </w:tc>
        <w:tc>
          <w:tcPr>
            <w:tcW w:w="867" w:type="dxa"/>
            <w:vAlign w:val="center"/>
          </w:tcPr>
          <w:p w14:paraId="006DE17E" w14:textId="77777777" w:rsidR="00311F6B" w:rsidRPr="008D39FB" w:rsidRDefault="00311F6B" w:rsidP="0095559C">
            <w:pPr>
              <w:spacing w:line="240" w:lineRule="auto"/>
              <w:jc w:val="center"/>
              <w:rPr>
                <w:sz w:val="22"/>
                <w:szCs w:val="22"/>
              </w:rPr>
            </w:pPr>
            <w:r w:rsidRPr="008D39FB">
              <w:rPr>
                <w:sz w:val="22"/>
                <w:szCs w:val="22"/>
              </w:rPr>
              <w:t>20.75</w:t>
            </w:r>
          </w:p>
        </w:tc>
        <w:tc>
          <w:tcPr>
            <w:tcW w:w="892" w:type="dxa"/>
            <w:vAlign w:val="center"/>
          </w:tcPr>
          <w:p w14:paraId="127043DE" w14:textId="77777777" w:rsidR="00311F6B" w:rsidRPr="008D39FB" w:rsidRDefault="00311F6B" w:rsidP="0095559C">
            <w:pPr>
              <w:spacing w:line="240" w:lineRule="auto"/>
              <w:jc w:val="center"/>
              <w:rPr>
                <w:sz w:val="22"/>
                <w:szCs w:val="22"/>
              </w:rPr>
            </w:pPr>
            <w:r w:rsidRPr="008D39FB">
              <w:rPr>
                <w:sz w:val="22"/>
                <w:szCs w:val="22"/>
              </w:rPr>
              <w:t>47.70</w:t>
            </w:r>
          </w:p>
        </w:tc>
        <w:tc>
          <w:tcPr>
            <w:tcW w:w="905" w:type="dxa"/>
            <w:vAlign w:val="center"/>
          </w:tcPr>
          <w:p w14:paraId="77E84BC0" w14:textId="77777777" w:rsidR="00311F6B" w:rsidRPr="008D39FB" w:rsidRDefault="00311F6B" w:rsidP="0095559C">
            <w:pPr>
              <w:spacing w:line="240" w:lineRule="auto"/>
              <w:jc w:val="center"/>
              <w:rPr>
                <w:sz w:val="22"/>
                <w:szCs w:val="22"/>
              </w:rPr>
            </w:pPr>
            <w:r w:rsidRPr="008D39FB">
              <w:rPr>
                <w:sz w:val="22"/>
                <w:szCs w:val="22"/>
              </w:rPr>
              <w:t>54.10</w:t>
            </w:r>
          </w:p>
        </w:tc>
        <w:tc>
          <w:tcPr>
            <w:tcW w:w="867" w:type="dxa"/>
            <w:vAlign w:val="center"/>
          </w:tcPr>
          <w:p w14:paraId="25AF019F" w14:textId="77777777" w:rsidR="00311F6B" w:rsidRPr="008D39FB" w:rsidRDefault="00311F6B" w:rsidP="0095559C">
            <w:pPr>
              <w:spacing w:line="240" w:lineRule="auto"/>
              <w:jc w:val="center"/>
              <w:rPr>
                <w:sz w:val="22"/>
                <w:szCs w:val="22"/>
              </w:rPr>
            </w:pPr>
            <w:r w:rsidRPr="008D39FB">
              <w:rPr>
                <w:sz w:val="22"/>
                <w:szCs w:val="22"/>
              </w:rPr>
              <w:t>79.87</w:t>
            </w:r>
          </w:p>
        </w:tc>
        <w:tc>
          <w:tcPr>
            <w:tcW w:w="848" w:type="dxa"/>
            <w:vAlign w:val="center"/>
          </w:tcPr>
          <w:p w14:paraId="45DDEC2E" w14:textId="77777777" w:rsidR="00311F6B" w:rsidRPr="008D39FB" w:rsidRDefault="00311F6B" w:rsidP="0095559C">
            <w:pPr>
              <w:spacing w:line="240" w:lineRule="auto"/>
              <w:jc w:val="center"/>
              <w:rPr>
                <w:sz w:val="22"/>
                <w:szCs w:val="22"/>
              </w:rPr>
            </w:pPr>
            <w:r w:rsidRPr="008D39FB">
              <w:rPr>
                <w:sz w:val="22"/>
                <w:szCs w:val="22"/>
              </w:rPr>
              <w:t>139.16</w:t>
            </w:r>
          </w:p>
        </w:tc>
        <w:tc>
          <w:tcPr>
            <w:tcW w:w="848" w:type="dxa"/>
            <w:vAlign w:val="center"/>
          </w:tcPr>
          <w:p w14:paraId="6DBA7C1F" w14:textId="77777777" w:rsidR="00311F6B" w:rsidRPr="008D39FB" w:rsidRDefault="00311F6B" w:rsidP="0095559C">
            <w:pPr>
              <w:spacing w:line="240" w:lineRule="auto"/>
              <w:jc w:val="center"/>
              <w:rPr>
                <w:sz w:val="22"/>
                <w:szCs w:val="22"/>
              </w:rPr>
            </w:pPr>
            <w:r w:rsidRPr="008D39FB">
              <w:rPr>
                <w:sz w:val="22"/>
                <w:szCs w:val="22"/>
              </w:rPr>
              <w:t>142.67</w:t>
            </w:r>
          </w:p>
        </w:tc>
      </w:tr>
    </w:tbl>
    <w:p w14:paraId="65B28E5C" w14:textId="77777777" w:rsidR="00311F6B" w:rsidRDefault="00311F6B" w:rsidP="00311F6B">
      <w:pPr>
        <w:spacing w:line="360" w:lineRule="auto"/>
        <w:ind w:firstLine="720"/>
        <w:rPr>
          <w:rFonts w:eastAsiaTheme="minorEastAsia" w:cs="Times New Roman"/>
          <w:szCs w:val="24"/>
        </w:rPr>
      </w:pPr>
    </w:p>
    <w:p w14:paraId="43BC1B2B" w14:textId="7A469048" w:rsidR="007C7DB1" w:rsidRPr="00CC12F0" w:rsidRDefault="002438A2" w:rsidP="00537471">
      <w:pPr>
        <w:pStyle w:val="Caption"/>
        <w:spacing w:line="480" w:lineRule="auto"/>
        <w:jc w:val="center"/>
        <w:rPr>
          <w:szCs w:val="24"/>
        </w:rPr>
      </w:pPr>
      <w:bookmarkStart w:id="53" w:name="_Toc71330976"/>
      <w:r>
        <w:t xml:space="preserve">Table </w:t>
      </w:r>
      <w:fldSimple w:instr=" STYLEREF 1 \s ">
        <w:r w:rsidR="005050F0">
          <w:rPr>
            <w:noProof/>
          </w:rPr>
          <w:t>2</w:t>
        </w:r>
      </w:fldSimple>
      <w:r w:rsidR="00700639">
        <w:t>.</w:t>
      </w:r>
      <w:fldSimple w:instr=" SEQ Table \* ARABIC \s 1 ">
        <w:r w:rsidR="005050F0">
          <w:rPr>
            <w:noProof/>
          </w:rPr>
          <w:t>5</w:t>
        </w:r>
      </w:fldSimple>
      <w:r>
        <w:t xml:space="preserve"> </w:t>
      </w:r>
      <w:r w:rsidR="007C7DB1" w:rsidRPr="00CC12F0">
        <w:rPr>
          <w:szCs w:val="24"/>
        </w:rPr>
        <w:t xml:space="preserve">Surface </w:t>
      </w:r>
      <w:r w:rsidR="007C7DB1">
        <w:rPr>
          <w:szCs w:val="24"/>
        </w:rPr>
        <w:t>F</w:t>
      </w:r>
      <w:r w:rsidR="007C7DB1" w:rsidRPr="00CC12F0">
        <w:rPr>
          <w:szCs w:val="24"/>
        </w:rPr>
        <w:t xml:space="preserve">ree </w:t>
      </w:r>
      <w:r w:rsidR="007C7DB1">
        <w:rPr>
          <w:szCs w:val="24"/>
        </w:rPr>
        <w:t>E</w:t>
      </w:r>
      <w:r w:rsidR="007C7DB1" w:rsidRPr="00CC12F0">
        <w:rPr>
          <w:szCs w:val="24"/>
        </w:rPr>
        <w:t xml:space="preserve">nergy </w:t>
      </w:r>
      <w:r w:rsidR="007C7DB1">
        <w:rPr>
          <w:szCs w:val="24"/>
        </w:rPr>
        <w:t>C</w:t>
      </w:r>
      <w:r w:rsidR="007C7DB1" w:rsidRPr="00CC12F0">
        <w:rPr>
          <w:szCs w:val="24"/>
        </w:rPr>
        <w:t>omponents of Limestone aggregate</w:t>
      </w:r>
      <w:bookmarkEnd w:id="53"/>
    </w:p>
    <w:tbl>
      <w:tblPr>
        <w:tblW w:w="7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7"/>
        <w:gridCol w:w="861"/>
        <w:gridCol w:w="876"/>
        <w:gridCol w:w="1243"/>
        <w:gridCol w:w="876"/>
        <w:gridCol w:w="876"/>
      </w:tblGrid>
      <w:tr w:rsidR="007C7DB1" w:rsidRPr="00CC12F0" w14:paraId="57A231DC" w14:textId="77777777" w:rsidTr="00650395">
        <w:trPr>
          <w:trHeight w:val="521"/>
          <w:jc w:val="center"/>
        </w:trPr>
        <w:tc>
          <w:tcPr>
            <w:tcW w:w="2817" w:type="dxa"/>
            <w:shd w:val="clear" w:color="auto" w:fill="auto"/>
            <w:noWrap/>
            <w:vAlign w:val="center"/>
            <w:hideMark/>
          </w:tcPr>
          <w:p w14:paraId="226B0CD3" w14:textId="77777777" w:rsidR="007C7DB1" w:rsidRPr="00CC12F0" w:rsidRDefault="007C7DB1" w:rsidP="00650395">
            <w:pPr>
              <w:spacing w:line="276" w:lineRule="auto"/>
              <w:jc w:val="center"/>
              <w:rPr>
                <w:rFonts w:eastAsia="Times New Roman" w:cs="Times New Roman"/>
                <w:b/>
                <w:bCs/>
                <w:color w:val="000000"/>
                <w:szCs w:val="24"/>
              </w:rPr>
            </w:pPr>
            <w:r w:rsidRPr="00CC12F0">
              <w:rPr>
                <w:rFonts w:eastAsia="Times New Roman" w:cs="Times New Roman"/>
                <w:b/>
                <w:bCs/>
                <w:color w:val="000000"/>
                <w:szCs w:val="24"/>
              </w:rPr>
              <w:t>Aggregate</w:t>
            </w:r>
          </w:p>
        </w:tc>
        <w:tc>
          <w:tcPr>
            <w:tcW w:w="861" w:type="dxa"/>
            <w:shd w:val="clear" w:color="auto" w:fill="auto"/>
            <w:noWrap/>
            <w:vAlign w:val="center"/>
            <w:hideMark/>
          </w:tcPr>
          <w:p w14:paraId="7FD7CA13" w14:textId="77777777" w:rsidR="007C7DB1" w:rsidRPr="00CC12F0" w:rsidRDefault="007F7885" w:rsidP="00650395">
            <w:pPr>
              <w:spacing w:line="276" w:lineRule="auto"/>
              <w:jc w:val="center"/>
              <w:rPr>
                <w:rFonts w:eastAsia="Times New Roman" w:cs="Times New Roman"/>
                <w:b/>
                <w:bCs/>
                <w:color w:val="000000"/>
                <w:szCs w:val="24"/>
              </w:rPr>
            </w:pPr>
            <m:oMathPara>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lang w:val="en-GB" w:eastAsia="en-GB"/>
                      </w:rPr>
                      <m:t>R</m:t>
                    </m:r>
                  </m:sub>
                  <m:sup>
                    <m:r>
                      <w:rPr>
                        <w:rFonts w:ascii="Cambria Math" w:hAnsi="Cambria Math" w:cs="Times New Roman"/>
                        <w:szCs w:val="24"/>
                      </w:rPr>
                      <m:t>+</m:t>
                    </m:r>
                  </m:sup>
                </m:sSubSup>
              </m:oMath>
            </m:oMathPara>
          </w:p>
        </w:tc>
        <w:tc>
          <w:tcPr>
            <w:tcW w:w="797" w:type="dxa"/>
            <w:shd w:val="clear" w:color="auto" w:fill="auto"/>
            <w:noWrap/>
            <w:vAlign w:val="center"/>
            <w:hideMark/>
          </w:tcPr>
          <w:p w14:paraId="1470296D" w14:textId="77777777" w:rsidR="007C7DB1" w:rsidRPr="00CC12F0" w:rsidRDefault="007F7885" w:rsidP="00650395">
            <w:pPr>
              <w:spacing w:line="276" w:lineRule="auto"/>
              <w:jc w:val="center"/>
              <w:rPr>
                <w:rFonts w:eastAsia="Times New Roman" w:cs="Times New Roman"/>
                <w:b/>
                <w:bCs/>
                <w:color w:val="000000"/>
                <w:szCs w:val="24"/>
              </w:rPr>
            </w:pPr>
            <m:oMathPara>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lang w:val="en-GB" w:eastAsia="en-GB"/>
                      </w:rPr>
                      <m:t>R</m:t>
                    </m:r>
                  </m:sub>
                  <m:sup>
                    <m:r>
                      <w:rPr>
                        <w:rFonts w:ascii="Cambria Math" w:hAnsi="Cambria Math" w:cs="Times New Roman"/>
                        <w:szCs w:val="24"/>
                      </w:rPr>
                      <m:t>-</m:t>
                    </m:r>
                  </m:sup>
                </m:sSubSup>
              </m:oMath>
            </m:oMathPara>
          </w:p>
        </w:tc>
        <w:tc>
          <w:tcPr>
            <w:tcW w:w="988" w:type="dxa"/>
            <w:vAlign w:val="center"/>
          </w:tcPr>
          <w:p w14:paraId="2DF1EB14" w14:textId="77777777" w:rsidR="007C7DB1" w:rsidRPr="00CC12F0" w:rsidRDefault="007F7885" w:rsidP="00650395">
            <w:pPr>
              <w:spacing w:line="276" w:lineRule="auto"/>
              <w:jc w:val="center"/>
              <w:rPr>
                <w:rFonts w:eastAsia="Times New Roman" w:cs="Times New Roman"/>
                <w:b/>
                <w:bCs/>
                <w:color w:val="000000"/>
                <w:szCs w:val="24"/>
              </w:rPr>
            </w:pPr>
            <m:oMathPara>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lang w:val="en-GB" w:eastAsia="en-GB"/>
                      </w:rPr>
                      <m:t>R</m:t>
                    </m:r>
                  </m:sub>
                  <m:sup>
                    <m:r>
                      <w:rPr>
                        <w:rFonts w:ascii="Cambria Math" w:hAnsi="Cambria Math" w:cs="Times New Roman"/>
                        <w:szCs w:val="24"/>
                      </w:rPr>
                      <m:t>LW</m:t>
                    </m:r>
                  </m:sup>
                </m:sSubSup>
                <m:r>
                  <w:rPr>
                    <w:rFonts w:ascii="Cambria Math" w:hAnsi="Cambria Math" w:cs="Times New Roman"/>
                    <w:szCs w:val="24"/>
                    <w:lang w:val="en-GB" w:eastAsia="en-GB"/>
                  </w:rPr>
                  <m:t xml:space="preserve"> or </m:t>
                </m:r>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lang w:val="en-GB" w:eastAsia="en-GB"/>
                      </w:rPr>
                      <m:t>R</m:t>
                    </m:r>
                  </m:sub>
                  <m:sup>
                    <m:r>
                      <w:rPr>
                        <w:rFonts w:ascii="Cambria Math" w:hAnsi="Cambria Math" w:cs="Times New Roman"/>
                        <w:szCs w:val="24"/>
                        <w:lang w:val="en-GB" w:eastAsia="en-GB"/>
                      </w:rPr>
                      <m:t>d</m:t>
                    </m:r>
                  </m:sup>
                </m:sSubSup>
              </m:oMath>
            </m:oMathPara>
          </w:p>
        </w:tc>
        <w:tc>
          <w:tcPr>
            <w:tcW w:w="797" w:type="dxa"/>
            <w:vAlign w:val="center"/>
          </w:tcPr>
          <w:p w14:paraId="34D425C0" w14:textId="77777777" w:rsidR="007C7DB1" w:rsidRPr="00CC12F0" w:rsidRDefault="007F7885" w:rsidP="00650395">
            <w:pPr>
              <w:spacing w:line="276" w:lineRule="auto"/>
              <w:jc w:val="center"/>
              <w:rPr>
                <w:rFonts w:eastAsia="Times New Roman" w:cs="Times New Roman"/>
                <w:b/>
                <w:bCs/>
                <w:color w:val="000000"/>
                <w:szCs w:val="24"/>
              </w:rPr>
            </w:pPr>
            <m:oMathPara>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lang w:val="en-GB" w:eastAsia="en-GB"/>
                      </w:rPr>
                      <m:t>R</m:t>
                    </m:r>
                  </m:sub>
                  <m:sup>
                    <m:r>
                      <w:rPr>
                        <w:rFonts w:ascii="Cambria Math" w:hAnsi="Cambria Math" w:cs="Times New Roman"/>
                        <w:szCs w:val="24"/>
                        <w:lang w:val="en-GB" w:eastAsia="en-GB"/>
                      </w:rPr>
                      <m:t>P</m:t>
                    </m:r>
                  </m:sup>
                </m:sSubSup>
              </m:oMath>
            </m:oMathPara>
          </w:p>
        </w:tc>
        <w:tc>
          <w:tcPr>
            <w:tcW w:w="861" w:type="dxa"/>
            <w:shd w:val="clear" w:color="auto" w:fill="auto"/>
            <w:noWrap/>
            <w:vAlign w:val="center"/>
            <w:hideMark/>
          </w:tcPr>
          <w:p w14:paraId="49B8F52A" w14:textId="77777777" w:rsidR="007C7DB1" w:rsidRPr="00CC12F0" w:rsidRDefault="007F7885" w:rsidP="00650395">
            <w:pPr>
              <w:spacing w:line="276" w:lineRule="auto"/>
              <w:jc w:val="center"/>
              <w:rPr>
                <w:rFonts w:eastAsia="Times New Roman" w:cs="Times New Roman"/>
                <w:b/>
                <w:bCs/>
                <w:color w:val="000000"/>
                <w:szCs w:val="24"/>
              </w:rPr>
            </w:pPr>
            <m:oMathPara>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R</m:t>
                    </m:r>
                  </m:sub>
                </m:sSub>
              </m:oMath>
            </m:oMathPara>
          </w:p>
        </w:tc>
      </w:tr>
      <w:tr w:rsidR="007C7DB1" w:rsidRPr="00CC12F0" w14:paraId="2A1C1163" w14:textId="77777777" w:rsidTr="00650395">
        <w:trPr>
          <w:trHeight w:val="273"/>
          <w:jc w:val="center"/>
        </w:trPr>
        <w:tc>
          <w:tcPr>
            <w:tcW w:w="2817" w:type="dxa"/>
            <w:shd w:val="clear" w:color="auto" w:fill="auto"/>
            <w:noWrap/>
            <w:vAlign w:val="center"/>
            <w:hideMark/>
          </w:tcPr>
          <w:p w14:paraId="045FAA74" w14:textId="77777777" w:rsidR="007C7DB1" w:rsidRPr="00CC12F0" w:rsidRDefault="007C7DB1" w:rsidP="00650395">
            <w:pPr>
              <w:spacing w:line="276" w:lineRule="auto"/>
              <w:jc w:val="center"/>
              <w:rPr>
                <w:rFonts w:eastAsia="Times New Roman" w:cs="Times New Roman"/>
                <w:color w:val="000000"/>
                <w:szCs w:val="24"/>
              </w:rPr>
            </w:pPr>
            <w:r w:rsidRPr="00CC12F0">
              <w:rPr>
                <w:rFonts w:eastAsia="Times New Roman" w:cs="Times New Roman"/>
                <w:color w:val="000000"/>
                <w:szCs w:val="24"/>
              </w:rPr>
              <w:t>Limestone Aggregate</w:t>
            </w:r>
          </w:p>
        </w:tc>
        <w:tc>
          <w:tcPr>
            <w:tcW w:w="861" w:type="dxa"/>
            <w:shd w:val="clear" w:color="auto" w:fill="auto"/>
            <w:noWrap/>
            <w:vAlign w:val="center"/>
            <w:hideMark/>
          </w:tcPr>
          <w:p w14:paraId="651ADC56" w14:textId="77777777" w:rsidR="007C7DB1" w:rsidRPr="00CC12F0" w:rsidRDefault="007C7DB1" w:rsidP="00650395">
            <w:pPr>
              <w:spacing w:line="276" w:lineRule="auto"/>
              <w:jc w:val="center"/>
              <w:rPr>
                <w:rFonts w:eastAsia="Times New Roman" w:cs="Times New Roman"/>
                <w:color w:val="000000"/>
                <w:szCs w:val="24"/>
              </w:rPr>
            </w:pPr>
            <w:r w:rsidRPr="00CC12F0">
              <w:rPr>
                <w:rFonts w:eastAsia="Times New Roman" w:cs="Times New Roman"/>
                <w:color w:val="000000"/>
                <w:szCs w:val="24"/>
              </w:rPr>
              <w:t>33.78</w:t>
            </w:r>
          </w:p>
        </w:tc>
        <w:tc>
          <w:tcPr>
            <w:tcW w:w="797" w:type="dxa"/>
            <w:shd w:val="clear" w:color="auto" w:fill="auto"/>
            <w:noWrap/>
            <w:vAlign w:val="center"/>
            <w:hideMark/>
          </w:tcPr>
          <w:p w14:paraId="5283B1EC" w14:textId="77777777" w:rsidR="007C7DB1" w:rsidRPr="00CC12F0" w:rsidRDefault="007C7DB1" w:rsidP="00650395">
            <w:pPr>
              <w:spacing w:line="276" w:lineRule="auto"/>
              <w:jc w:val="center"/>
              <w:rPr>
                <w:rFonts w:eastAsia="Times New Roman" w:cs="Times New Roman"/>
                <w:color w:val="000000"/>
                <w:szCs w:val="24"/>
              </w:rPr>
            </w:pPr>
            <w:r w:rsidRPr="00CC12F0">
              <w:rPr>
                <w:rFonts w:eastAsia="Times New Roman" w:cs="Times New Roman"/>
                <w:color w:val="000000"/>
                <w:szCs w:val="24"/>
              </w:rPr>
              <w:t>416.94</w:t>
            </w:r>
          </w:p>
        </w:tc>
        <w:tc>
          <w:tcPr>
            <w:tcW w:w="988" w:type="dxa"/>
            <w:vAlign w:val="center"/>
          </w:tcPr>
          <w:p w14:paraId="214D8D0B" w14:textId="77777777" w:rsidR="007C7DB1" w:rsidRPr="00CC12F0" w:rsidRDefault="007C7DB1" w:rsidP="00650395">
            <w:pPr>
              <w:spacing w:line="276" w:lineRule="auto"/>
              <w:jc w:val="center"/>
              <w:rPr>
                <w:rFonts w:eastAsia="Times New Roman" w:cs="Times New Roman"/>
                <w:color w:val="000000"/>
                <w:szCs w:val="24"/>
              </w:rPr>
            </w:pPr>
            <w:r w:rsidRPr="00CC12F0">
              <w:rPr>
                <w:rFonts w:eastAsia="Times New Roman" w:cs="Times New Roman"/>
                <w:color w:val="000000"/>
                <w:szCs w:val="24"/>
              </w:rPr>
              <w:t>56.73</w:t>
            </w:r>
          </w:p>
        </w:tc>
        <w:tc>
          <w:tcPr>
            <w:tcW w:w="797" w:type="dxa"/>
            <w:vAlign w:val="center"/>
          </w:tcPr>
          <w:p w14:paraId="37289E76" w14:textId="77777777" w:rsidR="007C7DB1" w:rsidRPr="00CC12F0" w:rsidRDefault="007C7DB1" w:rsidP="00650395">
            <w:pPr>
              <w:spacing w:line="276" w:lineRule="auto"/>
              <w:jc w:val="center"/>
              <w:rPr>
                <w:rFonts w:eastAsia="Times New Roman" w:cs="Times New Roman"/>
                <w:color w:val="000000"/>
                <w:szCs w:val="24"/>
              </w:rPr>
            </w:pPr>
            <w:r w:rsidRPr="00CC12F0">
              <w:rPr>
                <w:rFonts w:eastAsia="Times New Roman" w:cs="Times New Roman"/>
                <w:color w:val="000000"/>
                <w:szCs w:val="24"/>
              </w:rPr>
              <w:t>237.37</w:t>
            </w:r>
          </w:p>
        </w:tc>
        <w:tc>
          <w:tcPr>
            <w:tcW w:w="861" w:type="dxa"/>
            <w:shd w:val="clear" w:color="auto" w:fill="auto"/>
            <w:noWrap/>
            <w:vAlign w:val="center"/>
            <w:hideMark/>
          </w:tcPr>
          <w:p w14:paraId="2C53E8F0" w14:textId="77777777" w:rsidR="007C7DB1" w:rsidRPr="00CC12F0" w:rsidRDefault="007C7DB1" w:rsidP="00650395">
            <w:pPr>
              <w:spacing w:line="276" w:lineRule="auto"/>
              <w:jc w:val="center"/>
              <w:rPr>
                <w:rFonts w:eastAsia="Times New Roman" w:cs="Times New Roman"/>
                <w:color w:val="000000"/>
                <w:szCs w:val="24"/>
              </w:rPr>
            </w:pPr>
            <w:r w:rsidRPr="00CC12F0">
              <w:rPr>
                <w:rFonts w:eastAsia="Times New Roman" w:cs="Times New Roman"/>
                <w:color w:val="000000"/>
                <w:szCs w:val="24"/>
              </w:rPr>
              <w:t>294.10</w:t>
            </w:r>
          </w:p>
        </w:tc>
      </w:tr>
    </w:tbl>
    <w:p w14:paraId="6CC39C07" w14:textId="77777777" w:rsidR="007C7DB1" w:rsidRDefault="007C7DB1" w:rsidP="007C7DB1">
      <w:pPr>
        <w:spacing w:line="360" w:lineRule="auto"/>
        <w:jc w:val="center"/>
        <w:rPr>
          <w:rFonts w:cs="Times New Roman"/>
          <w:szCs w:val="24"/>
        </w:rPr>
      </w:pPr>
    </w:p>
    <w:p w14:paraId="27459A2D" w14:textId="53447E0B" w:rsidR="007C7DB1" w:rsidRPr="002C1D5F" w:rsidRDefault="002438A2" w:rsidP="00537471">
      <w:pPr>
        <w:pStyle w:val="Caption"/>
        <w:spacing w:line="480" w:lineRule="auto"/>
        <w:jc w:val="center"/>
        <w:rPr>
          <w:szCs w:val="24"/>
        </w:rPr>
      </w:pPr>
      <w:bookmarkStart w:id="54" w:name="_Toc71330977"/>
      <w:r>
        <w:t xml:space="preserve">Table </w:t>
      </w:r>
      <w:fldSimple w:instr=" STYLEREF 1 \s ">
        <w:r w:rsidR="005050F0">
          <w:rPr>
            <w:noProof/>
          </w:rPr>
          <w:t>2</w:t>
        </w:r>
      </w:fldSimple>
      <w:r w:rsidR="00700639">
        <w:t>.</w:t>
      </w:r>
      <w:fldSimple w:instr=" SEQ Table \* ARABIC \s 1 ">
        <w:r w:rsidR="005050F0">
          <w:rPr>
            <w:noProof/>
          </w:rPr>
          <w:t>6</w:t>
        </w:r>
      </w:fldSimple>
      <w:r>
        <w:t xml:space="preserve"> </w:t>
      </w:r>
      <w:r w:rsidR="007C7DB1" w:rsidRPr="002C1D5F">
        <w:rPr>
          <w:szCs w:val="24"/>
        </w:rPr>
        <w:t xml:space="preserve">Energy </w:t>
      </w:r>
      <w:r w:rsidR="007C7DB1">
        <w:rPr>
          <w:szCs w:val="24"/>
        </w:rPr>
        <w:t xml:space="preserve">Parameters </w:t>
      </w:r>
      <w:r w:rsidR="007C7DB1" w:rsidRPr="002C1D5F">
        <w:rPr>
          <w:szCs w:val="24"/>
        </w:rPr>
        <w:t xml:space="preserve">of </w:t>
      </w:r>
      <w:r w:rsidR="007C7DB1">
        <w:rPr>
          <w:szCs w:val="24"/>
        </w:rPr>
        <w:t>B</w:t>
      </w:r>
      <w:r w:rsidR="007C7DB1" w:rsidRPr="002C1D5F">
        <w:rPr>
          <w:szCs w:val="24"/>
        </w:rPr>
        <w:t>inder-</w:t>
      </w:r>
      <w:r w:rsidR="007C7DB1">
        <w:rPr>
          <w:szCs w:val="24"/>
        </w:rPr>
        <w:t>A</w:t>
      </w:r>
      <w:r w:rsidR="007C7DB1" w:rsidRPr="002C1D5F">
        <w:rPr>
          <w:szCs w:val="24"/>
        </w:rPr>
        <w:t xml:space="preserve">ggregate </w:t>
      </w:r>
      <w:r w:rsidR="007C7DB1">
        <w:rPr>
          <w:szCs w:val="24"/>
        </w:rPr>
        <w:t>S</w:t>
      </w:r>
      <w:r w:rsidR="007C7DB1" w:rsidRPr="002C1D5F">
        <w:rPr>
          <w:szCs w:val="24"/>
        </w:rPr>
        <w:t xml:space="preserve">ystems from GvOC </w:t>
      </w:r>
      <w:r w:rsidR="007C7DB1">
        <w:rPr>
          <w:szCs w:val="24"/>
        </w:rPr>
        <w:t>M</w:t>
      </w:r>
      <w:r w:rsidR="007C7DB1" w:rsidRPr="002C1D5F">
        <w:rPr>
          <w:szCs w:val="24"/>
        </w:rPr>
        <w:t>ethods</w:t>
      </w:r>
      <w:bookmarkEnd w:id="54"/>
    </w:p>
    <w:tbl>
      <w:tblPr>
        <w:tblW w:w="8539"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5"/>
        <w:gridCol w:w="1403"/>
        <w:gridCol w:w="1018"/>
        <w:gridCol w:w="839"/>
        <w:gridCol w:w="913"/>
        <w:gridCol w:w="913"/>
        <w:gridCol w:w="913"/>
        <w:gridCol w:w="913"/>
        <w:gridCol w:w="878"/>
      </w:tblGrid>
      <w:tr w:rsidR="007C7DB1" w:rsidRPr="00B63832" w14:paraId="4E825335" w14:textId="77777777" w:rsidTr="00B63832">
        <w:trPr>
          <w:trHeight w:val="416"/>
        </w:trPr>
        <w:tc>
          <w:tcPr>
            <w:tcW w:w="773" w:type="dxa"/>
            <w:shd w:val="clear" w:color="auto" w:fill="auto"/>
            <w:noWrap/>
            <w:vAlign w:val="center"/>
            <w:hideMark/>
          </w:tcPr>
          <w:p w14:paraId="34387DE6" w14:textId="77777777" w:rsidR="007C7DB1" w:rsidRPr="00B63832" w:rsidRDefault="007C7DB1" w:rsidP="00650395">
            <w:pPr>
              <w:spacing w:line="276" w:lineRule="auto"/>
              <w:jc w:val="center"/>
              <w:rPr>
                <w:rFonts w:eastAsia="Times New Roman" w:cs="Times New Roman"/>
                <w:b/>
                <w:bCs/>
                <w:sz w:val="20"/>
                <w:szCs w:val="20"/>
              </w:rPr>
            </w:pPr>
            <w:r w:rsidRPr="00B63832">
              <w:rPr>
                <w:rFonts w:eastAsia="Times New Roman" w:cs="Times New Roman"/>
                <w:b/>
                <w:bCs/>
                <w:sz w:val="20"/>
                <w:szCs w:val="20"/>
              </w:rPr>
              <w:t>Binder</w:t>
            </w:r>
          </w:p>
        </w:tc>
        <w:tc>
          <w:tcPr>
            <w:tcW w:w="1403" w:type="dxa"/>
            <w:shd w:val="clear" w:color="auto" w:fill="auto"/>
            <w:vAlign w:val="center"/>
            <w:hideMark/>
          </w:tcPr>
          <w:p w14:paraId="7642BA51" w14:textId="77777777" w:rsidR="007C7DB1" w:rsidRPr="00B63832" w:rsidRDefault="007C7DB1" w:rsidP="00650395">
            <w:pPr>
              <w:spacing w:line="276" w:lineRule="auto"/>
              <w:jc w:val="center"/>
              <w:rPr>
                <w:rFonts w:eastAsia="Times New Roman" w:cs="Times New Roman"/>
                <w:b/>
                <w:bCs/>
                <w:color w:val="000000"/>
                <w:sz w:val="20"/>
                <w:szCs w:val="20"/>
              </w:rPr>
            </w:pPr>
            <w:r w:rsidRPr="00B63832">
              <w:rPr>
                <w:rFonts w:eastAsia="Times New Roman" w:cs="Times New Roman"/>
                <w:b/>
                <w:bCs/>
                <w:color w:val="000000"/>
                <w:sz w:val="20"/>
                <w:szCs w:val="20"/>
              </w:rPr>
              <w:t>Probe Liquid Sets</w:t>
            </w:r>
          </w:p>
        </w:tc>
        <w:tc>
          <w:tcPr>
            <w:tcW w:w="1018" w:type="dxa"/>
            <w:shd w:val="clear" w:color="auto" w:fill="auto"/>
            <w:noWrap/>
            <w:vAlign w:val="center"/>
            <w:hideMark/>
          </w:tcPr>
          <w:p w14:paraId="78F2A67D" w14:textId="77777777" w:rsidR="007C7DB1" w:rsidRPr="00B63832" w:rsidRDefault="007C7DB1" w:rsidP="00650395">
            <w:pPr>
              <w:spacing w:line="276" w:lineRule="auto"/>
              <w:jc w:val="center"/>
              <w:rPr>
                <w:rFonts w:eastAsia="Times New Roman" w:cs="Times New Roman"/>
                <w:b/>
                <w:bCs/>
                <w:color w:val="000000"/>
                <w:sz w:val="20"/>
                <w:szCs w:val="20"/>
              </w:rPr>
            </w:pPr>
            <w:r w:rsidRPr="00B63832">
              <w:rPr>
                <w:rFonts w:eastAsia="Times New Roman" w:cs="Times New Roman"/>
                <w:b/>
                <w:bCs/>
                <w:color w:val="000000"/>
                <w:sz w:val="20"/>
                <w:szCs w:val="20"/>
              </w:rPr>
              <w:t>WGFDE</w:t>
            </w:r>
          </w:p>
        </w:tc>
        <w:tc>
          <w:tcPr>
            <w:tcW w:w="815" w:type="dxa"/>
            <w:shd w:val="clear" w:color="auto" w:fill="auto"/>
            <w:noWrap/>
            <w:vAlign w:val="center"/>
            <w:hideMark/>
          </w:tcPr>
          <w:p w14:paraId="0FEA0D5D" w14:textId="77777777" w:rsidR="007C7DB1" w:rsidRPr="00B63832" w:rsidRDefault="007C7DB1" w:rsidP="00650395">
            <w:pPr>
              <w:spacing w:line="276" w:lineRule="auto"/>
              <w:jc w:val="center"/>
              <w:rPr>
                <w:rFonts w:eastAsia="Times New Roman" w:cs="Times New Roman"/>
                <w:b/>
                <w:bCs/>
                <w:color w:val="000000"/>
                <w:sz w:val="20"/>
                <w:szCs w:val="20"/>
              </w:rPr>
            </w:pPr>
            <w:r w:rsidRPr="00B63832">
              <w:rPr>
                <w:rFonts w:eastAsia="Times New Roman" w:cs="Times New Roman"/>
                <w:b/>
                <w:bCs/>
                <w:color w:val="000000"/>
                <w:sz w:val="20"/>
                <w:szCs w:val="20"/>
              </w:rPr>
              <w:t>WFGD</w:t>
            </w:r>
          </w:p>
        </w:tc>
        <w:tc>
          <w:tcPr>
            <w:tcW w:w="913" w:type="dxa"/>
            <w:shd w:val="clear" w:color="auto" w:fill="auto"/>
            <w:noWrap/>
            <w:vAlign w:val="center"/>
            <w:hideMark/>
          </w:tcPr>
          <w:p w14:paraId="210F5751" w14:textId="77777777" w:rsidR="007C7DB1" w:rsidRPr="00B63832" w:rsidRDefault="007C7DB1" w:rsidP="00650395">
            <w:pPr>
              <w:spacing w:line="276" w:lineRule="auto"/>
              <w:jc w:val="center"/>
              <w:rPr>
                <w:rFonts w:eastAsia="Times New Roman" w:cs="Times New Roman"/>
                <w:b/>
                <w:bCs/>
                <w:color w:val="000000"/>
                <w:sz w:val="20"/>
                <w:szCs w:val="20"/>
              </w:rPr>
            </w:pPr>
            <w:r w:rsidRPr="00B63832">
              <w:rPr>
                <w:rFonts w:eastAsia="Times New Roman" w:cs="Times New Roman"/>
                <w:b/>
                <w:bCs/>
                <w:color w:val="000000"/>
                <w:sz w:val="20"/>
                <w:szCs w:val="20"/>
              </w:rPr>
              <w:t>WGED</w:t>
            </w:r>
          </w:p>
        </w:tc>
        <w:tc>
          <w:tcPr>
            <w:tcW w:w="913" w:type="dxa"/>
            <w:shd w:val="clear" w:color="auto" w:fill="auto"/>
            <w:noWrap/>
            <w:vAlign w:val="center"/>
            <w:hideMark/>
          </w:tcPr>
          <w:p w14:paraId="6495908C" w14:textId="77777777" w:rsidR="007C7DB1" w:rsidRPr="00B63832" w:rsidRDefault="007C7DB1" w:rsidP="00650395">
            <w:pPr>
              <w:spacing w:line="276" w:lineRule="auto"/>
              <w:jc w:val="center"/>
              <w:rPr>
                <w:rFonts w:eastAsia="Times New Roman" w:cs="Times New Roman"/>
                <w:b/>
                <w:bCs/>
                <w:color w:val="000000"/>
                <w:sz w:val="20"/>
                <w:szCs w:val="20"/>
              </w:rPr>
            </w:pPr>
            <w:r w:rsidRPr="00B63832">
              <w:rPr>
                <w:rFonts w:eastAsia="Times New Roman" w:cs="Times New Roman"/>
                <w:b/>
                <w:bCs/>
                <w:color w:val="000000"/>
                <w:sz w:val="20"/>
                <w:szCs w:val="20"/>
              </w:rPr>
              <w:t>WFED</w:t>
            </w:r>
          </w:p>
        </w:tc>
        <w:tc>
          <w:tcPr>
            <w:tcW w:w="913" w:type="dxa"/>
            <w:shd w:val="clear" w:color="auto" w:fill="auto"/>
            <w:noWrap/>
            <w:vAlign w:val="center"/>
            <w:hideMark/>
          </w:tcPr>
          <w:p w14:paraId="58D727B2" w14:textId="77777777" w:rsidR="007C7DB1" w:rsidRPr="00B63832" w:rsidRDefault="007C7DB1" w:rsidP="00650395">
            <w:pPr>
              <w:spacing w:line="276" w:lineRule="auto"/>
              <w:jc w:val="center"/>
              <w:rPr>
                <w:rFonts w:eastAsia="Times New Roman" w:cs="Times New Roman"/>
                <w:b/>
                <w:bCs/>
                <w:color w:val="000000"/>
                <w:sz w:val="20"/>
                <w:szCs w:val="20"/>
              </w:rPr>
            </w:pPr>
            <w:r w:rsidRPr="00B63832">
              <w:rPr>
                <w:rFonts w:eastAsia="Times New Roman" w:cs="Times New Roman"/>
                <w:b/>
                <w:bCs/>
                <w:color w:val="000000"/>
                <w:sz w:val="20"/>
                <w:szCs w:val="20"/>
              </w:rPr>
              <w:t>WED</w:t>
            </w:r>
          </w:p>
        </w:tc>
        <w:tc>
          <w:tcPr>
            <w:tcW w:w="913" w:type="dxa"/>
            <w:shd w:val="clear" w:color="auto" w:fill="auto"/>
            <w:noWrap/>
            <w:vAlign w:val="center"/>
            <w:hideMark/>
          </w:tcPr>
          <w:p w14:paraId="511AB387" w14:textId="77777777" w:rsidR="007C7DB1" w:rsidRPr="00B63832" w:rsidRDefault="007C7DB1" w:rsidP="00650395">
            <w:pPr>
              <w:spacing w:line="276" w:lineRule="auto"/>
              <w:jc w:val="center"/>
              <w:rPr>
                <w:rFonts w:eastAsia="Times New Roman" w:cs="Times New Roman"/>
                <w:b/>
                <w:bCs/>
                <w:color w:val="000000"/>
                <w:sz w:val="20"/>
                <w:szCs w:val="20"/>
              </w:rPr>
            </w:pPr>
            <w:r w:rsidRPr="00B63832">
              <w:rPr>
                <w:rFonts w:eastAsia="Times New Roman" w:cs="Times New Roman"/>
                <w:b/>
                <w:bCs/>
                <w:color w:val="000000"/>
                <w:sz w:val="20"/>
                <w:szCs w:val="20"/>
              </w:rPr>
              <w:t>WGD</w:t>
            </w:r>
          </w:p>
        </w:tc>
        <w:tc>
          <w:tcPr>
            <w:tcW w:w="878" w:type="dxa"/>
            <w:shd w:val="clear" w:color="auto" w:fill="auto"/>
            <w:noWrap/>
            <w:vAlign w:val="center"/>
            <w:hideMark/>
          </w:tcPr>
          <w:p w14:paraId="0866100C" w14:textId="77777777" w:rsidR="007C7DB1" w:rsidRPr="00B63832" w:rsidRDefault="007C7DB1" w:rsidP="00650395">
            <w:pPr>
              <w:spacing w:line="276" w:lineRule="auto"/>
              <w:jc w:val="center"/>
              <w:rPr>
                <w:rFonts w:eastAsia="Times New Roman" w:cs="Times New Roman"/>
                <w:b/>
                <w:bCs/>
                <w:color w:val="000000"/>
                <w:sz w:val="20"/>
                <w:szCs w:val="20"/>
              </w:rPr>
            </w:pPr>
            <w:r w:rsidRPr="00B63832">
              <w:rPr>
                <w:rFonts w:eastAsia="Times New Roman" w:cs="Times New Roman"/>
                <w:b/>
                <w:bCs/>
                <w:color w:val="000000"/>
                <w:sz w:val="20"/>
                <w:szCs w:val="20"/>
              </w:rPr>
              <w:t>WFD</w:t>
            </w:r>
          </w:p>
        </w:tc>
      </w:tr>
      <w:tr w:rsidR="007C7DB1" w:rsidRPr="00B63832" w14:paraId="1D19EA7A" w14:textId="77777777" w:rsidTr="00B63832">
        <w:trPr>
          <w:trHeight w:val="138"/>
        </w:trPr>
        <w:tc>
          <w:tcPr>
            <w:tcW w:w="773" w:type="dxa"/>
            <w:vMerge w:val="restart"/>
            <w:shd w:val="clear" w:color="auto" w:fill="auto"/>
            <w:noWrap/>
            <w:vAlign w:val="center"/>
            <w:hideMark/>
          </w:tcPr>
          <w:p w14:paraId="78BEF097" w14:textId="77777777" w:rsidR="007C7DB1" w:rsidRPr="00B63832" w:rsidRDefault="007C7DB1" w:rsidP="00650395">
            <w:pPr>
              <w:spacing w:line="276" w:lineRule="auto"/>
              <w:jc w:val="center"/>
              <w:rPr>
                <w:rFonts w:eastAsia="Times New Roman" w:cs="Times New Roman"/>
                <w:b/>
                <w:bCs/>
                <w:color w:val="000000"/>
                <w:sz w:val="20"/>
                <w:szCs w:val="20"/>
              </w:rPr>
            </w:pPr>
            <w:r w:rsidRPr="00B63832">
              <w:rPr>
                <w:rFonts w:eastAsia="Times New Roman" w:cs="Times New Roman"/>
                <w:b/>
                <w:bCs/>
                <w:color w:val="000000"/>
                <w:sz w:val="20"/>
                <w:szCs w:val="20"/>
              </w:rPr>
              <w:t>S1</w:t>
            </w:r>
          </w:p>
        </w:tc>
        <w:tc>
          <w:tcPr>
            <w:tcW w:w="1403" w:type="dxa"/>
            <w:shd w:val="clear" w:color="auto" w:fill="auto"/>
            <w:noWrap/>
            <w:vAlign w:val="center"/>
            <w:hideMark/>
          </w:tcPr>
          <w:p w14:paraId="5020D6FA" w14:textId="77777777" w:rsidR="007C7DB1" w:rsidRPr="00B63832" w:rsidRDefault="007F7885" w:rsidP="00650395">
            <w:pPr>
              <w:spacing w:line="276" w:lineRule="auto"/>
              <w:jc w:val="center"/>
              <w:rPr>
                <w:rFonts w:eastAsia="Times New Roman" w:cs="Times New Roman"/>
                <w:color w:val="000000"/>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W</m:t>
                  </m:r>
                </m:e>
                <m:sub>
                  <m:r>
                    <w:rPr>
                      <w:rFonts w:ascii="Cambria Math" w:eastAsiaTheme="minorEastAsia" w:hAnsi="Cambria Math" w:cs="Times New Roman"/>
                      <w:sz w:val="20"/>
                      <w:szCs w:val="20"/>
                    </w:rPr>
                    <m:t>AR</m:t>
                  </m:r>
                </m:sub>
              </m:sSub>
            </m:oMath>
            <w:r w:rsidR="007C7DB1" w:rsidRPr="00B63832">
              <w:rPr>
                <w:rFonts w:eastAsia="Times New Roman" w:cs="Times New Roman"/>
                <w:sz w:val="20"/>
                <w:szCs w:val="20"/>
              </w:rPr>
              <w:t xml:space="preserve"> </w:t>
            </w:r>
            <w:r w:rsidR="007C7DB1" w:rsidRPr="00B63832">
              <w:rPr>
                <w:rFonts w:eastAsia="Times New Roman" w:cs="Times New Roman"/>
                <w:color w:val="000000"/>
                <w:sz w:val="20"/>
                <w:szCs w:val="20"/>
              </w:rPr>
              <w:t>(mJ/m</w:t>
            </w:r>
            <w:r w:rsidR="007C7DB1" w:rsidRPr="00B63832">
              <w:rPr>
                <w:rFonts w:eastAsia="Times New Roman" w:cs="Times New Roman"/>
                <w:color w:val="000000"/>
                <w:sz w:val="20"/>
                <w:szCs w:val="20"/>
                <w:vertAlign w:val="superscript"/>
              </w:rPr>
              <w:t>2</w:t>
            </w:r>
            <w:r w:rsidR="007C7DB1" w:rsidRPr="00B63832">
              <w:rPr>
                <w:rFonts w:eastAsia="Times New Roman" w:cs="Times New Roman"/>
                <w:color w:val="000000"/>
                <w:sz w:val="20"/>
                <w:szCs w:val="20"/>
              </w:rPr>
              <w:t>)</w:t>
            </w:r>
          </w:p>
        </w:tc>
        <w:tc>
          <w:tcPr>
            <w:tcW w:w="1018" w:type="dxa"/>
            <w:shd w:val="clear" w:color="auto" w:fill="auto"/>
            <w:noWrap/>
            <w:vAlign w:val="center"/>
            <w:hideMark/>
          </w:tcPr>
          <w:p w14:paraId="16E4140F"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98.17</w:t>
            </w:r>
          </w:p>
        </w:tc>
        <w:tc>
          <w:tcPr>
            <w:tcW w:w="815" w:type="dxa"/>
            <w:shd w:val="clear" w:color="auto" w:fill="auto"/>
            <w:noWrap/>
            <w:vAlign w:val="center"/>
            <w:hideMark/>
          </w:tcPr>
          <w:p w14:paraId="46E231C1"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93.32</w:t>
            </w:r>
          </w:p>
        </w:tc>
        <w:tc>
          <w:tcPr>
            <w:tcW w:w="913" w:type="dxa"/>
            <w:shd w:val="clear" w:color="auto" w:fill="auto"/>
            <w:noWrap/>
            <w:vAlign w:val="center"/>
            <w:hideMark/>
          </w:tcPr>
          <w:p w14:paraId="6E9B9CB1"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100.80</w:t>
            </w:r>
          </w:p>
        </w:tc>
        <w:tc>
          <w:tcPr>
            <w:tcW w:w="913" w:type="dxa"/>
            <w:shd w:val="clear" w:color="auto" w:fill="auto"/>
            <w:noWrap/>
            <w:vAlign w:val="center"/>
            <w:hideMark/>
          </w:tcPr>
          <w:p w14:paraId="62D71B80"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99.20</w:t>
            </w:r>
          </w:p>
        </w:tc>
        <w:tc>
          <w:tcPr>
            <w:tcW w:w="913" w:type="dxa"/>
            <w:shd w:val="clear" w:color="auto" w:fill="auto"/>
            <w:noWrap/>
            <w:vAlign w:val="center"/>
            <w:hideMark/>
          </w:tcPr>
          <w:p w14:paraId="7146D83C"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105.98</w:t>
            </w:r>
          </w:p>
        </w:tc>
        <w:tc>
          <w:tcPr>
            <w:tcW w:w="913" w:type="dxa"/>
            <w:shd w:val="clear" w:color="auto" w:fill="auto"/>
            <w:noWrap/>
            <w:vAlign w:val="center"/>
            <w:hideMark/>
          </w:tcPr>
          <w:p w14:paraId="45E274BA"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96.08</w:t>
            </w:r>
          </w:p>
        </w:tc>
        <w:tc>
          <w:tcPr>
            <w:tcW w:w="878" w:type="dxa"/>
            <w:shd w:val="clear" w:color="auto" w:fill="auto"/>
            <w:noWrap/>
            <w:vAlign w:val="center"/>
            <w:hideMark/>
          </w:tcPr>
          <w:p w14:paraId="1BA4D206"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88.59</w:t>
            </w:r>
          </w:p>
        </w:tc>
      </w:tr>
      <w:tr w:rsidR="007C7DB1" w:rsidRPr="00B63832" w14:paraId="00A13032" w14:textId="77777777" w:rsidTr="00B63832">
        <w:trPr>
          <w:trHeight w:val="241"/>
        </w:trPr>
        <w:tc>
          <w:tcPr>
            <w:tcW w:w="773" w:type="dxa"/>
            <w:vMerge/>
            <w:shd w:val="clear" w:color="auto" w:fill="auto"/>
            <w:vAlign w:val="center"/>
            <w:hideMark/>
          </w:tcPr>
          <w:p w14:paraId="064509F0" w14:textId="77777777" w:rsidR="007C7DB1" w:rsidRPr="00B63832" w:rsidRDefault="007C7DB1" w:rsidP="00650395">
            <w:pPr>
              <w:spacing w:line="276" w:lineRule="auto"/>
              <w:jc w:val="center"/>
              <w:rPr>
                <w:rFonts w:eastAsia="Times New Roman" w:cs="Times New Roman"/>
                <w:b/>
                <w:bCs/>
                <w:color w:val="000000"/>
                <w:sz w:val="20"/>
                <w:szCs w:val="20"/>
              </w:rPr>
            </w:pPr>
          </w:p>
        </w:tc>
        <w:tc>
          <w:tcPr>
            <w:tcW w:w="1403" w:type="dxa"/>
            <w:shd w:val="clear" w:color="auto" w:fill="auto"/>
            <w:noWrap/>
            <w:vAlign w:val="center"/>
            <w:hideMark/>
          </w:tcPr>
          <w:p w14:paraId="219AF7D5" w14:textId="77777777" w:rsidR="007C7DB1" w:rsidRPr="00B63832" w:rsidRDefault="007F7885" w:rsidP="00650395">
            <w:pPr>
              <w:spacing w:line="276" w:lineRule="auto"/>
              <w:jc w:val="center"/>
              <w:rPr>
                <w:rFonts w:eastAsia="Times New Roman" w:cs="Times New Roman"/>
                <w:color w:val="000000"/>
                <w:sz w:val="20"/>
                <w:szCs w:val="20"/>
              </w:rPr>
            </w:pPr>
            <m:oMath>
              <m:sSubSup>
                <m:sSubSupPr>
                  <m:ctrlPr>
                    <w:rPr>
                      <w:rFonts w:ascii="Cambria Math" w:hAnsi="Cambria Math" w:cs="Times New Roman"/>
                      <w:i/>
                      <w:sz w:val="20"/>
                      <w:szCs w:val="20"/>
                      <w:lang w:val="en-GB" w:eastAsia="en-GB"/>
                    </w:rPr>
                  </m:ctrlPr>
                </m:sSubSupPr>
                <m:e>
                  <m:r>
                    <w:rPr>
                      <w:rFonts w:ascii="Cambria Math" w:hAnsi="Cambria Math" w:cs="Times New Roman"/>
                      <w:sz w:val="20"/>
                      <w:szCs w:val="20"/>
                      <w:lang w:val="en-GB" w:eastAsia="en-GB"/>
                    </w:rPr>
                    <m:t>W</m:t>
                  </m:r>
                </m:e>
                <m:sub>
                  <m:r>
                    <w:rPr>
                      <w:rFonts w:ascii="Cambria Math" w:hAnsi="Cambria Math" w:cs="Times New Roman"/>
                      <w:sz w:val="20"/>
                      <w:szCs w:val="20"/>
                      <w:lang w:val="en-GB" w:eastAsia="en-GB"/>
                    </w:rPr>
                    <m:t>ARW</m:t>
                  </m:r>
                </m:sub>
                <m:sup>
                  <m:r>
                    <w:rPr>
                      <w:rFonts w:ascii="Cambria Math" w:hAnsi="Cambria Math" w:cs="Times New Roman"/>
                      <w:sz w:val="20"/>
                      <w:szCs w:val="20"/>
                      <w:lang w:val="en-GB" w:eastAsia="en-GB"/>
                    </w:rPr>
                    <m:t>wet</m:t>
                  </m:r>
                </m:sup>
              </m:sSubSup>
            </m:oMath>
            <w:r w:rsidR="007C7DB1" w:rsidRPr="00B63832">
              <w:rPr>
                <w:rFonts w:eastAsia="Times New Roman" w:cs="Times New Roman"/>
                <w:sz w:val="20"/>
                <w:szCs w:val="20"/>
                <w:lang w:val="en-GB" w:eastAsia="en-GB"/>
              </w:rPr>
              <w:t xml:space="preserve"> </w:t>
            </w:r>
            <w:r w:rsidR="007C7DB1" w:rsidRPr="00B63832">
              <w:rPr>
                <w:rFonts w:eastAsia="Times New Roman" w:cs="Times New Roman"/>
                <w:color w:val="000000"/>
                <w:sz w:val="20"/>
                <w:szCs w:val="20"/>
              </w:rPr>
              <w:t>(mJ/m</w:t>
            </w:r>
            <w:r w:rsidR="007C7DB1" w:rsidRPr="00B63832">
              <w:rPr>
                <w:rFonts w:eastAsia="Times New Roman" w:cs="Times New Roman"/>
                <w:color w:val="000000"/>
                <w:sz w:val="20"/>
                <w:szCs w:val="20"/>
                <w:vertAlign w:val="superscript"/>
              </w:rPr>
              <w:t>2</w:t>
            </w:r>
            <w:r w:rsidR="007C7DB1" w:rsidRPr="00B63832">
              <w:rPr>
                <w:rFonts w:eastAsia="Times New Roman" w:cs="Times New Roman"/>
                <w:color w:val="000000"/>
                <w:sz w:val="20"/>
                <w:szCs w:val="20"/>
              </w:rPr>
              <w:t>)</w:t>
            </w:r>
          </w:p>
        </w:tc>
        <w:tc>
          <w:tcPr>
            <w:tcW w:w="1018" w:type="dxa"/>
            <w:shd w:val="clear" w:color="auto" w:fill="auto"/>
            <w:noWrap/>
            <w:vAlign w:val="center"/>
            <w:hideMark/>
          </w:tcPr>
          <w:p w14:paraId="51227055"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-142.22</w:t>
            </w:r>
          </w:p>
        </w:tc>
        <w:tc>
          <w:tcPr>
            <w:tcW w:w="815" w:type="dxa"/>
            <w:shd w:val="clear" w:color="auto" w:fill="auto"/>
            <w:noWrap/>
            <w:vAlign w:val="center"/>
            <w:hideMark/>
          </w:tcPr>
          <w:p w14:paraId="313C516F"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-147.35</w:t>
            </w:r>
          </w:p>
        </w:tc>
        <w:tc>
          <w:tcPr>
            <w:tcW w:w="913" w:type="dxa"/>
            <w:shd w:val="clear" w:color="auto" w:fill="auto"/>
            <w:noWrap/>
            <w:vAlign w:val="center"/>
            <w:hideMark/>
          </w:tcPr>
          <w:p w14:paraId="720CE005"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-139.62</w:t>
            </w:r>
          </w:p>
        </w:tc>
        <w:tc>
          <w:tcPr>
            <w:tcW w:w="913" w:type="dxa"/>
            <w:shd w:val="clear" w:color="auto" w:fill="auto"/>
            <w:noWrap/>
            <w:vAlign w:val="center"/>
            <w:hideMark/>
          </w:tcPr>
          <w:p w14:paraId="72FB11B4"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-141.24</w:t>
            </w:r>
          </w:p>
        </w:tc>
        <w:tc>
          <w:tcPr>
            <w:tcW w:w="913" w:type="dxa"/>
            <w:shd w:val="clear" w:color="auto" w:fill="auto"/>
            <w:noWrap/>
            <w:vAlign w:val="center"/>
            <w:hideMark/>
          </w:tcPr>
          <w:p w14:paraId="24E32A31"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-134.65</w:t>
            </w:r>
          </w:p>
        </w:tc>
        <w:tc>
          <w:tcPr>
            <w:tcW w:w="913" w:type="dxa"/>
            <w:shd w:val="clear" w:color="auto" w:fill="auto"/>
            <w:noWrap/>
            <w:vAlign w:val="center"/>
            <w:hideMark/>
          </w:tcPr>
          <w:p w14:paraId="39D660C2"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-144.55</w:t>
            </w:r>
          </w:p>
        </w:tc>
        <w:tc>
          <w:tcPr>
            <w:tcW w:w="878" w:type="dxa"/>
            <w:shd w:val="clear" w:color="auto" w:fill="auto"/>
            <w:noWrap/>
            <w:vAlign w:val="center"/>
            <w:hideMark/>
          </w:tcPr>
          <w:p w14:paraId="704ACCD6"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-152.04</w:t>
            </w:r>
          </w:p>
        </w:tc>
      </w:tr>
      <w:tr w:rsidR="007C7DB1" w:rsidRPr="00B63832" w14:paraId="7B4A6CFC" w14:textId="77777777" w:rsidTr="00B63832">
        <w:trPr>
          <w:trHeight w:val="138"/>
        </w:trPr>
        <w:tc>
          <w:tcPr>
            <w:tcW w:w="773" w:type="dxa"/>
            <w:vMerge/>
            <w:shd w:val="clear" w:color="auto" w:fill="auto"/>
            <w:vAlign w:val="center"/>
            <w:hideMark/>
          </w:tcPr>
          <w:p w14:paraId="42C2AAC8" w14:textId="77777777" w:rsidR="007C7DB1" w:rsidRPr="00B63832" w:rsidRDefault="007C7DB1" w:rsidP="00650395">
            <w:pPr>
              <w:spacing w:line="276" w:lineRule="auto"/>
              <w:jc w:val="center"/>
              <w:rPr>
                <w:rFonts w:eastAsia="Times New Roman" w:cs="Times New Roman"/>
                <w:b/>
                <w:bCs/>
                <w:color w:val="000000"/>
                <w:sz w:val="20"/>
                <w:szCs w:val="20"/>
              </w:rPr>
            </w:pPr>
          </w:p>
        </w:tc>
        <w:tc>
          <w:tcPr>
            <w:tcW w:w="1403" w:type="dxa"/>
            <w:shd w:val="clear" w:color="auto" w:fill="auto"/>
            <w:noWrap/>
            <w:vAlign w:val="center"/>
            <w:hideMark/>
          </w:tcPr>
          <w:p w14:paraId="411E9279" w14:textId="77777777" w:rsidR="007C7DB1" w:rsidRPr="00B63832" w:rsidRDefault="007C7DB1" w:rsidP="00650395">
            <w:pPr>
              <w:spacing w:line="276" w:lineRule="auto"/>
              <w:jc w:val="center"/>
              <w:rPr>
                <w:rFonts w:eastAsia="Times New Roman" w:cs="Times New Roman"/>
                <w:i/>
                <w:iCs/>
                <w:color w:val="000000"/>
                <w:sz w:val="20"/>
                <w:szCs w:val="20"/>
              </w:rPr>
            </w:pPr>
            <w:r w:rsidRPr="00B63832">
              <w:rPr>
                <w:rFonts w:eastAsia="Times New Roman" w:cs="Times New Roman"/>
                <w:i/>
                <w:iCs/>
                <w:color w:val="000000"/>
                <w:sz w:val="20"/>
                <w:szCs w:val="20"/>
              </w:rPr>
              <w:t>ER</w:t>
            </w:r>
          </w:p>
        </w:tc>
        <w:tc>
          <w:tcPr>
            <w:tcW w:w="1018" w:type="dxa"/>
            <w:shd w:val="clear" w:color="auto" w:fill="auto"/>
            <w:noWrap/>
            <w:vAlign w:val="center"/>
            <w:hideMark/>
          </w:tcPr>
          <w:p w14:paraId="4CE60CC4"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0.69</w:t>
            </w:r>
          </w:p>
        </w:tc>
        <w:tc>
          <w:tcPr>
            <w:tcW w:w="815" w:type="dxa"/>
            <w:shd w:val="clear" w:color="auto" w:fill="auto"/>
            <w:noWrap/>
            <w:vAlign w:val="center"/>
            <w:hideMark/>
          </w:tcPr>
          <w:p w14:paraId="308488C1"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0.63</w:t>
            </w:r>
          </w:p>
        </w:tc>
        <w:tc>
          <w:tcPr>
            <w:tcW w:w="913" w:type="dxa"/>
            <w:shd w:val="clear" w:color="auto" w:fill="auto"/>
            <w:noWrap/>
            <w:vAlign w:val="center"/>
            <w:hideMark/>
          </w:tcPr>
          <w:p w14:paraId="677F2DE0"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0.72</w:t>
            </w:r>
          </w:p>
        </w:tc>
        <w:tc>
          <w:tcPr>
            <w:tcW w:w="913" w:type="dxa"/>
            <w:shd w:val="clear" w:color="auto" w:fill="auto"/>
            <w:noWrap/>
            <w:vAlign w:val="center"/>
            <w:hideMark/>
          </w:tcPr>
          <w:p w14:paraId="150FDB72"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0.70</w:t>
            </w:r>
          </w:p>
        </w:tc>
        <w:tc>
          <w:tcPr>
            <w:tcW w:w="913" w:type="dxa"/>
            <w:shd w:val="clear" w:color="auto" w:fill="auto"/>
            <w:noWrap/>
            <w:vAlign w:val="center"/>
            <w:hideMark/>
          </w:tcPr>
          <w:p w14:paraId="1C625B90"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0.79</w:t>
            </w:r>
          </w:p>
        </w:tc>
        <w:tc>
          <w:tcPr>
            <w:tcW w:w="913" w:type="dxa"/>
            <w:shd w:val="clear" w:color="auto" w:fill="auto"/>
            <w:noWrap/>
            <w:vAlign w:val="center"/>
            <w:hideMark/>
          </w:tcPr>
          <w:p w14:paraId="045F712B"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0.66</w:t>
            </w:r>
          </w:p>
        </w:tc>
        <w:tc>
          <w:tcPr>
            <w:tcW w:w="878" w:type="dxa"/>
            <w:shd w:val="clear" w:color="auto" w:fill="auto"/>
            <w:noWrap/>
            <w:vAlign w:val="center"/>
            <w:hideMark/>
          </w:tcPr>
          <w:p w14:paraId="5C852788"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0.58</w:t>
            </w:r>
          </w:p>
        </w:tc>
      </w:tr>
      <w:tr w:rsidR="007C7DB1" w:rsidRPr="00B63832" w14:paraId="5EB9FF27" w14:textId="77777777" w:rsidTr="00B63832">
        <w:trPr>
          <w:trHeight w:val="138"/>
        </w:trPr>
        <w:tc>
          <w:tcPr>
            <w:tcW w:w="773" w:type="dxa"/>
            <w:vMerge w:val="restart"/>
            <w:shd w:val="clear" w:color="auto" w:fill="auto"/>
            <w:noWrap/>
            <w:vAlign w:val="center"/>
            <w:hideMark/>
          </w:tcPr>
          <w:p w14:paraId="714404EB" w14:textId="77777777" w:rsidR="007C7DB1" w:rsidRPr="00B63832" w:rsidRDefault="007C7DB1" w:rsidP="00650395">
            <w:pPr>
              <w:spacing w:line="276" w:lineRule="auto"/>
              <w:jc w:val="center"/>
              <w:rPr>
                <w:rFonts w:eastAsia="Times New Roman" w:cs="Times New Roman"/>
                <w:b/>
                <w:bCs/>
                <w:color w:val="000000"/>
                <w:sz w:val="20"/>
                <w:szCs w:val="20"/>
              </w:rPr>
            </w:pPr>
            <w:r w:rsidRPr="00B63832">
              <w:rPr>
                <w:rFonts w:eastAsia="Times New Roman" w:cs="Times New Roman"/>
                <w:b/>
                <w:bCs/>
                <w:color w:val="000000"/>
                <w:sz w:val="20"/>
                <w:szCs w:val="20"/>
              </w:rPr>
              <w:t>S2</w:t>
            </w:r>
          </w:p>
        </w:tc>
        <w:tc>
          <w:tcPr>
            <w:tcW w:w="1403" w:type="dxa"/>
            <w:shd w:val="clear" w:color="auto" w:fill="auto"/>
            <w:noWrap/>
            <w:vAlign w:val="center"/>
            <w:hideMark/>
          </w:tcPr>
          <w:p w14:paraId="597D917F" w14:textId="77777777" w:rsidR="007C7DB1" w:rsidRPr="00B63832" w:rsidRDefault="007F7885" w:rsidP="00650395">
            <w:pPr>
              <w:spacing w:line="276" w:lineRule="auto"/>
              <w:jc w:val="center"/>
              <w:rPr>
                <w:rFonts w:eastAsia="Times New Roman" w:cs="Times New Roman"/>
                <w:color w:val="000000"/>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W</m:t>
                  </m:r>
                </m:e>
                <m:sub>
                  <m:r>
                    <w:rPr>
                      <w:rFonts w:ascii="Cambria Math" w:eastAsiaTheme="minorEastAsia" w:hAnsi="Cambria Math" w:cs="Times New Roman"/>
                      <w:sz w:val="20"/>
                      <w:szCs w:val="20"/>
                    </w:rPr>
                    <m:t>AR</m:t>
                  </m:r>
                </m:sub>
              </m:sSub>
            </m:oMath>
            <w:r w:rsidR="007C7DB1" w:rsidRPr="00B63832">
              <w:rPr>
                <w:rFonts w:eastAsia="Times New Roman" w:cs="Times New Roman"/>
                <w:sz w:val="20"/>
                <w:szCs w:val="20"/>
              </w:rPr>
              <w:t xml:space="preserve"> </w:t>
            </w:r>
            <w:r w:rsidR="007C7DB1" w:rsidRPr="00B63832">
              <w:rPr>
                <w:rFonts w:eastAsia="Times New Roman" w:cs="Times New Roman"/>
                <w:color w:val="000000"/>
                <w:sz w:val="20"/>
                <w:szCs w:val="20"/>
              </w:rPr>
              <w:t>(mJ/m</w:t>
            </w:r>
            <w:r w:rsidR="007C7DB1" w:rsidRPr="00B63832">
              <w:rPr>
                <w:rFonts w:eastAsia="Times New Roman" w:cs="Times New Roman"/>
                <w:color w:val="000000"/>
                <w:sz w:val="20"/>
                <w:szCs w:val="20"/>
                <w:vertAlign w:val="superscript"/>
              </w:rPr>
              <w:t>2</w:t>
            </w:r>
            <w:r w:rsidR="007C7DB1" w:rsidRPr="00B63832">
              <w:rPr>
                <w:rFonts w:eastAsia="Times New Roman" w:cs="Times New Roman"/>
                <w:color w:val="000000"/>
                <w:sz w:val="20"/>
                <w:szCs w:val="20"/>
              </w:rPr>
              <w:t>)</w:t>
            </w:r>
          </w:p>
        </w:tc>
        <w:tc>
          <w:tcPr>
            <w:tcW w:w="1018" w:type="dxa"/>
            <w:shd w:val="clear" w:color="auto" w:fill="auto"/>
            <w:noWrap/>
            <w:vAlign w:val="center"/>
            <w:hideMark/>
          </w:tcPr>
          <w:p w14:paraId="4143A528"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87.26</w:t>
            </w:r>
          </w:p>
        </w:tc>
        <w:tc>
          <w:tcPr>
            <w:tcW w:w="815" w:type="dxa"/>
            <w:shd w:val="clear" w:color="auto" w:fill="auto"/>
            <w:noWrap/>
            <w:vAlign w:val="center"/>
            <w:hideMark/>
          </w:tcPr>
          <w:p w14:paraId="5B23B836"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82.82</w:t>
            </w:r>
          </w:p>
        </w:tc>
        <w:tc>
          <w:tcPr>
            <w:tcW w:w="913" w:type="dxa"/>
            <w:shd w:val="clear" w:color="auto" w:fill="auto"/>
            <w:noWrap/>
            <w:vAlign w:val="center"/>
            <w:hideMark/>
          </w:tcPr>
          <w:p w14:paraId="045ED0CE"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89.59</w:t>
            </w:r>
          </w:p>
        </w:tc>
        <w:tc>
          <w:tcPr>
            <w:tcW w:w="913" w:type="dxa"/>
            <w:shd w:val="clear" w:color="auto" w:fill="auto"/>
            <w:noWrap/>
            <w:vAlign w:val="center"/>
            <w:hideMark/>
          </w:tcPr>
          <w:p w14:paraId="447D1280"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86.29</w:t>
            </w:r>
          </w:p>
        </w:tc>
        <w:tc>
          <w:tcPr>
            <w:tcW w:w="913" w:type="dxa"/>
            <w:shd w:val="clear" w:color="auto" w:fill="auto"/>
            <w:noWrap/>
            <w:vAlign w:val="center"/>
            <w:hideMark/>
          </w:tcPr>
          <w:p w14:paraId="0D3BA407"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92.96</w:t>
            </w:r>
          </w:p>
        </w:tc>
        <w:tc>
          <w:tcPr>
            <w:tcW w:w="913" w:type="dxa"/>
            <w:shd w:val="clear" w:color="auto" w:fill="auto"/>
            <w:noWrap/>
            <w:vAlign w:val="center"/>
            <w:hideMark/>
          </w:tcPr>
          <w:p w14:paraId="441046C2"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86.70</w:t>
            </w:r>
          </w:p>
        </w:tc>
        <w:tc>
          <w:tcPr>
            <w:tcW w:w="878" w:type="dxa"/>
            <w:shd w:val="clear" w:color="auto" w:fill="auto"/>
            <w:noWrap/>
            <w:vAlign w:val="center"/>
            <w:hideMark/>
          </w:tcPr>
          <w:p w14:paraId="3F774C61"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78.14</w:t>
            </w:r>
          </w:p>
        </w:tc>
      </w:tr>
      <w:tr w:rsidR="007C7DB1" w:rsidRPr="00B63832" w14:paraId="1966A8F0" w14:textId="77777777" w:rsidTr="00B63832">
        <w:trPr>
          <w:trHeight w:val="138"/>
        </w:trPr>
        <w:tc>
          <w:tcPr>
            <w:tcW w:w="773" w:type="dxa"/>
            <w:vMerge/>
            <w:shd w:val="clear" w:color="auto" w:fill="auto"/>
            <w:vAlign w:val="center"/>
            <w:hideMark/>
          </w:tcPr>
          <w:p w14:paraId="207E53CF" w14:textId="77777777" w:rsidR="007C7DB1" w:rsidRPr="00B63832" w:rsidRDefault="007C7DB1" w:rsidP="00650395">
            <w:pPr>
              <w:spacing w:line="276" w:lineRule="auto"/>
              <w:jc w:val="center"/>
              <w:rPr>
                <w:rFonts w:eastAsia="Times New Roman" w:cs="Times New Roman"/>
                <w:b/>
                <w:bCs/>
                <w:color w:val="000000"/>
                <w:sz w:val="20"/>
                <w:szCs w:val="20"/>
              </w:rPr>
            </w:pPr>
          </w:p>
        </w:tc>
        <w:tc>
          <w:tcPr>
            <w:tcW w:w="1403" w:type="dxa"/>
            <w:shd w:val="clear" w:color="auto" w:fill="auto"/>
            <w:noWrap/>
            <w:vAlign w:val="center"/>
            <w:hideMark/>
          </w:tcPr>
          <w:p w14:paraId="29620178" w14:textId="77777777" w:rsidR="007C7DB1" w:rsidRPr="00B63832" w:rsidRDefault="007F7885" w:rsidP="00650395">
            <w:pPr>
              <w:spacing w:line="276" w:lineRule="auto"/>
              <w:jc w:val="center"/>
              <w:rPr>
                <w:rFonts w:eastAsia="Times New Roman" w:cs="Times New Roman"/>
                <w:color w:val="000000"/>
                <w:sz w:val="20"/>
                <w:szCs w:val="20"/>
              </w:rPr>
            </w:pPr>
            <m:oMath>
              <m:sSubSup>
                <m:sSubSupPr>
                  <m:ctrlPr>
                    <w:rPr>
                      <w:rFonts w:ascii="Cambria Math" w:hAnsi="Cambria Math" w:cs="Times New Roman"/>
                      <w:i/>
                      <w:sz w:val="20"/>
                      <w:szCs w:val="20"/>
                      <w:lang w:val="en-GB" w:eastAsia="en-GB"/>
                    </w:rPr>
                  </m:ctrlPr>
                </m:sSubSupPr>
                <m:e>
                  <m:r>
                    <w:rPr>
                      <w:rFonts w:ascii="Cambria Math" w:hAnsi="Cambria Math" w:cs="Times New Roman"/>
                      <w:sz w:val="20"/>
                      <w:szCs w:val="20"/>
                      <w:lang w:val="en-GB" w:eastAsia="en-GB"/>
                    </w:rPr>
                    <m:t>W</m:t>
                  </m:r>
                </m:e>
                <m:sub>
                  <m:r>
                    <w:rPr>
                      <w:rFonts w:ascii="Cambria Math" w:hAnsi="Cambria Math" w:cs="Times New Roman"/>
                      <w:sz w:val="20"/>
                      <w:szCs w:val="20"/>
                      <w:lang w:val="en-GB" w:eastAsia="en-GB"/>
                    </w:rPr>
                    <m:t>ARW</m:t>
                  </m:r>
                </m:sub>
                <m:sup>
                  <m:r>
                    <w:rPr>
                      <w:rFonts w:ascii="Cambria Math" w:hAnsi="Cambria Math" w:cs="Times New Roman"/>
                      <w:sz w:val="20"/>
                      <w:szCs w:val="20"/>
                      <w:lang w:val="en-GB" w:eastAsia="en-GB"/>
                    </w:rPr>
                    <m:t>wet</m:t>
                  </m:r>
                </m:sup>
              </m:sSubSup>
            </m:oMath>
            <w:r w:rsidR="007C7DB1" w:rsidRPr="00B63832">
              <w:rPr>
                <w:rFonts w:eastAsia="Times New Roman" w:cs="Times New Roman"/>
                <w:sz w:val="20"/>
                <w:szCs w:val="20"/>
                <w:lang w:val="en-GB" w:eastAsia="en-GB"/>
              </w:rPr>
              <w:t xml:space="preserve"> </w:t>
            </w:r>
            <w:r w:rsidR="007C7DB1" w:rsidRPr="00B63832">
              <w:rPr>
                <w:rFonts w:eastAsia="Times New Roman" w:cs="Times New Roman"/>
                <w:color w:val="000000"/>
                <w:sz w:val="20"/>
                <w:szCs w:val="20"/>
              </w:rPr>
              <w:t>(mJ/m</w:t>
            </w:r>
            <w:r w:rsidR="007C7DB1" w:rsidRPr="00B63832">
              <w:rPr>
                <w:rFonts w:eastAsia="Times New Roman" w:cs="Times New Roman"/>
                <w:color w:val="000000"/>
                <w:sz w:val="20"/>
                <w:szCs w:val="20"/>
                <w:vertAlign w:val="superscript"/>
              </w:rPr>
              <w:t>2</w:t>
            </w:r>
            <w:r w:rsidR="007C7DB1" w:rsidRPr="00B63832">
              <w:rPr>
                <w:rFonts w:eastAsia="Times New Roman" w:cs="Times New Roman"/>
                <w:color w:val="000000"/>
                <w:sz w:val="20"/>
                <w:szCs w:val="20"/>
              </w:rPr>
              <w:t>)</w:t>
            </w:r>
          </w:p>
        </w:tc>
        <w:tc>
          <w:tcPr>
            <w:tcW w:w="1018" w:type="dxa"/>
            <w:shd w:val="clear" w:color="auto" w:fill="auto"/>
            <w:noWrap/>
            <w:vAlign w:val="center"/>
            <w:hideMark/>
          </w:tcPr>
          <w:p w14:paraId="2FDF2732"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-156.89</w:t>
            </w:r>
          </w:p>
        </w:tc>
        <w:tc>
          <w:tcPr>
            <w:tcW w:w="815" w:type="dxa"/>
            <w:shd w:val="clear" w:color="auto" w:fill="auto"/>
            <w:noWrap/>
            <w:vAlign w:val="center"/>
            <w:hideMark/>
          </w:tcPr>
          <w:p w14:paraId="1EEF7166"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-159.49</w:t>
            </w:r>
          </w:p>
        </w:tc>
        <w:tc>
          <w:tcPr>
            <w:tcW w:w="913" w:type="dxa"/>
            <w:shd w:val="clear" w:color="auto" w:fill="auto"/>
            <w:noWrap/>
            <w:vAlign w:val="center"/>
            <w:hideMark/>
          </w:tcPr>
          <w:p w14:paraId="62DE0D6D"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-152.50</w:t>
            </w:r>
          </w:p>
        </w:tc>
        <w:tc>
          <w:tcPr>
            <w:tcW w:w="913" w:type="dxa"/>
            <w:shd w:val="clear" w:color="auto" w:fill="auto"/>
            <w:noWrap/>
            <w:vAlign w:val="center"/>
            <w:hideMark/>
          </w:tcPr>
          <w:p w14:paraId="7BB5F15A"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-155.75</w:t>
            </w:r>
          </w:p>
        </w:tc>
        <w:tc>
          <w:tcPr>
            <w:tcW w:w="913" w:type="dxa"/>
            <w:shd w:val="clear" w:color="auto" w:fill="auto"/>
            <w:noWrap/>
            <w:vAlign w:val="center"/>
            <w:hideMark/>
          </w:tcPr>
          <w:p w14:paraId="0DF8F2F9"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-149.46</w:t>
            </w:r>
          </w:p>
        </w:tc>
        <w:tc>
          <w:tcPr>
            <w:tcW w:w="913" w:type="dxa"/>
            <w:shd w:val="clear" w:color="auto" w:fill="auto"/>
            <w:noWrap/>
            <w:vAlign w:val="center"/>
            <w:hideMark/>
          </w:tcPr>
          <w:p w14:paraId="228DF5E1"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-155.51</w:t>
            </w:r>
          </w:p>
        </w:tc>
        <w:tc>
          <w:tcPr>
            <w:tcW w:w="878" w:type="dxa"/>
            <w:shd w:val="clear" w:color="auto" w:fill="auto"/>
            <w:noWrap/>
            <w:vAlign w:val="center"/>
            <w:hideMark/>
          </w:tcPr>
          <w:p w14:paraId="3B1E6DCA"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-164.56</w:t>
            </w:r>
          </w:p>
        </w:tc>
      </w:tr>
      <w:tr w:rsidR="007C7DB1" w:rsidRPr="00B63832" w14:paraId="74F64ADE" w14:textId="77777777" w:rsidTr="00B63832">
        <w:trPr>
          <w:trHeight w:val="138"/>
        </w:trPr>
        <w:tc>
          <w:tcPr>
            <w:tcW w:w="773" w:type="dxa"/>
            <w:vMerge/>
            <w:shd w:val="clear" w:color="auto" w:fill="auto"/>
            <w:vAlign w:val="center"/>
            <w:hideMark/>
          </w:tcPr>
          <w:p w14:paraId="126BCEC4" w14:textId="77777777" w:rsidR="007C7DB1" w:rsidRPr="00B63832" w:rsidRDefault="007C7DB1" w:rsidP="00650395">
            <w:pPr>
              <w:spacing w:line="276" w:lineRule="auto"/>
              <w:jc w:val="center"/>
              <w:rPr>
                <w:rFonts w:eastAsia="Times New Roman" w:cs="Times New Roman"/>
                <w:b/>
                <w:bCs/>
                <w:color w:val="000000"/>
                <w:sz w:val="20"/>
                <w:szCs w:val="20"/>
              </w:rPr>
            </w:pPr>
          </w:p>
        </w:tc>
        <w:tc>
          <w:tcPr>
            <w:tcW w:w="1403" w:type="dxa"/>
            <w:shd w:val="clear" w:color="auto" w:fill="auto"/>
            <w:noWrap/>
            <w:vAlign w:val="center"/>
            <w:hideMark/>
          </w:tcPr>
          <w:p w14:paraId="4CE7E4EF" w14:textId="77777777" w:rsidR="007C7DB1" w:rsidRPr="00B63832" w:rsidRDefault="007C7DB1" w:rsidP="00650395">
            <w:pPr>
              <w:spacing w:line="276" w:lineRule="auto"/>
              <w:jc w:val="center"/>
              <w:rPr>
                <w:rFonts w:eastAsia="Times New Roman" w:cs="Times New Roman"/>
                <w:i/>
                <w:iCs/>
                <w:color w:val="000000"/>
                <w:sz w:val="20"/>
                <w:szCs w:val="20"/>
              </w:rPr>
            </w:pPr>
            <w:r w:rsidRPr="00B63832">
              <w:rPr>
                <w:rFonts w:eastAsia="Times New Roman" w:cs="Times New Roman"/>
                <w:i/>
                <w:iCs/>
                <w:color w:val="000000"/>
                <w:sz w:val="20"/>
                <w:szCs w:val="20"/>
              </w:rPr>
              <w:t>ER</w:t>
            </w:r>
          </w:p>
        </w:tc>
        <w:tc>
          <w:tcPr>
            <w:tcW w:w="1018" w:type="dxa"/>
            <w:shd w:val="clear" w:color="auto" w:fill="auto"/>
            <w:noWrap/>
            <w:vAlign w:val="center"/>
            <w:hideMark/>
          </w:tcPr>
          <w:p w14:paraId="77467359"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0.56</w:t>
            </w:r>
          </w:p>
        </w:tc>
        <w:tc>
          <w:tcPr>
            <w:tcW w:w="815" w:type="dxa"/>
            <w:shd w:val="clear" w:color="auto" w:fill="auto"/>
            <w:noWrap/>
            <w:vAlign w:val="center"/>
            <w:hideMark/>
          </w:tcPr>
          <w:p w14:paraId="64C404F5"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0.52</w:t>
            </w:r>
          </w:p>
        </w:tc>
        <w:tc>
          <w:tcPr>
            <w:tcW w:w="913" w:type="dxa"/>
            <w:shd w:val="clear" w:color="auto" w:fill="auto"/>
            <w:noWrap/>
            <w:vAlign w:val="center"/>
            <w:hideMark/>
          </w:tcPr>
          <w:p w14:paraId="4EFF0CEF"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0.59</w:t>
            </w:r>
          </w:p>
        </w:tc>
        <w:tc>
          <w:tcPr>
            <w:tcW w:w="913" w:type="dxa"/>
            <w:shd w:val="clear" w:color="auto" w:fill="auto"/>
            <w:noWrap/>
            <w:vAlign w:val="center"/>
            <w:hideMark/>
          </w:tcPr>
          <w:p w14:paraId="29A0162D"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0.55</w:t>
            </w:r>
          </w:p>
        </w:tc>
        <w:tc>
          <w:tcPr>
            <w:tcW w:w="913" w:type="dxa"/>
            <w:shd w:val="clear" w:color="auto" w:fill="auto"/>
            <w:noWrap/>
            <w:vAlign w:val="center"/>
            <w:hideMark/>
          </w:tcPr>
          <w:p w14:paraId="7D7F7EA8"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0.62</w:t>
            </w:r>
          </w:p>
        </w:tc>
        <w:tc>
          <w:tcPr>
            <w:tcW w:w="913" w:type="dxa"/>
            <w:shd w:val="clear" w:color="auto" w:fill="auto"/>
            <w:noWrap/>
            <w:vAlign w:val="center"/>
            <w:hideMark/>
          </w:tcPr>
          <w:p w14:paraId="1F2AE9B8"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0.56</w:t>
            </w:r>
          </w:p>
        </w:tc>
        <w:tc>
          <w:tcPr>
            <w:tcW w:w="878" w:type="dxa"/>
            <w:shd w:val="clear" w:color="auto" w:fill="auto"/>
            <w:noWrap/>
            <w:vAlign w:val="center"/>
            <w:hideMark/>
          </w:tcPr>
          <w:p w14:paraId="4C5506E5"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0.47</w:t>
            </w:r>
          </w:p>
        </w:tc>
      </w:tr>
      <w:tr w:rsidR="007C7DB1" w:rsidRPr="00B63832" w14:paraId="686496C1" w14:textId="77777777" w:rsidTr="00B63832">
        <w:trPr>
          <w:trHeight w:val="138"/>
        </w:trPr>
        <w:tc>
          <w:tcPr>
            <w:tcW w:w="773" w:type="dxa"/>
            <w:vMerge w:val="restart"/>
            <w:shd w:val="clear" w:color="auto" w:fill="auto"/>
            <w:vAlign w:val="center"/>
            <w:hideMark/>
          </w:tcPr>
          <w:p w14:paraId="27A31206" w14:textId="77777777" w:rsidR="007C7DB1" w:rsidRPr="00B63832" w:rsidRDefault="007C7DB1" w:rsidP="00650395">
            <w:pPr>
              <w:spacing w:line="276" w:lineRule="auto"/>
              <w:jc w:val="center"/>
              <w:rPr>
                <w:rFonts w:eastAsia="Times New Roman" w:cs="Times New Roman"/>
                <w:b/>
                <w:bCs/>
                <w:color w:val="000000"/>
                <w:sz w:val="20"/>
                <w:szCs w:val="20"/>
              </w:rPr>
            </w:pPr>
            <w:r w:rsidRPr="00B63832">
              <w:rPr>
                <w:rFonts w:eastAsia="Times New Roman" w:cs="Times New Roman"/>
                <w:b/>
                <w:bCs/>
                <w:color w:val="000000"/>
                <w:sz w:val="20"/>
                <w:szCs w:val="20"/>
              </w:rPr>
              <w:t>S3</w:t>
            </w:r>
          </w:p>
        </w:tc>
        <w:tc>
          <w:tcPr>
            <w:tcW w:w="1403" w:type="dxa"/>
            <w:shd w:val="clear" w:color="auto" w:fill="auto"/>
            <w:noWrap/>
            <w:vAlign w:val="center"/>
            <w:hideMark/>
          </w:tcPr>
          <w:p w14:paraId="35F72EE5" w14:textId="77777777" w:rsidR="007C7DB1" w:rsidRPr="00B63832" w:rsidRDefault="007F7885" w:rsidP="00650395">
            <w:pPr>
              <w:spacing w:line="276" w:lineRule="auto"/>
              <w:jc w:val="center"/>
              <w:rPr>
                <w:rFonts w:eastAsia="Times New Roman" w:cs="Times New Roman"/>
                <w:color w:val="000000"/>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W</m:t>
                  </m:r>
                </m:e>
                <m:sub>
                  <m:r>
                    <w:rPr>
                      <w:rFonts w:ascii="Cambria Math" w:eastAsiaTheme="minorEastAsia" w:hAnsi="Cambria Math" w:cs="Times New Roman"/>
                      <w:sz w:val="20"/>
                      <w:szCs w:val="20"/>
                    </w:rPr>
                    <m:t>AR</m:t>
                  </m:r>
                </m:sub>
              </m:sSub>
            </m:oMath>
            <w:r w:rsidR="007C7DB1" w:rsidRPr="00B63832">
              <w:rPr>
                <w:rFonts w:eastAsia="Times New Roman" w:cs="Times New Roman"/>
                <w:sz w:val="20"/>
                <w:szCs w:val="20"/>
              </w:rPr>
              <w:t xml:space="preserve"> </w:t>
            </w:r>
            <w:r w:rsidR="007C7DB1" w:rsidRPr="00B63832">
              <w:rPr>
                <w:rFonts w:eastAsia="Times New Roman" w:cs="Times New Roman"/>
                <w:color w:val="000000"/>
                <w:sz w:val="20"/>
                <w:szCs w:val="20"/>
              </w:rPr>
              <w:t>(mJ/m</w:t>
            </w:r>
            <w:r w:rsidR="007C7DB1" w:rsidRPr="00B63832">
              <w:rPr>
                <w:rFonts w:eastAsia="Times New Roman" w:cs="Times New Roman"/>
                <w:color w:val="000000"/>
                <w:sz w:val="20"/>
                <w:szCs w:val="20"/>
                <w:vertAlign w:val="superscript"/>
              </w:rPr>
              <w:t>2</w:t>
            </w:r>
            <w:r w:rsidR="007C7DB1" w:rsidRPr="00B63832">
              <w:rPr>
                <w:rFonts w:eastAsia="Times New Roman" w:cs="Times New Roman"/>
                <w:color w:val="000000"/>
                <w:sz w:val="20"/>
                <w:szCs w:val="20"/>
              </w:rPr>
              <w:t>)</w:t>
            </w:r>
          </w:p>
        </w:tc>
        <w:tc>
          <w:tcPr>
            <w:tcW w:w="1018" w:type="dxa"/>
            <w:shd w:val="clear" w:color="auto" w:fill="auto"/>
            <w:noWrap/>
            <w:vAlign w:val="center"/>
            <w:hideMark/>
          </w:tcPr>
          <w:p w14:paraId="66CEE24D"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79.07</w:t>
            </w:r>
          </w:p>
        </w:tc>
        <w:tc>
          <w:tcPr>
            <w:tcW w:w="815" w:type="dxa"/>
            <w:shd w:val="clear" w:color="auto" w:fill="auto"/>
            <w:noWrap/>
            <w:vAlign w:val="center"/>
            <w:hideMark/>
          </w:tcPr>
          <w:p w14:paraId="29CC9F62"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75.72</w:t>
            </w:r>
          </w:p>
        </w:tc>
        <w:tc>
          <w:tcPr>
            <w:tcW w:w="913" w:type="dxa"/>
            <w:shd w:val="clear" w:color="auto" w:fill="auto"/>
            <w:noWrap/>
            <w:vAlign w:val="center"/>
            <w:hideMark/>
          </w:tcPr>
          <w:p w14:paraId="2A0B2C4C"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80.29</w:t>
            </w:r>
          </w:p>
        </w:tc>
        <w:tc>
          <w:tcPr>
            <w:tcW w:w="913" w:type="dxa"/>
            <w:shd w:val="clear" w:color="auto" w:fill="auto"/>
            <w:noWrap/>
            <w:vAlign w:val="center"/>
            <w:hideMark/>
          </w:tcPr>
          <w:p w14:paraId="09AF3435"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80.76</w:t>
            </w:r>
          </w:p>
        </w:tc>
        <w:tc>
          <w:tcPr>
            <w:tcW w:w="913" w:type="dxa"/>
            <w:shd w:val="clear" w:color="auto" w:fill="auto"/>
            <w:noWrap/>
            <w:vAlign w:val="center"/>
            <w:hideMark/>
          </w:tcPr>
          <w:p w14:paraId="21728B81"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84.64</w:t>
            </w:r>
          </w:p>
        </w:tc>
        <w:tc>
          <w:tcPr>
            <w:tcW w:w="913" w:type="dxa"/>
            <w:shd w:val="clear" w:color="auto" w:fill="auto"/>
            <w:noWrap/>
            <w:vAlign w:val="center"/>
            <w:hideMark/>
          </w:tcPr>
          <w:p w14:paraId="425E9AD2"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76.33</w:t>
            </w:r>
          </w:p>
        </w:tc>
        <w:tc>
          <w:tcPr>
            <w:tcW w:w="878" w:type="dxa"/>
            <w:shd w:val="clear" w:color="auto" w:fill="auto"/>
            <w:noWrap/>
            <w:vAlign w:val="center"/>
            <w:hideMark/>
          </w:tcPr>
          <w:p w14:paraId="426644A7"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74.68</w:t>
            </w:r>
          </w:p>
        </w:tc>
      </w:tr>
      <w:tr w:rsidR="007C7DB1" w:rsidRPr="00B63832" w14:paraId="251FB557" w14:textId="77777777" w:rsidTr="00B63832">
        <w:trPr>
          <w:trHeight w:val="138"/>
        </w:trPr>
        <w:tc>
          <w:tcPr>
            <w:tcW w:w="773" w:type="dxa"/>
            <w:vMerge/>
            <w:shd w:val="clear" w:color="auto" w:fill="auto"/>
            <w:vAlign w:val="center"/>
            <w:hideMark/>
          </w:tcPr>
          <w:p w14:paraId="75F84D04" w14:textId="77777777" w:rsidR="007C7DB1" w:rsidRPr="00B63832" w:rsidRDefault="007C7DB1" w:rsidP="00650395">
            <w:pPr>
              <w:spacing w:line="276" w:lineRule="auto"/>
              <w:jc w:val="center"/>
              <w:rPr>
                <w:rFonts w:eastAsia="Times New Roman" w:cs="Times New Roman"/>
                <w:b/>
                <w:bCs/>
                <w:color w:val="000000"/>
                <w:sz w:val="20"/>
                <w:szCs w:val="20"/>
              </w:rPr>
            </w:pPr>
          </w:p>
        </w:tc>
        <w:tc>
          <w:tcPr>
            <w:tcW w:w="1403" w:type="dxa"/>
            <w:shd w:val="clear" w:color="auto" w:fill="auto"/>
            <w:noWrap/>
            <w:vAlign w:val="center"/>
            <w:hideMark/>
          </w:tcPr>
          <w:p w14:paraId="51AF89AA" w14:textId="77777777" w:rsidR="007C7DB1" w:rsidRPr="00B63832" w:rsidRDefault="007F7885" w:rsidP="00650395">
            <w:pPr>
              <w:spacing w:line="276" w:lineRule="auto"/>
              <w:jc w:val="center"/>
              <w:rPr>
                <w:rFonts w:eastAsia="Times New Roman" w:cs="Times New Roman"/>
                <w:color w:val="000000"/>
                <w:sz w:val="20"/>
                <w:szCs w:val="20"/>
              </w:rPr>
            </w:pPr>
            <m:oMath>
              <m:sSubSup>
                <m:sSubSupPr>
                  <m:ctrlPr>
                    <w:rPr>
                      <w:rFonts w:ascii="Cambria Math" w:hAnsi="Cambria Math" w:cs="Times New Roman"/>
                      <w:i/>
                      <w:sz w:val="20"/>
                      <w:szCs w:val="20"/>
                      <w:lang w:val="en-GB" w:eastAsia="en-GB"/>
                    </w:rPr>
                  </m:ctrlPr>
                </m:sSubSupPr>
                <m:e>
                  <m:r>
                    <w:rPr>
                      <w:rFonts w:ascii="Cambria Math" w:hAnsi="Cambria Math" w:cs="Times New Roman"/>
                      <w:sz w:val="20"/>
                      <w:szCs w:val="20"/>
                      <w:lang w:val="en-GB" w:eastAsia="en-GB"/>
                    </w:rPr>
                    <m:t>W</m:t>
                  </m:r>
                </m:e>
                <m:sub>
                  <m:r>
                    <w:rPr>
                      <w:rFonts w:ascii="Cambria Math" w:hAnsi="Cambria Math" w:cs="Times New Roman"/>
                      <w:sz w:val="20"/>
                      <w:szCs w:val="20"/>
                      <w:lang w:val="en-GB" w:eastAsia="en-GB"/>
                    </w:rPr>
                    <m:t>ARW</m:t>
                  </m:r>
                </m:sub>
                <m:sup>
                  <m:r>
                    <w:rPr>
                      <w:rFonts w:ascii="Cambria Math" w:hAnsi="Cambria Math" w:cs="Times New Roman"/>
                      <w:sz w:val="20"/>
                      <w:szCs w:val="20"/>
                      <w:lang w:val="en-GB" w:eastAsia="en-GB"/>
                    </w:rPr>
                    <m:t>wet</m:t>
                  </m:r>
                </m:sup>
              </m:sSubSup>
            </m:oMath>
            <w:r w:rsidR="007C7DB1" w:rsidRPr="00B63832">
              <w:rPr>
                <w:rFonts w:eastAsia="Times New Roman" w:cs="Times New Roman"/>
                <w:sz w:val="20"/>
                <w:szCs w:val="20"/>
                <w:lang w:val="en-GB" w:eastAsia="en-GB"/>
              </w:rPr>
              <w:t xml:space="preserve"> </w:t>
            </w:r>
            <w:r w:rsidR="007C7DB1" w:rsidRPr="00B63832">
              <w:rPr>
                <w:rFonts w:eastAsia="Times New Roman" w:cs="Times New Roman"/>
                <w:color w:val="000000"/>
                <w:sz w:val="20"/>
                <w:szCs w:val="20"/>
              </w:rPr>
              <w:t>(mJ/m</w:t>
            </w:r>
            <w:r w:rsidR="007C7DB1" w:rsidRPr="00B63832">
              <w:rPr>
                <w:rFonts w:eastAsia="Times New Roman" w:cs="Times New Roman"/>
                <w:color w:val="000000"/>
                <w:sz w:val="20"/>
                <w:szCs w:val="20"/>
                <w:vertAlign w:val="superscript"/>
              </w:rPr>
              <w:t>2</w:t>
            </w:r>
            <w:r w:rsidR="007C7DB1" w:rsidRPr="00B63832">
              <w:rPr>
                <w:rFonts w:eastAsia="Times New Roman" w:cs="Times New Roman"/>
                <w:color w:val="000000"/>
                <w:sz w:val="20"/>
                <w:szCs w:val="20"/>
              </w:rPr>
              <w:t>)</w:t>
            </w:r>
          </w:p>
        </w:tc>
        <w:tc>
          <w:tcPr>
            <w:tcW w:w="1018" w:type="dxa"/>
            <w:shd w:val="clear" w:color="auto" w:fill="auto"/>
            <w:noWrap/>
            <w:vAlign w:val="center"/>
            <w:hideMark/>
          </w:tcPr>
          <w:p w14:paraId="5641184C"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-161.70</w:t>
            </w:r>
          </w:p>
        </w:tc>
        <w:tc>
          <w:tcPr>
            <w:tcW w:w="815" w:type="dxa"/>
            <w:shd w:val="clear" w:color="auto" w:fill="auto"/>
            <w:noWrap/>
            <w:vAlign w:val="center"/>
            <w:hideMark/>
          </w:tcPr>
          <w:p w14:paraId="1A4DF7C6"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-165.24</w:t>
            </w:r>
          </w:p>
        </w:tc>
        <w:tc>
          <w:tcPr>
            <w:tcW w:w="913" w:type="dxa"/>
            <w:shd w:val="clear" w:color="auto" w:fill="auto"/>
            <w:noWrap/>
            <w:vAlign w:val="center"/>
            <w:hideMark/>
          </w:tcPr>
          <w:p w14:paraId="3C272A71"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-160.49</w:t>
            </w:r>
          </w:p>
        </w:tc>
        <w:tc>
          <w:tcPr>
            <w:tcW w:w="913" w:type="dxa"/>
            <w:shd w:val="clear" w:color="auto" w:fill="auto"/>
            <w:noWrap/>
            <w:vAlign w:val="center"/>
            <w:hideMark/>
          </w:tcPr>
          <w:p w14:paraId="4593FDC7"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-160.09</w:t>
            </w:r>
          </w:p>
        </w:tc>
        <w:tc>
          <w:tcPr>
            <w:tcW w:w="913" w:type="dxa"/>
            <w:shd w:val="clear" w:color="auto" w:fill="auto"/>
            <w:noWrap/>
            <w:vAlign w:val="center"/>
            <w:hideMark/>
          </w:tcPr>
          <w:p w14:paraId="597B9521"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-156.31</w:t>
            </w:r>
          </w:p>
        </w:tc>
        <w:tc>
          <w:tcPr>
            <w:tcW w:w="913" w:type="dxa"/>
            <w:shd w:val="clear" w:color="auto" w:fill="auto"/>
            <w:noWrap/>
            <w:vAlign w:val="center"/>
            <w:hideMark/>
          </w:tcPr>
          <w:p w14:paraId="75150B05"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-164.63</w:t>
            </w:r>
          </w:p>
        </w:tc>
        <w:tc>
          <w:tcPr>
            <w:tcW w:w="878" w:type="dxa"/>
            <w:shd w:val="clear" w:color="auto" w:fill="auto"/>
            <w:noWrap/>
            <w:vAlign w:val="center"/>
            <w:hideMark/>
          </w:tcPr>
          <w:p w14:paraId="4354BE92"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-166.28</w:t>
            </w:r>
          </w:p>
        </w:tc>
      </w:tr>
      <w:tr w:rsidR="007C7DB1" w:rsidRPr="00B63832" w14:paraId="02736F2E" w14:textId="77777777" w:rsidTr="00B63832">
        <w:trPr>
          <w:trHeight w:val="138"/>
        </w:trPr>
        <w:tc>
          <w:tcPr>
            <w:tcW w:w="773" w:type="dxa"/>
            <w:vMerge/>
            <w:shd w:val="clear" w:color="auto" w:fill="auto"/>
            <w:vAlign w:val="center"/>
            <w:hideMark/>
          </w:tcPr>
          <w:p w14:paraId="4C7C9D53" w14:textId="77777777" w:rsidR="007C7DB1" w:rsidRPr="00B63832" w:rsidRDefault="007C7DB1" w:rsidP="00650395">
            <w:pPr>
              <w:spacing w:line="276" w:lineRule="auto"/>
              <w:jc w:val="center"/>
              <w:rPr>
                <w:rFonts w:eastAsia="Times New Roman" w:cs="Times New Roman"/>
                <w:b/>
                <w:bCs/>
                <w:color w:val="000000"/>
                <w:sz w:val="20"/>
                <w:szCs w:val="20"/>
              </w:rPr>
            </w:pPr>
          </w:p>
        </w:tc>
        <w:tc>
          <w:tcPr>
            <w:tcW w:w="1403" w:type="dxa"/>
            <w:shd w:val="clear" w:color="auto" w:fill="auto"/>
            <w:noWrap/>
            <w:vAlign w:val="center"/>
            <w:hideMark/>
          </w:tcPr>
          <w:p w14:paraId="63AC675F" w14:textId="77777777" w:rsidR="007C7DB1" w:rsidRPr="00B63832" w:rsidRDefault="007C7DB1" w:rsidP="00650395">
            <w:pPr>
              <w:spacing w:line="276" w:lineRule="auto"/>
              <w:jc w:val="center"/>
              <w:rPr>
                <w:rFonts w:eastAsia="Times New Roman" w:cs="Times New Roman"/>
                <w:i/>
                <w:iCs/>
                <w:color w:val="000000"/>
                <w:sz w:val="20"/>
                <w:szCs w:val="20"/>
              </w:rPr>
            </w:pPr>
            <w:r w:rsidRPr="00B63832">
              <w:rPr>
                <w:rFonts w:eastAsia="Times New Roman" w:cs="Times New Roman"/>
                <w:i/>
                <w:iCs/>
                <w:color w:val="000000"/>
                <w:sz w:val="20"/>
                <w:szCs w:val="20"/>
              </w:rPr>
              <w:t xml:space="preserve">ER </w:t>
            </w:r>
          </w:p>
        </w:tc>
        <w:tc>
          <w:tcPr>
            <w:tcW w:w="1018" w:type="dxa"/>
            <w:shd w:val="clear" w:color="auto" w:fill="auto"/>
            <w:noWrap/>
            <w:vAlign w:val="center"/>
            <w:hideMark/>
          </w:tcPr>
          <w:p w14:paraId="680688C4"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0.49</w:t>
            </w:r>
          </w:p>
        </w:tc>
        <w:tc>
          <w:tcPr>
            <w:tcW w:w="815" w:type="dxa"/>
            <w:shd w:val="clear" w:color="auto" w:fill="auto"/>
            <w:noWrap/>
            <w:vAlign w:val="center"/>
            <w:hideMark/>
          </w:tcPr>
          <w:p w14:paraId="5DB9BE90"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0.46</w:t>
            </w:r>
          </w:p>
        </w:tc>
        <w:tc>
          <w:tcPr>
            <w:tcW w:w="913" w:type="dxa"/>
            <w:shd w:val="clear" w:color="auto" w:fill="auto"/>
            <w:noWrap/>
            <w:vAlign w:val="center"/>
            <w:hideMark/>
          </w:tcPr>
          <w:p w14:paraId="39D081B7"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0.50</w:t>
            </w:r>
          </w:p>
        </w:tc>
        <w:tc>
          <w:tcPr>
            <w:tcW w:w="913" w:type="dxa"/>
            <w:shd w:val="clear" w:color="auto" w:fill="auto"/>
            <w:noWrap/>
            <w:vAlign w:val="center"/>
            <w:hideMark/>
          </w:tcPr>
          <w:p w14:paraId="0F0D166F"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0.50</w:t>
            </w:r>
          </w:p>
        </w:tc>
        <w:tc>
          <w:tcPr>
            <w:tcW w:w="913" w:type="dxa"/>
            <w:shd w:val="clear" w:color="auto" w:fill="auto"/>
            <w:noWrap/>
            <w:vAlign w:val="center"/>
            <w:hideMark/>
          </w:tcPr>
          <w:p w14:paraId="042268B5"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0.54</w:t>
            </w:r>
          </w:p>
        </w:tc>
        <w:tc>
          <w:tcPr>
            <w:tcW w:w="913" w:type="dxa"/>
            <w:shd w:val="clear" w:color="auto" w:fill="auto"/>
            <w:noWrap/>
            <w:vAlign w:val="center"/>
            <w:hideMark/>
          </w:tcPr>
          <w:p w14:paraId="3717AD10"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0.46</w:t>
            </w:r>
          </w:p>
        </w:tc>
        <w:tc>
          <w:tcPr>
            <w:tcW w:w="878" w:type="dxa"/>
            <w:shd w:val="clear" w:color="auto" w:fill="auto"/>
            <w:noWrap/>
            <w:vAlign w:val="center"/>
            <w:hideMark/>
          </w:tcPr>
          <w:p w14:paraId="22571954"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0.45</w:t>
            </w:r>
          </w:p>
        </w:tc>
      </w:tr>
      <w:tr w:rsidR="007C7DB1" w:rsidRPr="00B63832" w14:paraId="69B15A95" w14:textId="77777777" w:rsidTr="00B63832">
        <w:trPr>
          <w:trHeight w:val="138"/>
        </w:trPr>
        <w:tc>
          <w:tcPr>
            <w:tcW w:w="773" w:type="dxa"/>
            <w:vMerge w:val="restart"/>
            <w:shd w:val="clear" w:color="auto" w:fill="auto"/>
            <w:noWrap/>
            <w:vAlign w:val="center"/>
            <w:hideMark/>
          </w:tcPr>
          <w:p w14:paraId="217CEC03" w14:textId="77777777" w:rsidR="007C7DB1" w:rsidRPr="00B63832" w:rsidRDefault="007C7DB1" w:rsidP="00650395">
            <w:pPr>
              <w:spacing w:line="276" w:lineRule="auto"/>
              <w:jc w:val="center"/>
              <w:rPr>
                <w:rFonts w:eastAsia="Times New Roman" w:cs="Times New Roman"/>
                <w:b/>
                <w:bCs/>
                <w:color w:val="000000"/>
                <w:sz w:val="20"/>
                <w:szCs w:val="20"/>
              </w:rPr>
            </w:pPr>
            <w:r w:rsidRPr="00B63832">
              <w:rPr>
                <w:rFonts w:eastAsia="Times New Roman" w:cs="Times New Roman"/>
                <w:b/>
                <w:bCs/>
                <w:color w:val="000000"/>
                <w:sz w:val="20"/>
                <w:szCs w:val="20"/>
              </w:rPr>
              <w:t>S4</w:t>
            </w:r>
          </w:p>
        </w:tc>
        <w:tc>
          <w:tcPr>
            <w:tcW w:w="1403" w:type="dxa"/>
            <w:shd w:val="clear" w:color="auto" w:fill="auto"/>
            <w:noWrap/>
            <w:vAlign w:val="center"/>
            <w:hideMark/>
          </w:tcPr>
          <w:p w14:paraId="507700B0" w14:textId="77777777" w:rsidR="007C7DB1" w:rsidRPr="00B63832" w:rsidRDefault="007F7885" w:rsidP="00650395">
            <w:pPr>
              <w:spacing w:line="276" w:lineRule="auto"/>
              <w:jc w:val="center"/>
              <w:rPr>
                <w:rFonts w:eastAsia="Times New Roman" w:cs="Times New Roman"/>
                <w:color w:val="000000"/>
                <w:sz w:val="20"/>
                <w:szCs w:val="20"/>
              </w:rPr>
            </w:pPr>
            <m:oMath>
              <m:sSub>
                <m:sSubPr>
                  <m:ctrlPr>
                    <w:rPr>
                      <w:rFonts w:ascii="Cambria Math" w:eastAsiaTheme="minorEastAsia" w:hAnsi="Cambria Math" w:cs="Times New Roman"/>
                      <w:i/>
                      <w:sz w:val="20"/>
                      <w:szCs w:val="20"/>
                    </w:rPr>
                  </m:ctrlPr>
                </m:sSubPr>
                <m:e>
                  <m:r>
                    <w:rPr>
                      <w:rFonts w:ascii="Cambria Math" w:eastAsiaTheme="minorEastAsia" w:hAnsi="Cambria Math" w:cs="Times New Roman"/>
                      <w:sz w:val="20"/>
                      <w:szCs w:val="20"/>
                    </w:rPr>
                    <m:t>W</m:t>
                  </m:r>
                </m:e>
                <m:sub>
                  <m:r>
                    <w:rPr>
                      <w:rFonts w:ascii="Cambria Math" w:eastAsiaTheme="minorEastAsia" w:hAnsi="Cambria Math" w:cs="Times New Roman"/>
                      <w:sz w:val="20"/>
                      <w:szCs w:val="20"/>
                    </w:rPr>
                    <m:t>AR</m:t>
                  </m:r>
                </m:sub>
              </m:sSub>
            </m:oMath>
            <w:r w:rsidR="007C7DB1" w:rsidRPr="00B63832">
              <w:rPr>
                <w:rFonts w:eastAsia="Times New Roman" w:cs="Times New Roman"/>
                <w:sz w:val="20"/>
                <w:szCs w:val="20"/>
              </w:rPr>
              <w:t xml:space="preserve"> </w:t>
            </w:r>
            <w:r w:rsidR="007C7DB1" w:rsidRPr="00B63832">
              <w:rPr>
                <w:rFonts w:eastAsia="Times New Roman" w:cs="Times New Roman"/>
                <w:color w:val="000000"/>
                <w:sz w:val="20"/>
                <w:szCs w:val="20"/>
              </w:rPr>
              <w:t>(mJ/m</w:t>
            </w:r>
            <w:r w:rsidR="007C7DB1" w:rsidRPr="00B63832">
              <w:rPr>
                <w:rFonts w:eastAsia="Times New Roman" w:cs="Times New Roman"/>
                <w:color w:val="000000"/>
                <w:sz w:val="20"/>
                <w:szCs w:val="20"/>
                <w:vertAlign w:val="superscript"/>
              </w:rPr>
              <w:t>2</w:t>
            </w:r>
            <w:r w:rsidR="007C7DB1" w:rsidRPr="00B63832">
              <w:rPr>
                <w:rFonts w:eastAsia="Times New Roman" w:cs="Times New Roman"/>
                <w:color w:val="000000"/>
                <w:sz w:val="20"/>
                <w:szCs w:val="20"/>
              </w:rPr>
              <w:t>)</w:t>
            </w:r>
          </w:p>
        </w:tc>
        <w:tc>
          <w:tcPr>
            <w:tcW w:w="1018" w:type="dxa"/>
            <w:shd w:val="clear" w:color="auto" w:fill="auto"/>
            <w:noWrap/>
            <w:vAlign w:val="center"/>
            <w:hideMark/>
          </w:tcPr>
          <w:p w14:paraId="0062495E"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87.15</w:t>
            </w:r>
          </w:p>
        </w:tc>
        <w:tc>
          <w:tcPr>
            <w:tcW w:w="815" w:type="dxa"/>
            <w:shd w:val="clear" w:color="auto" w:fill="auto"/>
            <w:noWrap/>
            <w:vAlign w:val="center"/>
            <w:hideMark/>
          </w:tcPr>
          <w:p w14:paraId="55A53E10"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80.72</w:t>
            </w:r>
          </w:p>
        </w:tc>
        <w:tc>
          <w:tcPr>
            <w:tcW w:w="913" w:type="dxa"/>
            <w:shd w:val="clear" w:color="auto" w:fill="auto"/>
            <w:noWrap/>
            <w:vAlign w:val="center"/>
            <w:hideMark/>
          </w:tcPr>
          <w:p w14:paraId="3F4ADE61"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90.16</w:t>
            </w:r>
          </w:p>
        </w:tc>
        <w:tc>
          <w:tcPr>
            <w:tcW w:w="913" w:type="dxa"/>
            <w:shd w:val="clear" w:color="auto" w:fill="auto"/>
            <w:noWrap/>
            <w:vAlign w:val="center"/>
            <w:hideMark/>
          </w:tcPr>
          <w:p w14:paraId="36420D0D"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88.76</w:t>
            </w:r>
          </w:p>
        </w:tc>
        <w:tc>
          <w:tcPr>
            <w:tcW w:w="913" w:type="dxa"/>
            <w:shd w:val="clear" w:color="auto" w:fill="auto"/>
            <w:noWrap/>
            <w:vAlign w:val="center"/>
            <w:hideMark/>
          </w:tcPr>
          <w:p w14:paraId="1EFB6F16"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95.67</w:t>
            </w:r>
          </w:p>
        </w:tc>
        <w:tc>
          <w:tcPr>
            <w:tcW w:w="913" w:type="dxa"/>
            <w:shd w:val="clear" w:color="auto" w:fill="auto"/>
            <w:noWrap/>
            <w:vAlign w:val="center"/>
            <w:hideMark/>
          </w:tcPr>
          <w:p w14:paraId="2EE15DC9"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84.08</w:t>
            </w:r>
          </w:p>
        </w:tc>
        <w:tc>
          <w:tcPr>
            <w:tcW w:w="878" w:type="dxa"/>
            <w:shd w:val="clear" w:color="auto" w:fill="auto"/>
            <w:noWrap/>
            <w:vAlign w:val="center"/>
            <w:hideMark/>
          </w:tcPr>
          <w:p w14:paraId="16D7A3BD"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74.96</w:t>
            </w:r>
          </w:p>
        </w:tc>
      </w:tr>
      <w:tr w:rsidR="007C7DB1" w:rsidRPr="00B63832" w14:paraId="7991DB02" w14:textId="77777777" w:rsidTr="00B63832">
        <w:trPr>
          <w:trHeight w:val="138"/>
        </w:trPr>
        <w:tc>
          <w:tcPr>
            <w:tcW w:w="773" w:type="dxa"/>
            <w:vMerge/>
            <w:shd w:val="clear" w:color="auto" w:fill="auto"/>
            <w:vAlign w:val="center"/>
            <w:hideMark/>
          </w:tcPr>
          <w:p w14:paraId="53ECE690" w14:textId="77777777" w:rsidR="007C7DB1" w:rsidRPr="00B63832" w:rsidRDefault="007C7DB1" w:rsidP="00650395">
            <w:pPr>
              <w:spacing w:line="276" w:lineRule="auto"/>
              <w:jc w:val="center"/>
              <w:rPr>
                <w:rFonts w:eastAsia="Times New Roman" w:cs="Times New Roman"/>
                <w:color w:val="000000"/>
                <w:sz w:val="20"/>
                <w:szCs w:val="20"/>
              </w:rPr>
            </w:pPr>
          </w:p>
        </w:tc>
        <w:tc>
          <w:tcPr>
            <w:tcW w:w="1403" w:type="dxa"/>
            <w:shd w:val="clear" w:color="auto" w:fill="auto"/>
            <w:noWrap/>
            <w:vAlign w:val="center"/>
            <w:hideMark/>
          </w:tcPr>
          <w:p w14:paraId="4255F363" w14:textId="77777777" w:rsidR="007C7DB1" w:rsidRPr="00B63832" w:rsidRDefault="007F7885" w:rsidP="00650395">
            <w:pPr>
              <w:spacing w:line="276" w:lineRule="auto"/>
              <w:jc w:val="center"/>
              <w:rPr>
                <w:rFonts w:eastAsia="Times New Roman" w:cs="Times New Roman"/>
                <w:color w:val="000000"/>
                <w:sz w:val="20"/>
                <w:szCs w:val="20"/>
              </w:rPr>
            </w:pPr>
            <m:oMath>
              <m:sSubSup>
                <m:sSubSupPr>
                  <m:ctrlPr>
                    <w:rPr>
                      <w:rFonts w:ascii="Cambria Math" w:hAnsi="Cambria Math" w:cs="Times New Roman"/>
                      <w:i/>
                      <w:sz w:val="20"/>
                      <w:szCs w:val="20"/>
                      <w:lang w:val="en-GB" w:eastAsia="en-GB"/>
                    </w:rPr>
                  </m:ctrlPr>
                </m:sSubSupPr>
                <m:e>
                  <m:r>
                    <w:rPr>
                      <w:rFonts w:ascii="Cambria Math" w:hAnsi="Cambria Math" w:cs="Times New Roman"/>
                      <w:sz w:val="20"/>
                      <w:szCs w:val="20"/>
                      <w:lang w:val="en-GB" w:eastAsia="en-GB"/>
                    </w:rPr>
                    <m:t>W</m:t>
                  </m:r>
                </m:e>
                <m:sub>
                  <m:r>
                    <w:rPr>
                      <w:rFonts w:ascii="Cambria Math" w:hAnsi="Cambria Math" w:cs="Times New Roman"/>
                      <w:sz w:val="20"/>
                      <w:szCs w:val="20"/>
                      <w:lang w:val="en-GB" w:eastAsia="en-GB"/>
                    </w:rPr>
                    <m:t>ARW</m:t>
                  </m:r>
                </m:sub>
                <m:sup>
                  <m:r>
                    <w:rPr>
                      <w:rFonts w:ascii="Cambria Math" w:hAnsi="Cambria Math" w:cs="Times New Roman"/>
                      <w:sz w:val="20"/>
                      <w:szCs w:val="20"/>
                      <w:lang w:val="en-GB" w:eastAsia="en-GB"/>
                    </w:rPr>
                    <m:t>wet</m:t>
                  </m:r>
                </m:sup>
              </m:sSubSup>
            </m:oMath>
            <w:r w:rsidR="007C7DB1" w:rsidRPr="00B63832">
              <w:rPr>
                <w:rFonts w:eastAsia="Times New Roman" w:cs="Times New Roman"/>
                <w:sz w:val="20"/>
                <w:szCs w:val="20"/>
                <w:lang w:val="en-GB" w:eastAsia="en-GB"/>
              </w:rPr>
              <w:t xml:space="preserve"> </w:t>
            </w:r>
            <w:r w:rsidR="007C7DB1" w:rsidRPr="00B63832">
              <w:rPr>
                <w:rFonts w:eastAsia="Times New Roman" w:cs="Times New Roman"/>
                <w:color w:val="000000"/>
                <w:sz w:val="20"/>
                <w:szCs w:val="20"/>
              </w:rPr>
              <w:t>(mJ/m</w:t>
            </w:r>
            <w:r w:rsidR="007C7DB1" w:rsidRPr="00B63832">
              <w:rPr>
                <w:rFonts w:eastAsia="Times New Roman" w:cs="Times New Roman"/>
                <w:color w:val="000000"/>
                <w:sz w:val="20"/>
                <w:szCs w:val="20"/>
                <w:vertAlign w:val="superscript"/>
              </w:rPr>
              <w:t>2</w:t>
            </w:r>
            <w:r w:rsidR="007C7DB1" w:rsidRPr="00B63832">
              <w:rPr>
                <w:rFonts w:eastAsia="Times New Roman" w:cs="Times New Roman"/>
                <w:color w:val="000000"/>
                <w:sz w:val="20"/>
                <w:szCs w:val="20"/>
              </w:rPr>
              <w:t>)</w:t>
            </w:r>
          </w:p>
        </w:tc>
        <w:tc>
          <w:tcPr>
            <w:tcW w:w="1018" w:type="dxa"/>
            <w:shd w:val="clear" w:color="auto" w:fill="auto"/>
            <w:noWrap/>
            <w:vAlign w:val="center"/>
            <w:hideMark/>
          </w:tcPr>
          <w:p w14:paraId="7666E4F8"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-149.94</w:t>
            </w:r>
          </w:p>
        </w:tc>
        <w:tc>
          <w:tcPr>
            <w:tcW w:w="815" w:type="dxa"/>
            <w:shd w:val="clear" w:color="auto" w:fill="auto"/>
            <w:noWrap/>
            <w:vAlign w:val="center"/>
            <w:hideMark/>
          </w:tcPr>
          <w:p w14:paraId="646AED49"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-157.97</w:t>
            </w:r>
          </w:p>
        </w:tc>
        <w:tc>
          <w:tcPr>
            <w:tcW w:w="913" w:type="dxa"/>
            <w:shd w:val="clear" w:color="auto" w:fill="auto"/>
            <w:noWrap/>
            <w:vAlign w:val="center"/>
            <w:hideMark/>
          </w:tcPr>
          <w:p w14:paraId="751DF8A3"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-147.52</w:t>
            </w:r>
          </w:p>
        </w:tc>
        <w:tc>
          <w:tcPr>
            <w:tcW w:w="913" w:type="dxa"/>
            <w:shd w:val="clear" w:color="auto" w:fill="auto"/>
            <w:noWrap/>
            <w:vAlign w:val="center"/>
            <w:hideMark/>
          </w:tcPr>
          <w:p w14:paraId="19D86D5E"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-148.61</w:t>
            </w:r>
          </w:p>
        </w:tc>
        <w:tc>
          <w:tcPr>
            <w:tcW w:w="913" w:type="dxa"/>
            <w:shd w:val="clear" w:color="auto" w:fill="auto"/>
            <w:noWrap/>
            <w:vAlign w:val="center"/>
            <w:hideMark/>
          </w:tcPr>
          <w:p w14:paraId="1EE87535"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-142.96</w:t>
            </w:r>
          </w:p>
        </w:tc>
        <w:tc>
          <w:tcPr>
            <w:tcW w:w="913" w:type="dxa"/>
            <w:shd w:val="clear" w:color="auto" w:fill="auto"/>
            <w:noWrap/>
            <w:vAlign w:val="center"/>
            <w:hideMark/>
          </w:tcPr>
          <w:p w14:paraId="56E545B9"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-154.55</w:t>
            </w:r>
          </w:p>
        </w:tc>
        <w:tc>
          <w:tcPr>
            <w:tcW w:w="878" w:type="dxa"/>
            <w:shd w:val="clear" w:color="auto" w:fill="auto"/>
            <w:noWrap/>
            <w:vAlign w:val="center"/>
            <w:hideMark/>
          </w:tcPr>
          <w:p w14:paraId="34B0B162"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-163.67</w:t>
            </w:r>
          </w:p>
        </w:tc>
      </w:tr>
      <w:tr w:rsidR="007C7DB1" w:rsidRPr="00B63832" w14:paraId="403D4D57" w14:textId="77777777" w:rsidTr="00B63832">
        <w:trPr>
          <w:trHeight w:val="138"/>
        </w:trPr>
        <w:tc>
          <w:tcPr>
            <w:tcW w:w="773" w:type="dxa"/>
            <w:vMerge/>
            <w:shd w:val="clear" w:color="auto" w:fill="auto"/>
            <w:vAlign w:val="center"/>
            <w:hideMark/>
          </w:tcPr>
          <w:p w14:paraId="6B8BD6D5" w14:textId="77777777" w:rsidR="007C7DB1" w:rsidRPr="00B63832" w:rsidRDefault="007C7DB1" w:rsidP="00650395">
            <w:pPr>
              <w:spacing w:line="276" w:lineRule="auto"/>
              <w:jc w:val="center"/>
              <w:rPr>
                <w:rFonts w:eastAsia="Times New Roman" w:cs="Times New Roman"/>
                <w:color w:val="000000"/>
                <w:sz w:val="20"/>
                <w:szCs w:val="20"/>
              </w:rPr>
            </w:pPr>
          </w:p>
        </w:tc>
        <w:tc>
          <w:tcPr>
            <w:tcW w:w="1403" w:type="dxa"/>
            <w:shd w:val="clear" w:color="auto" w:fill="auto"/>
            <w:noWrap/>
            <w:vAlign w:val="center"/>
            <w:hideMark/>
          </w:tcPr>
          <w:p w14:paraId="6EBD9400" w14:textId="77777777" w:rsidR="007C7DB1" w:rsidRPr="00B63832" w:rsidRDefault="007C7DB1" w:rsidP="00650395">
            <w:pPr>
              <w:spacing w:line="276" w:lineRule="auto"/>
              <w:jc w:val="center"/>
              <w:rPr>
                <w:rFonts w:eastAsia="Times New Roman" w:cs="Times New Roman"/>
                <w:i/>
                <w:iCs/>
                <w:color w:val="000000"/>
                <w:sz w:val="20"/>
                <w:szCs w:val="20"/>
              </w:rPr>
            </w:pPr>
            <w:r w:rsidRPr="00B63832">
              <w:rPr>
                <w:rFonts w:eastAsia="Times New Roman" w:cs="Times New Roman"/>
                <w:i/>
                <w:iCs/>
                <w:color w:val="000000"/>
                <w:sz w:val="20"/>
                <w:szCs w:val="20"/>
              </w:rPr>
              <w:t>ER</w:t>
            </w:r>
          </w:p>
        </w:tc>
        <w:tc>
          <w:tcPr>
            <w:tcW w:w="1018" w:type="dxa"/>
            <w:shd w:val="clear" w:color="auto" w:fill="auto"/>
            <w:noWrap/>
            <w:vAlign w:val="center"/>
            <w:hideMark/>
          </w:tcPr>
          <w:p w14:paraId="79E3B01E"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0.58</w:t>
            </w:r>
          </w:p>
        </w:tc>
        <w:tc>
          <w:tcPr>
            <w:tcW w:w="815" w:type="dxa"/>
            <w:shd w:val="clear" w:color="auto" w:fill="auto"/>
            <w:noWrap/>
            <w:vAlign w:val="center"/>
            <w:hideMark/>
          </w:tcPr>
          <w:p w14:paraId="2EE8734C"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0.51</w:t>
            </w:r>
          </w:p>
        </w:tc>
        <w:tc>
          <w:tcPr>
            <w:tcW w:w="913" w:type="dxa"/>
            <w:shd w:val="clear" w:color="auto" w:fill="auto"/>
            <w:noWrap/>
            <w:vAlign w:val="center"/>
            <w:hideMark/>
          </w:tcPr>
          <w:p w14:paraId="269C02F4"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0.61</w:t>
            </w:r>
          </w:p>
        </w:tc>
        <w:tc>
          <w:tcPr>
            <w:tcW w:w="913" w:type="dxa"/>
            <w:shd w:val="clear" w:color="auto" w:fill="auto"/>
            <w:noWrap/>
            <w:vAlign w:val="center"/>
            <w:hideMark/>
          </w:tcPr>
          <w:p w14:paraId="4A2A0409"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0.60</w:t>
            </w:r>
          </w:p>
        </w:tc>
        <w:tc>
          <w:tcPr>
            <w:tcW w:w="913" w:type="dxa"/>
            <w:shd w:val="clear" w:color="auto" w:fill="auto"/>
            <w:noWrap/>
            <w:vAlign w:val="center"/>
            <w:hideMark/>
          </w:tcPr>
          <w:p w14:paraId="48E9AC5A"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0.67</w:t>
            </w:r>
          </w:p>
        </w:tc>
        <w:tc>
          <w:tcPr>
            <w:tcW w:w="913" w:type="dxa"/>
            <w:shd w:val="clear" w:color="auto" w:fill="auto"/>
            <w:noWrap/>
            <w:vAlign w:val="center"/>
            <w:hideMark/>
          </w:tcPr>
          <w:p w14:paraId="4785E5CA"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0.54</w:t>
            </w:r>
          </w:p>
        </w:tc>
        <w:tc>
          <w:tcPr>
            <w:tcW w:w="878" w:type="dxa"/>
            <w:shd w:val="clear" w:color="auto" w:fill="auto"/>
            <w:noWrap/>
            <w:vAlign w:val="center"/>
            <w:hideMark/>
          </w:tcPr>
          <w:p w14:paraId="76CD6234" w14:textId="77777777" w:rsidR="007C7DB1" w:rsidRPr="00B63832" w:rsidRDefault="007C7DB1" w:rsidP="00650395">
            <w:pPr>
              <w:spacing w:line="276" w:lineRule="auto"/>
              <w:jc w:val="center"/>
              <w:rPr>
                <w:rFonts w:eastAsia="Times New Roman" w:cs="Times New Roman"/>
                <w:color w:val="000000"/>
                <w:sz w:val="20"/>
                <w:szCs w:val="20"/>
              </w:rPr>
            </w:pPr>
            <w:r w:rsidRPr="00B63832">
              <w:rPr>
                <w:rFonts w:eastAsia="Times New Roman" w:cs="Times New Roman"/>
                <w:color w:val="000000"/>
                <w:sz w:val="20"/>
                <w:szCs w:val="20"/>
              </w:rPr>
              <w:t>0.46</w:t>
            </w:r>
          </w:p>
        </w:tc>
      </w:tr>
    </w:tbl>
    <w:p w14:paraId="0ACCE48A" w14:textId="77777777" w:rsidR="007C7DB1" w:rsidRPr="00047D9A" w:rsidRDefault="007C7DB1" w:rsidP="007C7DB1">
      <w:pPr>
        <w:spacing w:line="360" w:lineRule="auto"/>
        <w:rPr>
          <w:rFonts w:cs="Times New Roman"/>
          <w:color w:val="FF0000"/>
          <w:szCs w:val="24"/>
        </w:rPr>
      </w:pPr>
    </w:p>
    <w:p w14:paraId="5B6255C9" w14:textId="2734A7FB" w:rsidR="00B555D8" w:rsidRDefault="00B555D8" w:rsidP="00B555D8">
      <w:pPr>
        <w:ind w:firstLine="720"/>
        <w:rPr>
          <w:rFonts w:eastAsia="Times New Roman" w:cs="Times New Roman"/>
          <w:szCs w:val="24"/>
          <w:lang w:bidi="en-US"/>
        </w:rPr>
      </w:pPr>
    </w:p>
    <w:p w14:paraId="2A1CFF1C" w14:textId="35738E1E" w:rsidR="0095559C" w:rsidRDefault="0095559C" w:rsidP="00B555D8">
      <w:pPr>
        <w:ind w:firstLine="720"/>
        <w:rPr>
          <w:rFonts w:eastAsia="Times New Roman" w:cs="Times New Roman"/>
          <w:szCs w:val="24"/>
          <w:lang w:bidi="en-US"/>
        </w:rPr>
      </w:pPr>
    </w:p>
    <w:p w14:paraId="2D1FF08A" w14:textId="1B3F1229" w:rsidR="0095559C" w:rsidRDefault="0095559C" w:rsidP="00B555D8">
      <w:pPr>
        <w:ind w:firstLine="720"/>
        <w:rPr>
          <w:rFonts w:eastAsia="Times New Roman" w:cs="Times New Roman"/>
          <w:szCs w:val="24"/>
          <w:lang w:bidi="en-US"/>
        </w:rPr>
      </w:pPr>
    </w:p>
    <w:p w14:paraId="5DA872DA" w14:textId="77777777" w:rsidR="0095559C" w:rsidRDefault="0095559C" w:rsidP="00B555D8">
      <w:pPr>
        <w:ind w:firstLine="720"/>
        <w:rPr>
          <w:rFonts w:eastAsia="Times New Roman" w:cs="Times New Roman"/>
          <w:szCs w:val="24"/>
          <w:lang w:bidi="en-US"/>
        </w:rPr>
      </w:pPr>
    </w:p>
    <w:p w14:paraId="61487098" w14:textId="1D0217CE" w:rsidR="004E19CB" w:rsidRDefault="002438A2" w:rsidP="00537471">
      <w:pPr>
        <w:pStyle w:val="Caption"/>
        <w:spacing w:line="480" w:lineRule="auto"/>
        <w:jc w:val="center"/>
        <w:rPr>
          <w:szCs w:val="24"/>
        </w:rPr>
      </w:pPr>
      <w:bookmarkStart w:id="55" w:name="_Toc71330978"/>
      <w:r>
        <w:t xml:space="preserve">Table </w:t>
      </w:r>
      <w:fldSimple w:instr=" STYLEREF 1 \s ">
        <w:r w:rsidR="005050F0">
          <w:rPr>
            <w:noProof/>
          </w:rPr>
          <w:t>2</w:t>
        </w:r>
      </w:fldSimple>
      <w:r w:rsidR="00700639">
        <w:t>.</w:t>
      </w:r>
      <w:fldSimple w:instr=" SEQ Table \* ARABIC \s 1 ">
        <w:r w:rsidR="005050F0">
          <w:rPr>
            <w:noProof/>
          </w:rPr>
          <w:t>7</w:t>
        </w:r>
      </w:fldSimple>
      <w:r>
        <w:t xml:space="preserve"> </w:t>
      </w:r>
      <w:r w:rsidR="004E19CB" w:rsidRPr="00047D9A">
        <w:rPr>
          <w:szCs w:val="24"/>
        </w:rPr>
        <w:t xml:space="preserve">Surface Free </w:t>
      </w:r>
      <w:r w:rsidR="004E19CB">
        <w:rPr>
          <w:szCs w:val="24"/>
        </w:rPr>
        <w:t>E</w:t>
      </w:r>
      <w:r w:rsidR="004E19CB" w:rsidRPr="00047D9A">
        <w:rPr>
          <w:szCs w:val="24"/>
        </w:rPr>
        <w:t xml:space="preserve">nergy </w:t>
      </w:r>
      <w:r w:rsidR="004E19CB">
        <w:rPr>
          <w:szCs w:val="24"/>
        </w:rPr>
        <w:t>Components of S1 and S4 Binders from</w:t>
      </w:r>
      <w:r w:rsidR="004E19CB" w:rsidRPr="00047D9A">
        <w:rPr>
          <w:szCs w:val="24"/>
        </w:rPr>
        <w:t xml:space="preserve"> Owens-Wendt </w:t>
      </w:r>
      <w:r w:rsidR="004E19CB">
        <w:rPr>
          <w:szCs w:val="24"/>
        </w:rPr>
        <w:t>M</w:t>
      </w:r>
      <w:r w:rsidR="004E19CB" w:rsidRPr="00047D9A">
        <w:rPr>
          <w:szCs w:val="24"/>
        </w:rPr>
        <w:t>ethod</w:t>
      </w:r>
      <w:bookmarkEnd w:id="55"/>
    </w:p>
    <w:tbl>
      <w:tblPr>
        <w:tblW w:w="8361" w:type="dxa"/>
        <w:jc w:val="center"/>
        <w:tblLayout w:type="fixed"/>
        <w:tblLook w:val="04A0" w:firstRow="1" w:lastRow="0" w:firstColumn="1" w:lastColumn="0" w:noHBand="0" w:noVBand="1"/>
      </w:tblPr>
      <w:tblGrid>
        <w:gridCol w:w="1364"/>
        <w:gridCol w:w="1246"/>
        <w:gridCol w:w="1121"/>
        <w:gridCol w:w="1127"/>
        <w:gridCol w:w="1249"/>
        <w:gridCol w:w="1124"/>
        <w:gridCol w:w="1130"/>
      </w:tblGrid>
      <w:tr w:rsidR="004E19CB" w:rsidRPr="00401B79" w14:paraId="53BB41AB" w14:textId="77777777" w:rsidTr="00650395">
        <w:trPr>
          <w:trHeight w:val="231"/>
          <w:jc w:val="center"/>
        </w:trPr>
        <w:tc>
          <w:tcPr>
            <w:tcW w:w="136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314660A" w14:textId="77777777" w:rsidR="004E19CB" w:rsidRPr="00401B79" w:rsidRDefault="004E19CB" w:rsidP="00650395">
            <w:pPr>
              <w:spacing w:line="276" w:lineRule="auto"/>
              <w:jc w:val="center"/>
              <w:rPr>
                <w:rFonts w:eastAsia="Times New Roman" w:cs="Times New Roman"/>
                <w:b/>
                <w:bCs/>
                <w:color w:val="000000"/>
                <w:sz w:val="20"/>
                <w:szCs w:val="20"/>
              </w:rPr>
            </w:pPr>
            <w:r w:rsidRPr="00047D9A">
              <w:rPr>
                <w:rFonts w:cs="Times New Roman"/>
                <w:szCs w:val="24"/>
              </w:rPr>
              <w:t xml:space="preserve"> </w:t>
            </w:r>
            <w:r w:rsidRPr="00401B79">
              <w:rPr>
                <w:rFonts w:eastAsia="Times New Roman" w:cs="Times New Roman"/>
                <w:b/>
                <w:bCs/>
                <w:color w:val="000000"/>
                <w:sz w:val="20"/>
                <w:szCs w:val="20"/>
              </w:rPr>
              <w:t>Test liquid set</w:t>
            </w:r>
          </w:p>
        </w:tc>
        <w:tc>
          <w:tcPr>
            <w:tcW w:w="3494" w:type="dxa"/>
            <w:gridSpan w:val="3"/>
            <w:tcBorders>
              <w:top w:val="single" w:sz="4" w:space="0" w:color="auto"/>
              <w:left w:val="nil"/>
              <w:bottom w:val="single" w:sz="4" w:space="0" w:color="auto"/>
              <w:right w:val="single" w:sz="4" w:space="0" w:color="auto"/>
            </w:tcBorders>
            <w:shd w:val="clear" w:color="auto" w:fill="auto"/>
            <w:vAlign w:val="center"/>
          </w:tcPr>
          <w:p w14:paraId="309B59E9" w14:textId="77777777" w:rsidR="004E19CB" w:rsidRPr="00401B79" w:rsidRDefault="004E19CB" w:rsidP="00650395">
            <w:pPr>
              <w:spacing w:line="276" w:lineRule="auto"/>
              <w:jc w:val="center"/>
              <w:rPr>
                <w:rFonts w:eastAsia="Times New Roman" w:cs="Times New Roman"/>
                <w:b/>
                <w:bCs/>
                <w:sz w:val="20"/>
                <w:szCs w:val="20"/>
              </w:rPr>
            </w:pPr>
            <w:r w:rsidRPr="00401B79">
              <w:rPr>
                <w:rFonts w:eastAsia="Times New Roman" w:cs="Times New Roman"/>
                <w:b/>
                <w:bCs/>
                <w:sz w:val="20"/>
                <w:szCs w:val="20"/>
              </w:rPr>
              <w:t>S1 Binder</w:t>
            </w:r>
          </w:p>
        </w:tc>
        <w:tc>
          <w:tcPr>
            <w:tcW w:w="3503" w:type="dxa"/>
            <w:gridSpan w:val="3"/>
            <w:tcBorders>
              <w:top w:val="single" w:sz="4" w:space="0" w:color="auto"/>
              <w:left w:val="single" w:sz="4" w:space="0" w:color="auto"/>
              <w:bottom w:val="single" w:sz="4" w:space="0" w:color="auto"/>
              <w:right w:val="single" w:sz="4" w:space="0" w:color="auto"/>
            </w:tcBorders>
            <w:vAlign w:val="center"/>
          </w:tcPr>
          <w:p w14:paraId="52D51609" w14:textId="77777777" w:rsidR="004E19CB" w:rsidRPr="00401B79" w:rsidRDefault="004E19CB" w:rsidP="00650395">
            <w:pPr>
              <w:spacing w:line="276" w:lineRule="auto"/>
              <w:jc w:val="center"/>
              <w:rPr>
                <w:rFonts w:eastAsia="Times New Roman" w:cs="Times New Roman"/>
                <w:b/>
                <w:bCs/>
                <w:sz w:val="20"/>
                <w:szCs w:val="20"/>
              </w:rPr>
            </w:pPr>
            <w:r w:rsidRPr="00401B79">
              <w:rPr>
                <w:rFonts w:eastAsia="Times New Roman" w:cs="Times New Roman"/>
                <w:b/>
                <w:bCs/>
                <w:sz w:val="20"/>
                <w:szCs w:val="20"/>
              </w:rPr>
              <w:t>S4 Binder</w:t>
            </w:r>
          </w:p>
        </w:tc>
      </w:tr>
      <w:tr w:rsidR="004E19CB" w:rsidRPr="00401B79" w14:paraId="5743971B" w14:textId="77777777" w:rsidTr="00650395">
        <w:trPr>
          <w:trHeight w:val="231"/>
          <w:jc w:val="center"/>
        </w:trPr>
        <w:tc>
          <w:tcPr>
            <w:tcW w:w="1364" w:type="dxa"/>
            <w:vMerge/>
            <w:tcBorders>
              <w:top w:val="single" w:sz="4" w:space="0" w:color="auto"/>
              <w:left w:val="single" w:sz="4" w:space="0" w:color="auto"/>
              <w:right w:val="single" w:sz="4" w:space="0" w:color="auto"/>
            </w:tcBorders>
            <w:shd w:val="clear" w:color="auto" w:fill="auto"/>
            <w:noWrap/>
            <w:vAlign w:val="center"/>
          </w:tcPr>
          <w:p w14:paraId="51D31443" w14:textId="77777777" w:rsidR="004E19CB" w:rsidRPr="00401B79" w:rsidRDefault="004E19CB" w:rsidP="00650395">
            <w:pPr>
              <w:spacing w:line="276" w:lineRule="auto"/>
              <w:jc w:val="center"/>
              <w:rPr>
                <w:rFonts w:eastAsia="Times New Roman" w:cs="Times New Roman"/>
                <w:b/>
                <w:bCs/>
                <w:color w:val="000000"/>
                <w:sz w:val="20"/>
                <w:szCs w:val="20"/>
              </w:rPr>
            </w:pPr>
          </w:p>
        </w:tc>
        <w:tc>
          <w:tcPr>
            <w:tcW w:w="3494" w:type="dxa"/>
            <w:gridSpan w:val="3"/>
            <w:tcBorders>
              <w:top w:val="single" w:sz="4" w:space="0" w:color="auto"/>
              <w:left w:val="nil"/>
              <w:bottom w:val="single" w:sz="4" w:space="0" w:color="auto"/>
              <w:right w:val="single" w:sz="4" w:space="0" w:color="auto"/>
            </w:tcBorders>
            <w:shd w:val="clear" w:color="auto" w:fill="auto"/>
            <w:vAlign w:val="center"/>
          </w:tcPr>
          <w:p w14:paraId="29BD31B2" w14:textId="77777777" w:rsidR="004E19CB" w:rsidRPr="00401B79" w:rsidRDefault="004E19CB" w:rsidP="00650395">
            <w:pPr>
              <w:spacing w:line="276" w:lineRule="auto"/>
              <w:jc w:val="center"/>
              <w:rPr>
                <w:rFonts w:eastAsia="Times New Roman" w:cs="Times New Roman"/>
                <w:b/>
                <w:bCs/>
                <w:sz w:val="20"/>
                <w:szCs w:val="20"/>
              </w:rPr>
            </w:pPr>
            <w:r w:rsidRPr="00401B79">
              <w:rPr>
                <w:rFonts w:eastAsia="Times New Roman" w:cs="Times New Roman"/>
                <w:b/>
                <w:bCs/>
                <w:sz w:val="20"/>
                <w:szCs w:val="20"/>
              </w:rPr>
              <w:t xml:space="preserve">SFE Components </w:t>
            </w:r>
            <w:r w:rsidRPr="00401B79">
              <w:rPr>
                <w:rFonts w:eastAsia="Times New Roman" w:cs="Times New Roman"/>
                <w:b/>
                <w:bCs/>
                <w:color w:val="000000"/>
                <w:sz w:val="20"/>
                <w:szCs w:val="20"/>
              </w:rPr>
              <w:t>(mJ/m</w:t>
            </w:r>
            <w:r w:rsidRPr="00401B79">
              <w:rPr>
                <w:rFonts w:eastAsia="Times New Roman" w:cs="Times New Roman"/>
                <w:b/>
                <w:bCs/>
                <w:color w:val="000000"/>
                <w:sz w:val="20"/>
                <w:szCs w:val="20"/>
                <w:vertAlign w:val="superscript"/>
              </w:rPr>
              <w:t>2</w:t>
            </w:r>
            <w:r w:rsidRPr="00401B79">
              <w:rPr>
                <w:rFonts w:eastAsia="Times New Roman" w:cs="Times New Roman"/>
                <w:b/>
                <w:bCs/>
                <w:color w:val="000000"/>
                <w:sz w:val="20"/>
                <w:szCs w:val="20"/>
              </w:rPr>
              <w:t>)</w:t>
            </w:r>
          </w:p>
        </w:tc>
        <w:tc>
          <w:tcPr>
            <w:tcW w:w="3503" w:type="dxa"/>
            <w:gridSpan w:val="3"/>
            <w:tcBorders>
              <w:top w:val="single" w:sz="4" w:space="0" w:color="auto"/>
              <w:left w:val="single" w:sz="4" w:space="0" w:color="auto"/>
              <w:bottom w:val="single" w:sz="4" w:space="0" w:color="auto"/>
              <w:right w:val="single" w:sz="4" w:space="0" w:color="auto"/>
            </w:tcBorders>
            <w:vAlign w:val="center"/>
          </w:tcPr>
          <w:p w14:paraId="5A284DF5" w14:textId="77777777" w:rsidR="004E19CB" w:rsidRPr="00401B79" w:rsidRDefault="004E19CB" w:rsidP="00650395">
            <w:pPr>
              <w:spacing w:line="276" w:lineRule="auto"/>
              <w:jc w:val="center"/>
              <w:rPr>
                <w:rFonts w:eastAsia="Times New Roman" w:cs="Times New Roman"/>
                <w:b/>
                <w:bCs/>
                <w:sz w:val="20"/>
                <w:szCs w:val="20"/>
              </w:rPr>
            </w:pPr>
            <w:r w:rsidRPr="00401B79">
              <w:rPr>
                <w:rFonts w:eastAsia="Times New Roman" w:cs="Times New Roman"/>
                <w:b/>
                <w:bCs/>
                <w:sz w:val="20"/>
                <w:szCs w:val="20"/>
              </w:rPr>
              <w:t xml:space="preserve">SFE Components </w:t>
            </w:r>
            <w:r w:rsidRPr="00401B79">
              <w:rPr>
                <w:rFonts w:eastAsia="Times New Roman" w:cs="Times New Roman"/>
                <w:b/>
                <w:bCs/>
                <w:color w:val="000000"/>
                <w:sz w:val="20"/>
                <w:szCs w:val="20"/>
              </w:rPr>
              <w:t>(mJ/m</w:t>
            </w:r>
            <w:r w:rsidRPr="00401B79">
              <w:rPr>
                <w:rFonts w:eastAsia="Times New Roman" w:cs="Times New Roman"/>
                <w:b/>
                <w:bCs/>
                <w:color w:val="000000"/>
                <w:sz w:val="20"/>
                <w:szCs w:val="20"/>
                <w:vertAlign w:val="superscript"/>
              </w:rPr>
              <w:t>2</w:t>
            </w:r>
            <w:r w:rsidRPr="00401B79">
              <w:rPr>
                <w:rFonts w:eastAsia="Times New Roman" w:cs="Times New Roman"/>
                <w:b/>
                <w:bCs/>
                <w:color w:val="000000"/>
                <w:sz w:val="20"/>
                <w:szCs w:val="20"/>
              </w:rPr>
              <w:t>)</w:t>
            </w:r>
          </w:p>
        </w:tc>
      </w:tr>
      <w:tr w:rsidR="004E19CB" w:rsidRPr="00401B79" w14:paraId="3825977C" w14:textId="77777777" w:rsidTr="00650395">
        <w:trPr>
          <w:trHeight w:val="233"/>
          <w:jc w:val="center"/>
        </w:trPr>
        <w:tc>
          <w:tcPr>
            <w:tcW w:w="1364" w:type="dxa"/>
            <w:vMerge/>
            <w:tcBorders>
              <w:left w:val="single" w:sz="4" w:space="0" w:color="auto"/>
              <w:bottom w:val="single" w:sz="4" w:space="0" w:color="auto"/>
              <w:right w:val="single" w:sz="4" w:space="0" w:color="auto"/>
            </w:tcBorders>
            <w:shd w:val="clear" w:color="auto" w:fill="auto"/>
            <w:vAlign w:val="center"/>
            <w:hideMark/>
          </w:tcPr>
          <w:p w14:paraId="5708BE40" w14:textId="77777777" w:rsidR="004E19CB" w:rsidRPr="00401B79" w:rsidRDefault="004E19CB" w:rsidP="00650395">
            <w:pPr>
              <w:spacing w:line="276" w:lineRule="auto"/>
              <w:jc w:val="center"/>
              <w:rPr>
                <w:rFonts w:eastAsia="Times New Roman" w:cs="Times New Roman"/>
                <w:b/>
                <w:bCs/>
                <w:color w:val="000000"/>
                <w:sz w:val="20"/>
                <w:szCs w:val="20"/>
              </w:rPr>
            </w:pPr>
          </w:p>
        </w:tc>
        <w:tc>
          <w:tcPr>
            <w:tcW w:w="1246" w:type="dxa"/>
            <w:tcBorders>
              <w:top w:val="nil"/>
              <w:left w:val="nil"/>
              <w:bottom w:val="single" w:sz="4" w:space="0" w:color="auto"/>
              <w:right w:val="single" w:sz="4" w:space="0" w:color="auto"/>
            </w:tcBorders>
            <w:shd w:val="clear" w:color="auto" w:fill="auto"/>
            <w:noWrap/>
            <w:vAlign w:val="center"/>
            <w:hideMark/>
          </w:tcPr>
          <w:p w14:paraId="0577761E" w14:textId="77777777" w:rsidR="004E19CB" w:rsidRPr="00401B79" w:rsidRDefault="007F7885" w:rsidP="00650395">
            <w:pPr>
              <w:spacing w:line="276" w:lineRule="auto"/>
              <w:jc w:val="center"/>
              <w:rPr>
                <w:rFonts w:eastAsia="Times New Roman" w:cs="Times New Roman"/>
                <w:b/>
                <w:bCs/>
                <w:color w:val="000000"/>
                <w:sz w:val="20"/>
                <w:szCs w:val="20"/>
              </w:rPr>
            </w:pPr>
            <m:oMathPara>
              <m:oMath>
                <m:sSubSup>
                  <m:sSubSupPr>
                    <m:ctrlPr>
                      <w:rPr>
                        <w:rFonts w:ascii="Cambria Math" w:hAnsi="Cambria Math" w:cs="Times New Roman"/>
                        <w:i/>
                        <w:sz w:val="20"/>
                        <w:szCs w:val="20"/>
                        <w:lang w:val="en-GB" w:eastAsia="en-GB"/>
                      </w:rPr>
                    </m:ctrlPr>
                  </m:sSubSupPr>
                  <m:e>
                    <m:r>
                      <m:rPr>
                        <m:sty m:val="p"/>
                      </m:rPr>
                      <w:rPr>
                        <w:rFonts w:ascii="Cambria Math" w:hAnsi="Cambria Math" w:cs="Times New Roman"/>
                        <w:sz w:val="20"/>
                        <w:szCs w:val="20"/>
                      </w:rPr>
                      <m:t>Γ</m:t>
                    </m:r>
                  </m:e>
                  <m:sub>
                    <m:r>
                      <w:rPr>
                        <w:rFonts w:ascii="Cambria Math" w:hAnsi="Cambria Math" w:cs="Times New Roman"/>
                        <w:sz w:val="20"/>
                        <w:szCs w:val="20"/>
                      </w:rPr>
                      <m:t>A</m:t>
                    </m:r>
                  </m:sub>
                  <m:sup>
                    <m:r>
                      <w:rPr>
                        <w:rFonts w:ascii="Cambria Math" w:hAnsi="Cambria Math" w:cs="Times New Roman"/>
                        <w:sz w:val="20"/>
                        <w:szCs w:val="20"/>
                      </w:rPr>
                      <m:t>p</m:t>
                    </m:r>
                  </m:sup>
                </m:sSubSup>
              </m:oMath>
            </m:oMathPara>
          </w:p>
        </w:tc>
        <w:tc>
          <w:tcPr>
            <w:tcW w:w="1121" w:type="dxa"/>
            <w:tcBorders>
              <w:top w:val="nil"/>
              <w:left w:val="nil"/>
              <w:bottom w:val="single" w:sz="4" w:space="0" w:color="auto"/>
              <w:right w:val="single" w:sz="4" w:space="0" w:color="auto"/>
            </w:tcBorders>
            <w:shd w:val="clear" w:color="auto" w:fill="auto"/>
            <w:noWrap/>
            <w:vAlign w:val="center"/>
            <w:hideMark/>
          </w:tcPr>
          <w:p w14:paraId="52FB20B5" w14:textId="77777777" w:rsidR="004E19CB" w:rsidRPr="00401B79" w:rsidRDefault="007F7885" w:rsidP="00650395">
            <w:pPr>
              <w:spacing w:line="276" w:lineRule="auto"/>
              <w:jc w:val="center"/>
              <w:rPr>
                <w:rFonts w:eastAsia="Times New Roman" w:cs="Times New Roman"/>
                <w:b/>
                <w:bCs/>
                <w:color w:val="000000"/>
                <w:sz w:val="20"/>
                <w:szCs w:val="20"/>
              </w:rPr>
            </w:pPr>
            <m:oMathPara>
              <m:oMath>
                <m:sSubSup>
                  <m:sSubSupPr>
                    <m:ctrlPr>
                      <w:rPr>
                        <w:rFonts w:ascii="Cambria Math" w:hAnsi="Cambria Math" w:cs="Times New Roman"/>
                        <w:i/>
                        <w:sz w:val="20"/>
                        <w:szCs w:val="20"/>
                        <w:lang w:val="en-GB" w:eastAsia="en-GB"/>
                      </w:rPr>
                    </m:ctrlPr>
                  </m:sSubSupPr>
                  <m:e>
                    <m:r>
                      <m:rPr>
                        <m:sty m:val="p"/>
                      </m:rPr>
                      <w:rPr>
                        <w:rFonts w:ascii="Cambria Math" w:hAnsi="Cambria Math" w:cs="Times New Roman"/>
                        <w:sz w:val="20"/>
                        <w:szCs w:val="20"/>
                      </w:rPr>
                      <m:t>Γ</m:t>
                    </m:r>
                  </m:e>
                  <m:sub>
                    <m:r>
                      <w:rPr>
                        <w:rFonts w:ascii="Cambria Math" w:hAnsi="Cambria Math" w:cs="Times New Roman"/>
                        <w:sz w:val="20"/>
                        <w:szCs w:val="20"/>
                      </w:rPr>
                      <m:t>A</m:t>
                    </m:r>
                  </m:sub>
                  <m:sup>
                    <m:r>
                      <w:rPr>
                        <w:rFonts w:ascii="Cambria Math" w:hAnsi="Cambria Math" w:cs="Times New Roman"/>
                        <w:sz w:val="20"/>
                        <w:szCs w:val="20"/>
                      </w:rPr>
                      <m:t>d</m:t>
                    </m:r>
                  </m:sup>
                </m:sSubSup>
              </m:oMath>
            </m:oMathPara>
          </w:p>
        </w:tc>
        <w:tc>
          <w:tcPr>
            <w:tcW w:w="1127" w:type="dxa"/>
            <w:tcBorders>
              <w:top w:val="nil"/>
              <w:left w:val="nil"/>
              <w:bottom w:val="single" w:sz="4" w:space="0" w:color="auto"/>
              <w:right w:val="single" w:sz="4" w:space="0" w:color="auto"/>
            </w:tcBorders>
            <w:shd w:val="clear" w:color="auto" w:fill="auto"/>
            <w:noWrap/>
            <w:vAlign w:val="center"/>
            <w:hideMark/>
          </w:tcPr>
          <w:p w14:paraId="0722A85C" w14:textId="77777777" w:rsidR="004E19CB" w:rsidRPr="00401B79" w:rsidRDefault="007F7885" w:rsidP="00650395">
            <w:pPr>
              <w:spacing w:line="276" w:lineRule="auto"/>
              <w:jc w:val="center"/>
              <w:rPr>
                <w:rFonts w:eastAsia="Times New Roman" w:cs="Times New Roman"/>
                <w:b/>
                <w:bCs/>
                <w:color w:val="000000"/>
                <w:sz w:val="20"/>
                <w:szCs w:val="20"/>
              </w:rPr>
            </w:pPr>
            <m:oMathPara>
              <m:oMath>
                <m:sSub>
                  <m:sSubPr>
                    <m:ctrlPr>
                      <w:rPr>
                        <w:rFonts w:ascii="Cambria Math" w:eastAsiaTheme="minorEastAsia" w:hAnsi="Cambria Math" w:cs="Times New Roman"/>
                        <w:i/>
                        <w:sz w:val="20"/>
                        <w:szCs w:val="20"/>
                      </w:rPr>
                    </m:ctrlPr>
                  </m:sSubPr>
                  <m:e>
                    <m:r>
                      <m:rPr>
                        <m:sty m:val="p"/>
                      </m:rPr>
                      <w:rPr>
                        <w:rFonts w:ascii="Cambria Math" w:eastAsiaTheme="minorEastAsia" w:hAnsi="Cambria Math" w:cs="Times New Roman"/>
                        <w:sz w:val="20"/>
                        <w:szCs w:val="20"/>
                      </w:rPr>
                      <m:t>Γ</m:t>
                    </m:r>
                  </m:e>
                  <m:sub>
                    <m:r>
                      <w:rPr>
                        <w:rFonts w:ascii="Cambria Math" w:eastAsiaTheme="minorEastAsia" w:hAnsi="Cambria Math" w:cs="Times New Roman"/>
                        <w:sz w:val="20"/>
                        <w:szCs w:val="20"/>
                      </w:rPr>
                      <m:t>A</m:t>
                    </m:r>
                  </m:sub>
                </m:sSub>
              </m:oMath>
            </m:oMathPara>
          </w:p>
        </w:tc>
        <w:tc>
          <w:tcPr>
            <w:tcW w:w="1249" w:type="dxa"/>
            <w:tcBorders>
              <w:top w:val="single" w:sz="4" w:space="0" w:color="auto"/>
              <w:left w:val="single" w:sz="4" w:space="0" w:color="auto"/>
              <w:bottom w:val="single" w:sz="4" w:space="0" w:color="auto"/>
              <w:right w:val="single" w:sz="4" w:space="0" w:color="auto"/>
            </w:tcBorders>
            <w:vAlign w:val="center"/>
          </w:tcPr>
          <w:p w14:paraId="57A1746A" w14:textId="77777777" w:rsidR="004E19CB" w:rsidRPr="00401B79" w:rsidRDefault="007F7885" w:rsidP="00650395">
            <w:pPr>
              <w:spacing w:line="276" w:lineRule="auto"/>
              <w:jc w:val="center"/>
              <w:rPr>
                <w:rFonts w:eastAsia="Times New Roman" w:cs="Times New Roman"/>
                <w:color w:val="000000"/>
                <w:sz w:val="20"/>
                <w:szCs w:val="20"/>
              </w:rPr>
            </w:pPr>
            <m:oMathPara>
              <m:oMath>
                <m:sSubSup>
                  <m:sSubSupPr>
                    <m:ctrlPr>
                      <w:rPr>
                        <w:rFonts w:ascii="Cambria Math" w:hAnsi="Cambria Math" w:cs="Times New Roman"/>
                        <w:i/>
                        <w:sz w:val="20"/>
                        <w:szCs w:val="20"/>
                        <w:lang w:val="en-GB" w:eastAsia="en-GB"/>
                      </w:rPr>
                    </m:ctrlPr>
                  </m:sSubSupPr>
                  <m:e>
                    <m:r>
                      <m:rPr>
                        <m:sty m:val="p"/>
                      </m:rPr>
                      <w:rPr>
                        <w:rFonts w:ascii="Cambria Math" w:hAnsi="Cambria Math" w:cs="Times New Roman"/>
                        <w:sz w:val="20"/>
                        <w:szCs w:val="20"/>
                      </w:rPr>
                      <m:t>Γ</m:t>
                    </m:r>
                  </m:e>
                  <m:sub>
                    <m:r>
                      <w:rPr>
                        <w:rFonts w:ascii="Cambria Math" w:hAnsi="Cambria Math" w:cs="Times New Roman"/>
                        <w:sz w:val="20"/>
                        <w:szCs w:val="20"/>
                      </w:rPr>
                      <m:t>A</m:t>
                    </m:r>
                  </m:sub>
                  <m:sup>
                    <m:r>
                      <w:rPr>
                        <w:rFonts w:ascii="Cambria Math" w:hAnsi="Cambria Math" w:cs="Times New Roman"/>
                        <w:sz w:val="20"/>
                        <w:szCs w:val="20"/>
                      </w:rPr>
                      <m:t>p</m:t>
                    </m:r>
                  </m:sup>
                </m:sSubSup>
              </m:oMath>
            </m:oMathPara>
          </w:p>
        </w:tc>
        <w:tc>
          <w:tcPr>
            <w:tcW w:w="1124" w:type="dxa"/>
            <w:tcBorders>
              <w:top w:val="single" w:sz="4" w:space="0" w:color="auto"/>
              <w:left w:val="single" w:sz="4" w:space="0" w:color="auto"/>
              <w:bottom w:val="single" w:sz="4" w:space="0" w:color="auto"/>
              <w:right w:val="single" w:sz="4" w:space="0" w:color="auto"/>
            </w:tcBorders>
            <w:vAlign w:val="center"/>
          </w:tcPr>
          <w:p w14:paraId="67FBD9AD" w14:textId="77777777" w:rsidR="004E19CB" w:rsidRPr="00401B79" w:rsidRDefault="007F7885" w:rsidP="00650395">
            <w:pPr>
              <w:spacing w:line="276" w:lineRule="auto"/>
              <w:jc w:val="center"/>
              <w:rPr>
                <w:rFonts w:eastAsia="Times New Roman" w:cs="Times New Roman"/>
                <w:color w:val="000000"/>
                <w:sz w:val="20"/>
                <w:szCs w:val="20"/>
              </w:rPr>
            </w:pPr>
            <m:oMathPara>
              <m:oMath>
                <m:sSubSup>
                  <m:sSubSupPr>
                    <m:ctrlPr>
                      <w:rPr>
                        <w:rFonts w:ascii="Cambria Math" w:hAnsi="Cambria Math" w:cs="Times New Roman"/>
                        <w:i/>
                        <w:sz w:val="20"/>
                        <w:szCs w:val="20"/>
                        <w:lang w:val="en-GB" w:eastAsia="en-GB"/>
                      </w:rPr>
                    </m:ctrlPr>
                  </m:sSubSupPr>
                  <m:e>
                    <m:r>
                      <m:rPr>
                        <m:sty m:val="p"/>
                      </m:rPr>
                      <w:rPr>
                        <w:rFonts w:ascii="Cambria Math" w:hAnsi="Cambria Math" w:cs="Times New Roman"/>
                        <w:sz w:val="20"/>
                        <w:szCs w:val="20"/>
                      </w:rPr>
                      <m:t>Γ</m:t>
                    </m:r>
                  </m:e>
                  <m:sub>
                    <m:r>
                      <w:rPr>
                        <w:rFonts w:ascii="Cambria Math" w:hAnsi="Cambria Math" w:cs="Times New Roman"/>
                        <w:sz w:val="20"/>
                        <w:szCs w:val="20"/>
                      </w:rPr>
                      <m:t>A</m:t>
                    </m:r>
                  </m:sub>
                  <m:sup>
                    <m:r>
                      <w:rPr>
                        <w:rFonts w:ascii="Cambria Math" w:hAnsi="Cambria Math" w:cs="Times New Roman"/>
                        <w:sz w:val="20"/>
                        <w:szCs w:val="20"/>
                      </w:rPr>
                      <m:t>d</m:t>
                    </m:r>
                  </m:sup>
                </m:sSubSup>
              </m:oMath>
            </m:oMathPara>
          </w:p>
        </w:tc>
        <w:tc>
          <w:tcPr>
            <w:tcW w:w="1130" w:type="dxa"/>
            <w:tcBorders>
              <w:top w:val="single" w:sz="4" w:space="0" w:color="auto"/>
              <w:left w:val="single" w:sz="4" w:space="0" w:color="auto"/>
              <w:bottom w:val="single" w:sz="4" w:space="0" w:color="auto"/>
              <w:right w:val="single" w:sz="4" w:space="0" w:color="auto"/>
            </w:tcBorders>
            <w:vAlign w:val="center"/>
          </w:tcPr>
          <w:p w14:paraId="43DAB384" w14:textId="77777777" w:rsidR="004E19CB" w:rsidRPr="00401B79" w:rsidRDefault="007F7885" w:rsidP="00650395">
            <w:pPr>
              <w:spacing w:line="276" w:lineRule="auto"/>
              <w:jc w:val="center"/>
              <w:rPr>
                <w:rFonts w:eastAsia="Times New Roman" w:cs="Times New Roman"/>
                <w:color w:val="000000"/>
                <w:sz w:val="20"/>
                <w:szCs w:val="20"/>
              </w:rPr>
            </w:pPr>
            <m:oMathPara>
              <m:oMath>
                <m:sSub>
                  <m:sSubPr>
                    <m:ctrlPr>
                      <w:rPr>
                        <w:rFonts w:ascii="Cambria Math" w:eastAsiaTheme="minorEastAsia" w:hAnsi="Cambria Math" w:cs="Times New Roman"/>
                        <w:i/>
                        <w:sz w:val="20"/>
                        <w:szCs w:val="20"/>
                      </w:rPr>
                    </m:ctrlPr>
                  </m:sSubPr>
                  <m:e>
                    <m:r>
                      <m:rPr>
                        <m:sty m:val="p"/>
                      </m:rPr>
                      <w:rPr>
                        <w:rFonts w:ascii="Cambria Math" w:eastAsiaTheme="minorEastAsia" w:hAnsi="Cambria Math" w:cs="Times New Roman"/>
                        <w:sz w:val="20"/>
                        <w:szCs w:val="20"/>
                      </w:rPr>
                      <m:t>Γ</m:t>
                    </m:r>
                  </m:e>
                  <m:sub>
                    <m:r>
                      <w:rPr>
                        <w:rFonts w:ascii="Cambria Math" w:eastAsiaTheme="minorEastAsia" w:hAnsi="Cambria Math" w:cs="Times New Roman"/>
                        <w:sz w:val="20"/>
                        <w:szCs w:val="20"/>
                      </w:rPr>
                      <m:t>A</m:t>
                    </m:r>
                  </m:sub>
                </m:sSub>
              </m:oMath>
            </m:oMathPara>
          </w:p>
        </w:tc>
      </w:tr>
      <w:tr w:rsidR="004E19CB" w:rsidRPr="00401B79" w14:paraId="4BEA9889" w14:textId="77777777" w:rsidTr="00650395">
        <w:trPr>
          <w:trHeight w:val="221"/>
          <w:jc w:val="center"/>
        </w:trPr>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1531434C"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WGFDE</w:t>
            </w:r>
          </w:p>
        </w:tc>
        <w:tc>
          <w:tcPr>
            <w:tcW w:w="1246" w:type="dxa"/>
            <w:tcBorders>
              <w:top w:val="nil"/>
              <w:left w:val="nil"/>
              <w:bottom w:val="single" w:sz="4" w:space="0" w:color="auto"/>
              <w:right w:val="single" w:sz="4" w:space="0" w:color="auto"/>
            </w:tcBorders>
            <w:shd w:val="clear" w:color="auto" w:fill="auto"/>
            <w:noWrap/>
            <w:vAlign w:val="center"/>
          </w:tcPr>
          <w:p w14:paraId="1DEF6685"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1.03</w:t>
            </w:r>
          </w:p>
        </w:tc>
        <w:tc>
          <w:tcPr>
            <w:tcW w:w="1121" w:type="dxa"/>
            <w:tcBorders>
              <w:top w:val="nil"/>
              <w:left w:val="nil"/>
              <w:bottom w:val="single" w:sz="4" w:space="0" w:color="auto"/>
              <w:right w:val="single" w:sz="4" w:space="0" w:color="auto"/>
            </w:tcBorders>
            <w:shd w:val="clear" w:color="auto" w:fill="auto"/>
            <w:noWrap/>
            <w:vAlign w:val="center"/>
            <w:hideMark/>
          </w:tcPr>
          <w:p w14:paraId="043CC0BB"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15.00</w:t>
            </w:r>
          </w:p>
        </w:tc>
        <w:tc>
          <w:tcPr>
            <w:tcW w:w="1127" w:type="dxa"/>
            <w:tcBorders>
              <w:top w:val="nil"/>
              <w:left w:val="nil"/>
              <w:bottom w:val="single" w:sz="4" w:space="0" w:color="auto"/>
              <w:right w:val="single" w:sz="4" w:space="0" w:color="auto"/>
            </w:tcBorders>
            <w:shd w:val="clear" w:color="auto" w:fill="auto"/>
            <w:noWrap/>
            <w:vAlign w:val="center"/>
            <w:hideMark/>
          </w:tcPr>
          <w:p w14:paraId="29BA7331"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16.03</w:t>
            </w:r>
          </w:p>
        </w:tc>
        <w:tc>
          <w:tcPr>
            <w:tcW w:w="1249" w:type="dxa"/>
            <w:tcBorders>
              <w:top w:val="single" w:sz="4" w:space="0" w:color="auto"/>
              <w:left w:val="single" w:sz="4" w:space="0" w:color="auto"/>
              <w:bottom w:val="single" w:sz="4" w:space="0" w:color="auto"/>
              <w:right w:val="single" w:sz="4" w:space="0" w:color="auto"/>
            </w:tcBorders>
            <w:vAlign w:val="center"/>
          </w:tcPr>
          <w:p w14:paraId="70E1ED8C"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0.76</w:t>
            </w:r>
          </w:p>
        </w:tc>
        <w:tc>
          <w:tcPr>
            <w:tcW w:w="1124" w:type="dxa"/>
            <w:tcBorders>
              <w:top w:val="single" w:sz="4" w:space="0" w:color="auto"/>
              <w:left w:val="single" w:sz="4" w:space="0" w:color="auto"/>
              <w:bottom w:val="single" w:sz="4" w:space="0" w:color="auto"/>
              <w:right w:val="single" w:sz="4" w:space="0" w:color="auto"/>
            </w:tcBorders>
            <w:vAlign w:val="center"/>
          </w:tcPr>
          <w:p w14:paraId="26631064"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14.02</w:t>
            </w:r>
          </w:p>
        </w:tc>
        <w:tc>
          <w:tcPr>
            <w:tcW w:w="1130" w:type="dxa"/>
            <w:tcBorders>
              <w:top w:val="single" w:sz="4" w:space="0" w:color="auto"/>
              <w:left w:val="single" w:sz="4" w:space="0" w:color="auto"/>
              <w:bottom w:val="single" w:sz="4" w:space="0" w:color="auto"/>
              <w:right w:val="single" w:sz="4" w:space="0" w:color="auto"/>
            </w:tcBorders>
            <w:vAlign w:val="center"/>
          </w:tcPr>
          <w:p w14:paraId="4178A1F9"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14.77</w:t>
            </w:r>
          </w:p>
        </w:tc>
      </w:tr>
      <w:tr w:rsidR="004E19CB" w:rsidRPr="00401B79" w14:paraId="3A978B55" w14:textId="77777777" w:rsidTr="00650395">
        <w:trPr>
          <w:trHeight w:val="221"/>
          <w:jc w:val="center"/>
        </w:trPr>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01EA99C3"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FGED</w:t>
            </w:r>
          </w:p>
        </w:tc>
        <w:tc>
          <w:tcPr>
            <w:tcW w:w="1246" w:type="dxa"/>
            <w:tcBorders>
              <w:top w:val="nil"/>
              <w:left w:val="nil"/>
              <w:bottom w:val="single" w:sz="4" w:space="0" w:color="auto"/>
              <w:right w:val="single" w:sz="4" w:space="0" w:color="auto"/>
            </w:tcBorders>
            <w:shd w:val="clear" w:color="auto" w:fill="auto"/>
            <w:noWrap/>
            <w:vAlign w:val="center"/>
          </w:tcPr>
          <w:p w14:paraId="20198716"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16.91</w:t>
            </w:r>
          </w:p>
        </w:tc>
        <w:tc>
          <w:tcPr>
            <w:tcW w:w="1121" w:type="dxa"/>
            <w:tcBorders>
              <w:top w:val="nil"/>
              <w:left w:val="nil"/>
              <w:bottom w:val="single" w:sz="4" w:space="0" w:color="auto"/>
              <w:right w:val="single" w:sz="4" w:space="0" w:color="auto"/>
            </w:tcBorders>
            <w:shd w:val="clear" w:color="auto" w:fill="auto"/>
            <w:noWrap/>
            <w:vAlign w:val="center"/>
            <w:hideMark/>
          </w:tcPr>
          <w:p w14:paraId="0E602825"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15.00</w:t>
            </w:r>
          </w:p>
        </w:tc>
        <w:tc>
          <w:tcPr>
            <w:tcW w:w="1127" w:type="dxa"/>
            <w:tcBorders>
              <w:top w:val="nil"/>
              <w:left w:val="nil"/>
              <w:bottom w:val="single" w:sz="4" w:space="0" w:color="auto"/>
              <w:right w:val="single" w:sz="4" w:space="0" w:color="auto"/>
            </w:tcBorders>
            <w:shd w:val="clear" w:color="auto" w:fill="auto"/>
            <w:noWrap/>
            <w:vAlign w:val="center"/>
            <w:hideMark/>
          </w:tcPr>
          <w:p w14:paraId="19F0D30F"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31.91</w:t>
            </w:r>
          </w:p>
        </w:tc>
        <w:tc>
          <w:tcPr>
            <w:tcW w:w="1249" w:type="dxa"/>
            <w:tcBorders>
              <w:top w:val="single" w:sz="4" w:space="0" w:color="auto"/>
              <w:left w:val="single" w:sz="4" w:space="0" w:color="auto"/>
              <w:bottom w:val="single" w:sz="4" w:space="0" w:color="auto"/>
              <w:right w:val="single" w:sz="4" w:space="0" w:color="auto"/>
            </w:tcBorders>
            <w:vAlign w:val="center"/>
          </w:tcPr>
          <w:p w14:paraId="46DDA218"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1.46</w:t>
            </w:r>
          </w:p>
        </w:tc>
        <w:tc>
          <w:tcPr>
            <w:tcW w:w="1124" w:type="dxa"/>
            <w:tcBorders>
              <w:top w:val="single" w:sz="4" w:space="0" w:color="auto"/>
              <w:left w:val="single" w:sz="4" w:space="0" w:color="auto"/>
              <w:bottom w:val="single" w:sz="4" w:space="0" w:color="auto"/>
              <w:right w:val="single" w:sz="4" w:space="0" w:color="auto"/>
            </w:tcBorders>
            <w:vAlign w:val="center"/>
          </w:tcPr>
          <w:p w14:paraId="3FA03CAC"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14.08</w:t>
            </w:r>
          </w:p>
        </w:tc>
        <w:tc>
          <w:tcPr>
            <w:tcW w:w="1130" w:type="dxa"/>
            <w:tcBorders>
              <w:top w:val="single" w:sz="4" w:space="0" w:color="auto"/>
              <w:left w:val="single" w:sz="4" w:space="0" w:color="auto"/>
              <w:bottom w:val="single" w:sz="4" w:space="0" w:color="auto"/>
              <w:right w:val="single" w:sz="4" w:space="0" w:color="auto"/>
            </w:tcBorders>
            <w:vAlign w:val="center"/>
          </w:tcPr>
          <w:p w14:paraId="0144770B"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15.54</w:t>
            </w:r>
          </w:p>
        </w:tc>
      </w:tr>
      <w:tr w:rsidR="004E19CB" w:rsidRPr="00401B79" w14:paraId="64D790D1" w14:textId="77777777" w:rsidTr="00650395">
        <w:trPr>
          <w:trHeight w:val="221"/>
          <w:jc w:val="center"/>
        </w:trPr>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62C90768"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WFGE</w:t>
            </w:r>
          </w:p>
        </w:tc>
        <w:tc>
          <w:tcPr>
            <w:tcW w:w="1246" w:type="dxa"/>
            <w:tcBorders>
              <w:top w:val="nil"/>
              <w:left w:val="nil"/>
              <w:bottom w:val="single" w:sz="4" w:space="0" w:color="auto"/>
              <w:right w:val="single" w:sz="4" w:space="0" w:color="auto"/>
            </w:tcBorders>
            <w:shd w:val="clear" w:color="auto" w:fill="auto"/>
            <w:noWrap/>
            <w:vAlign w:val="center"/>
          </w:tcPr>
          <w:p w14:paraId="552E09AE"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2.97</w:t>
            </w:r>
          </w:p>
        </w:tc>
        <w:tc>
          <w:tcPr>
            <w:tcW w:w="1121" w:type="dxa"/>
            <w:tcBorders>
              <w:top w:val="nil"/>
              <w:left w:val="nil"/>
              <w:bottom w:val="single" w:sz="4" w:space="0" w:color="auto"/>
              <w:right w:val="single" w:sz="4" w:space="0" w:color="auto"/>
            </w:tcBorders>
            <w:shd w:val="clear" w:color="auto" w:fill="auto"/>
            <w:noWrap/>
            <w:vAlign w:val="center"/>
            <w:hideMark/>
          </w:tcPr>
          <w:p w14:paraId="62363D70"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6.59</w:t>
            </w:r>
          </w:p>
        </w:tc>
        <w:tc>
          <w:tcPr>
            <w:tcW w:w="1127" w:type="dxa"/>
            <w:tcBorders>
              <w:top w:val="nil"/>
              <w:left w:val="nil"/>
              <w:bottom w:val="single" w:sz="4" w:space="0" w:color="auto"/>
              <w:right w:val="single" w:sz="4" w:space="0" w:color="auto"/>
            </w:tcBorders>
            <w:shd w:val="clear" w:color="auto" w:fill="auto"/>
            <w:noWrap/>
            <w:vAlign w:val="center"/>
            <w:hideMark/>
          </w:tcPr>
          <w:p w14:paraId="55DFDABC"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9.56</w:t>
            </w:r>
          </w:p>
        </w:tc>
        <w:tc>
          <w:tcPr>
            <w:tcW w:w="1249" w:type="dxa"/>
            <w:tcBorders>
              <w:top w:val="single" w:sz="4" w:space="0" w:color="auto"/>
              <w:left w:val="single" w:sz="4" w:space="0" w:color="auto"/>
              <w:bottom w:val="single" w:sz="4" w:space="0" w:color="auto"/>
              <w:right w:val="single" w:sz="4" w:space="0" w:color="auto"/>
            </w:tcBorders>
            <w:vAlign w:val="center"/>
          </w:tcPr>
          <w:p w14:paraId="07D75177"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3.05</w:t>
            </w:r>
          </w:p>
        </w:tc>
        <w:tc>
          <w:tcPr>
            <w:tcW w:w="1124" w:type="dxa"/>
            <w:tcBorders>
              <w:top w:val="single" w:sz="4" w:space="0" w:color="auto"/>
              <w:left w:val="single" w:sz="4" w:space="0" w:color="auto"/>
              <w:bottom w:val="single" w:sz="4" w:space="0" w:color="auto"/>
              <w:right w:val="single" w:sz="4" w:space="0" w:color="auto"/>
            </w:tcBorders>
            <w:vAlign w:val="center"/>
          </w:tcPr>
          <w:p w14:paraId="6A5CFCAC"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5.06</w:t>
            </w:r>
          </w:p>
        </w:tc>
        <w:tc>
          <w:tcPr>
            <w:tcW w:w="1130" w:type="dxa"/>
            <w:tcBorders>
              <w:top w:val="single" w:sz="4" w:space="0" w:color="auto"/>
              <w:left w:val="single" w:sz="4" w:space="0" w:color="auto"/>
              <w:bottom w:val="single" w:sz="4" w:space="0" w:color="auto"/>
              <w:right w:val="single" w:sz="4" w:space="0" w:color="auto"/>
            </w:tcBorders>
            <w:vAlign w:val="center"/>
          </w:tcPr>
          <w:p w14:paraId="0C564667"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8.10</w:t>
            </w:r>
          </w:p>
        </w:tc>
      </w:tr>
      <w:tr w:rsidR="004E19CB" w:rsidRPr="00401B79" w14:paraId="3E1E36B9" w14:textId="77777777" w:rsidTr="00650395">
        <w:trPr>
          <w:trHeight w:val="221"/>
          <w:jc w:val="center"/>
        </w:trPr>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3CDB92FE"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WFGD</w:t>
            </w:r>
          </w:p>
        </w:tc>
        <w:tc>
          <w:tcPr>
            <w:tcW w:w="1246" w:type="dxa"/>
            <w:tcBorders>
              <w:top w:val="nil"/>
              <w:left w:val="nil"/>
              <w:bottom w:val="single" w:sz="4" w:space="0" w:color="auto"/>
              <w:right w:val="single" w:sz="4" w:space="0" w:color="auto"/>
            </w:tcBorders>
            <w:shd w:val="clear" w:color="auto" w:fill="auto"/>
            <w:noWrap/>
            <w:vAlign w:val="center"/>
          </w:tcPr>
          <w:p w14:paraId="4EA2F7C9"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1.03</w:t>
            </w:r>
          </w:p>
        </w:tc>
        <w:tc>
          <w:tcPr>
            <w:tcW w:w="1121" w:type="dxa"/>
            <w:tcBorders>
              <w:top w:val="nil"/>
              <w:left w:val="nil"/>
              <w:bottom w:val="single" w:sz="4" w:space="0" w:color="auto"/>
              <w:right w:val="single" w:sz="4" w:space="0" w:color="auto"/>
            </w:tcBorders>
            <w:shd w:val="clear" w:color="auto" w:fill="auto"/>
            <w:noWrap/>
            <w:vAlign w:val="center"/>
            <w:hideMark/>
          </w:tcPr>
          <w:p w14:paraId="5D08A7DE"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15.11</w:t>
            </w:r>
          </w:p>
        </w:tc>
        <w:tc>
          <w:tcPr>
            <w:tcW w:w="1127" w:type="dxa"/>
            <w:tcBorders>
              <w:top w:val="nil"/>
              <w:left w:val="nil"/>
              <w:bottom w:val="single" w:sz="4" w:space="0" w:color="auto"/>
              <w:right w:val="single" w:sz="4" w:space="0" w:color="auto"/>
            </w:tcBorders>
            <w:shd w:val="clear" w:color="auto" w:fill="auto"/>
            <w:noWrap/>
            <w:vAlign w:val="center"/>
            <w:hideMark/>
          </w:tcPr>
          <w:p w14:paraId="301CE54A"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16.15</w:t>
            </w:r>
          </w:p>
        </w:tc>
        <w:tc>
          <w:tcPr>
            <w:tcW w:w="1249" w:type="dxa"/>
            <w:tcBorders>
              <w:top w:val="single" w:sz="4" w:space="0" w:color="auto"/>
              <w:left w:val="single" w:sz="4" w:space="0" w:color="auto"/>
              <w:bottom w:val="single" w:sz="4" w:space="0" w:color="auto"/>
              <w:right w:val="single" w:sz="4" w:space="0" w:color="auto"/>
            </w:tcBorders>
            <w:vAlign w:val="center"/>
          </w:tcPr>
          <w:p w14:paraId="5F95021A"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0.61</w:t>
            </w:r>
          </w:p>
        </w:tc>
        <w:tc>
          <w:tcPr>
            <w:tcW w:w="1124" w:type="dxa"/>
            <w:tcBorders>
              <w:top w:val="single" w:sz="4" w:space="0" w:color="auto"/>
              <w:left w:val="single" w:sz="4" w:space="0" w:color="auto"/>
              <w:bottom w:val="single" w:sz="4" w:space="0" w:color="auto"/>
              <w:right w:val="single" w:sz="4" w:space="0" w:color="auto"/>
            </w:tcBorders>
            <w:vAlign w:val="center"/>
          </w:tcPr>
          <w:p w14:paraId="727E7E74"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14.12</w:t>
            </w:r>
          </w:p>
        </w:tc>
        <w:tc>
          <w:tcPr>
            <w:tcW w:w="1130" w:type="dxa"/>
            <w:tcBorders>
              <w:top w:val="single" w:sz="4" w:space="0" w:color="auto"/>
              <w:left w:val="single" w:sz="4" w:space="0" w:color="auto"/>
              <w:bottom w:val="single" w:sz="4" w:space="0" w:color="auto"/>
              <w:right w:val="single" w:sz="4" w:space="0" w:color="auto"/>
            </w:tcBorders>
            <w:vAlign w:val="center"/>
          </w:tcPr>
          <w:p w14:paraId="79C60E44"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14.73</w:t>
            </w:r>
          </w:p>
        </w:tc>
      </w:tr>
      <w:tr w:rsidR="004E19CB" w:rsidRPr="00401B79" w14:paraId="09B15D39" w14:textId="77777777" w:rsidTr="00650395">
        <w:trPr>
          <w:trHeight w:val="221"/>
          <w:jc w:val="center"/>
        </w:trPr>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28261FF7"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WGED</w:t>
            </w:r>
          </w:p>
        </w:tc>
        <w:tc>
          <w:tcPr>
            <w:tcW w:w="1246" w:type="dxa"/>
            <w:tcBorders>
              <w:top w:val="nil"/>
              <w:left w:val="nil"/>
              <w:bottom w:val="single" w:sz="4" w:space="0" w:color="auto"/>
              <w:right w:val="single" w:sz="4" w:space="0" w:color="auto"/>
            </w:tcBorders>
            <w:shd w:val="clear" w:color="auto" w:fill="auto"/>
            <w:noWrap/>
            <w:vAlign w:val="center"/>
          </w:tcPr>
          <w:p w14:paraId="59A50884"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0.94</w:t>
            </w:r>
          </w:p>
        </w:tc>
        <w:tc>
          <w:tcPr>
            <w:tcW w:w="1121" w:type="dxa"/>
            <w:tcBorders>
              <w:top w:val="nil"/>
              <w:left w:val="nil"/>
              <w:bottom w:val="single" w:sz="4" w:space="0" w:color="auto"/>
              <w:right w:val="single" w:sz="4" w:space="0" w:color="auto"/>
            </w:tcBorders>
            <w:shd w:val="clear" w:color="auto" w:fill="auto"/>
            <w:noWrap/>
            <w:vAlign w:val="center"/>
            <w:hideMark/>
          </w:tcPr>
          <w:p w14:paraId="2B449C3A"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15.29</w:t>
            </w:r>
          </w:p>
        </w:tc>
        <w:tc>
          <w:tcPr>
            <w:tcW w:w="1127" w:type="dxa"/>
            <w:tcBorders>
              <w:top w:val="nil"/>
              <w:left w:val="nil"/>
              <w:bottom w:val="single" w:sz="4" w:space="0" w:color="auto"/>
              <w:right w:val="single" w:sz="4" w:space="0" w:color="auto"/>
            </w:tcBorders>
            <w:shd w:val="clear" w:color="auto" w:fill="auto"/>
            <w:noWrap/>
            <w:vAlign w:val="center"/>
            <w:hideMark/>
          </w:tcPr>
          <w:p w14:paraId="022A229C"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16.23</w:t>
            </w:r>
          </w:p>
        </w:tc>
        <w:tc>
          <w:tcPr>
            <w:tcW w:w="1249" w:type="dxa"/>
            <w:tcBorders>
              <w:top w:val="single" w:sz="4" w:space="0" w:color="auto"/>
              <w:left w:val="single" w:sz="4" w:space="0" w:color="auto"/>
              <w:bottom w:val="single" w:sz="4" w:space="0" w:color="auto"/>
              <w:right w:val="single" w:sz="4" w:space="0" w:color="auto"/>
            </w:tcBorders>
            <w:vAlign w:val="center"/>
          </w:tcPr>
          <w:p w14:paraId="257E5D5E"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0.78</w:t>
            </w:r>
          </w:p>
        </w:tc>
        <w:tc>
          <w:tcPr>
            <w:tcW w:w="1124" w:type="dxa"/>
            <w:tcBorders>
              <w:top w:val="single" w:sz="4" w:space="0" w:color="auto"/>
              <w:left w:val="single" w:sz="4" w:space="0" w:color="auto"/>
              <w:bottom w:val="single" w:sz="4" w:space="0" w:color="auto"/>
              <w:right w:val="single" w:sz="4" w:space="0" w:color="auto"/>
            </w:tcBorders>
            <w:vAlign w:val="center"/>
          </w:tcPr>
          <w:p w14:paraId="7BD09672"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14.37</w:t>
            </w:r>
          </w:p>
        </w:tc>
        <w:tc>
          <w:tcPr>
            <w:tcW w:w="1130" w:type="dxa"/>
            <w:tcBorders>
              <w:top w:val="single" w:sz="4" w:space="0" w:color="auto"/>
              <w:left w:val="single" w:sz="4" w:space="0" w:color="auto"/>
              <w:bottom w:val="single" w:sz="4" w:space="0" w:color="auto"/>
              <w:right w:val="single" w:sz="4" w:space="0" w:color="auto"/>
            </w:tcBorders>
            <w:vAlign w:val="center"/>
          </w:tcPr>
          <w:p w14:paraId="0C288635"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15.15</w:t>
            </w:r>
          </w:p>
        </w:tc>
      </w:tr>
      <w:tr w:rsidR="004E19CB" w:rsidRPr="00401B79" w14:paraId="279482A3" w14:textId="77777777" w:rsidTr="00650395">
        <w:trPr>
          <w:trHeight w:val="159"/>
          <w:jc w:val="center"/>
        </w:trPr>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74520F7F"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WFED</w:t>
            </w:r>
          </w:p>
        </w:tc>
        <w:tc>
          <w:tcPr>
            <w:tcW w:w="1246" w:type="dxa"/>
            <w:tcBorders>
              <w:top w:val="nil"/>
              <w:left w:val="nil"/>
              <w:bottom w:val="single" w:sz="4" w:space="0" w:color="auto"/>
              <w:right w:val="single" w:sz="4" w:space="0" w:color="auto"/>
            </w:tcBorders>
            <w:shd w:val="clear" w:color="auto" w:fill="auto"/>
            <w:noWrap/>
            <w:vAlign w:val="center"/>
          </w:tcPr>
          <w:p w14:paraId="0B297965"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1.04</w:t>
            </w:r>
          </w:p>
        </w:tc>
        <w:tc>
          <w:tcPr>
            <w:tcW w:w="1121" w:type="dxa"/>
            <w:tcBorders>
              <w:top w:val="nil"/>
              <w:left w:val="nil"/>
              <w:bottom w:val="single" w:sz="4" w:space="0" w:color="auto"/>
              <w:right w:val="single" w:sz="4" w:space="0" w:color="auto"/>
            </w:tcBorders>
            <w:shd w:val="clear" w:color="auto" w:fill="auto"/>
            <w:noWrap/>
            <w:vAlign w:val="center"/>
            <w:hideMark/>
          </w:tcPr>
          <w:p w14:paraId="5122CDB7"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14.96</w:t>
            </w:r>
          </w:p>
        </w:tc>
        <w:tc>
          <w:tcPr>
            <w:tcW w:w="1127" w:type="dxa"/>
            <w:tcBorders>
              <w:top w:val="nil"/>
              <w:left w:val="nil"/>
              <w:bottom w:val="single" w:sz="4" w:space="0" w:color="auto"/>
              <w:right w:val="single" w:sz="4" w:space="0" w:color="auto"/>
            </w:tcBorders>
            <w:shd w:val="clear" w:color="auto" w:fill="auto"/>
            <w:noWrap/>
            <w:vAlign w:val="center"/>
            <w:hideMark/>
          </w:tcPr>
          <w:p w14:paraId="3F3ABDE5"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16.00</w:t>
            </w:r>
          </w:p>
        </w:tc>
        <w:tc>
          <w:tcPr>
            <w:tcW w:w="1249" w:type="dxa"/>
            <w:tcBorders>
              <w:top w:val="single" w:sz="4" w:space="0" w:color="auto"/>
              <w:left w:val="single" w:sz="4" w:space="0" w:color="auto"/>
              <w:bottom w:val="single" w:sz="4" w:space="0" w:color="auto"/>
              <w:right w:val="single" w:sz="4" w:space="0" w:color="auto"/>
            </w:tcBorders>
            <w:vAlign w:val="center"/>
          </w:tcPr>
          <w:p w14:paraId="4B93E0EB"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0.80</w:t>
            </w:r>
          </w:p>
        </w:tc>
        <w:tc>
          <w:tcPr>
            <w:tcW w:w="1124" w:type="dxa"/>
            <w:tcBorders>
              <w:top w:val="single" w:sz="4" w:space="0" w:color="auto"/>
              <w:left w:val="single" w:sz="4" w:space="0" w:color="auto"/>
              <w:bottom w:val="single" w:sz="4" w:space="0" w:color="auto"/>
              <w:right w:val="single" w:sz="4" w:space="0" w:color="auto"/>
            </w:tcBorders>
            <w:vAlign w:val="center"/>
          </w:tcPr>
          <w:p w14:paraId="03287257"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13.95</w:t>
            </w:r>
          </w:p>
        </w:tc>
        <w:tc>
          <w:tcPr>
            <w:tcW w:w="1130" w:type="dxa"/>
            <w:tcBorders>
              <w:top w:val="single" w:sz="4" w:space="0" w:color="auto"/>
              <w:left w:val="single" w:sz="4" w:space="0" w:color="auto"/>
              <w:bottom w:val="single" w:sz="4" w:space="0" w:color="auto"/>
              <w:right w:val="single" w:sz="4" w:space="0" w:color="auto"/>
            </w:tcBorders>
            <w:vAlign w:val="center"/>
          </w:tcPr>
          <w:p w14:paraId="41B71459"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14.76</w:t>
            </w:r>
          </w:p>
        </w:tc>
      </w:tr>
      <w:tr w:rsidR="004E19CB" w:rsidRPr="00401B79" w14:paraId="2D8E9279" w14:textId="77777777" w:rsidTr="00650395">
        <w:trPr>
          <w:trHeight w:val="221"/>
          <w:jc w:val="center"/>
        </w:trPr>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07646BB4"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WED</w:t>
            </w:r>
          </w:p>
        </w:tc>
        <w:tc>
          <w:tcPr>
            <w:tcW w:w="1246" w:type="dxa"/>
            <w:tcBorders>
              <w:top w:val="nil"/>
              <w:left w:val="nil"/>
              <w:bottom w:val="single" w:sz="4" w:space="0" w:color="auto"/>
              <w:right w:val="single" w:sz="4" w:space="0" w:color="auto"/>
            </w:tcBorders>
            <w:shd w:val="clear" w:color="auto" w:fill="auto"/>
            <w:noWrap/>
            <w:vAlign w:val="center"/>
          </w:tcPr>
          <w:p w14:paraId="32848C9E"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0.82</w:t>
            </w:r>
          </w:p>
        </w:tc>
        <w:tc>
          <w:tcPr>
            <w:tcW w:w="1121" w:type="dxa"/>
            <w:tcBorders>
              <w:top w:val="nil"/>
              <w:left w:val="nil"/>
              <w:bottom w:val="single" w:sz="4" w:space="0" w:color="auto"/>
              <w:right w:val="single" w:sz="4" w:space="0" w:color="auto"/>
            </w:tcBorders>
            <w:shd w:val="clear" w:color="auto" w:fill="auto"/>
            <w:noWrap/>
            <w:vAlign w:val="center"/>
            <w:hideMark/>
          </w:tcPr>
          <w:p w14:paraId="22135407"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15.27</w:t>
            </w:r>
          </w:p>
        </w:tc>
        <w:tc>
          <w:tcPr>
            <w:tcW w:w="1127" w:type="dxa"/>
            <w:tcBorders>
              <w:top w:val="nil"/>
              <w:left w:val="nil"/>
              <w:bottom w:val="single" w:sz="4" w:space="0" w:color="auto"/>
              <w:right w:val="single" w:sz="4" w:space="0" w:color="auto"/>
            </w:tcBorders>
            <w:shd w:val="clear" w:color="auto" w:fill="auto"/>
            <w:noWrap/>
            <w:vAlign w:val="center"/>
            <w:hideMark/>
          </w:tcPr>
          <w:p w14:paraId="5A8B6715"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16.08</w:t>
            </w:r>
          </w:p>
        </w:tc>
        <w:tc>
          <w:tcPr>
            <w:tcW w:w="1249" w:type="dxa"/>
            <w:tcBorders>
              <w:top w:val="single" w:sz="4" w:space="0" w:color="auto"/>
              <w:left w:val="single" w:sz="4" w:space="0" w:color="auto"/>
              <w:bottom w:val="single" w:sz="4" w:space="0" w:color="auto"/>
              <w:right w:val="single" w:sz="4" w:space="0" w:color="auto"/>
            </w:tcBorders>
            <w:vAlign w:val="center"/>
          </w:tcPr>
          <w:p w14:paraId="30FE88F7"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0.89</w:t>
            </w:r>
          </w:p>
        </w:tc>
        <w:tc>
          <w:tcPr>
            <w:tcW w:w="1124" w:type="dxa"/>
            <w:tcBorders>
              <w:top w:val="single" w:sz="4" w:space="0" w:color="auto"/>
              <w:left w:val="single" w:sz="4" w:space="0" w:color="auto"/>
              <w:bottom w:val="single" w:sz="4" w:space="0" w:color="auto"/>
              <w:right w:val="single" w:sz="4" w:space="0" w:color="auto"/>
            </w:tcBorders>
            <w:vAlign w:val="center"/>
          </w:tcPr>
          <w:p w14:paraId="2FD93AA2"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14.30</w:t>
            </w:r>
          </w:p>
        </w:tc>
        <w:tc>
          <w:tcPr>
            <w:tcW w:w="1130" w:type="dxa"/>
            <w:tcBorders>
              <w:top w:val="single" w:sz="4" w:space="0" w:color="auto"/>
              <w:left w:val="single" w:sz="4" w:space="0" w:color="auto"/>
              <w:bottom w:val="single" w:sz="4" w:space="0" w:color="auto"/>
              <w:right w:val="single" w:sz="4" w:space="0" w:color="auto"/>
            </w:tcBorders>
            <w:vAlign w:val="center"/>
          </w:tcPr>
          <w:p w14:paraId="3BAB1698"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15.19</w:t>
            </w:r>
          </w:p>
        </w:tc>
      </w:tr>
      <w:tr w:rsidR="004E19CB" w:rsidRPr="00401B79" w14:paraId="0B31A6D4" w14:textId="77777777" w:rsidTr="00650395">
        <w:trPr>
          <w:trHeight w:val="221"/>
          <w:jc w:val="center"/>
        </w:trPr>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5195E9D9"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WGD</w:t>
            </w:r>
          </w:p>
        </w:tc>
        <w:tc>
          <w:tcPr>
            <w:tcW w:w="1246" w:type="dxa"/>
            <w:tcBorders>
              <w:top w:val="nil"/>
              <w:left w:val="nil"/>
              <w:bottom w:val="single" w:sz="4" w:space="0" w:color="auto"/>
              <w:right w:val="single" w:sz="4" w:space="0" w:color="auto"/>
            </w:tcBorders>
            <w:shd w:val="clear" w:color="auto" w:fill="auto"/>
            <w:noWrap/>
            <w:vAlign w:val="center"/>
          </w:tcPr>
          <w:p w14:paraId="7F390504"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1.03</w:t>
            </w:r>
          </w:p>
        </w:tc>
        <w:tc>
          <w:tcPr>
            <w:tcW w:w="1121" w:type="dxa"/>
            <w:tcBorders>
              <w:top w:val="nil"/>
              <w:left w:val="nil"/>
              <w:bottom w:val="single" w:sz="4" w:space="0" w:color="auto"/>
              <w:right w:val="single" w:sz="4" w:space="0" w:color="auto"/>
            </w:tcBorders>
            <w:shd w:val="clear" w:color="auto" w:fill="auto"/>
            <w:noWrap/>
            <w:vAlign w:val="center"/>
            <w:hideMark/>
          </w:tcPr>
          <w:p w14:paraId="49826CD4"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15.27</w:t>
            </w:r>
          </w:p>
        </w:tc>
        <w:tc>
          <w:tcPr>
            <w:tcW w:w="1127" w:type="dxa"/>
            <w:tcBorders>
              <w:top w:val="nil"/>
              <w:left w:val="nil"/>
              <w:bottom w:val="single" w:sz="4" w:space="0" w:color="auto"/>
              <w:right w:val="single" w:sz="4" w:space="0" w:color="auto"/>
            </w:tcBorders>
            <w:shd w:val="clear" w:color="auto" w:fill="auto"/>
            <w:noWrap/>
            <w:vAlign w:val="center"/>
            <w:hideMark/>
          </w:tcPr>
          <w:p w14:paraId="2B95DCF4"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16.29</w:t>
            </w:r>
          </w:p>
        </w:tc>
        <w:tc>
          <w:tcPr>
            <w:tcW w:w="1249" w:type="dxa"/>
            <w:tcBorders>
              <w:top w:val="single" w:sz="4" w:space="0" w:color="auto"/>
              <w:left w:val="single" w:sz="4" w:space="0" w:color="auto"/>
              <w:bottom w:val="single" w:sz="4" w:space="0" w:color="auto"/>
              <w:right w:val="single" w:sz="4" w:space="0" w:color="auto"/>
            </w:tcBorders>
            <w:vAlign w:val="center"/>
          </w:tcPr>
          <w:p w14:paraId="2F4A519C"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0.75</w:t>
            </w:r>
          </w:p>
        </w:tc>
        <w:tc>
          <w:tcPr>
            <w:tcW w:w="1124" w:type="dxa"/>
            <w:tcBorders>
              <w:top w:val="single" w:sz="4" w:space="0" w:color="auto"/>
              <w:left w:val="single" w:sz="4" w:space="0" w:color="auto"/>
              <w:bottom w:val="single" w:sz="4" w:space="0" w:color="auto"/>
              <w:right w:val="single" w:sz="4" w:space="0" w:color="auto"/>
            </w:tcBorders>
            <w:vAlign w:val="center"/>
          </w:tcPr>
          <w:p w14:paraId="5129A6C3"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14.30</w:t>
            </w:r>
          </w:p>
        </w:tc>
        <w:tc>
          <w:tcPr>
            <w:tcW w:w="1130" w:type="dxa"/>
            <w:tcBorders>
              <w:top w:val="single" w:sz="4" w:space="0" w:color="auto"/>
              <w:left w:val="single" w:sz="4" w:space="0" w:color="auto"/>
              <w:bottom w:val="single" w:sz="4" w:space="0" w:color="auto"/>
              <w:right w:val="single" w:sz="4" w:space="0" w:color="auto"/>
            </w:tcBorders>
            <w:vAlign w:val="center"/>
          </w:tcPr>
          <w:p w14:paraId="45EF5F8E"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15.05</w:t>
            </w:r>
          </w:p>
        </w:tc>
      </w:tr>
      <w:tr w:rsidR="004E19CB" w:rsidRPr="00401B79" w14:paraId="4380DE81" w14:textId="77777777" w:rsidTr="00650395">
        <w:trPr>
          <w:trHeight w:val="221"/>
          <w:jc w:val="center"/>
        </w:trPr>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0AD9B722"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WFD</w:t>
            </w:r>
          </w:p>
        </w:tc>
        <w:tc>
          <w:tcPr>
            <w:tcW w:w="1246" w:type="dxa"/>
            <w:tcBorders>
              <w:top w:val="nil"/>
              <w:left w:val="nil"/>
              <w:bottom w:val="single" w:sz="4" w:space="0" w:color="auto"/>
              <w:right w:val="single" w:sz="4" w:space="0" w:color="auto"/>
            </w:tcBorders>
            <w:shd w:val="clear" w:color="auto" w:fill="auto"/>
            <w:noWrap/>
            <w:vAlign w:val="center"/>
          </w:tcPr>
          <w:p w14:paraId="5D535BF5"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0.88</w:t>
            </w:r>
          </w:p>
        </w:tc>
        <w:tc>
          <w:tcPr>
            <w:tcW w:w="1121" w:type="dxa"/>
            <w:tcBorders>
              <w:top w:val="nil"/>
              <w:left w:val="nil"/>
              <w:bottom w:val="single" w:sz="4" w:space="0" w:color="auto"/>
              <w:right w:val="single" w:sz="4" w:space="0" w:color="auto"/>
            </w:tcBorders>
            <w:shd w:val="clear" w:color="auto" w:fill="auto"/>
            <w:noWrap/>
            <w:vAlign w:val="center"/>
            <w:hideMark/>
          </w:tcPr>
          <w:p w14:paraId="61FBA037"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15.27</w:t>
            </w:r>
          </w:p>
        </w:tc>
        <w:tc>
          <w:tcPr>
            <w:tcW w:w="1127" w:type="dxa"/>
            <w:tcBorders>
              <w:top w:val="nil"/>
              <w:left w:val="nil"/>
              <w:bottom w:val="single" w:sz="4" w:space="0" w:color="auto"/>
              <w:right w:val="single" w:sz="4" w:space="0" w:color="auto"/>
            </w:tcBorders>
            <w:shd w:val="clear" w:color="auto" w:fill="auto"/>
            <w:noWrap/>
            <w:vAlign w:val="center"/>
            <w:hideMark/>
          </w:tcPr>
          <w:p w14:paraId="0D3E527F"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16.15</w:t>
            </w:r>
          </w:p>
        </w:tc>
        <w:tc>
          <w:tcPr>
            <w:tcW w:w="1249" w:type="dxa"/>
            <w:tcBorders>
              <w:top w:val="single" w:sz="4" w:space="0" w:color="auto"/>
              <w:left w:val="single" w:sz="4" w:space="0" w:color="auto"/>
              <w:bottom w:val="single" w:sz="4" w:space="0" w:color="auto"/>
              <w:right w:val="single" w:sz="4" w:space="0" w:color="auto"/>
            </w:tcBorders>
            <w:vAlign w:val="center"/>
          </w:tcPr>
          <w:p w14:paraId="2AEF96EC"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0.20</w:t>
            </w:r>
          </w:p>
        </w:tc>
        <w:tc>
          <w:tcPr>
            <w:tcW w:w="1124" w:type="dxa"/>
            <w:tcBorders>
              <w:top w:val="single" w:sz="4" w:space="0" w:color="auto"/>
              <w:left w:val="single" w:sz="4" w:space="0" w:color="auto"/>
              <w:bottom w:val="single" w:sz="4" w:space="0" w:color="auto"/>
              <w:right w:val="single" w:sz="4" w:space="0" w:color="auto"/>
            </w:tcBorders>
            <w:vAlign w:val="center"/>
          </w:tcPr>
          <w:p w14:paraId="447DABD5"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14.30</w:t>
            </w:r>
          </w:p>
        </w:tc>
        <w:tc>
          <w:tcPr>
            <w:tcW w:w="1130" w:type="dxa"/>
            <w:tcBorders>
              <w:top w:val="single" w:sz="4" w:space="0" w:color="auto"/>
              <w:left w:val="single" w:sz="4" w:space="0" w:color="auto"/>
              <w:bottom w:val="single" w:sz="4" w:space="0" w:color="auto"/>
              <w:right w:val="single" w:sz="4" w:space="0" w:color="auto"/>
            </w:tcBorders>
            <w:vAlign w:val="center"/>
          </w:tcPr>
          <w:p w14:paraId="2435EAE3"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14.49</w:t>
            </w:r>
          </w:p>
        </w:tc>
      </w:tr>
      <w:tr w:rsidR="004E19CB" w:rsidRPr="00401B79" w14:paraId="2051CDFC" w14:textId="77777777" w:rsidTr="00650395">
        <w:trPr>
          <w:trHeight w:val="221"/>
          <w:jc w:val="center"/>
        </w:trPr>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41E4E51D"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WFG</w:t>
            </w:r>
          </w:p>
        </w:tc>
        <w:tc>
          <w:tcPr>
            <w:tcW w:w="1246" w:type="dxa"/>
            <w:tcBorders>
              <w:top w:val="nil"/>
              <w:left w:val="nil"/>
              <w:bottom w:val="single" w:sz="4" w:space="0" w:color="auto"/>
              <w:right w:val="single" w:sz="4" w:space="0" w:color="auto"/>
            </w:tcBorders>
            <w:shd w:val="clear" w:color="auto" w:fill="auto"/>
            <w:noWrap/>
            <w:vAlign w:val="center"/>
          </w:tcPr>
          <w:p w14:paraId="053652BE"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2.40</w:t>
            </w:r>
          </w:p>
        </w:tc>
        <w:tc>
          <w:tcPr>
            <w:tcW w:w="1121" w:type="dxa"/>
            <w:tcBorders>
              <w:top w:val="nil"/>
              <w:left w:val="nil"/>
              <w:bottom w:val="single" w:sz="4" w:space="0" w:color="auto"/>
              <w:right w:val="single" w:sz="4" w:space="0" w:color="auto"/>
            </w:tcBorders>
            <w:shd w:val="clear" w:color="auto" w:fill="auto"/>
            <w:noWrap/>
            <w:vAlign w:val="center"/>
            <w:hideMark/>
          </w:tcPr>
          <w:p w14:paraId="10110843"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9.30</w:t>
            </w:r>
          </w:p>
        </w:tc>
        <w:tc>
          <w:tcPr>
            <w:tcW w:w="1127" w:type="dxa"/>
            <w:tcBorders>
              <w:top w:val="nil"/>
              <w:left w:val="nil"/>
              <w:bottom w:val="single" w:sz="4" w:space="0" w:color="auto"/>
              <w:right w:val="single" w:sz="4" w:space="0" w:color="auto"/>
            </w:tcBorders>
            <w:shd w:val="clear" w:color="auto" w:fill="auto"/>
            <w:noWrap/>
            <w:vAlign w:val="center"/>
            <w:hideMark/>
          </w:tcPr>
          <w:p w14:paraId="78769F85"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11.70</w:t>
            </w:r>
          </w:p>
        </w:tc>
        <w:tc>
          <w:tcPr>
            <w:tcW w:w="1249" w:type="dxa"/>
            <w:tcBorders>
              <w:top w:val="single" w:sz="4" w:space="0" w:color="auto"/>
              <w:left w:val="single" w:sz="4" w:space="0" w:color="auto"/>
              <w:bottom w:val="single" w:sz="4" w:space="0" w:color="auto"/>
              <w:right w:val="single" w:sz="4" w:space="0" w:color="auto"/>
            </w:tcBorders>
            <w:vAlign w:val="center"/>
          </w:tcPr>
          <w:p w14:paraId="79D29F75"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2.69</w:t>
            </w:r>
          </w:p>
        </w:tc>
        <w:tc>
          <w:tcPr>
            <w:tcW w:w="1124" w:type="dxa"/>
            <w:tcBorders>
              <w:top w:val="single" w:sz="4" w:space="0" w:color="auto"/>
              <w:left w:val="single" w:sz="4" w:space="0" w:color="auto"/>
              <w:bottom w:val="single" w:sz="4" w:space="0" w:color="auto"/>
              <w:right w:val="single" w:sz="4" w:space="0" w:color="auto"/>
            </w:tcBorders>
            <w:vAlign w:val="center"/>
          </w:tcPr>
          <w:p w14:paraId="203C4C4F"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7.49</w:t>
            </w:r>
          </w:p>
        </w:tc>
        <w:tc>
          <w:tcPr>
            <w:tcW w:w="1130" w:type="dxa"/>
            <w:tcBorders>
              <w:top w:val="single" w:sz="4" w:space="0" w:color="auto"/>
              <w:left w:val="single" w:sz="4" w:space="0" w:color="auto"/>
              <w:bottom w:val="single" w:sz="4" w:space="0" w:color="auto"/>
              <w:right w:val="single" w:sz="4" w:space="0" w:color="auto"/>
            </w:tcBorders>
            <w:vAlign w:val="center"/>
          </w:tcPr>
          <w:p w14:paraId="44482F77"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10.18</w:t>
            </w:r>
          </w:p>
        </w:tc>
      </w:tr>
      <w:tr w:rsidR="004E19CB" w:rsidRPr="00401B79" w14:paraId="06E187D1" w14:textId="77777777" w:rsidTr="00650395">
        <w:trPr>
          <w:trHeight w:val="221"/>
          <w:jc w:val="center"/>
        </w:trPr>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7D5809A5"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WFE</w:t>
            </w:r>
          </w:p>
        </w:tc>
        <w:tc>
          <w:tcPr>
            <w:tcW w:w="1246" w:type="dxa"/>
            <w:tcBorders>
              <w:top w:val="nil"/>
              <w:left w:val="nil"/>
              <w:bottom w:val="single" w:sz="4" w:space="0" w:color="auto"/>
              <w:right w:val="single" w:sz="4" w:space="0" w:color="auto"/>
            </w:tcBorders>
            <w:shd w:val="clear" w:color="auto" w:fill="auto"/>
            <w:noWrap/>
            <w:vAlign w:val="center"/>
          </w:tcPr>
          <w:p w14:paraId="3576FBA0"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4.30</w:t>
            </w:r>
          </w:p>
        </w:tc>
        <w:tc>
          <w:tcPr>
            <w:tcW w:w="1121" w:type="dxa"/>
            <w:tcBorders>
              <w:top w:val="nil"/>
              <w:left w:val="nil"/>
              <w:bottom w:val="single" w:sz="4" w:space="0" w:color="auto"/>
              <w:right w:val="single" w:sz="4" w:space="0" w:color="auto"/>
            </w:tcBorders>
            <w:shd w:val="clear" w:color="auto" w:fill="auto"/>
            <w:noWrap/>
            <w:vAlign w:val="center"/>
            <w:hideMark/>
          </w:tcPr>
          <w:p w14:paraId="309FE631"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2.72</w:t>
            </w:r>
          </w:p>
        </w:tc>
        <w:tc>
          <w:tcPr>
            <w:tcW w:w="1127" w:type="dxa"/>
            <w:tcBorders>
              <w:top w:val="nil"/>
              <w:left w:val="nil"/>
              <w:bottom w:val="single" w:sz="4" w:space="0" w:color="auto"/>
              <w:right w:val="single" w:sz="4" w:space="0" w:color="auto"/>
            </w:tcBorders>
            <w:shd w:val="clear" w:color="auto" w:fill="auto"/>
            <w:noWrap/>
            <w:vAlign w:val="center"/>
            <w:hideMark/>
          </w:tcPr>
          <w:p w14:paraId="014EC111"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7.02</w:t>
            </w:r>
          </w:p>
        </w:tc>
        <w:tc>
          <w:tcPr>
            <w:tcW w:w="1249" w:type="dxa"/>
            <w:tcBorders>
              <w:top w:val="single" w:sz="4" w:space="0" w:color="auto"/>
              <w:left w:val="single" w:sz="4" w:space="0" w:color="auto"/>
              <w:bottom w:val="single" w:sz="4" w:space="0" w:color="auto"/>
              <w:right w:val="single" w:sz="4" w:space="0" w:color="auto"/>
            </w:tcBorders>
            <w:vAlign w:val="center"/>
          </w:tcPr>
          <w:p w14:paraId="455165CB"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4.88</w:t>
            </w:r>
          </w:p>
        </w:tc>
        <w:tc>
          <w:tcPr>
            <w:tcW w:w="1124" w:type="dxa"/>
            <w:tcBorders>
              <w:top w:val="single" w:sz="4" w:space="0" w:color="auto"/>
              <w:left w:val="single" w:sz="4" w:space="0" w:color="auto"/>
              <w:bottom w:val="single" w:sz="4" w:space="0" w:color="auto"/>
              <w:right w:val="single" w:sz="4" w:space="0" w:color="auto"/>
            </w:tcBorders>
            <w:vAlign w:val="center"/>
          </w:tcPr>
          <w:p w14:paraId="5EBAF490"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2.67</w:t>
            </w:r>
          </w:p>
        </w:tc>
        <w:tc>
          <w:tcPr>
            <w:tcW w:w="1130" w:type="dxa"/>
            <w:tcBorders>
              <w:top w:val="single" w:sz="4" w:space="0" w:color="auto"/>
              <w:left w:val="single" w:sz="4" w:space="0" w:color="auto"/>
              <w:bottom w:val="single" w:sz="4" w:space="0" w:color="auto"/>
              <w:right w:val="single" w:sz="4" w:space="0" w:color="auto"/>
            </w:tcBorders>
            <w:vAlign w:val="center"/>
          </w:tcPr>
          <w:p w14:paraId="4545191F"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7.56</w:t>
            </w:r>
          </w:p>
        </w:tc>
      </w:tr>
      <w:tr w:rsidR="004E19CB" w:rsidRPr="00401B79" w14:paraId="1E65A1EF" w14:textId="77777777" w:rsidTr="00650395">
        <w:trPr>
          <w:trHeight w:val="221"/>
          <w:jc w:val="center"/>
        </w:trPr>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15241054"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GED</w:t>
            </w:r>
          </w:p>
        </w:tc>
        <w:tc>
          <w:tcPr>
            <w:tcW w:w="1246" w:type="dxa"/>
            <w:tcBorders>
              <w:top w:val="nil"/>
              <w:left w:val="nil"/>
              <w:bottom w:val="single" w:sz="4" w:space="0" w:color="auto"/>
              <w:right w:val="single" w:sz="4" w:space="0" w:color="auto"/>
            </w:tcBorders>
            <w:shd w:val="clear" w:color="auto" w:fill="auto"/>
            <w:noWrap/>
            <w:vAlign w:val="center"/>
          </w:tcPr>
          <w:p w14:paraId="23933139"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14.55</w:t>
            </w:r>
          </w:p>
        </w:tc>
        <w:tc>
          <w:tcPr>
            <w:tcW w:w="1121" w:type="dxa"/>
            <w:tcBorders>
              <w:top w:val="nil"/>
              <w:left w:val="nil"/>
              <w:bottom w:val="single" w:sz="4" w:space="0" w:color="auto"/>
              <w:right w:val="single" w:sz="4" w:space="0" w:color="auto"/>
            </w:tcBorders>
            <w:shd w:val="clear" w:color="auto" w:fill="auto"/>
            <w:noWrap/>
            <w:vAlign w:val="center"/>
            <w:hideMark/>
          </w:tcPr>
          <w:p w14:paraId="60D40EDA"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15.27</w:t>
            </w:r>
          </w:p>
        </w:tc>
        <w:tc>
          <w:tcPr>
            <w:tcW w:w="1127" w:type="dxa"/>
            <w:tcBorders>
              <w:top w:val="nil"/>
              <w:left w:val="nil"/>
              <w:bottom w:val="single" w:sz="4" w:space="0" w:color="auto"/>
              <w:right w:val="single" w:sz="4" w:space="0" w:color="auto"/>
            </w:tcBorders>
            <w:shd w:val="clear" w:color="auto" w:fill="auto"/>
            <w:noWrap/>
            <w:vAlign w:val="center"/>
            <w:hideMark/>
          </w:tcPr>
          <w:p w14:paraId="424AB569"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29.81</w:t>
            </w:r>
          </w:p>
        </w:tc>
        <w:tc>
          <w:tcPr>
            <w:tcW w:w="1249" w:type="dxa"/>
            <w:tcBorders>
              <w:top w:val="single" w:sz="4" w:space="0" w:color="auto"/>
              <w:left w:val="single" w:sz="4" w:space="0" w:color="auto"/>
              <w:bottom w:val="single" w:sz="4" w:space="0" w:color="auto"/>
              <w:right w:val="single" w:sz="4" w:space="0" w:color="auto"/>
            </w:tcBorders>
            <w:vAlign w:val="center"/>
          </w:tcPr>
          <w:p w14:paraId="471E4C6B"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6.29</w:t>
            </w:r>
          </w:p>
        </w:tc>
        <w:tc>
          <w:tcPr>
            <w:tcW w:w="1124" w:type="dxa"/>
            <w:tcBorders>
              <w:top w:val="single" w:sz="4" w:space="0" w:color="auto"/>
              <w:left w:val="single" w:sz="4" w:space="0" w:color="auto"/>
              <w:bottom w:val="single" w:sz="4" w:space="0" w:color="auto"/>
              <w:right w:val="single" w:sz="4" w:space="0" w:color="auto"/>
            </w:tcBorders>
            <w:vAlign w:val="center"/>
          </w:tcPr>
          <w:p w14:paraId="70668573"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14.30</w:t>
            </w:r>
          </w:p>
        </w:tc>
        <w:tc>
          <w:tcPr>
            <w:tcW w:w="1130" w:type="dxa"/>
            <w:tcBorders>
              <w:top w:val="single" w:sz="4" w:space="0" w:color="auto"/>
              <w:left w:val="single" w:sz="4" w:space="0" w:color="auto"/>
              <w:bottom w:val="single" w:sz="4" w:space="0" w:color="auto"/>
              <w:right w:val="single" w:sz="4" w:space="0" w:color="auto"/>
            </w:tcBorders>
            <w:vAlign w:val="center"/>
          </w:tcPr>
          <w:p w14:paraId="281A9227"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20.58</w:t>
            </w:r>
          </w:p>
        </w:tc>
      </w:tr>
      <w:tr w:rsidR="004E19CB" w:rsidRPr="00401B79" w14:paraId="625DA03D" w14:textId="77777777" w:rsidTr="00650395">
        <w:trPr>
          <w:trHeight w:val="221"/>
          <w:jc w:val="center"/>
        </w:trPr>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3C021768"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GEF</w:t>
            </w:r>
          </w:p>
        </w:tc>
        <w:tc>
          <w:tcPr>
            <w:tcW w:w="1246" w:type="dxa"/>
            <w:tcBorders>
              <w:top w:val="nil"/>
              <w:left w:val="nil"/>
              <w:bottom w:val="single" w:sz="4" w:space="0" w:color="auto"/>
              <w:right w:val="single" w:sz="4" w:space="0" w:color="auto"/>
            </w:tcBorders>
            <w:shd w:val="clear" w:color="auto" w:fill="auto"/>
            <w:noWrap/>
            <w:vAlign w:val="center"/>
          </w:tcPr>
          <w:p w14:paraId="3748B27F"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25.42</w:t>
            </w:r>
          </w:p>
        </w:tc>
        <w:tc>
          <w:tcPr>
            <w:tcW w:w="1121" w:type="dxa"/>
            <w:tcBorders>
              <w:top w:val="nil"/>
              <w:left w:val="nil"/>
              <w:bottom w:val="single" w:sz="4" w:space="0" w:color="auto"/>
              <w:right w:val="single" w:sz="4" w:space="0" w:color="auto"/>
            </w:tcBorders>
            <w:shd w:val="clear" w:color="auto" w:fill="auto"/>
            <w:noWrap/>
            <w:vAlign w:val="center"/>
            <w:hideMark/>
          </w:tcPr>
          <w:p w14:paraId="7AF47113"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6.55</w:t>
            </w:r>
          </w:p>
        </w:tc>
        <w:tc>
          <w:tcPr>
            <w:tcW w:w="1127" w:type="dxa"/>
            <w:tcBorders>
              <w:top w:val="nil"/>
              <w:left w:val="nil"/>
              <w:bottom w:val="single" w:sz="4" w:space="0" w:color="auto"/>
              <w:right w:val="single" w:sz="4" w:space="0" w:color="auto"/>
            </w:tcBorders>
            <w:shd w:val="clear" w:color="auto" w:fill="auto"/>
            <w:noWrap/>
            <w:vAlign w:val="center"/>
            <w:hideMark/>
          </w:tcPr>
          <w:p w14:paraId="0EA2D5EC"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31.97</w:t>
            </w:r>
          </w:p>
        </w:tc>
        <w:tc>
          <w:tcPr>
            <w:tcW w:w="1249" w:type="dxa"/>
            <w:tcBorders>
              <w:top w:val="single" w:sz="4" w:space="0" w:color="auto"/>
              <w:left w:val="single" w:sz="4" w:space="0" w:color="auto"/>
              <w:bottom w:val="single" w:sz="4" w:space="0" w:color="auto"/>
              <w:right w:val="single" w:sz="4" w:space="0" w:color="auto"/>
            </w:tcBorders>
            <w:vAlign w:val="center"/>
          </w:tcPr>
          <w:p w14:paraId="17F5877E"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14.08</w:t>
            </w:r>
          </w:p>
        </w:tc>
        <w:tc>
          <w:tcPr>
            <w:tcW w:w="1124" w:type="dxa"/>
            <w:tcBorders>
              <w:top w:val="single" w:sz="4" w:space="0" w:color="auto"/>
              <w:left w:val="single" w:sz="4" w:space="0" w:color="auto"/>
              <w:bottom w:val="single" w:sz="4" w:space="0" w:color="auto"/>
              <w:right w:val="single" w:sz="4" w:space="0" w:color="auto"/>
            </w:tcBorders>
            <w:vAlign w:val="center"/>
          </w:tcPr>
          <w:p w14:paraId="415BAE90"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5.53</w:t>
            </w:r>
          </w:p>
        </w:tc>
        <w:tc>
          <w:tcPr>
            <w:tcW w:w="1130" w:type="dxa"/>
            <w:tcBorders>
              <w:top w:val="single" w:sz="4" w:space="0" w:color="auto"/>
              <w:left w:val="single" w:sz="4" w:space="0" w:color="auto"/>
              <w:bottom w:val="single" w:sz="4" w:space="0" w:color="auto"/>
              <w:right w:val="single" w:sz="4" w:space="0" w:color="auto"/>
            </w:tcBorders>
            <w:vAlign w:val="center"/>
          </w:tcPr>
          <w:p w14:paraId="75449038"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19.60</w:t>
            </w:r>
          </w:p>
        </w:tc>
      </w:tr>
      <w:tr w:rsidR="004E19CB" w:rsidRPr="00401B79" w14:paraId="504504A1" w14:textId="77777777" w:rsidTr="00650395">
        <w:trPr>
          <w:trHeight w:val="221"/>
          <w:jc w:val="center"/>
        </w:trPr>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3CD93394"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FED</w:t>
            </w:r>
          </w:p>
        </w:tc>
        <w:tc>
          <w:tcPr>
            <w:tcW w:w="1246" w:type="dxa"/>
            <w:tcBorders>
              <w:top w:val="nil"/>
              <w:left w:val="nil"/>
              <w:bottom w:val="single" w:sz="4" w:space="0" w:color="auto"/>
              <w:right w:val="single" w:sz="4" w:space="0" w:color="auto"/>
            </w:tcBorders>
            <w:shd w:val="clear" w:color="auto" w:fill="auto"/>
            <w:noWrap/>
            <w:vAlign w:val="center"/>
          </w:tcPr>
          <w:p w14:paraId="739C926C"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80.02</w:t>
            </w:r>
          </w:p>
        </w:tc>
        <w:tc>
          <w:tcPr>
            <w:tcW w:w="1121" w:type="dxa"/>
            <w:tcBorders>
              <w:top w:val="nil"/>
              <w:left w:val="nil"/>
              <w:bottom w:val="single" w:sz="4" w:space="0" w:color="auto"/>
              <w:right w:val="single" w:sz="4" w:space="0" w:color="auto"/>
            </w:tcBorders>
            <w:shd w:val="clear" w:color="auto" w:fill="auto"/>
            <w:noWrap/>
            <w:vAlign w:val="center"/>
            <w:hideMark/>
          </w:tcPr>
          <w:p w14:paraId="58AA3B62"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15.27</w:t>
            </w:r>
          </w:p>
        </w:tc>
        <w:tc>
          <w:tcPr>
            <w:tcW w:w="1127" w:type="dxa"/>
            <w:tcBorders>
              <w:top w:val="nil"/>
              <w:left w:val="nil"/>
              <w:bottom w:val="single" w:sz="4" w:space="0" w:color="auto"/>
              <w:right w:val="single" w:sz="4" w:space="0" w:color="auto"/>
            </w:tcBorders>
            <w:shd w:val="clear" w:color="auto" w:fill="auto"/>
            <w:noWrap/>
            <w:vAlign w:val="center"/>
            <w:hideMark/>
          </w:tcPr>
          <w:p w14:paraId="15B50C13"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95.29</w:t>
            </w:r>
          </w:p>
        </w:tc>
        <w:tc>
          <w:tcPr>
            <w:tcW w:w="1249" w:type="dxa"/>
            <w:tcBorders>
              <w:top w:val="single" w:sz="4" w:space="0" w:color="auto"/>
              <w:left w:val="single" w:sz="4" w:space="0" w:color="auto"/>
              <w:bottom w:val="single" w:sz="4" w:space="0" w:color="auto"/>
              <w:right w:val="single" w:sz="4" w:space="0" w:color="auto"/>
            </w:tcBorders>
            <w:vAlign w:val="center"/>
          </w:tcPr>
          <w:p w14:paraId="5D9CF6D6"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63.65</w:t>
            </w:r>
          </w:p>
        </w:tc>
        <w:tc>
          <w:tcPr>
            <w:tcW w:w="1124" w:type="dxa"/>
            <w:tcBorders>
              <w:top w:val="single" w:sz="4" w:space="0" w:color="auto"/>
              <w:left w:val="single" w:sz="4" w:space="0" w:color="auto"/>
              <w:bottom w:val="single" w:sz="4" w:space="0" w:color="auto"/>
              <w:right w:val="single" w:sz="4" w:space="0" w:color="auto"/>
            </w:tcBorders>
            <w:vAlign w:val="center"/>
          </w:tcPr>
          <w:p w14:paraId="69B669F3"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14.49</w:t>
            </w:r>
          </w:p>
        </w:tc>
        <w:tc>
          <w:tcPr>
            <w:tcW w:w="1130" w:type="dxa"/>
            <w:tcBorders>
              <w:top w:val="single" w:sz="4" w:space="0" w:color="auto"/>
              <w:left w:val="single" w:sz="4" w:space="0" w:color="auto"/>
              <w:bottom w:val="single" w:sz="4" w:space="0" w:color="auto"/>
              <w:right w:val="single" w:sz="4" w:space="0" w:color="auto"/>
            </w:tcBorders>
            <w:vAlign w:val="center"/>
          </w:tcPr>
          <w:p w14:paraId="160B72EF"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78.15</w:t>
            </w:r>
          </w:p>
        </w:tc>
      </w:tr>
      <w:tr w:rsidR="004E19CB" w:rsidRPr="00401B79" w14:paraId="0D4060E3" w14:textId="77777777" w:rsidTr="00650395">
        <w:trPr>
          <w:trHeight w:val="221"/>
          <w:jc w:val="center"/>
        </w:trPr>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02CF6B1C"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WGE</w:t>
            </w:r>
          </w:p>
        </w:tc>
        <w:tc>
          <w:tcPr>
            <w:tcW w:w="1246" w:type="dxa"/>
            <w:tcBorders>
              <w:top w:val="nil"/>
              <w:left w:val="nil"/>
              <w:bottom w:val="single" w:sz="4" w:space="0" w:color="auto"/>
              <w:right w:val="single" w:sz="4" w:space="0" w:color="auto"/>
            </w:tcBorders>
            <w:shd w:val="clear" w:color="auto" w:fill="auto"/>
            <w:noWrap/>
            <w:vAlign w:val="center"/>
          </w:tcPr>
          <w:p w14:paraId="6A4CC3BF"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15.60</w:t>
            </w:r>
          </w:p>
        </w:tc>
        <w:tc>
          <w:tcPr>
            <w:tcW w:w="1121" w:type="dxa"/>
            <w:tcBorders>
              <w:top w:val="nil"/>
              <w:left w:val="nil"/>
              <w:bottom w:val="single" w:sz="4" w:space="0" w:color="auto"/>
              <w:right w:val="single" w:sz="4" w:space="0" w:color="auto"/>
            </w:tcBorders>
            <w:shd w:val="clear" w:color="auto" w:fill="auto"/>
            <w:noWrap/>
            <w:vAlign w:val="center"/>
            <w:hideMark/>
          </w:tcPr>
          <w:p w14:paraId="1DFE6788"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181.19</w:t>
            </w:r>
          </w:p>
        </w:tc>
        <w:tc>
          <w:tcPr>
            <w:tcW w:w="1127" w:type="dxa"/>
            <w:tcBorders>
              <w:top w:val="nil"/>
              <w:left w:val="nil"/>
              <w:bottom w:val="single" w:sz="4" w:space="0" w:color="auto"/>
              <w:right w:val="single" w:sz="4" w:space="0" w:color="auto"/>
            </w:tcBorders>
            <w:shd w:val="clear" w:color="auto" w:fill="auto"/>
            <w:noWrap/>
            <w:vAlign w:val="center"/>
            <w:hideMark/>
          </w:tcPr>
          <w:p w14:paraId="43D6A186"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196.80</w:t>
            </w:r>
          </w:p>
        </w:tc>
        <w:tc>
          <w:tcPr>
            <w:tcW w:w="1249" w:type="dxa"/>
            <w:tcBorders>
              <w:top w:val="single" w:sz="4" w:space="0" w:color="auto"/>
              <w:left w:val="single" w:sz="4" w:space="0" w:color="auto"/>
              <w:bottom w:val="single" w:sz="4" w:space="0" w:color="auto"/>
              <w:right w:val="single" w:sz="4" w:space="0" w:color="auto"/>
            </w:tcBorders>
            <w:vAlign w:val="center"/>
          </w:tcPr>
          <w:p w14:paraId="1BFF78B5"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5.06</w:t>
            </w:r>
          </w:p>
        </w:tc>
        <w:tc>
          <w:tcPr>
            <w:tcW w:w="1124" w:type="dxa"/>
            <w:tcBorders>
              <w:top w:val="single" w:sz="4" w:space="0" w:color="auto"/>
              <w:left w:val="single" w:sz="4" w:space="0" w:color="auto"/>
              <w:bottom w:val="single" w:sz="4" w:space="0" w:color="auto"/>
              <w:right w:val="single" w:sz="4" w:space="0" w:color="auto"/>
            </w:tcBorders>
            <w:vAlign w:val="center"/>
          </w:tcPr>
          <w:p w14:paraId="32C6883A"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119.36</w:t>
            </w:r>
          </w:p>
        </w:tc>
        <w:tc>
          <w:tcPr>
            <w:tcW w:w="1130" w:type="dxa"/>
            <w:tcBorders>
              <w:top w:val="single" w:sz="4" w:space="0" w:color="auto"/>
              <w:left w:val="single" w:sz="4" w:space="0" w:color="auto"/>
              <w:bottom w:val="single" w:sz="4" w:space="0" w:color="auto"/>
              <w:right w:val="single" w:sz="4" w:space="0" w:color="auto"/>
            </w:tcBorders>
            <w:vAlign w:val="center"/>
          </w:tcPr>
          <w:p w14:paraId="0564F60F"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124.42</w:t>
            </w:r>
          </w:p>
        </w:tc>
      </w:tr>
      <w:tr w:rsidR="004E19CB" w:rsidRPr="00401B79" w14:paraId="39E33198" w14:textId="77777777" w:rsidTr="00650395">
        <w:trPr>
          <w:trHeight w:val="221"/>
          <w:jc w:val="center"/>
        </w:trPr>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79D1AA38"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FGD</w:t>
            </w:r>
          </w:p>
        </w:tc>
        <w:tc>
          <w:tcPr>
            <w:tcW w:w="1246" w:type="dxa"/>
            <w:tcBorders>
              <w:top w:val="nil"/>
              <w:left w:val="nil"/>
              <w:bottom w:val="single" w:sz="4" w:space="0" w:color="auto"/>
              <w:right w:val="single" w:sz="4" w:space="0" w:color="auto"/>
            </w:tcBorders>
            <w:shd w:val="clear" w:color="auto" w:fill="auto"/>
            <w:noWrap/>
            <w:vAlign w:val="center"/>
          </w:tcPr>
          <w:p w14:paraId="7B7C2AAA"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33.06</w:t>
            </w:r>
          </w:p>
        </w:tc>
        <w:tc>
          <w:tcPr>
            <w:tcW w:w="1121" w:type="dxa"/>
            <w:tcBorders>
              <w:top w:val="nil"/>
              <w:left w:val="nil"/>
              <w:bottom w:val="single" w:sz="4" w:space="0" w:color="auto"/>
              <w:right w:val="single" w:sz="4" w:space="0" w:color="auto"/>
            </w:tcBorders>
            <w:shd w:val="clear" w:color="auto" w:fill="auto"/>
            <w:noWrap/>
            <w:vAlign w:val="center"/>
            <w:hideMark/>
          </w:tcPr>
          <w:p w14:paraId="657DB391"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15.27</w:t>
            </w:r>
          </w:p>
        </w:tc>
        <w:tc>
          <w:tcPr>
            <w:tcW w:w="1127" w:type="dxa"/>
            <w:tcBorders>
              <w:top w:val="nil"/>
              <w:left w:val="nil"/>
              <w:bottom w:val="single" w:sz="4" w:space="0" w:color="auto"/>
              <w:right w:val="single" w:sz="4" w:space="0" w:color="auto"/>
            </w:tcBorders>
            <w:shd w:val="clear" w:color="auto" w:fill="auto"/>
            <w:noWrap/>
            <w:vAlign w:val="center"/>
            <w:hideMark/>
          </w:tcPr>
          <w:p w14:paraId="225EAC9A"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48.32</w:t>
            </w:r>
          </w:p>
        </w:tc>
        <w:tc>
          <w:tcPr>
            <w:tcW w:w="1249" w:type="dxa"/>
            <w:tcBorders>
              <w:top w:val="single" w:sz="4" w:space="0" w:color="auto"/>
              <w:left w:val="single" w:sz="4" w:space="0" w:color="auto"/>
              <w:bottom w:val="single" w:sz="4" w:space="0" w:color="auto"/>
              <w:right w:val="single" w:sz="4" w:space="0" w:color="auto"/>
            </w:tcBorders>
            <w:vAlign w:val="center"/>
          </w:tcPr>
          <w:p w14:paraId="25104B24"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60.58</w:t>
            </w:r>
          </w:p>
        </w:tc>
        <w:tc>
          <w:tcPr>
            <w:tcW w:w="1124" w:type="dxa"/>
            <w:tcBorders>
              <w:top w:val="single" w:sz="4" w:space="0" w:color="auto"/>
              <w:left w:val="single" w:sz="4" w:space="0" w:color="auto"/>
              <w:bottom w:val="single" w:sz="4" w:space="0" w:color="auto"/>
              <w:right w:val="single" w:sz="4" w:space="0" w:color="auto"/>
            </w:tcBorders>
            <w:vAlign w:val="center"/>
          </w:tcPr>
          <w:p w14:paraId="7D1F6A95"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14.30</w:t>
            </w:r>
          </w:p>
        </w:tc>
        <w:tc>
          <w:tcPr>
            <w:tcW w:w="1130" w:type="dxa"/>
            <w:tcBorders>
              <w:top w:val="single" w:sz="4" w:space="0" w:color="auto"/>
              <w:left w:val="single" w:sz="4" w:space="0" w:color="auto"/>
              <w:bottom w:val="single" w:sz="4" w:space="0" w:color="auto"/>
              <w:right w:val="single" w:sz="4" w:space="0" w:color="auto"/>
            </w:tcBorders>
            <w:vAlign w:val="center"/>
          </w:tcPr>
          <w:p w14:paraId="3948D369"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74.87</w:t>
            </w:r>
          </w:p>
        </w:tc>
      </w:tr>
      <w:tr w:rsidR="004E19CB" w:rsidRPr="00401B79" w14:paraId="51DC4DA3" w14:textId="77777777" w:rsidTr="00650395">
        <w:trPr>
          <w:trHeight w:val="221"/>
          <w:jc w:val="center"/>
        </w:trPr>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F274E0"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WD</w:t>
            </w:r>
          </w:p>
        </w:tc>
        <w:tc>
          <w:tcPr>
            <w:tcW w:w="1246" w:type="dxa"/>
            <w:tcBorders>
              <w:top w:val="single" w:sz="4" w:space="0" w:color="auto"/>
              <w:left w:val="nil"/>
              <w:bottom w:val="single" w:sz="4" w:space="0" w:color="auto"/>
              <w:right w:val="single" w:sz="4" w:space="0" w:color="auto"/>
            </w:tcBorders>
            <w:shd w:val="clear" w:color="auto" w:fill="auto"/>
            <w:noWrap/>
            <w:vAlign w:val="center"/>
          </w:tcPr>
          <w:p w14:paraId="7F7A9B59"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1.03</w:t>
            </w:r>
          </w:p>
        </w:tc>
        <w:tc>
          <w:tcPr>
            <w:tcW w:w="1121" w:type="dxa"/>
            <w:tcBorders>
              <w:top w:val="single" w:sz="4" w:space="0" w:color="auto"/>
              <w:left w:val="nil"/>
              <w:bottom w:val="single" w:sz="4" w:space="0" w:color="auto"/>
              <w:right w:val="single" w:sz="4" w:space="0" w:color="auto"/>
            </w:tcBorders>
            <w:shd w:val="clear" w:color="auto" w:fill="auto"/>
            <w:noWrap/>
            <w:vAlign w:val="center"/>
          </w:tcPr>
          <w:p w14:paraId="1DA6ADB4"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15.27</w:t>
            </w:r>
          </w:p>
        </w:tc>
        <w:tc>
          <w:tcPr>
            <w:tcW w:w="1127" w:type="dxa"/>
            <w:tcBorders>
              <w:top w:val="single" w:sz="4" w:space="0" w:color="auto"/>
              <w:left w:val="nil"/>
              <w:bottom w:val="single" w:sz="4" w:space="0" w:color="auto"/>
              <w:right w:val="single" w:sz="4" w:space="0" w:color="auto"/>
            </w:tcBorders>
            <w:shd w:val="clear" w:color="auto" w:fill="auto"/>
            <w:noWrap/>
            <w:vAlign w:val="center"/>
          </w:tcPr>
          <w:p w14:paraId="1E629C59"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16.29</w:t>
            </w:r>
          </w:p>
        </w:tc>
        <w:tc>
          <w:tcPr>
            <w:tcW w:w="1249" w:type="dxa"/>
            <w:tcBorders>
              <w:top w:val="single" w:sz="4" w:space="0" w:color="auto"/>
              <w:left w:val="single" w:sz="4" w:space="0" w:color="auto"/>
              <w:bottom w:val="single" w:sz="4" w:space="0" w:color="auto"/>
              <w:right w:val="single" w:sz="4" w:space="0" w:color="auto"/>
            </w:tcBorders>
            <w:vAlign w:val="center"/>
          </w:tcPr>
          <w:p w14:paraId="4814C086"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0.92</w:t>
            </w:r>
          </w:p>
        </w:tc>
        <w:tc>
          <w:tcPr>
            <w:tcW w:w="1124" w:type="dxa"/>
            <w:tcBorders>
              <w:top w:val="single" w:sz="4" w:space="0" w:color="auto"/>
              <w:left w:val="single" w:sz="4" w:space="0" w:color="auto"/>
              <w:bottom w:val="single" w:sz="4" w:space="0" w:color="auto"/>
              <w:right w:val="single" w:sz="4" w:space="0" w:color="auto"/>
            </w:tcBorders>
            <w:vAlign w:val="center"/>
          </w:tcPr>
          <w:p w14:paraId="5F2AA560"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14.30</w:t>
            </w:r>
          </w:p>
        </w:tc>
        <w:tc>
          <w:tcPr>
            <w:tcW w:w="1130" w:type="dxa"/>
            <w:tcBorders>
              <w:top w:val="single" w:sz="4" w:space="0" w:color="auto"/>
              <w:left w:val="single" w:sz="4" w:space="0" w:color="auto"/>
              <w:bottom w:val="single" w:sz="4" w:space="0" w:color="auto"/>
              <w:right w:val="single" w:sz="4" w:space="0" w:color="auto"/>
            </w:tcBorders>
            <w:vAlign w:val="center"/>
          </w:tcPr>
          <w:p w14:paraId="021745C5"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15.21</w:t>
            </w:r>
          </w:p>
        </w:tc>
      </w:tr>
      <w:tr w:rsidR="004E19CB" w:rsidRPr="00401B79" w14:paraId="062F230F" w14:textId="77777777" w:rsidTr="00650395">
        <w:trPr>
          <w:trHeight w:val="221"/>
          <w:jc w:val="center"/>
        </w:trPr>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B9B5377"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WF</w:t>
            </w:r>
          </w:p>
        </w:tc>
        <w:tc>
          <w:tcPr>
            <w:tcW w:w="1246" w:type="dxa"/>
            <w:tcBorders>
              <w:top w:val="single" w:sz="4" w:space="0" w:color="auto"/>
              <w:left w:val="nil"/>
              <w:bottom w:val="single" w:sz="4" w:space="0" w:color="auto"/>
              <w:right w:val="single" w:sz="4" w:space="0" w:color="auto"/>
            </w:tcBorders>
            <w:shd w:val="clear" w:color="auto" w:fill="auto"/>
            <w:noWrap/>
            <w:vAlign w:val="center"/>
          </w:tcPr>
          <w:p w14:paraId="60DDC044"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1.07</w:t>
            </w:r>
          </w:p>
        </w:tc>
        <w:tc>
          <w:tcPr>
            <w:tcW w:w="1121" w:type="dxa"/>
            <w:tcBorders>
              <w:top w:val="single" w:sz="4" w:space="0" w:color="auto"/>
              <w:left w:val="nil"/>
              <w:bottom w:val="single" w:sz="4" w:space="0" w:color="auto"/>
              <w:right w:val="single" w:sz="4" w:space="0" w:color="auto"/>
            </w:tcBorders>
            <w:shd w:val="clear" w:color="auto" w:fill="auto"/>
            <w:noWrap/>
            <w:vAlign w:val="center"/>
          </w:tcPr>
          <w:p w14:paraId="3625C7D8"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15.00</w:t>
            </w:r>
          </w:p>
        </w:tc>
        <w:tc>
          <w:tcPr>
            <w:tcW w:w="1127" w:type="dxa"/>
            <w:tcBorders>
              <w:top w:val="single" w:sz="4" w:space="0" w:color="auto"/>
              <w:left w:val="nil"/>
              <w:bottom w:val="single" w:sz="4" w:space="0" w:color="auto"/>
              <w:right w:val="single" w:sz="4" w:space="0" w:color="auto"/>
            </w:tcBorders>
            <w:shd w:val="clear" w:color="auto" w:fill="auto"/>
            <w:noWrap/>
            <w:vAlign w:val="center"/>
          </w:tcPr>
          <w:p w14:paraId="62708CD2"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16.07</w:t>
            </w:r>
          </w:p>
        </w:tc>
        <w:tc>
          <w:tcPr>
            <w:tcW w:w="1249" w:type="dxa"/>
            <w:tcBorders>
              <w:top w:val="single" w:sz="4" w:space="0" w:color="auto"/>
              <w:left w:val="single" w:sz="4" w:space="0" w:color="auto"/>
              <w:bottom w:val="single" w:sz="4" w:space="0" w:color="auto"/>
              <w:right w:val="single" w:sz="4" w:space="0" w:color="auto"/>
            </w:tcBorders>
            <w:vAlign w:val="center"/>
          </w:tcPr>
          <w:p w14:paraId="12D74EF3"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1.68</w:t>
            </w:r>
          </w:p>
        </w:tc>
        <w:tc>
          <w:tcPr>
            <w:tcW w:w="1124" w:type="dxa"/>
            <w:tcBorders>
              <w:top w:val="single" w:sz="4" w:space="0" w:color="auto"/>
              <w:left w:val="single" w:sz="4" w:space="0" w:color="auto"/>
              <w:bottom w:val="single" w:sz="4" w:space="0" w:color="auto"/>
              <w:right w:val="single" w:sz="4" w:space="0" w:color="auto"/>
            </w:tcBorders>
            <w:vAlign w:val="center"/>
          </w:tcPr>
          <w:p w14:paraId="68FC8103"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10.65</w:t>
            </w:r>
          </w:p>
        </w:tc>
        <w:tc>
          <w:tcPr>
            <w:tcW w:w="1130" w:type="dxa"/>
            <w:tcBorders>
              <w:top w:val="single" w:sz="4" w:space="0" w:color="auto"/>
              <w:left w:val="single" w:sz="4" w:space="0" w:color="auto"/>
              <w:bottom w:val="single" w:sz="4" w:space="0" w:color="auto"/>
              <w:right w:val="single" w:sz="4" w:space="0" w:color="auto"/>
            </w:tcBorders>
            <w:vAlign w:val="center"/>
          </w:tcPr>
          <w:p w14:paraId="39EE4DE5"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12.33</w:t>
            </w:r>
          </w:p>
        </w:tc>
      </w:tr>
      <w:tr w:rsidR="004E19CB" w:rsidRPr="00401B79" w14:paraId="60C85973" w14:textId="77777777" w:rsidTr="00650395">
        <w:trPr>
          <w:trHeight w:val="221"/>
          <w:jc w:val="center"/>
        </w:trPr>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60BA42"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WG</w:t>
            </w:r>
          </w:p>
        </w:tc>
        <w:tc>
          <w:tcPr>
            <w:tcW w:w="1246" w:type="dxa"/>
            <w:tcBorders>
              <w:top w:val="single" w:sz="4" w:space="0" w:color="auto"/>
              <w:left w:val="nil"/>
              <w:bottom w:val="single" w:sz="4" w:space="0" w:color="auto"/>
              <w:right w:val="single" w:sz="4" w:space="0" w:color="auto"/>
            </w:tcBorders>
            <w:shd w:val="clear" w:color="auto" w:fill="auto"/>
            <w:noWrap/>
            <w:vAlign w:val="center"/>
          </w:tcPr>
          <w:p w14:paraId="6ED65E93"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0.43</w:t>
            </w:r>
          </w:p>
        </w:tc>
        <w:tc>
          <w:tcPr>
            <w:tcW w:w="1121" w:type="dxa"/>
            <w:tcBorders>
              <w:top w:val="single" w:sz="4" w:space="0" w:color="auto"/>
              <w:left w:val="nil"/>
              <w:bottom w:val="single" w:sz="4" w:space="0" w:color="auto"/>
              <w:right w:val="single" w:sz="4" w:space="0" w:color="auto"/>
            </w:tcBorders>
            <w:shd w:val="clear" w:color="auto" w:fill="auto"/>
            <w:noWrap/>
            <w:vAlign w:val="center"/>
          </w:tcPr>
          <w:p w14:paraId="30F71D1F"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19.81</w:t>
            </w:r>
          </w:p>
        </w:tc>
        <w:tc>
          <w:tcPr>
            <w:tcW w:w="1127" w:type="dxa"/>
            <w:tcBorders>
              <w:top w:val="single" w:sz="4" w:space="0" w:color="auto"/>
              <w:left w:val="nil"/>
              <w:bottom w:val="single" w:sz="4" w:space="0" w:color="auto"/>
              <w:right w:val="single" w:sz="4" w:space="0" w:color="auto"/>
            </w:tcBorders>
            <w:shd w:val="clear" w:color="auto" w:fill="auto"/>
            <w:noWrap/>
            <w:vAlign w:val="center"/>
          </w:tcPr>
          <w:p w14:paraId="13250183"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20.24</w:t>
            </w:r>
          </w:p>
        </w:tc>
        <w:tc>
          <w:tcPr>
            <w:tcW w:w="1249" w:type="dxa"/>
            <w:tcBorders>
              <w:top w:val="single" w:sz="4" w:space="0" w:color="auto"/>
              <w:left w:val="single" w:sz="4" w:space="0" w:color="auto"/>
              <w:bottom w:val="single" w:sz="4" w:space="0" w:color="auto"/>
              <w:right w:val="single" w:sz="4" w:space="0" w:color="auto"/>
            </w:tcBorders>
            <w:vAlign w:val="center"/>
          </w:tcPr>
          <w:p w14:paraId="0DB7AA80"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1.14</w:t>
            </w:r>
          </w:p>
        </w:tc>
        <w:tc>
          <w:tcPr>
            <w:tcW w:w="1124" w:type="dxa"/>
            <w:tcBorders>
              <w:top w:val="single" w:sz="4" w:space="0" w:color="auto"/>
              <w:left w:val="single" w:sz="4" w:space="0" w:color="auto"/>
              <w:bottom w:val="single" w:sz="4" w:space="0" w:color="auto"/>
              <w:right w:val="single" w:sz="4" w:space="0" w:color="auto"/>
            </w:tcBorders>
            <w:vAlign w:val="center"/>
          </w:tcPr>
          <w:p w14:paraId="5A14B4E9"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13.05</w:t>
            </w:r>
          </w:p>
        </w:tc>
        <w:tc>
          <w:tcPr>
            <w:tcW w:w="1130" w:type="dxa"/>
            <w:tcBorders>
              <w:top w:val="single" w:sz="4" w:space="0" w:color="auto"/>
              <w:left w:val="single" w:sz="4" w:space="0" w:color="auto"/>
              <w:bottom w:val="single" w:sz="4" w:space="0" w:color="auto"/>
              <w:right w:val="single" w:sz="4" w:space="0" w:color="auto"/>
            </w:tcBorders>
            <w:vAlign w:val="center"/>
          </w:tcPr>
          <w:p w14:paraId="676D2243"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14.19</w:t>
            </w:r>
          </w:p>
        </w:tc>
      </w:tr>
      <w:tr w:rsidR="004E19CB" w:rsidRPr="00401B79" w14:paraId="0AA62539" w14:textId="77777777" w:rsidTr="00650395">
        <w:trPr>
          <w:trHeight w:val="221"/>
          <w:jc w:val="center"/>
        </w:trPr>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1C8D50"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WE</w:t>
            </w:r>
          </w:p>
        </w:tc>
        <w:tc>
          <w:tcPr>
            <w:tcW w:w="1246" w:type="dxa"/>
            <w:tcBorders>
              <w:top w:val="single" w:sz="4" w:space="0" w:color="auto"/>
              <w:left w:val="nil"/>
              <w:bottom w:val="single" w:sz="4" w:space="0" w:color="auto"/>
              <w:right w:val="single" w:sz="4" w:space="0" w:color="auto"/>
            </w:tcBorders>
            <w:shd w:val="clear" w:color="auto" w:fill="auto"/>
            <w:noWrap/>
            <w:vAlign w:val="center"/>
          </w:tcPr>
          <w:p w14:paraId="3F65E531"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0.03</w:t>
            </w:r>
          </w:p>
        </w:tc>
        <w:tc>
          <w:tcPr>
            <w:tcW w:w="1121" w:type="dxa"/>
            <w:tcBorders>
              <w:top w:val="single" w:sz="4" w:space="0" w:color="auto"/>
              <w:left w:val="nil"/>
              <w:bottom w:val="single" w:sz="4" w:space="0" w:color="auto"/>
              <w:right w:val="single" w:sz="4" w:space="0" w:color="auto"/>
            </w:tcBorders>
            <w:shd w:val="clear" w:color="auto" w:fill="auto"/>
            <w:noWrap/>
            <w:vAlign w:val="center"/>
          </w:tcPr>
          <w:p w14:paraId="43166C4F"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27.00</w:t>
            </w:r>
          </w:p>
        </w:tc>
        <w:tc>
          <w:tcPr>
            <w:tcW w:w="1127" w:type="dxa"/>
            <w:tcBorders>
              <w:top w:val="single" w:sz="4" w:space="0" w:color="auto"/>
              <w:left w:val="nil"/>
              <w:bottom w:val="single" w:sz="4" w:space="0" w:color="auto"/>
              <w:right w:val="single" w:sz="4" w:space="0" w:color="auto"/>
            </w:tcBorders>
            <w:shd w:val="clear" w:color="auto" w:fill="auto"/>
            <w:noWrap/>
            <w:vAlign w:val="center"/>
          </w:tcPr>
          <w:p w14:paraId="4E45DA08"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27.03</w:t>
            </w:r>
          </w:p>
        </w:tc>
        <w:tc>
          <w:tcPr>
            <w:tcW w:w="1249" w:type="dxa"/>
            <w:tcBorders>
              <w:top w:val="single" w:sz="4" w:space="0" w:color="auto"/>
              <w:left w:val="single" w:sz="4" w:space="0" w:color="auto"/>
              <w:bottom w:val="single" w:sz="4" w:space="0" w:color="auto"/>
              <w:right w:val="single" w:sz="4" w:space="0" w:color="auto"/>
            </w:tcBorders>
            <w:vAlign w:val="center"/>
          </w:tcPr>
          <w:p w14:paraId="68CA3BBF"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0.41</w:t>
            </w:r>
          </w:p>
        </w:tc>
        <w:tc>
          <w:tcPr>
            <w:tcW w:w="1124" w:type="dxa"/>
            <w:tcBorders>
              <w:top w:val="single" w:sz="4" w:space="0" w:color="auto"/>
              <w:left w:val="single" w:sz="4" w:space="0" w:color="auto"/>
              <w:bottom w:val="single" w:sz="4" w:space="0" w:color="auto"/>
              <w:right w:val="single" w:sz="4" w:space="0" w:color="auto"/>
            </w:tcBorders>
            <w:vAlign w:val="center"/>
          </w:tcPr>
          <w:p w14:paraId="3162FC3C"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18.18</w:t>
            </w:r>
          </w:p>
        </w:tc>
        <w:tc>
          <w:tcPr>
            <w:tcW w:w="1130" w:type="dxa"/>
            <w:tcBorders>
              <w:top w:val="single" w:sz="4" w:space="0" w:color="auto"/>
              <w:left w:val="single" w:sz="4" w:space="0" w:color="auto"/>
              <w:bottom w:val="single" w:sz="4" w:space="0" w:color="auto"/>
              <w:right w:val="single" w:sz="4" w:space="0" w:color="auto"/>
            </w:tcBorders>
            <w:vAlign w:val="center"/>
          </w:tcPr>
          <w:p w14:paraId="3D734836"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18.59</w:t>
            </w:r>
          </w:p>
        </w:tc>
      </w:tr>
      <w:tr w:rsidR="004E19CB" w:rsidRPr="00401B79" w14:paraId="3BA16D44" w14:textId="77777777" w:rsidTr="00650395">
        <w:trPr>
          <w:trHeight w:val="221"/>
          <w:jc w:val="center"/>
        </w:trPr>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2EEBAE0"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GF</w:t>
            </w:r>
          </w:p>
        </w:tc>
        <w:tc>
          <w:tcPr>
            <w:tcW w:w="1246" w:type="dxa"/>
            <w:tcBorders>
              <w:top w:val="single" w:sz="4" w:space="0" w:color="auto"/>
              <w:left w:val="nil"/>
              <w:bottom w:val="single" w:sz="4" w:space="0" w:color="auto"/>
              <w:right w:val="single" w:sz="4" w:space="0" w:color="auto"/>
            </w:tcBorders>
            <w:shd w:val="clear" w:color="auto" w:fill="auto"/>
            <w:noWrap/>
            <w:vAlign w:val="center"/>
          </w:tcPr>
          <w:p w14:paraId="3B83DB92"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3.84</w:t>
            </w:r>
          </w:p>
        </w:tc>
        <w:tc>
          <w:tcPr>
            <w:tcW w:w="1121" w:type="dxa"/>
            <w:tcBorders>
              <w:top w:val="single" w:sz="4" w:space="0" w:color="auto"/>
              <w:left w:val="nil"/>
              <w:bottom w:val="single" w:sz="4" w:space="0" w:color="auto"/>
              <w:right w:val="single" w:sz="4" w:space="0" w:color="auto"/>
            </w:tcBorders>
            <w:shd w:val="clear" w:color="auto" w:fill="auto"/>
            <w:noWrap/>
            <w:vAlign w:val="center"/>
          </w:tcPr>
          <w:p w14:paraId="4C8B52B8"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10.42</w:t>
            </w:r>
          </w:p>
        </w:tc>
        <w:tc>
          <w:tcPr>
            <w:tcW w:w="1127" w:type="dxa"/>
            <w:tcBorders>
              <w:top w:val="single" w:sz="4" w:space="0" w:color="auto"/>
              <w:left w:val="nil"/>
              <w:bottom w:val="single" w:sz="4" w:space="0" w:color="auto"/>
              <w:right w:val="single" w:sz="4" w:space="0" w:color="auto"/>
            </w:tcBorders>
            <w:shd w:val="clear" w:color="auto" w:fill="auto"/>
            <w:noWrap/>
            <w:vAlign w:val="center"/>
          </w:tcPr>
          <w:p w14:paraId="17F13F27"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14.26</w:t>
            </w:r>
          </w:p>
        </w:tc>
        <w:tc>
          <w:tcPr>
            <w:tcW w:w="1249" w:type="dxa"/>
            <w:tcBorders>
              <w:top w:val="single" w:sz="4" w:space="0" w:color="auto"/>
              <w:left w:val="single" w:sz="4" w:space="0" w:color="auto"/>
              <w:bottom w:val="single" w:sz="4" w:space="0" w:color="auto"/>
              <w:right w:val="single" w:sz="4" w:space="0" w:color="auto"/>
            </w:tcBorders>
            <w:vAlign w:val="center"/>
          </w:tcPr>
          <w:p w14:paraId="1D107AA2"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3.43</w:t>
            </w:r>
          </w:p>
        </w:tc>
        <w:tc>
          <w:tcPr>
            <w:tcW w:w="1124" w:type="dxa"/>
            <w:tcBorders>
              <w:top w:val="single" w:sz="4" w:space="0" w:color="auto"/>
              <w:left w:val="single" w:sz="4" w:space="0" w:color="auto"/>
              <w:bottom w:val="single" w:sz="4" w:space="0" w:color="auto"/>
              <w:right w:val="single" w:sz="4" w:space="0" w:color="auto"/>
            </w:tcBorders>
            <w:vAlign w:val="center"/>
          </w:tcPr>
          <w:p w14:paraId="1C3D6CEC"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8.26</w:t>
            </w:r>
          </w:p>
        </w:tc>
        <w:tc>
          <w:tcPr>
            <w:tcW w:w="1130" w:type="dxa"/>
            <w:tcBorders>
              <w:top w:val="single" w:sz="4" w:space="0" w:color="auto"/>
              <w:left w:val="single" w:sz="4" w:space="0" w:color="auto"/>
              <w:bottom w:val="single" w:sz="4" w:space="0" w:color="auto"/>
              <w:right w:val="single" w:sz="4" w:space="0" w:color="auto"/>
            </w:tcBorders>
            <w:vAlign w:val="center"/>
          </w:tcPr>
          <w:p w14:paraId="7B886BED"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11.69</w:t>
            </w:r>
          </w:p>
        </w:tc>
      </w:tr>
      <w:tr w:rsidR="004E19CB" w:rsidRPr="00401B79" w14:paraId="09A1FCDB" w14:textId="77777777" w:rsidTr="00650395">
        <w:trPr>
          <w:trHeight w:val="221"/>
          <w:jc w:val="center"/>
        </w:trPr>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E9A172"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GD</w:t>
            </w:r>
          </w:p>
        </w:tc>
        <w:tc>
          <w:tcPr>
            <w:tcW w:w="1246" w:type="dxa"/>
            <w:tcBorders>
              <w:top w:val="single" w:sz="4" w:space="0" w:color="auto"/>
              <w:left w:val="nil"/>
              <w:bottom w:val="single" w:sz="4" w:space="0" w:color="auto"/>
              <w:right w:val="single" w:sz="4" w:space="0" w:color="auto"/>
            </w:tcBorders>
            <w:shd w:val="clear" w:color="auto" w:fill="auto"/>
            <w:noWrap/>
            <w:vAlign w:val="center"/>
          </w:tcPr>
          <w:p w14:paraId="2FE360CA"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1.53</w:t>
            </w:r>
          </w:p>
        </w:tc>
        <w:tc>
          <w:tcPr>
            <w:tcW w:w="1121" w:type="dxa"/>
            <w:tcBorders>
              <w:top w:val="single" w:sz="4" w:space="0" w:color="auto"/>
              <w:left w:val="nil"/>
              <w:bottom w:val="single" w:sz="4" w:space="0" w:color="auto"/>
              <w:right w:val="single" w:sz="4" w:space="0" w:color="auto"/>
            </w:tcBorders>
            <w:shd w:val="clear" w:color="auto" w:fill="auto"/>
            <w:noWrap/>
            <w:vAlign w:val="center"/>
          </w:tcPr>
          <w:p w14:paraId="4104FF12"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15.27</w:t>
            </w:r>
          </w:p>
        </w:tc>
        <w:tc>
          <w:tcPr>
            <w:tcW w:w="1127" w:type="dxa"/>
            <w:tcBorders>
              <w:top w:val="single" w:sz="4" w:space="0" w:color="auto"/>
              <w:left w:val="nil"/>
              <w:bottom w:val="single" w:sz="4" w:space="0" w:color="auto"/>
              <w:right w:val="single" w:sz="4" w:space="0" w:color="auto"/>
            </w:tcBorders>
            <w:shd w:val="clear" w:color="auto" w:fill="auto"/>
            <w:noWrap/>
            <w:vAlign w:val="center"/>
          </w:tcPr>
          <w:p w14:paraId="77BA3FA2"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16.80</w:t>
            </w:r>
          </w:p>
        </w:tc>
        <w:tc>
          <w:tcPr>
            <w:tcW w:w="1249" w:type="dxa"/>
            <w:tcBorders>
              <w:top w:val="single" w:sz="4" w:space="0" w:color="auto"/>
              <w:left w:val="single" w:sz="4" w:space="0" w:color="auto"/>
              <w:bottom w:val="single" w:sz="4" w:space="0" w:color="auto"/>
              <w:right w:val="single" w:sz="4" w:space="0" w:color="auto"/>
            </w:tcBorders>
            <w:vAlign w:val="center"/>
          </w:tcPr>
          <w:p w14:paraId="3F2831D9"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0.79</w:t>
            </w:r>
          </w:p>
        </w:tc>
        <w:tc>
          <w:tcPr>
            <w:tcW w:w="1124" w:type="dxa"/>
            <w:tcBorders>
              <w:top w:val="single" w:sz="4" w:space="0" w:color="auto"/>
              <w:left w:val="single" w:sz="4" w:space="0" w:color="auto"/>
              <w:bottom w:val="single" w:sz="4" w:space="0" w:color="auto"/>
              <w:right w:val="single" w:sz="4" w:space="0" w:color="auto"/>
            </w:tcBorders>
            <w:vAlign w:val="center"/>
          </w:tcPr>
          <w:p w14:paraId="040D1F63"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14.30</w:t>
            </w:r>
          </w:p>
        </w:tc>
        <w:tc>
          <w:tcPr>
            <w:tcW w:w="1130" w:type="dxa"/>
            <w:tcBorders>
              <w:top w:val="single" w:sz="4" w:space="0" w:color="auto"/>
              <w:left w:val="single" w:sz="4" w:space="0" w:color="auto"/>
              <w:bottom w:val="single" w:sz="4" w:space="0" w:color="auto"/>
              <w:right w:val="single" w:sz="4" w:space="0" w:color="auto"/>
            </w:tcBorders>
            <w:vAlign w:val="center"/>
          </w:tcPr>
          <w:p w14:paraId="0679CC5F"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15.08</w:t>
            </w:r>
          </w:p>
        </w:tc>
      </w:tr>
      <w:tr w:rsidR="004E19CB" w:rsidRPr="00401B79" w14:paraId="4BB97387" w14:textId="77777777" w:rsidTr="00650395">
        <w:trPr>
          <w:trHeight w:val="221"/>
          <w:jc w:val="center"/>
        </w:trPr>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6E14B5"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GE</w:t>
            </w:r>
          </w:p>
        </w:tc>
        <w:tc>
          <w:tcPr>
            <w:tcW w:w="1246" w:type="dxa"/>
            <w:tcBorders>
              <w:top w:val="single" w:sz="4" w:space="0" w:color="auto"/>
              <w:left w:val="nil"/>
              <w:bottom w:val="single" w:sz="4" w:space="0" w:color="auto"/>
              <w:right w:val="single" w:sz="4" w:space="0" w:color="auto"/>
            </w:tcBorders>
            <w:shd w:val="clear" w:color="auto" w:fill="auto"/>
            <w:noWrap/>
            <w:vAlign w:val="center"/>
          </w:tcPr>
          <w:p w14:paraId="681D319A"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4.18</w:t>
            </w:r>
          </w:p>
        </w:tc>
        <w:tc>
          <w:tcPr>
            <w:tcW w:w="1121" w:type="dxa"/>
            <w:tcBorders>
              <w:top w:val="single" w:sz="4" w:space="0" w:color="auto"/>
              <w:left w:val="nil"/>
              <w:bottom w:val="single" w:sz="4" w:space="0" w:color="auto"/>
              <w:right w:val="single" w:sz="4" w:space="0" w:color="auto"/>
            </w:tcBorders>
            <w:shd w:val="clear" w:color="auto" w:fill="auto"/>
            <w:noWrap/>
            <w:vAlign w:val="center"/>
          </w:tcPr>
          <w:p w14:paraId="4304D695"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48.85</w:t>
            </w:r>
          </w:p>
        </w:tc>
        <w:tc>
          <w:tcPr>
            <w:tcW w:w="1127" w:type="dxa"/>
            <w:tcBorders>
              <w:top w:val="single" w:sz="4" w:space="0" w:color="auto"/>
              <w:left w:val="nil"/>
              <w:bottom w:val="single" w:sz="4" w:space="0" w:color="auto"/>
              <w:right w:val="single" w:sz="4" w:space="0" w:color="auto"/>
            </w:tcBorders>
            <w:shd w:val="clear" w:color="auto" w:fill="auto"/>
            <w:noWrap/>
            <w:vAlign w:val="center"/>
          </w:tcPr>
          <w:p w14:paraId="2BA8F2B7"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53.03</w:t>
            </w:r>
          </w:p>
        </w:tc>
        <w:tc>
          <w:tcPr>
            <w:tcW w:w="1249" w:type="dxa"/>
            <w:tcBorders>
              <w:top w:val="single" w:sz="4" w:space="0" w:color="auto"/>
              <w:left w:val="single" w:sz="4" w:space="0" w:color="auto"/>
              <w:bottom w:val="single" w:sz="4" w:space="0" w:color="auto"/>
              <w:right w:val="single" w:sz="4" w:space="0" w:color="auto"/>
            </w:tcBorders>
            <w:vAlign w:val="center"/>
          </w:tcPr>
          <w:p w14:paraId="0B740F21"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1.67</w:t>
            </w:r>
          </w:p>
        </w:tc>
        <w:tc>
          <w:tcPr>
            <w:tcW w:w="1124" w:type="dxa"/>
            <w:tcBorders>
              <w:top w:val="single" w:sz="4" w:space="0" w:color="auto"/>
              <w:left w:val="single" w:sz="4" w:space="0" w:color="auto"/>
              <w:bottom w:val="single" w:sz="4" w:space="0" w:color="auto"/>
              <w:right w:val="single" w:sz="4" w:space="0" w:color="auto"/>
            </w:tcBorders>
            <w:vAlign w:val="center"/>
          </w:tcPr>
          <w:p w14:paraId="7E7524C0"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33.97</w:t>
            </w:r>
          </w:p>
        </w:tc>
        <w:tc>
          <w:tcPr>
            <w:tcW w:w="1130" w:type="dxa"/>
            <w:tcBorders>
              <w:top w:val="single" w:sz="4" w:space="0" w:color="auto"/>
              <w:left w:val="single" w:sz="4" w:space="0" w:color="auto"/>
              <w:bottom w:val="single" w:sz="4" w:space="0" w:color="auto"/>
              <w:right w:val="single" w:sz="4" w:space="0" w:color="auto"/>
            </w:tcBorders>
            <w:vAlign w:val="center"/>
          </w:tcPr>
          <w:p w14:paraId="6F0FC9B1"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35.64</w:t>
            </w:r>
          </w:p>
        </w:tc>
      </w:tr>
      <w:tr w:rsidR="004E19CB" w:rsidRPr="00401B79" w14:paraId="1139C62D" w14:textId="77777777" w:rsidTr="00650395">
        <w:trPr>
          <w:trHeight w:val="221"/>
          <w:jc w:val="center"/>
        </w:trPr>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91CEFF"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FD</w:t>
            </w:r>
          </w:p>
        </w:tc>
        <w:tc>
          <w:tcPr>
            <w:tcW w:w="1246" w:type="dxa"/>
            <w:tcBorders>
              <w:top w:val="single" w:sz="4" w:space="0" w:color="auto"/>
              <w:left w:val="nil"/>
              <w:bottom w:val="single" w:sz="4" w:space="0" w:color="auto"/>
              <w:right w:val="single" w:sz="4" w:space="0" w:color="auto"/>
            </w:tcBorders>
            <w:shd w:val="clear" w:color="auto" w:fill="auto"/>
            <w:noWrap/>
            <w:vAlign w:val="center"/>
          </w:tcPr>
          <w:p w14:paraId="08BED505"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0.97</w:t>
            </w:r>
          </w:p>
        </w:tc>
        <w:tc>
          <w:tcPr>
            <w:tcW w:w="1121" w:type="dxa"/>
            <w:tcBorders>
              <w:top w:val="single" w:sz="4" w:space="0" w:color="auto"/>
              <w:left w:val="nil"/>
              <w:bottom w:val="single" w:sz="4" w:space="0" w:color="auto"/>
              <w:right w:val="single" w:sz="4" w:space="0" w:color="auto"/>
            </w:tcBorders>
            <w:shd w:val="clear" w:color="auto" w:fill="auto"/>
            <w:noWrap/>
            <w:vAlign w:val="center"/>
          </w:tcPr>
          <w:p w14:paraId="1BFEE621"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15.27</w:t>
            </w:r>
          </w:p>
        </w:tc>
        <w:tc>
          <w:tcPr>
            <w:tcW w:w="1127" w:type="dxa"/>
            <w:tcBorders>
              <w:top w:val="single" w:sz="4" w:space="0" w:color="auto"/>
              <w:left w:val="nil"/>
              <w:bottom w:val="single" w:sz="4" w:space="0" w:color="auto"/>
              <w:right w:val="single" w:sz="4" w:space="0" w:color="auto"/>
            </w:tcBorders>
            <w:shd w:val="clear" w:color="auto" w:fill="auto"/>
            <w:noWrap/>
            <w:vAlign w:val="center"/>
          </w:tcPr>
          <w:p w14:paraId="1CCF3424"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16.24</w:t>
            </w:r>
          </w:p>
        </w:tc>
        <w:tc>
          <w:tcPr>
            <w:tcW w:w="1249" w:type="dxa"/>
            <w:tcBorders>
              <w:top w:val="single" w:sz="4" w:space="0" w:color="auto"/>
              <w:left w:val="single" w:sz="4" w:space="0" w:color="auto"/>
              <w:bottom w:val="single" w:sz="4" w:space="0" w:color="auto"/>
              <w:right w:val="single" w:sz="4" w:space="0" w:color="auto"/>
            </w:tcBorders>
            <w:vAlign w:val="center"/>
          </w:tcPr>
          <w:p w14:paraId="54100CBD"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0.31</w:t>
            </w:r>
          </w:p>
        </w:tc>
        <w:tc>
          <w:tcPr>
            <w:tcW w:w="1124" w:type="dxa"/>
            <w:tcBorders>
              <w:top w:val="single" w:sz="4" w:space="0" w:color="auto"/>
              <w:left w:val="single" w:sz="4" w:space="0" w:color="auto"/>
              <w:bottom w:val="single" w:sz="4" w:space="0" w:color="auto"/>
              <w:right w:val="single" w:sz="4" w:space="0" w:color="auto"/>
            </w:tcBorders>
            <w:vAlign w:val="center"/>
          </w:tcPr>
          <w:p w14:paraId="06C58954"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14.30</w:t>
            </w:r>
          </w:p>
        </w:tc>
        <w:tc>
          <w:tcPr>
            <w:tcW w:w="1130" w:type="dxa"/>
            <w:tcBorders>
              <w:top w:val="single" w:sz="4" w:space="0" w:color="auto"/>
              <w:left w:val="single" w:sz="4" w:space="0" w:color="auto"/>
              <w:bottom w:val="single" w:sz="4" w:space="0" w:color="auto"/>
              <w:right w:val="single" w:sz="4" w:space="0" w:color="auto"/>
            </w:tcBorders>
            <w:vAlign w:val="center"/>
          </w:tcPr>
          <w:p w14:paraId="633206BF"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14.60</w:t>
            </w:r>
          </w:p>
        </w:tc>
      </w:tr>
      <w:tr w:rsidR="004E19CB" w:rsidRPr="00401B79" w14:paraId="703B2037" w14:textId="77777777" w:rsidTr="00650395">
        <w:trPr>
          <w:trHeight w:val="221"/>
          <w:jc w:val="center"/>
        </w:trPr>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0745854"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FE</w:t>
            </w:r>
          </w:p>
        </w:tc>
        <w:tc>
          <w:tcPr>
            <w:tcW w:w="1246" w:type="dxa"/>
            <w:tcBorders>
              <w:top w:val="single" w:sz="4" w:space="0" w:color="auto"/>
              <w:left w:val="nil"/>
              <w:bottom w:val="single" w:sz="4" w:space="0" w:color="auto"/>
              <w:right w:val="single" w:sz="4" w:space="0" w:color="auto"/>
            </w:tcBorders>
            <w:shd w:val="clear" w:color="auto" w:fill="auto"/>
            <w:noWrap/>
            <w:vAlign w:val="center"/>
          </w:tcPr>
          <w:p w14:paraId="3A6D8042"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44.00</w:t>
            </w:r>
          </w:p>
        </w:tc>
        <w:tc>
          <w:tcPr>
            <w:tcW w:w="1121" w:type="dxa"/>
            <w:tcBorders>
              <w:top w:val="single" w:sz="4" w:space="0" w:color="auto"/>
              <w:left w:val="nil"/>
              <w:bottom w:val="single" w:sz="4" w:space="0" w:color="auto"/>
              <w:right w:val="single" w:sz="4" w:space="0" w:color="auto"/>
            </w:tcBorders>
            <w:shd w:val="clear" w:color="auto" w:fill="auto"/>
            <w:noWrap/>
            <w:vAlign w:val="center"/>
          </w:tcPr>
          <w:p w14:paraId="15DE33A1"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0.00</w:t>
            </w:r>
          </w:p>
        </w:tc>
        <w:tc>
          <w:tcPr>
            <w:tcW w:w="1127" w:type="dxa"/>
            <w:tcBorders>
              <w:top w:val="single" w:sz="4" w:space="0" w:color="auto"/>
              <w:left w:val="nil"/>
              <w:bottom w:val="single" w:sz="4" w:space="0" w:color="auto"/>
              <w:right w:val="single" w:sz="4" w:space="0" w:color="auto"/>
            </w:tcBorders>
            <w:shd w:val="clear" w:color="auto" w:fill="auto"/>
            <w:noWrap/>
            <w:vAlign w:val="center"/>
          </w:tcPr>
          <w:p w14:paraId="086F5E31"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44.00</w:t>
            </w:r>
          </w:p>
        </w:tc>
        <w:tc>
          <w:tcPr>
            <w:tcW w:w="1249" w:type="dxa"/>
            <w:tcBorders>
              <w:top w:val="single" w:sz="4" w:space="0" w:color="auto"/>
              <w:left w:val="single" w:sz="4" w:space="0" w:color="auto"/>
              <w:bottom w:val="single" w:sz="4" w:space="0" w:color="auto"/>
              <w:right w:val="single" w:sz="4" w:space="0" w:color="auto"/>
            </w:tcBorders>
            <w:vAlign w:val="center"/>
          </w:tcPr>
          <w:p w14:paraId="337D21D8"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30.50</w:t>
            </w:r>
          </w:p>
        </w:tc>
        <w:tc>
          <w:tcPr>
            <w:tcW w:w="1124" w:type="dxa"/>
            <w:tcBorders>
              <w:top w:val="single" w:sz="4" w:space="0" w:color="auto"/>
              <w:left w:val="single" w:sz="4" w:space="0" w:color="auto"/>
              <w:bottom w:val="single" w:sz="4" w:space="0" w:color="auto"/>
              <w:right w:val="single" w:sz="4" w:space="0" w:color="auto"/>
            </w:tcBorders>
            <w:vAlign w:val="center"/>
          </w:tcPr>
          <w:p w14:paraId="62881D1B"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0.10</w:t>
            </w:r>
          </w:p>
        </w:tc>
        <w:tc>
          <w:tcPr>
            <w:tcW w:w="1130" w:type="dxa"/>
            <w:tcBorders>
              <w:top w:val="single" w:sz="4" w:space="0" w:color="auto"/>
              <w:left w:val="single" w:sz="4" w:space="0" w:color="auto"/>
              <w:bottom w:val="single" w:sz="4" w:space="0" w:color="auto"/>
              <w:right w:val="single" w:sz="4" w:space="0" w:color="auto"/>
            </w:tcBorders>
            <w:vAlign w:val="center"/>
          </w:tcPr>
          <w:p w14:paraId="1AD17325"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30.60</w:t>
            </w:r>
          </w:p>
        </w:tc>
      </w:tr>
      <w:tr w:rsidR="004E19CB" w:rsidRPr="00401B79" w14:paraId="364E9869" w14:textId="77777777" w:rsidTr="00650395">
        <w:trPr>
          <w:trHeight w:val="221"/>
          <w:jc w:val="center"/>
        </w:trPr>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4FCCA7"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DE</w:t>
            </w:r>
          </w:p>
        </w:tc>
        <w:tc>
          <w:tcPr>
            <w:tcW w:w="1246" w:type="dxa"/>
            <w:tcBorders>
              <w:top w:val="single" w:sz="4" w:space="0" w:color="auto"/>
              <w:left w:val="nil"/>
              <w:bottom w:val="single" w:sz="4" w:space="0" w:color="auto"/>
              <w:right w:val="single" w:sz="4" w:space="0" w:color="auto"/>
            </w:tcBorders>
            <w:shd w:val="clear" w:color="auto" w:fill="auto"/>
            <w:noWrap/>
            <w:vAlign w:val="center"/>
          </w:tcPr>
          <w:p w14:paraId="3B6AE115"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3.11</w:t>
            </w:r>
          </w:p>
        </w:tc>
        <w:tc>
          <w:tcPr>
            <w:tcW w:w="1121" w:type="dxa"/>
            <w:tcBorders>
              <w:top w:val="single" w:sz="4" w:space="0" w:color="auto"/>
              <w:left w:val="nil"/>
              <w:bottom w:val="single" w:sz="4" w:space="0" w:color="auto"/>
              <w:right w:val="single" w:sz="4" w:space="0" w:color="auto"/>
            </w:tcBorders>
            <w:shd w:val="clear" w:color="auto" w:fill="auto"/>
            <w:noWrap/>
            <w:vAlign w:val="center"/>
          </w:tcPr>
          <w:p w14:paraId="0E49C83C"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15.27</w:t>
            </w:r>
          </w:p>
        </w:tc>
        <w:tc>
          <w:tcPr>
            <w:tcW w:w="1127" w:type="dxa"/>
            <w:tcBorders>
              <w:top w:val="single" w:sz="4" w:space="0" w:color="auto"/>
              <w:left w:val="nil"/>
              <w:bottom w:val="single" w:sz="4" w:space="0" w:color="auto"/>
              <w:right w:val="single" w:sz="4" w:space="0" w:color="auto"/>
            </w:tcBorders>
            <w:shd w:val="clear" w:color="auto" w:fill="auto"/>
            <w:noWrap/>
            <w:vAlign w:val="center"/>
          </w:tcPr>
          <w:p w14:paraId="3F9364F6" w14:textId="77777777" w:rsidR="004E19CB" w:rsidRPr="00401B79" w:rsidRDefault="004E19C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18.38</w:t>
            </w:r>
          </w:p>
        </w:tc>
        <w:tc>
          <w:tcPr>
            <w:tcW w:w="1249" w:type="dxa"/>
            <w:tcBorders>
              <w:top w:val="single" w:sz="4" w:space="0" w:color="auto"/>
              <w:left w:val="single" w:sz="4" w:space="0" w:color="auto"/>
              <w:bottom w:val="single" w:sz="4" w:space="0" w:color="auto"/>
              <w:right w:val="single" w:sz="4" w:space="0" w:color="auto"/>
            </w:tcBorders>
            <w:vAlign w:val="center"/>
          </w:tcPr>
          <w:p w14:paraId="14950FEE"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1.53</w:t>
            </w:r>
          </w:p>
        </w:tc>
        <w:tc>
          <w:tcPr>
            <w:tcW w:w="1124" w:type="dxa"/>
            <w:tcBorders>
              <w:top w:val="single" w:sz="4" w:space="0" w:color="auto"/>
              <w:left w:val="single" w:sz="4" w:space="0" w:color="auto"/>
              <w:bottom w:val="single" w:sz="4" w:space="0" w:color="auto"/>
              <w:right w:val="single" w:sz="4" w:space="0" w:color="auto"/>
            </w:tcBorders>
            <w:vAlign w:val="center"/>
          </w:tcPr>
          <w:p w14:paraId="3590D9C7"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14.30</w:t>
            </w:r>
          </w:p>
        </w:tc>
        <w:tc>
          <w:tcPr>
            <w:tcW w:w="1130" w:type="dxa"/>
            <w:tcBorders>
              <w:top w:val="single" w:sz="4" w:space="0" w:color="auto"/>
              <w:left w:val="single" w:sz="4" w:space="0" w:color="auto"/>
              <w:bottom w:val="single" w:sz="4" w:space="0" w:color="auto"/>
              <w:right w:val="single" w:sz="4" w:space="0" w:color="auto"/>
            </w:tcBorders>
            <w:vAlign w:val="center"/>
          </w:tcPr>
          <w:p w14:paraId="10FF899A" w14:textId="77777777" w:rsidR="004E19CB" w:rsidRPr="00401B79" w:rsidRDefault="004E19CB" w:rsidP="00650395">
            <w:pPr>
              <w:spacing w:line="276" w:lineRule="auto"/>
              <w:jc w:val="center"/>
              <w:rPr>
                <w:rFonts w:cs="Times New Roman"/>
                <w:color w:val="000000"/>
                <w:sz w:val="20"/>
                <w:szCs w:val="20"/>
              </w:rPr>
            </w:pPr>
            <w:r w:rsidRPr="00401B79">
              <w:rPr>
                <w:rFonts w:cs="Times New Roman"/>
                <w:color w:val="000000"/>
                <w:sz w:val="20"/>
                <w:szCs w:val="20"/>
              </w:rPr>
              <w:t>15.83</w:t>
            </w:r>
          </w:p>
        </w:tc>
      </w:tr>
    </w:tbl>
    <w:p w14:paraId="0039C838" w14:textId="77777777" w:rsidR="004E19CB" w:rsidRPr="00401B79" w:rsidRDefault="004E19CB" w:rsidP="004E19CB">
      <w:pPr>
        <w:rPr>
          <w:rFonts w:cs="Times New Roman"/>
        </w:rPr>
      </w:pPr>
    </w:p>
    <w:p w14:paraId="2D2E054A" w14:textId="27CB4FF4" w:rsidR="004E19CB" w:rsidRDefault="004E19CB" w:rsidP="00B555D8">
      <w:pPr>
        <w:ind w:firstLine="720"/>
        <w:rPr>
          <w:rFonts w:eastAsia="Times New Roman" w:cs="Times New Roman"/>
          <w:szCs w:val="24"/>
          <w:lang w:bidi="en-US"/>
        </w:rPr>
      </w:pPr>
    </w:p>
    <w:p w14:paraId="3DC7158A" w14:textId="19921711" w:rsidR="00783E42" w:rsidRDefault="00783E42" w:rsidP="00B555D8">
      <w:pPr>
        <w:ind w:firstLine="720"/>
        <w:rPr>
          <w:rFonts w:eastAsia="Times New Roman" w:cs="Times New Roman"/>
          <w:szCs w:val="24"/>
          <w:lang w:bidi="en-US"/>
        </w:rPr>
      </w:pPr>
    </w:p>
    <w:p w14:paraId="148BA90A" w14:textId="4CE0B182" w:rsidR="00783E42" w:rsidRDefault="00783E42" w:rsidP="00B555D8">
      <w:pPr>
        <w:ind w:firstLine="720"/>
        <w:rPr>
          <w:rFonts w:eastAsia="Times New Roman" w:cs="Times New Roman"/>
          <w:szCs w:val="24"/>
          <w:lang w:bidi="en-US"/>
        </w:rPr>
      </w:pPr>
    </w:p>
    <w:p w14:paraId="6306B000" w14:textId="129ADFCC" w:rsidR="00783E42" w:rsidRDefault="00783E42" w:rsidP="00B555D8">
      <w:pPr>
        <w:ind w:firstLine="720"/>
        <w:rPr>
          <w:rFonts w:eastAsia="Times New Roman" w:cs="Times New Roman"/>
          <w:szCs w:val="24"/>
          <w:lang w:bidi="en-US"/>
        </w:rPr>
      </w:pPr>
    </w:p>
    <w:p w14:paraId="5A8848E2" w14:textId="3960F3A6" w:rsidR="00783E42" w:rsidRDefault="00783E42" w:rsidP="00B555D8">
      <w:pPr>
        <w:ind w:firstLine="720"/>
        <w:rPr>
          <w:rFonts w:eastAsia="Times New Roman" w:cs="Times New Roman"/>
          <w:szCs w:val="24"/>
          <w:lang w:bidi="en-US"/>
        </w:rPr>
      </w:pPr>
    </w:p>
    <w:p w14:paraId="58C4DF30" w14:textId="3C34769F" w:rsidR="00783E42" w:rsidRPr="0016503A" w:rsidRDefault="002438A2" w:rsidP="00537471">
      <w:pPr>
        <w:pStyle w:val="Caption"/>
        <w:spacing w:line="480" w:lineRule="auto"/>
        <w:jc w:val="center"/>
        <w:rPr>
          <w:szCs w:val="24"/>
        </w:rPr>
      </w:pPr>
      <w:bookmarkStart w:id="56" w:name="_Toc71330979"/>
      <w:r>
        <w:t xml:space="preserve">Table </w:t>
      </w:r>
      <w:fldSimple w:instr=" STYLEREF 1 \s ">
        <w:r w:rsidR="005050F0">
          <w:rPr>
            <w:noProof/>
          </w:rPr>
          <w:t>2</w:t>
        </w:r>
      </w:fldSimple>
      <w:r w:rsidR="00700639">
        <w:t>.</w:t>
      </w:r>
      <w:fldSimple w:instr=" SEQ Table \* ARABIC \s 1 ">
        <w:r w:rsidR="005050F0">
          <w:rPr>
            <w:noProof/>
          </w:rPr>
          <w:t>8</w:t>
        </w:r>
      </w:fldSimple>
      <w:r>
        <w:t xml:space="preserve"> </w:t>
      </w:r>
      <w:r w:rsidR="00783E42" w:rsidRPr="0016503A">
        <w:rPr>
          <w:szCs w:val="24"/>
        </w:rPr>
        <w:t xml:space="preserve">Energy </w:t>
      </w:r>
      <w:r w:rsidR="00783E42">
        <w:rPr>
          <w:szCs w:val="24"/>
        </w:rPr>
        <w:t>Parameters</w:t>
      </w:r>
      <w:r w:rsidR="00783E42" w:rsidRPr="0016503A">
        <w:rPr>
          <w:szCs w:val="24"/>
        </w:rPr>
        <w:t xml:space="preserve"> of </w:t>
      </w:r>
      <w:r w:rsidR="00783E42">
        <w:rPr>
          <w:szCs w:val="24"/>
        </w:rPr>
        <w:t>B</w:t>
      </w:r>
      <w:r w:rsidR="00783E42" w:rsidRPr="0016503A">
        <w:rPr>
          <w:szCs w:val="24"/>
        </w:rPr>
        <w:t>inder-</w:t>
      </w:r>
      <w:r w:rsidR="00783E42">
        <w:rPr>
          <w:szCs w:val="24"/>
        </w:rPr>
        <w:t>A</w:t>
      </w:r>
      <w:r w:rsidR="00783E42" w:rsidRPr="0016503A">
        <w:rPr>
          <w:szCs w:val="24"/>
        </w:rPr>
        <w:t xml:space="preserve">ggregate </w:t>
      </w:r>
      <w:r w:rsidR="00783E42">
        <w:rPr>
          <w:szCs w:val="24"/>
        </w:rPr>
        <w:t>S</w:t>
      </w:r>
      <w:r w:rsidR="00783E42" w:rsidRPr="0016503A">
        <w:rPr>
          <w:szCs w:val="24"/>
        </w:rPr>
        <w:t xml:space="preserve">ystems from Owens-Wendt </w:t>
      </w:r>
      <w:r w:rsidR="00783E42">
        <w:rPr>
          <w:szCs w:val="24"/>
        </w:rPr>
        <w:t>M</w:t>
      </w:r>
      <w:r w:rsidR="00783E42" w:rsidRPr="0016503A">
        <w:rPr>
          <w:szCs w:val="24"/>
        </w:rPr>
        <w:t>ethod</w:t>
      </w:r>
      <w:bookmarkEnd w:id="56"/>
    </w:p>
    <w:tbl>
      <w:tblPr>
        <w:tblW w:w="8785" w:type="dxa"/>
        <w:jc w:val="center"/>
        <w:tblLayout w:type="fixed"/>
        <w:tblLook w:val="04A0" w:firstRow="1" w:lastRow="0" w:firstColumn="1" w:lastColumn="0" w:noHBand="0" w:noVBand="1"/>
      </w:tblPr>
      <w:tblGrid>
        <w:gridCol w:w="1165"/>
        <w:gridCol w:w="1350"/>
        <w:gridCol w:w="1530"/>
        <w:gridCol w:w="900"/>
        <w:gridCol w:w="1471"/>
        <w:gridCol w:w="1499"/>
        <w:gridCol w:w="870"/>
      </w:tblGrid>
      <w:tr w:rsidR="00783E42" w:rsidRPr="00401B79" w14:paraId="192B08CC" w14:textId="77777777" w:rsidTr="00650395">
        <w:trPr>
          <w:trHeight w:val="221"/>
          <w:jc w:val="center"/>
        </w:trPr>
        <w:tc>
          <w:tcPr>
            <w:tcW w:w="116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3B3194B" w14:textId="77777777" w:rsidR="00783E42" w:rsidRPr="00401B79" w:rsidRDefault="00783E42" w:rsidP="00650395">
            <w:pPr>
              <w:spacing w:line="276" w:lineRule="auto"/>
              <w:jc w:val="center"/>
              <w:rPr>
                <w:rFonts w:eastAsia="Times New Roman" w:cs="Times New Roman"/>
                <w:b/>
                <w:bCs/>
                <w:color w:val="000000"/>
                <w:sz w:val="20"/>
                <w:szCs w:val="20"/>
              </w:rPr>
            </w:pPr>
            <w:r w:rsidRPr="00401B79">
              <w:rPr>
                <w:rFonts w:eastAsia="Times New Roman" w:cs="Times New Roman"/>
                <w:b/>
                <w:bCs/>
                <w:color w:val="000000"/>
                <w:sz w:val="20"/>
                <w:szCs w:val="20"/>
              </w:rPr>
              <w:t>Test liquid set</w:t>
            </w:r>
          </w:p>
        </w:tc>
        <w:tc>
          <w:tcPr>
            <w:tcW w:w="3780" w:type="dxa"/>
            <w:gridSpan w:val="3"/>
            <w:tcBorders>
              <w:top w:val="single" w:sz="4" w:space="0" w:color="auto"/>
              <w:left w:val="nil"/>
              <w:bottom w:val="single" w:sz="4" w:space="0" w:color="auto"/>
              <w:right w:val="single" w:sz="4" w:space="0" w:color="auto"/>
            </w:tcBorders>
            <w:shd w:val="clear" w:color="auto" w:fill="auto"/>
            <w:vAlign w:val="center"/>
          </w:tcPr>
          <w:p w14:paraId="58DE1874" w14:textId="77777777" w:rsidR="00783E42" w:rsidRPr="00401B79" w:rsidRDefault="00783E42" w:rsidP="00650395">
            <w:pPr>
              <w:spacing w:line="276" w:lineRule="auto"/>
              <w:jc w:val="center"/>
              <w:rPr>
                <w:rFonts w:eastAsia="Times New Roman" w:cs="Times New Roman"/>
                <w:b/>
                <w:bCs/>
                <w:sz w:val="20"/>
                <w:szCs w:val="20"/>
              </w:rPr>
            </w:pPr>
            <w:r w:rsidRPr="00401B79">
              <w:rPr>
                <w:rFonts w:eastAsia="Times New Roman" w:cs="Times New Roman"/>
                <w:b/>
                <w:bCs/>
                <w:sz w:val="20"/>
                <w:szCs w:val="20"/>
              </w:rPr>
              <w:t>S1 Binder</w:t>
            </w:r>
          </w:p>
        </w:tc>
        <w:tc>
          <w:tcPr>
            <w:tcW w:w="3840" w:type="dxa"/>
            <w:gridSpan w:val="3"/>
            <w:tcBorders>
              <w:top w:val="single" w:sz="4" w:space="0" w:color="auto"/>
              <w:left w:val="single" w:sz="4" w:space="0" w:color="auto"/>
              <w:bottom w:val="single" w:sz="4" w:space="0" w:color="auto"/>
              <w:right w:val="single" w:sz="4" w:space="0" w:color="auto"/>
            </w:tcBorders>
            <w:vAlign w:val="center"/>
          </w:tcPr>
          <w:p w14:paraId="5B5CFB8C" w14:textId="77777777" w:rsidR="00783E42" w:rsidRPr="00401B79" w:rsidRDefault="00783E42" w:rsidP="00650395">
            <w:pPr>
              <w:spacing w:line="276" w:lineRule="auto"/>
              <w:jc w:val="center"/>
              <w:rPr>
                <w:rFonts w:eastAsia="Times New Roman" w:cs="Times New Roman"/>
                <w:b/>
                <w:bCs/>
                <w:sz w:val="20"/>
                <w:szCs w:val="20"/>
              </w:rPr>
            </w:pPr>
            <w:r w:rsidRPr="00401B79">
              <w:rPr>
                <w:rFonts w:eastAsia="Times New Roman" w:cs="Times New Roman"/>
                <w:b/>
                <w:bCs/>
                <w:sz w:val="20"/>
                <w:szCs w:val="20"/>
              </w:rPr>
              <w:t>S4 Binder</w:t>
            </w:r>
          </w:p>
        </w:tc>
      </w:tr>
      <w:tr w:rsidR="00783E42" w:rsidRPr="00401B79" w14:paraId="7C220A1E" w14:textId="77777777" w:rsidTr="00650395">
        <w:trPr>
          <w:trHeight w:val="323"/>
          <w:jc w:val="center"/>
        </w:trPr>
        <w:tc>
          <w:tcPr>
            <w:tcW w:w="1165" w:type="dxa"/>
            <w:vMerge/>
            <w:tcBorders>
              <w:left w:val="single" w:sz="4" w:space="0" w:color="auto"/>
              <w:bottom w:val="single" w:sz="4" w:space="0" w:color="auto"/>
              <w:right w:val="single" w:sz="4" w:space="0" w:color="auto"/>
            </w:tcBorders>
            <w:shd w:val="clear" w:color="auto" w:fill="auto"/>
            <w:vAlign w:val="center"/>
            <w:hideMark/>
          </w:tcPr>
          <w:p w14:paraId="22FD32E8" w14:textId="77777777" w:rsidR="00783E42" w:rsidRPr="00401B79" w:rsidRDefault="00783E42" w:rsidP="00650395">
            <w:pPr>
              <w:spacing w:line="276" w:lineRule="auto"/>
              <w:jc w:val="center"/>
              <w:rPr>
                <w:rFonts w:eastAsia="Times New Roman" w:cs="Times New Roman"/>
                <w:b/>
                <w:bCs/>
                <w:color w:val="000000"/>
                <w:sz w:val="20"/>
                <w:szCs w:val="20"/>
              </w:rPr>
            </w:pPr>
          </w:p>
        </w:tc>
        <w:tc>
          <w:tcPr>
            <w:tcW w:w="1350" w:type="dxa"/>
            <w:tcBorders>
              <w:top w:val="nil"/>
              <w:left w:val="nil"/>
              <w:bottom w:val="single" w:sz="4" w:space="0" w:color="auto"/>
              <w:right w:val="single" w:sz="4" w:space="0" w:color="auto"/>
            </w:tcBorders>
            <w:shd w:val="clear" w:color="auto" w:fill="auto"/>
            <w:noWrap/>
            <w:vAlign w:val="center"/>
            <w:hideMark/>
          </w:tcPr>
          <w:p w14:paraId="6696BBFB" w14:textId="77777777" w:rsidR="00783E42" w:rsidRPr="00401B79" w:rsidRDefault="007F7885" w:rsidP="00650395">
            <w:pPr>
              <w:spacing w:line="276" w:lineRule="auto"/>
              <w:jc w:val="center"/>
              <w:rPr>
                <w:rFonts w:eastAsia="Times New Roman" w:cs="Times New Roman"/>
                <w:b/>
                <w:bCs/>
                <w:color w:val="000000"/>
                <w:sz w:val="20"/>
                <w:szCs w:val="20"/>
              </w:rPr>
            </w:pPr>
            <m:oMath>
              <m:sSub>
                <m:sSubPr>
                  <m:ctrlPr>
                    <w:rPr>
                      <w:rFonts w:ascii="Cambria Math" w:eastAsiaTheme="minorEastAsia" w:hAnsi="Cambria Math" w:cs="Times New Roman"/>
                      <w:b/>
                      <w:bCs/>
                      <w:i/>
                      <w:sz w:val="20"/>
                      <w:szCs w:val="20"/>
                    </w:rPr>
                  </m:ctrlPr>
                </m:sSubPr>
                <m:e>
                  <m:r>
                    <m:rPr>
                      <m:sty m:val="bi"/>
                    </m:rPr>
                    <w:rPr>
                      <w:rFonts w:ascii="Cambria Math" w:eastAsiaTheme="minorEastAsia" w:hAnsi="Cambria Math" w:cs="Times New Roman"/>
                      <w:sz w:val="20"/>
                      <w:szCs w:val="20"/>
                    </w:rPr>
                    <m:t>W</m:t>
                  </m:r>
                </m:e>
                <m:sub>
                  <m:r>
                    <m:rPr>
                      <m:sty m:val="bi"/>
                    </m:rPr>
                    <w:rPr>
                      <w:rFonts w:ascii="Cambria Math" w:eastAsiaTheme="minorEastAsia" w:hAnsi="Cambria Math" w:cs="Times New Roman"/>
                      <w:sz w:val="20"/>
                      <w:szCs w:val="20"/>
                    </w:rPr>
                    <m:t>AR</m:t>
                  </m:r>
                </m:sub>
              </m:sSub>
            </m:oMath>
            <w:r w:rsidR="00783E42" w:rsidRPr="00401B79">
              <w:rPr>
                <w:rFonts w:eastAsia="Times New Roman" w:cs="Times New Roman"/>
                <w:b/>
                <w:bCs/>
                <w:sz w:val="20"/>
                <w:szCs w:val="20"/>
              </w:rPr>
              <w:t xml:space="preserve"> (</w:t>
            </w:r>
            <w:r w:rsidR="00783E42" w:rsidRPr="00401B79">
              <w:rPr>
                <w:rFonts w:cs="Times New Roman"/>
                <w:b/>
                <w:bCs/>
                <w:sz w:val="20"/>
                <w:szCs w:val="20"/>
              </w:rPr>
              <w:t>mJ/m</w:t>
            </w:r>
            <w:r w:rsidR="00783E42" w:rsidRPr="00401B79">
              <w:rPr>
                <w:rFonts w:cs="Times New Roman"/>
                <w:b/>
                <w:bCs/>
                <w:sz w:val="20"/>
                <w:szCs w:val="20"/>
                <w:vertAlign w:val="superscript"/>
              </w:rPr>
              <w:t>2</w:t>
            </w:r>
            <w:r w:rsidR="00783E42" w:rsidRPr="00401B79">
              <w:rPr>
                <w:rFonts w:cs="Times New Roman"/>
                <w:b/>
                <w:bCs/>
                <w:sz w:val="20"/>
                <w:szCs w:val="20"/>
              </w:rPr>
              <w:t>)</w:t>
            </w:r>
          </w:p>
        </w:tc>
        <w:tc>
          <w:tcPr>
            <w:tcW w:w="1530" w:type="dxa"/>
            <w:tcBorders>
              <w:top w:val="nil"/>
              <w:left w:val="nil"/>
              <w:bottom w:val="single" w:sz="4" w:space="0" w:color="auto"/>
              <w:right w:val="single" w:sz="4" w:space="0" w:color="auto"/>
            </w:tcBorders>
            <w:shd w:val="clear" w:color="auto" w:fill="auto"/>
            <w:noWrap/>
            <w:vAlign w:val="center"/>
            <w:hideMark/>
          </w:tcPr>
          <w:p w14:paraId="3FB673E2" w14:textId="77777777" w:rsidR="00783E42" w:rsidRPr="00401B79" w:rsidRDefault="007F7885" w:rsidP="00650395">
            <w:pPr>
              <w:spacing w:line="276" w:lineRule="auto"/>
              <w:jc w:val="center"/>
              <w:rPr>
                <w:rFonts w:eastAsia="Times New Roman" w:cs="Times New Roman"/>
                <w:b/>
                <w:bCs/>
                <w:color w:val="000000"/>
                <w:sz w:val="20"/>
                <w:szCs w:val="20"/>
              </w:rPr>
            </w:pPr>
            <m:oMath>
              <m:sSubSup>
                <m:sSubSupPr>
                  <m:ctrlPr>
                    <w:rPr>
                      <w:rFonts w:ascii="Cambria Math" w:hAnsi="Cambria Math" w:cs="Times New Roman"/>
                      <w:b/>
                      <w:bCs/>
                      <w:i/>
                      <w:sz w:val="20"/>
                      <w:szCs w:val="20"/>
                      <w:lang w:val="en-GB" w:eastAsia="en-GB"/>
                    </w:rPr>
                  </m:ctrlPr>
                </m:sSubSupPr>
                <m:e>
                  <m:r>
                    <m:rPr>
                      <m:sty m:val="bi"/>
                    </m:rPr>
                    <w:rPr>
                      <w:rFonts w:ascii="Cambria Math" w:hAnsi="Cambria Math" w:cs="Times New Roman"/>
                      <w:sz w:val="20"/>
                      <w:szCs w:val="20"/>
                      <w:lang w:val="en-GB" w:eastAsia="en-GB"/>
                    </w:rPr>
                    <m:t>W</m:t>
                  </m:r>
                </m:e>
                <m:sub>
                  <m:r>
                    <m:rPr>
                      <m:sty m:val="bi"/>
                    </m:rPr>
                    <w:rPr>
                      <w:rFonts w:ascii="Cambria Math" w:hAnsi="Cambria Math" w:cs="Times New Roman"/>
                      <w:sz w:val="20"/>
                      <w:szCs w:val="20"/>
                      <w:lang w:val="en-GB" w:eastAsia="en-GB"/>
                    </w:rPr>
                    <m:t>ARW</m:t>
                  </m:r>
                </m:sub>
                <m:sup>
                  <m:r>
                    <m:rPr>
                      <m:sty m:val="bi"/>
                    </m:rPr>
                    <w:rPr>
                      <w:rFonts w:ascii="Cambria Math" w:hAnsi="Cambria Math" w:cs="Times New Roman"/>
                      <w:sz w:val="20"/>
                      <w:szCs w:val="20"/>
                      <w:lang w:val="en-GB" w:eastAsia="en-GB"/>
                    </w:rPr>
                    <m:t>wet</m:t>
                  </m:r>
                </m:sup>
              </m:sSubSup>
            </m:oMath>
            <w:r w:rsidR="00783E42" w:rsidRPr="00401B79">
              <w:rPr>
                <w:rFonts w:eastAsia="Times New Roman" w:cs="Times New Roman"/>
                <w:b/>
                <w:bCs/>
                <w:sz w:val="20"/>
                <w:szCs w:val="20"/>
                <w:lang w:val="en-GB" w:eastAsia="en-GB"/>
              </w:rPr>
              <w:t xml:space="preserve"> </w:t>
            </w:r>
            <w:r w:rsidR="00783E42" w:rsidRPr="00401B79">
              <w:rPr>
                <w:rFonts w:eastAsia="Times New Roman" w:cs="Times New Roman"/>
                <w:b/>
                <w:bCs/>
                <w:sz w:val="20"/>
                <w:szCs w:val="20"/>
              </w:rPr>
              <w:t>(</w:t>
            </w:r>
            <w:r w:rsidR="00783E42" w:rsidRPr="00401B79">
              <w:rPr>
                <w:rFonts w:cs="Times New Roman"/>
                <w:b/>
                <w:bCs/>
                <w:sz w:val="20"/>
                <w:szCs w:val="20"/>
              </w:rPr>
              <w:t>mJ/m</w:t>
            </w:r>
            <w:r w:rsidR="00783E42" w:rsidRPr="00401B79">
              <w:rPr>
                <w:rFonts w:cs="Times New Roman"/>
                <w:b/>
                <w:bCs/>
                <w:sz w:val="20"/>
                <w:szCs w:val="20"/>
                <w:vertAlign w:val="superscript"/>
              </w:rPr>
              <w:t>2</w:t>
            </w:r>
            <w:r w:rsidR="00783E42" w:rsidRPr="00401B79">
              <w:rPr>
                <w:rFonts w:cs="Times New Roman"/>
                <w:b/>
                <w:bCs/>
                <w:sz w:val="20"/>
                <w:szCs w:val="20"/>
              </w:rPr>
              <w:t>)</w:t>
            </w:r>
          </w:p>
        </w:tc>
        <w:tc>
          <w:tcPr>
            <w:tcW w:w="900" w:type="dxa"/>
            <w:tcBorders>
              <w:top w:val="nil"/>
              <w:left w:val="nil"/>
              <w:bottom w:val="single" w:sz="4" w:space="0" w:color="auto"/>
              <w:right w:val="single" w:sz="4" w:space="0" w:color="auto"/>
            </w:tcBorders>
            <w:shd w:val="clear" w:color="auto" w:fill="auto"/>
            <w:noWrap/>
            <w:vAlign w:val="center"/>
            <w:hideMark/>
          </w:tcPr>
          <w:p w14:paraId="55888DED" w14:textId="77777777" w:rsidR="00783E42" w:rsidRPr="00401B79" w:rsidRDefault="00783E42" w:rsidP="00650395">
            <w:pPr>
              <w:spacing w:line="276" w:lineRule="auto"/>
              <w:jc w:val="center"/>
              <w:rPr>
                <w:rFonts w:eastAsia="Times New Roman" w:cs="Times New Roman"/>
                <w:b/>
                <w:bCs/>
                <w:color w:val="000000"/>
                <w:sz w:val="20"/>
                <w:szCs w:val="20"/>
              </w:rPr>
            </w:pPr>
            <w:r w:rsidRPr="00401B79">
              <w:rPr>
                <w:rFonts w:eastAsia="Times New Roman" w:cs="Times New Roman"/>
                <w:b/>
                <w:bCs/>
                <w:color w:val="000000"/>
                <w:sz w:val="20"/>
                <w:szCs w:val="20"/>
              </w:rPr>
              <w:t>ER</w:t>
            </w:r>
          </w:p>
        </w:tc>
        <w:tc>
          <w:tcPr>
            <w:tcW w:w="1471" w:type="dxa"/>
            <w:tcBorders>
              <w:top w:val="single" w:sz="4" w:space="0" w:color="auto"/>
              <w:left w:val="single" w:sz="4" w:space="0" w:color="auto"/>
              <w:bottom w:val="single" w:sz="4" w:space="0" w:color="auto"/>
              <w:right w:val="single" w:sz="4" w:space="0" w:color="auto"/>
            </w:tcBorders>
            <w:vAlign w:val="center"/>
          </w:tcPr>
          <w:p w14:paraId="72B99B5B" w14:textId="77777777" w:rsidR="00783E42" w:rsidRPr="00401B79" w:rsidRDefault="007F7885" w:rsidP="00650395">
            <w:pPr>
              <w:spacing w:line="276" w:lineRule="auto"/>
              <w:jc w:val="center"/>
              <w:rPr>
                <w:rFonts w:eastAsia="Times New Roman" w:cs="Times New Roman"/>
                <w:b/>
                <w:bCs/>
                <w:color w:val="000000"/>
                <w:sz w:val="20"/>
                <w:szCs w:val="20"/>
              </w:rPr>
            </w:pPr>
            <m:oMath>
              <m:sSub>
                <m:sSubPr>
                  <m:ctrlPr>
                    <w:rPr>
                      <w:rFonts w:ascii="Cambria Math" w:eastAsiaTheme="minorEastAsia" w:hAnsi="Cambria Math" w:cs="Times New Roman"/>
                      <w:b/>
                      <w:bCs/>
                      <w:i/>
                      <w:sz w:val="20"/>
                      <w:szCs w:val="20"/>
                    </w:rPr>
                  </m:ctrlPr>
                </m:sSubPr>
                <m:e>
                  <m:r>
                    <m:rPr>
                      <m:sty m:val="bi"/>
                    </m:rPr>
                    <w:rPr>
                      <w:rFonts w:ascii="Cambria Math" w:eastAsiaTheme="minorEastAsia" w:hAnsi="Cambria Math" w:cs="Times New Roman"/>
                      <w:sz w:val="20"/>
                      <w:szCs w:val="20"/>
                    </w:rPr>
                    <m:t>W</m:t>
                  </m:r>
                </m:e>
                <m:sub>
                  <m:r>
                    <m:rPr>
                      <m:sty m:val="bi"/>
                    </m:rPr>
                    <w:rPr>
                      <w:rFonts w:ascii="Cambria Math" w:eastAsiaTheme="minorEastAsia" w:hAnsi="Cambria Math" w:cs="Times New Roman"/>
                      <w:sz w:val="20"/>
                      <w:szCs w:val="20"/>
                    </w:rPr>
                    <m:t>AR</m:t>
                  </m:r>
                </m:sub>
              </m:sSub>
            </m:oMath>
            <w:r w:rsidR="00783E42" w:rsidRPr="00401B79">
              <w:rPr>
                <w:rFonts w:eastAsia="Times New Roman" w:cs="Times New Roman"/>
                <w:b/>
                <w:bCs/>
                <w:sz w:val="20"/>
                <w:szCs w:val="20"/>
              </w:rPr>
              <w:t xml:space="preserve"> (</w:t>
            </w:r>
            <w:r w:rsidR="00783E42" w:rsidRPr="00401B79">
              <w:rPr>
                <w:rFonts w:cs="Times New Roman"/>
                <w:b/>
                <w:bCs/>
                <w:sz w:val="20"/>
                <w:szCs w:val="20"/>
              </w:rPr>
              <w:t>mJ/m</w:t>
            </w:r>
            <w:r w:rsidR="00783E42" w:rsidRPr="00401B79">
              <w:rPr>
                <w:rFonts w:cs="Times New Roman"/>
                <w:b/>
                <w:bCs/>
                <w:sz w:val="20"/>
                <w:szCs w:val="20"/>
                <w:vertAlign w:val="superscript"/>
              </w:rPr>
              <w:t>2</w:t>
            </w:r>
            <w:r w:rsidR="00783E42" w:rsidRPr="00401B79">
              <w:rPr>
                <w:rFonts w:cs="Times New Roman"/>
                <w:b/>
                <w:bCs/>
                <w:sz w:val="20"/>
                <w:szCs w:val="20"/>
              </w:rPr>
              <w:t>)</w:t>
            </w:r>
          </w:p>
        </w:tc>
        <w:tc>
          <w:tcPr>
            <w:tcW w:w="1499" w:type="dxa"/>
            <w:tcBorders>
              <w:top w:val="single" w:sz="4" w:space="0" w:color="auto"/>
              <w:left w:val="single" w:sz="4" w:space="0" w:color="auto"/>
              <w:bottom w:val="single" w:sz="4" w:space="0" w:color="auto"/>
              <w:right w:val="single" w:sz="4" w:space="0" w:color="auto"/>
            </w:tcBorders>
            <w:vAlign w:val="center"/>
          </w:tcPr>
          <w:p w14:paraId="5589DF3A" w14:textId="77777777" w:rsidR="00783E42" w:rsidRPr="00401B79" w:rsidRDefault="007F7885" w:rsidP="00650395">
            <w:pPr>
              <w:spacing w:line="276" w:lineRule="auto"/>
              <w:jc w:val="center"/>
              <w:rPr>
                <w:rFonts w:eastAsia="Times New Roman" w:cs="Times New Roman"/>
                <w:b/>
                <w:bCs/>
                <w:color w:val="000000"/>
                <w:sz w:val="20"/>
                <w:szCs w:val="20"/>
              </w:rPr>
            </w:pPr>
            <m:oMath>
              <m:sSubSup>
                <m:sSubSupPr>
                  <m:ctrlPr>
                    <w:rPr>
                      <w:rFonts w:ascii="Cambria Math" w:hAnsi="Cambria Math" w:cs="Times New Roman"/>
                      <w:b/>
                      <w:bCs/>
                      <w:i/>
                      <w:sz w:val="20"/>
                      <w:szCs w:val="20"/>
                      <w:lang w:val="en-GB" w:eastAsia="en-GB"/>
                    </w:rPr>
                  </m:ctrlPr>
                </m:sSubSupPr>
                <m:e>
                  <m:r>
                    <m:rPr>
                      <m:sty m:val="bi"/>
                    </m:rPr>
                    <w:rPr>
                      <w:rFonts w:ascii="Cambria Math" w:hAnsi="Cambria Math" w:cs="Times New Roman"/>
                      <w:sz w:val="20"/>
                      <w:szCs w:val="20"/>
                      <w:lang w:val="en-GB" w:eastAsia="en-GB"/>
                    </w:rPr>
                    <m:t>W</m:t>
                  </m:r>
                </m:e>
                <m:sub>
                  <m:r>
                    <m:rPr>
                      <m:sty m:val="bi"/>
                    </m:rPr>
                    <w:rPr>
                      <w:rFonts w:ascii="Cambria Math" w:hAnsi="Cambria Math" w:cs="Times New Roman"/>
                      <w:sz w:val="20"/>
                      <w:szCs w:val="20"/>
                      <w:lang w:val="en-GB" w:eastAsia="en-GB"/>
                    </w:rPr>
                    <m:t>ARW</m:t>
                  </m:r>
                </m:sub>
                <m:sup>
                  <m:r>
                    <m:rPr>
                      <m:sty m:val="bi"/>
                    </m:rPr>
                    <w:rPr>
                      <w:rFonts w:ascii="Cambria Math" w:hAnsi="Cambria Math" w:cs="Times New Roman"/>
                      <w:sz w:val="20"/>
                      <w:szCs w:val="20"/>
                      <w:lang w:val="en-GB" w:eastAsia="en-GB"/>
                    </w:rPr>
                    <m:t>wet</m:t>
                  </m:r>
                </m:sup>
              </m:sSubSup>
            </m:oMath>
            <w:r w:rsidR="00783E42" w:rsidRPr="00401B79">
              <w:rPr>
                <w:rFonts w:eastAsia="Times New Roman" w:cs="Times New Roman"/>
                <w:b/>
                <w:bCs/>
                <w:sz w:val="20"/>
                <w:szCs w:val="20"/>
                <w:lang w:val="en-GB" w:eastAsia="en-GB"/>
              </w:rPr>
              <w:t xml:space="preserve"> </w:t>
            </w:r>
            <w:r w:rsidR="00783E42" w:rsidRPr="00401B79">
              <w:rPr>
                <w:rFonts w:eastAsia="Times New Roman" w:cs="Times New Roman"/>
                <w:b/>
                <w:bCs/>
                <w:sz w:val="20"/>
                <w:szCs w:val="20"/>
              </w:rPr>
              <w:t>(</w:t>
            </w:r>
            <w:r w:rsidR="00783E42" w:rsidRPr="00401B79">
              <w:rPr>
                <w:rFonts w:cs="Times New Roman"/>
                <w:b/>
                <w:bCs/>
                <w:sz w:val="20"/>
                <w:szCs w:val="20"/>
              </w:rPr>
              <w:t>mJ/m</w:t>
            </w:r>
            <w:r w:rsidR="00783E42" w:rsidRPr="00401B79">
              <w:rPr>
                <w:rFonts w:cs="Times New Roman"/>
                <w:b/>
                <w:bCs/>
                <w:sz w:val="20"/>
                <w:szCs w:val="20"/>
                <w:vertAlign w:val="superscript"/>
              </w:rPr>
              <w:t>2</w:t>
            </w:r>
            <w:r w:rsidR="00783E42" w:rsidRPr="00401B79">
              <w:rPr>
                <w:rFonts w:cs="Times New Roman"/>
                <w:b/>
                <w:bCs/>
                <w:sz w:val="20"/>
                <w:szCs w:val="20"/>
              </w:rPr>
              <w:t>)</w:t>
            </w:r>
          </w:p>
        </w:tc>
        <w:tc>
          <w:tcPr>
            <w:tcW w:w="870" w:type="dxa"/>
            <w:tcBorders>
              <w:top w:val="single" w:sz="4" w:space="0" w:color="auto"/>
              <w:left w:val="single" w:sz="4" w:space="0" w:color="auto"/>
              <w:bottom w:val="single" w:sz="4" w:space="0" w:color="auto"/>
              <w:right w:val="single" w:sz="4" w:space="0" w:color="auto"/>
            </w:tcBorders>
            <w:vAlign w:val="center"/>
          </w:tcPr>
          <w:p w14:paraId="2545A6F0"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eastAsia="Times New Roman" w:cs="Times New Roman"/>
                <w:b/>
                <w:bCs/>
                <w:color w:val="000000"/>
                <w:sz w:val="20"/>
                <w:szCs w:val="20"/>
              </w:rPr>
              <w:t>ER</w:t>
            </w:r>
          </w:p>
        </w:tc>
      </w:tr>
      <w:tr w:rsidR="00783E42" w:rsidRPr="00401B79" w14:paraId="59F37E63" w14:textId="77777777" w:rsidTr="00650395">
        <w:trPr>
          <w:trHeight w:val="212"/>
          <w:jc w:val="center"/>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40EB254C"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WGFDE</w:t>
            </w:r>
          </w:p>
        </w:tc>
        <w:tc>
          <w:tcPr>
            <w:tcW w:w="1350" w:type="dxa"/>
            <w:tcBorders>
              <w:top w:val="nil"/>
              <w:left w:val="nil"/>
              <w:bottom w:val="single" w:sz="4" w:space="0" w:color="auto"/>
              <w:right w:val="single" w:sz="4" w:space="0" w:color="auto"/>
            </w:tcBorders>
            <w:shd w:val="clear" w:color="auto" w:fill="auto"/>
            <w:noWrap/>
            <w:vAlign w:val="center"/>
          </w:tcPr>
          <w:p w14:paraId="1802ACF4"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44.8</w:t>
            </w:r>
            <w:r>
              <w:rPr>
                <w:rFonts w:cs="Times New Roman"/>
                <w:color w:val="000000"/>
                <w:sz w:val="20"/>
                <w:szCs w:val="20"/>
              </w:rPr>
              <w:t>2</w:t>
            </w:r>
          </w:p>
        </w:tc>
        <w:tc>
          <w:tcPr>
            <w:tcW w:w="1530" w:type="dxa"/>
            <w:tcBorders>
              <w:top w:val="nil"/>
              <w:left w:val="nil"/>
              <w:bottom w:val="single" w:sz="4" w:space="0" w:color="auto"/>
              <w:right w:val="single" w:sz="4" w:space="0" w:color="auto"/>
            </w:tcBorders>
            <w:shd w:val="clear" w:color="auto" w:fill="auto"/>
            <w:noWrap/>
            <w:vAlign w:val="center"/>
          </w:tcPr>
          <w:p w14:paraId="39B1C609"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52.91</w:t>
            </w:r>
          </w:p>
        </w:tc>
        <w:tc>
          <w:tcPr>
            <w:tcW w:w="900" w:type="dxa"/>
            <w:tcBorders>
              <w:top w:val="nil"/>
              <w:left w:val="nil"/>
              <w:bottom w:val="single" w:sz="4" w:space="0" w:color="auto"/>
              <w:right w:val="single" w:sz="4" w:space="0" w:color="auto"/>
            </w:tcBorders>
            <w:shd w:val="clear" w:color="auto" w:fill="auto"/>
            <w:noWrap/>
            <w:vAlign w:val="center"/>
          </w:tcPr>
          <w:p w14:paraId="7407265A"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0.85</w:t>
            </w:r>
          </w:p>
        </w:tc>
        <w:tc>
          <w:tcPr>
            <w:tcW w:w="1471" w:type="dxa"/>
            <w:tcBorders>
              <w:top w:val="single" w:sz="4" w:space="0" w:color="auto"/>
              <w:left w:val="single" w:sz="4" w:space="0" w:color="auto"/>
              <w:bottom w:val="single" w:sz="4" w:space="0" w:color="auto"/>
              <w:right w:val="single" w:sz="4" w:space="0" w:color="auto"/>
            </w:tcBorders>
            <w:vAlign w:val="center"/>
          </w:tcPr>
          <w:p w14:paraId="515737CA"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41.60</w:t>
            </w:r>
          </w:p>
        </w:tc>
        <w:tc>
          <w:tcPr>
            <w:tcW w:w="1499" w:type="dxa"/>
            <w:tcBorders>
              <w:top w:val="single" w:sz="4" w:space="0" w:color="auto"/>
              <w:left w:val="single" w:sz="4" w:space="0" w:color="auto"/>
              <w:bottom w:val="single" w:sz="4" w:space="0" w:color="auto"/>
              <w:right w:val="single" w:sz="4" w:space="0" w:color="auto"/>
            </w:tcBorders>
            <w:vAlign w:val="center"/>
          </w:tcPr>
          <w:p w14:paraId="1A042C35"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54.49</w:t>
            </w:r>
          </w:p>
        </w:tc>
        <w:tc>
          <w:tcPr>
            <w:tcW w:w="870" w:type="dxa"/>
            <w:tcBorders>
              <w:top w:val="single" w:sz="4" w:space="0" w:color="auto"/>
              <w:left w:val="single" w:sz="4" w:space="0" w:color="auto"/>
              <w:bottom w:val="single" w:sz="4" w:space="0" w:color="auto"/>
              <w:right w:val="single" w:sz="4" w:space="0" w:color="auto"/>
            </w:tcBorders>
            <w:vAlign w:val="center"/>
          </w:tcPr>
          <w:p w14:paraId="2D20AF58"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0.76</w:t>
            </w:r>
          </w:p>
        </w:tc>
      </w:tr>
      <w:tr w:rsidR="00783E42" w:rsidRPr="00401B79" w14:paraId="29C586BF" w14:textId="77777777" w:rsidTr="00650395">
        <w:trPr>
          <w:trHeight w:val="212"/>
          <w:jc w:val="center"/>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D447760"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FGED</w:t>
            </w:r>
          </w:p>
        </w:tc>
        <w:tc>
          <w:tcPr>
            <w:tcW w:w="1350" w:type="dxa"/>
            <w:tcBorders>
              <w:top w:val="nil"/>
              <w:left w:val="nil"/>
              <w:bottom w:val="single" w:sz="4" w:space="0" w:color="auto"/>
              <w:right w:val="single" w:sz="4" w:space="0" w:color="auto"/>
            </w:tcBorders>
            <w:shd w:val="clear" w:color="auto" w:fill="auto"/>
            <w:noWrap/>
            <w:vAlign w:val="center"/>
          </w:tcPr>
          <w:p w14:paraId="76A48ECA"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92.52</w:t>
            </w:r>
          </w:p>
        </w:tc>
        <w:tc>
          <w:tcPr>
            <w:tcW w:w="1530" w:type="dxa"/>
            <w:tcBorders>
              <w:top w:val="nil"/>
              <w:left w:val="nil"/>
              <w:bottom w:val="single" w:sz="4" w:space="0" w:color="auto"/>
              <w:right w:val="single" w:sz="4" w:space="0" w:color="auto"/>
            </w:tcBorders>
            <w:shd w:val="clear" w:color="auto" w:fill="auto"/>
            <w:noWrap/>
            <w:vAlign w:val="center"/>
          </w:tcPr>
          <w:p w14:paraId="2206D166"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27.31</w:t>
            </w:r>
          </w:p>
        </w:tc>
        <w:tc>
          <w:tcPr>
            <w:tcW w:w="900" w:type="dxa"/>
            <w:tcBorders>
              <w:top w:val="nil"/>
              <w:left w:val="nil"/>
              <w:bottom w:val="single" w:sz="4" w:space="0" w:color="auto"/>
              <w:right w:val="single" w:sz="4" w:space="0" w:color="auto"/>
            </w:tcBorders>
            <w:shd w:val="clear" w:color="auto" w:fill="auto"/>
            <w:noWrap/>
            <w:vAlign w:val="center"/>
          </w:tcPr>
          <w:p w14:paraId="7A9BECD3"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3.39</w:t>
            </w:r>
          </w:p>
        </w:tc>
        <w:tc>
          <w:tcPr>
            <w:tcW w:w="1471" w:type="dxa"/>
            <w:tcBorders>
              <w:top w:val="single" w:sz="4" w:space="0" w:color="auto"/>
              <w:left w:val="single" w:sz="4" w:space="0" w:color="auto"/>
              <w:bottom w:val="single" w:sz="4" w:space="0" w:color="auto"/>
              <w:right w:val="single" w:sz="4" w:space="0" w:color="auto"/>
            </w:tcBorders>
            <w:vAlign w:val="center"/>
          </w:tcPr>
          <w:p w14:paraId="4AD95263"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46.89</w:t>
            </w:r>
          </w:p>
        </w:tc>
        <w:tc>
          <w:tcPr>
            <w:tcW w:w="1499" w:type="dxa"/>
            <w:tcBorders>
              <w:top w:val="single" w:sz="4" w:space="0" w:color="auto"/>
              <w:left w:val="single" w:sz="4" w:space="0" w:color="auto"/>
              <w:bottom w:val="single" w:sz="4" w:space="0" w:color="auto"/>
              <w:right w:val="single" w:sz="4" w:space="0" w:color="auto"/>
            </w:tcBorders>
            <w:vAlign w:val="center"/>
          </w:tcPr>
          <w:p w14:paraId="0E3A83FF"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51.66</w:t>
            </w:r>
          </w:p>
        </w:tc>
        <w:tc>
          <w:tcPr>
            <w:tcW w:w="870" w:type="dxa"/>
            <w:tcBorders>
              <w:top w:val="single" w:sz="4" w:space="0" w:color="auto"/>
              <w:left w:val="single" w:sz="4" w:space="0" w:color="auto"/>
              <w:bottom w:val="single" w:sz="4" w:space="0" w:color="auto"/>
              <w:right w:val="single" w:sz="4" w:space="0" w:color="auto"/>
            </w:tcBorders>
            <w:vAlign w:val="center"/>
          </w:tcPr>
          <w:p w14:paraId="75E693EB"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0.91</w:t>
            </w:r>
          </w:p>
        </w:tc>
      </w:tr>
      <w:tr w:rsidR="00783E42" w:rsidRPr="00401B79" w14:paraId="6D7D607D" w14:textId="77777777" w:rsidTr="00650395">
        <w:trPr>
          <w:trHeight w:val="212"/>
          <w:jc w:val="center"/>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19CF2847"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WFGD</w:t>
            </w:r>
          </w:p>
        </w:tc>
        <w:tc>
          <w:tcPr>
            <w:tcW w:w="1350" w:type="dxa"/>
            <w:tcBorders>
              <w:top w:val="nil"/>
              <w:left w:val="nil"/>
              <w:bottom w:val="single" w:sz="4" w:space="0" w:color="auto"/>
              <w:right w:val="single" w:sz="4" w:space="0" w:color="auto"/>
            </w:tcBorders>
            <w:shd w:val="clear" w:color="auto" w:fill="auto"/>
            <w:noWrap/>
            <w:vAlign w:val="center"/>
          </w:tcPr>
          <w:p w14:paraId="3B48EBEF"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44.9</w:t>
            </w:r>
            <w:r>
              <w:rPr>
                <w:rFonts w:cs="Times New Roman"/>
                <w:color w:val="000000"/>
                <w:sz w:val="20"/>
                <w:szCs w:val="20"/>
              </w:rPr>
              <w:t>5</w:t>
            </w:r>
          </w:p>
        </w:tc>
        <w:tc>
          <w:tcPr>
            <w:tcW w:w="1530" w:type="dxa"/>
            <w:tcBorders>
              <w:top w:val="nil"/>
              <w:left w:val="nil"/>
              <w:bottom w:val="single" w:sz="4" w:space="0" w:color="auto"/>
              <w:right w:val="single" w:sz="4" w:space="0" w:color="auto"/>
            </w:tcBorders>
            <w:shd w:val="clear" w:color="auto" w:fill="auto"/>
            <w:noWrap/>
            <w:vAlign w:val="center"/>
          </w:tcPr>
          <w:p w14:paraId="778FF5E1"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52.8</w:t>
            </w:r>
            <w:r>
              <w:rPr>
                <w:rFonts w:cs="Times New Roman"/>
                <w:color w:val="000000"/>
                <w:sz w:val="20"/>
                <w:szCs w:val="20"/>
              </w:rPr>
              <w:t>6</w:t>
            </w:r>
          </w:p>
        </w:tc>
        <w:tc>
          <w:tcPr>
            <w:tcW w:w="900" w:type="dxa"/>
            <w:tcBorders>
              <w:top w:val="nil"/>
              <w:left w:val="nil"/>
              <w:bottom w:val="single" w:sz="4" w:space="0" w:color="auto"/>
              <w:right w:val="single" w:sz="4" w:space="0" w:color="auto"/>
            </w:tcBorders>
            <w:shd w:val="clear" w:color="auto" w:fill="auto"/>
            <w:noWrap/>
            <w:vAlign w:val="center"/>
          </w:tcPr>
          <w:p w14:paraId="68D8B292"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0.85</w:t>
            </w:r>
          </w:p>
        </w:tc>
        <w:tc>
          <w:tcPr>
            <w:tcW w:w="1471" w:type="dxa"/>
            <w:tcBorders>
              <w:top w:val="single" w:sz="4" w:space="0" w:color="auto"/>
              <w:left w:val="single" w:sz="4" w:space="0" w:color="auto"/>
              <w:bottom w:val="single" w:sz="4" w:space="0" w:color="auto"/>
              <w:right w:val="single" w:sz="4" w:space="0" w:color="auto"/>
            </w:tcBorders>
            <w:vAlign w:val="center"/>
          </w:tcPr>
          <w:p w14:paraId="5C47725D"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40.33</w:t>
            </w:r>
          </w:p>
        </w:tc>
        <w:tc>
          <w:tcPr>
            <w:tcW w:w="1499" w:type="dxa"/>
            <w:tcBorders>
              <w:top w:val="single" w:sz="4" w:space="0" w:color="auto"/>
              <w:left w:val="single" w:sz="4" w:space="0" w:color="auto"/>
              <w:bottom w:val="single" w:sz="4" w:space="0" w:color="auto"/>
              <w:right w:val="single" w:sz="4" w:space="0" w:color="auto"/>
            </w:tcBorders>
            <w:vAlign w:val="center"/>
          </w:tcPr>
          <w:p w14:paraId="3BFB4622"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55.18</w:t>
            </w:r>
          </w:p>
        </w:tc>
        <w:tc>
          <w:tcPr>
            <w:tcW w:w="870" w:type="dxa"/>
            <w:tcBorders>
              <w:top w:val="single" w:sz="4" w:space="0" w:color="auto"/>
              <w:left w:val="single" w:sz="4" w:space="0" w:color="auto"/>
              <w:bottom w:val="single" w:sz="4" w:space="0" w:color="auto"/>
              <w:right w:val="single" w:sz="4" w:space="0" w:color="auto"/>
            </w:tcBorders>
            <w:vAlign w:val="center"/>
          </w:tcPr>
          <w:p w14:paraId="31BE52DB"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0.73</w:t>
            </w:r>
          </w:p>
        </w:tc>
      </w:tr>
      <w:tr w:rsidR="00783E42" w:rsidRPr="00401B79" w14:paraId="0C4ADB86" w14:textId="77777777" w:rsidTr="00650395">
        <w:trPr>
          <w:trHeight w:val="212"/>
          <w:jc w:val="center"/>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7DEB9FCE"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WGED</w:t>
            </w:r>
          </w:p>
        </w:tc>
        <w:tc>
          <w:tcPr>
            <w:tcW w:w="1350" w:type="dxa"/>
            <w:tcBorders>
              <w:top w:val="nil"/>
              <w:left w:val="nil"/>
              <w:bottom w:val="single" w:sz="4" w:space="0" w:color="auto"/>
              <w:right w:val="single" w:sz="4" w:space="0" w:color="auto"/>
            </w:tcBorders>
            <w:shd w:val="clear" w:color="auto" w:fill="auto"/>
            <w:noWrap/>
            <w:vAlign w:val="center"/>
          </w:tcPr>
          <w:p w14:paraId="535EA08A"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44.38</w:t>
            </w:r>
          </w:p>
        </w:tc>
        <w:tc>
          <w:tcPr>
            <w:tcW w:w="1530" w:type="dxa"/>
            <w:tcBorders>
              <w:top w:val="nil"/>
              <w:left w:val="nil"/>
              <w:bottom w:val="single" w:sz="4" w:space="0" w:color="auto"/>
              <w:right w:val="single" w:sz="4" w:space="0" w:color="auto"/>
            </w:tcBorders>
            <w:shd w:val="clear" w:color="auto" w:fill="auto"/>
            <w:noWrap/>
            <w:vAlign w:val="center"/>
          </w:tcPr>
          <w:p w14:paraId="7041ADF7"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53.1</w:t>
            </w:r>
            <w:r>
              <w:rPr>
                <w:rFonts w:cs="Times New Roman"/>
                <w:color w:val="000000"/>
                <w:sz w:val="20"/>
                <w:szCs w:val="20"/>
              </w:rPr>
              <w:t>9</w:t>
            </w:r>
          </w:p>
        </w:tc>
        <w:tc>
          <w:tcPr>
            <w:tcW w:w="900" w:type="dxa"/>
            <w:tcBorders>
              <w:top w:val="nil"/>
              <w:left w:val="nil"/>
              <w:bottom w:val="single" w:sz="4" w:space="0" w:color="auto"/>
              <w:right w:val="single" w:sz="4" w:space="0" w:color="auto"/>
            </w:tcBorders>
            <w:shd w:val="clear" w:color="auto" w:fill="auto"/>
            <w:noWrap/>
            <w:vAlign w:val="center"/>
          </w:tcPr>
          <w:p w14:paraId="22BBC2C9"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0.83</w:t>
            </w:r>
          </w:p>
        </w:tc>
        <w:tc>
          <w:tcPr>
            <w:tcW w:w="1471" w:type="dxa"/>
            <w:tcBorders>
              <w:top w:val="single" w:sz="4" w:space="0" w:color="auto"/>
              <w:left w:val="single" w:sz="4" w:space="0" w:color="auto"/>
              <w:bottom w:val="single" w:sz="4" w:space="0" w:color="auto"/>
              <w:right w:val="single" w:sz="4" w:space="0" w:color="auto"/>
            </w:tcBorders>
            <w:vAlign w:val="center"/>
          </w:tcPr>
          <w:p w14:paraId="182C5BC9"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42.16</w:t>
            </w:r>
          </w:p>
        </w:tc>
        <w:tc>
          <w:tcPr>
            <w:tcW w:w="1499" w:type="dxa"/>
            <w:tcBorders>
              <w:top w:val="single" w:sz="4" w:space="0" w:color="auto"/>
              <w:left w:val="single" w:sz="4" w:space="0" w:color="auto"/>
              <w:bottom w:val="single" w:sz="4" w:space="0" w:color="auto"/>
              <w:right w:val="single" w:sz="4" w:space="0" w:color="auto"/>
            </w:tcBorders>
            <w:vAlign w:val="center"/>
          </w:tcPr>
          <w:p w14:paraId="78C9DB6C"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54.24</w:t>
            </w:r>
          </w:p>
        </w:tc>
        <w:tc>
          <w:tcPr>
            <w:tcW w:w="870" w:type="dxa"/>
            <w:tcBorders>
              <w:top w:val="single" w:sz="4" w:space="0" w:color="auto"/>
              <w:left w:val="single" w:sz="4" w:space="0" w:color="auto"/>
              <w:bottom w:val="single" w:sz="4" w:space="0" w:color="auto"/>
              <w:right w:val="single" w:sz="4" w:space="0" w:color="auto"/>
            </w:tcBorders>
            <w:vAlign w:val="center"/>
          </w:tcPr>
          <w:p w14:paraId="72F3C148"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0.78</w:t>
            </w:r>
          </w:p>
        </w:tc>
      </w:tr>
      <w:tr w:rsidR="00783E42" w:rsidRPr="00401B79" w14:paraId="25F0C873" w14:textId="77777777" w:rsidTr="00650395">
        <w:trPr>
          <w:trHeight w:val="152"/>
          <w:jc w:val="center"/>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2ED45A9A"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WFED</w:t>
            </w:r>
          </w:p>
        </w:tc>
        <w:tc>
          <w:tcPr>
            <w:tcW w:w="1350" w:type="dxa"/>
            <w:tcBorders>
              <w:top w:val="nil"/>
              <w:left w:val="nil"/>
              <w:bottom w:val="single" w:sz="4" w:space="0" w:color="auto"/>
              <w:right w:val="single" w:sz="4" w:space="0" w:color="auto"/>
            </w:tcBorders>
            <w:shd w:val="clear" w:color="auto" w:fill="auto"/>
            <w:noWrap/>
            <w:vAlign w:val="center"/>
          </w:tcPr>
          <w:p w14:paraId="23A4A542"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44.8</w:t>
            </w:r>
            <w:r>
              <w:rPr>
                <w:rFonts w:cs="Times New Roman"/>
                <w:color w:val="000000"/>
                <w:sz w:val="20"/>
                <w:szCs w:val="20"/>
              </w:rPr>
              <w:t>1</w:t>
            </w:r>
          </w:p>
        </w:tc>
        <w:tc>
          <w:tcPr>
            <w:tcW w:w="1530" w:type="dxa"/>
            <w:tcBorders>
              <w:top w:val="nil"/>
              <w:left w:val="nil"/>
              <w:bottom w:val="single" w:sz="4" w:space="0" w:color="auto"/>
              <w:right w:val="single" w:sz="4" w:space="0" w:color="auto"/>
            </w:tcBorders>
            <w:shd w:val="clear" w:color="auto" w:fill="auto"/>
            <w:noWrap/>
            <w:vAlign w:val="center"/>
          </w:tcPr>
          <w:p w14:paraId="7E648A3F"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52.91</w:t>
            </w:r>
          </w:p>
        </w:tc>
        <w:tc>
          <w:tcPr>
            <w:tcW w:w="900" w:type="dxa"/>
            <w:tcBorders>
              <w:top w:val="nil"/>
              <w:left w:val="nil"/>
              <w:bottom w:val="single" w:sz="4" w:space="0" w:color="auto"/>
              <w:right w:val="single" w:sz="4" w:space="0" w:color="auto"/>
            </w:tcBorders>
            <w:shd w:val="clear" w:color="auto" w:fill="auto"/>
            <w:noWrap/>
            <w:vAlign w:val="center"/>
          </w:tcPr>
          <w:p w14:paraId="721898B5"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0.85</w:t>
            </w:r>
          </w:p>
        </w:tc>
        <w:tc>
          <w:tcPr>
            <w:tcW w:w="1471" w:type="dxa"/>
            <w:tcBorders>
              <w:top w:val="single" w:sz="4" w:space="0" w:color="auto"/>
              <w:left w:val="single" w:sz="4" w:space="0" w:color="auto"/>
              <w:bottom w:val="single" w:sz="4" w:space="0" w:color="auto"/>
              <w:right w:val="single" w:sz="4" w:space="0" w:color="auto"/>
            </w:tcBorders>
            <w:vAlign w:val="center"/>
          </w:tcPr>
          <w:p w14:paraId="34A7417B"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41.95</w:t>
            </w:r>
          </w:p>
        </w:tc>
        <w:tc>
          <w:tcPr>
            <w:tcW w:w="1499" w:type="dxa"/>
            <w:tcBorders>
              <w:top w:val="single" w:sz="4" w:space="0" w:color="auto"/>
              <w:left w:val="single" w:sz="4" w:space="0" w:color="auto"/>
              <w:bottom w:val="single" w:sz="4" w:space="0" w:color="auto"/>
              <w:right w:val="single" w:sz="4" w:space="0" w:color="auto"/>
            </w:tcBorders>
            <w:vAlign w:val="center"/>
          </w:tcPr>
          <w:p w14:paraId="0F87CA8D"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54.29</w:t>
            </w:r>
          </w:p>
        </w:tc>
        <w:tc>
          <w:tcPr>
            <w:tcW w:w="870" w:type="dxa"/>
            <w:tcBorders>
              <w:top w:val="single" w:sz="4" w:space="0" w:color="auto"/>
              <w:left w:val="single" w:sz="4" w:space="0" w:color="auto"/>
              <w:bottom w:val="single" w:sz="4" w:space="0" w:color="auto"/>
              <w:right w:val="single" w:sz="4" w:space="0" w:color="auto"/>
            </w:tcBorders>
            <w:vAlign w:val="center"/>
          </w:tcPr>
          <w:p w14:paraId="677245E8"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0.77</w:t>
            </w:r>
          </w:p>
        </w:tc>
      </w:tr>
      <w:tr w:rsidR="00783E42" w:rsidRPr="00401B79" w14:paraId="2B997697" w14:textId="77777777" w:rsidTr="00650395">
        <w:trPr>
          <w:trHeight w:val="212"/>
          <w:jc w:val="center"/>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21469E39"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WED</w:t>
            </w:r>
          </w:p>
        </w:tc>
        <w:tc>
          <w:tcPr>
            <w:tcW w:w="1350" w:type="dxa"/>
            <w:tcBorders>
              <w:top w:val="nil"/>
              <w:left w:val="nil"/>
              <w:bottom w:val="single" w:sz="4" w:space="0" w:color="auto"/>
              <w:right w:val="single" w:sz="4" w:space="0" w:color="auto"/>
            </w:tcBorders>
            <w:shd w:val="clear" w:color="auto" w:fill="auto"/>
            <w:noWrap/>
            <w:vAlign w:val="center"/>
          </w:tcPr>
          <w:p w14:paraId="2D30BE42"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43.35</w:t>
            </w:r>
          </w:p>
        </w:tc>
        <w:tc>
          <w:tcPr>
            <w:tcW w:w="1530" w:type="dxa"/>
            <w:tcBorders>
              <w:top w:val="nil"/>
              <w:left w:val="nil"/>
              <w:bottom w:val="single" w:sz="4" w:space="0" w:color="auto"/>
              <w:right w:val="single" w:sz="4" w:space="0" w:color="auto"/>
            </w:tcBorders>
            <w:shd w:val="clear" w:color="auto" w:fill="auto"/>
            <w:noWrap/>
            <w:vAlign w:val="center"/>
          </w:tcPr>
          <w:p w14:paraId="41FFC3BE"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53.7</w:t>
            </w:r>
            <w:r>
              <w:rPr>
                <w:rFonts w:cs="Times New Roman"/>
                <w:color w:val="000000"/>
                <w:sz w:val="20"/>
                <w:szCs w:val="20"/>
              </w:rPr>
              <w:t>4</w:t>
            </w:r>
          </w:p>
        </w:tc>
        <w:tc>
          <w:tcPr>
            <w:tcW w:w="900" w:type="dxa"/>
            <w:tcBorders>
              <w:top w:val="nil"/>
              <w:left w:val="nil"/>
              <w:bottom w:val="single" w:sz="4" w:space="0" w:color="auto"/>
              <w:right w:val="single" w:sz="4" w:space="0" w:color="auto"/>
            </w:tcBorders>
            <w:shd w:val="clear" w:color="auto" w:fill="auto"/>
            <w:noWrap/>
            <w:vAlign w:val="center"/>
          </w:tcPr>
          <w:p w14:paraId="0C051ABB"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0.81</w:t>
            </w:r>
          </w:p>
        </w:tc>
        <w:tc>
          <w:tcPr>
            <w:tcW w:w="1471" w:type="dxa"/>
            <w:tcBorders>
              <w:top w:val="single" w:sz="4" w:space="0" w:color="auto"/>
              <w:left w:val="single" w:sz="4" w:space="0" w:color="auto"/>
              <w:bottom w:val="single" w:sz="4" w:space="0" w:color="auto"/>
              <w:right w:val="single" w:sz="4" w:space="0" w:color="auto"/>
            </w:tcBorders>
            <w:vAlign w:val="center"/>
          </w:tcPr>
          <w:p w14:paraId="3ADF2F15"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43.02</w:t>
            </w:r>
          </w:p>
        </w:tc>
        <w:tc>
          <w:tcPr>
            <w:tcW w:w="1499" w:type="dxa"/>
            <w:tcBorders>
              <w:top w:val="single" w:sz="4" w:space="0" w:color="auto"/>
              <w:left w:val="single" w:sz="4" w:space="0" w:color="auto"/>
              <w:bottom w:val="single" w:sz="4" w:space="0" w:color="auto"/>
              <w:right w:val="single" w:sz="4" w:space="0" w:color="auto"/>
            </w:tcBorders>
            <w:vAlign w:val="center"/>
          </w:tcPr>
          <w:p w14:paraId="1F1E067B"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53.77</w:t>
            </w:r>
          </w:p>
        </w:tc>
        <w:tc>
          <w:tcPr>
            <w:tcW w:w="870" w:type="dxa"/>
            <w:tcBorders>
              <w:top w:val="single" w:sz="4" w:space="0" w:color="auto"/>
              <w:left w:val="single" w:sz="4" w:space="0" w:color="auto"/>
              <w:bottom w:val="single" w:sz="4" w:space="0" w:color="auto"/>
              <w:right w:val="single" w:sz="4" w:space="0" w:color="auto"/>
            </w:tcBorders>
            <w:vAlign w:val="center"/>
          </w:tcPr>
          <w:p w14:paraId="5DEB6BF5"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0.80</w:t>
            </w:r>
          </w:p>
        </w:tc>
      </w:tr>
      <w:tr w:rsidR="00783E42" w:rsidRPr="00401B79" w14:paraId="6AA92512" w14:textId="77777777" w:rsidTr="00650395">
        <w:trPr>
          <w:trHeight w:val="212"/>
          <w:jc w:val="center"/>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39673781"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WGD</w:t>
            </w:r>
          </w:p>
        </w:tc>
        <w:tc>
          <w:tcPr>
            <w:tcW w:w="1350" w:type="dxa"/>
            <w:tcBorders>
              <w:top w:val="nil"/>
              <w:left w:val="nil"/>
              <w:bottom w:val="single" w:sz="4" w:space="0" w:color="auto"/>
              <w:right w:val="single" w:sz="4" w:space="0" w:color="auto"/>
            </w:tcBorders>
            <w:shd w:val="clear" w:color="auto" w:fill="auto"/>
            <w:noWrap/>
            <w:vAlign w:val="center"/>
          </w:tcPr>
          <w:p w14:paraId="47C90FA1"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45.05</w:t>
            </w:r>
          </w:p>
        </w:tc>
        <w:tc>
          <w:tcPr>
            <w:tcW w:w="1530" w:type="dxa"/>
            <w:tcBorders>
              <w:top w:val="nil"/>
              <w:left w:val="nil"/>
              <w:bottom w:val="single" w:sz="4" w:space="0" w:color="auto"/>
              <w:right w:val="single" w:sz="4" w:space="0" w:color="auto"/>
            </w:tcBorders>
            <w:shd w:val="clear" w:color="auto" w:fill="auto"/>
            <w:noWrap/>
            <w:vAlign w:val="center"/>
          </w:tcPr>
          <w:p w14:paraId="07695D12"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52.8</w:t>
            </w:r>
            <w:r>
              <w:rPr>
                <w:rFonts w:cs="Times New Roman"/>
                <w:color w:val="000000"/>
                <w:sz w:val="20"/>
                <w:szCs w:val="20"/>
              </w:rPr>
              <w:t>3</w:t>
            </w:r>
          </w:p>
        </w:tc>
        <w:tc>
          <w:tcPr>
            <w:tcW w:w="900" w:type="dxa"/>
            <w:tcBorders>
              <w:top w:val="nil"/>
              <w:left w:val="nil"/>
              <w:bottom w:val="single" w:sz="4" w:space="0" w:color="auto"/>
              <w:right w:val="single" w:sz="4" w:space="0" w:color="auto"/>
            </w:tcBorders>
            <w:shd w:val="clear" w:color="auto" w:fill="auto"/>
            <w:noWrap/>
            <w:vAlign w:val="center"/>
          </w:tcPr>
          <w:p w14:paraId="70243D40"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0.85</w:t>
            </w:r>
          </w:p>
        </w:tc>
        <w:tc>
          <w:tcPr>
            <w:tcW w:w="1471" w:type="dxa"/>
            <w:tcBorders>
              <w:top w:val="single" w:sz="4" w:space="0" w:color="auto"/>
              <w:left w:val="single" w:sz="4" w:space="0" w:color="auto"/>
              <w:bottom w:val="single" w:sz="4" w:space="0" w:color="auto"/>
              <w:right w:val="single" w:sz="4" w:space="0" w:color="auto"/>
            </w:tcBorders>
            <w:vAlign w:val="center"/>
          </w:tcPr>
          <w:p w14:paraId="394EA58E"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41.83</w:t>
            </w:r>
          </w:p>
        </w:tc>
        <w:tc>
          <w:tcPr>
            <w:tcW w:w="1499" w:type="dxa"/>
            <w:tcBorders>
              <w:top w:val="single" w:sz="4" w:space="0" w:color="auto"/>
              <w:left w:val="single" w:sz="4" w:space="0" w:color="auto"/>
              <w:bottom w:val="single" w:sz="4" w:space="0" w:color="auto"/>
              <w:right w:val="single" w:sz="4" w:space="0" w:color="auto"/>
            </w:tcBorders>
            <w:vAlign w:val="center"/>
          </w:tcPr>
          <w:p w14:paraId="1932023E"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54.41</w:t>
            </w:r>
          </w:p>
        </w:tc>
        <w:tc>
          <w:tcPr>
            <w:tcW w:w="870" w:type="dxa"/>
            <w:tcBorders>
              <w:top w:val="single" w:sz="4" w:space="0" w:color="auto"/>
              <w:left w:val="single" w:sz="4" w:space="0" w:color="auto"/>
              <w:bottom w:val="single" w:sz="4" w:space="0" w:color="auto"/>
              <w:right w:val="single" w:sz="4" w:space="0" w:color="auto"/>
            </w:tcBorders>
            <w:vAlign w:val="center"/>
          </w:tcPr>
          <w:p w14:paraId="2E8CCD35"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0.77</w:t>
            </w:r>
          </w:p>
        </w:tc>
      </w:tr>
      <w:tr w:rsidR="00783E42" w:rsidRPr="00401B79" w14:paraId="5116517E" w14:textId="77777777" w:rsidTr="00650395">
        <w:trPr>
          <w:trHeight w:val="212"/>
          <w:jc w:val="center"/>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760013EE"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WFD</w:t>
            </w:r>
          </w:p>
        </w:tc>
        <w:tc>
          <w:tcPr>
            <w:tcW w:w="1350" w:type="dxa"/>
            <w:tcBorders>
              <w:top w:val="nil"/>
              <w:left w:val="nil"/>
              <w:bottom w:val="single" w:sz="4" w:space="0" w:color="auto"/>
              <w:right w:val="single" w:sz="4" w:space="0" w:color="auto"/>
            </w:tcBorders>
            <w:shd w:val="clear" w:color="auto" w:fill="auto"/>
            <w:noWrap/>
            <w:vAlign w:val="center"/>
          </w:tcPr>
          <w:p w14:paraId="7C097CFB"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43.90</w:t>
            </w:r>
          </w:p>
        </w:tc>
        <w:tc>
          <w:tcPr>
            <w:tcW w:w="1530" w:type="dxa"/>
            <w:tcBorders>
              <w:top w:val="nil"/>
              <w:left w:val="nil"/>
              <w:bottom w:val="single" w:sz="4" w:space="0" w:color="auto"/>
              <w:right w:val="single" w:sz="4" w:space="0" w:color="auto"/>
            </w:tcBorders>
            <w:shd w:val="clear" w:color="auto" w:fill="auto"/>
            <w:noWrap/>
            <w:vAlign w:val="center"/>
          </w:tcPr>
          <w:p w14:paraId="130C9C34"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53.44</w:t>
            </w:r>
          </w:p>
        </w:tc>
        <w:tc>
          <w:tcPr>
            <w:tcW w:w="900" w:type="dxa"/>
            <w:tcBorders>
              <w:top w:val="nil"/>
              <w:left w:val="nil"/>
              <w:bottom w:val="single" w:sz="4" w:space="0" w:color="auto"/>
              <w:right w:val="single" w:sz="4" w:space="0" w:color="auto"/>
            </w:tcBorders>
            <w:shd w:val="clear" w:color="auto" w:fill="auto"/>
            <w:noWrap/>
            <w:vAlign w:val="center"/>
          </w:tcPr>
          <w:p w14:paraId="65D12379"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0.82</w:t>
            </w:r>
          </w:p>
        </w:tc>
        <w:tc>
          <w:tcPr>
            <w:tcW w:w="1471" w:type="dxa"/>
            <w:tcBorders>
              <w:top w:val="single" w:sz="4" w:space="0" w:color="auto"/>
              <w:left w:val="single" w:sz="4" w:space="0" w:color="auto"/>
              <w:bottom w:val="single" w:sz="4" w:space="0" w:color="auto"/>
              <w:right w:val="single" w:sz="4" w:space="0" w:color="auto"/>
            </w:tcBorders>
            <w:vAlign w:val="center"/>
          </w:tcPr>
          <w:p w14:paraId="234AB5B8"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35.34</w:t>
            </w:r>
          </w:p>
        </w:tc>
        <w:tc>
          <w:tcPr>
            <w:tcW w:w="1499" w:type="dxa"/>
            <w:tcBorders>
              <w:top w:val="single" w:sz="4" w:space="0" w:color="auto"/>
              <w:left w:val="single" w:sz="4" w:space="0" w:color="auto"/>
              <w:bottom w:val="single" w:sz="4" w:space="0" w:color="auto"/>
              <w:right w:val="single" w:sz="4" w:space="0" w:color="auto"/>
            </w:tcBorders>
            <w:vAlign w:val="center"/>
          </w:tcPr>
          <w:p w14:paraId="042A28BE"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57.89</w:t>
            </w:r>
          </w:p>
        </w:tc>
        <w:tc>
          <w:tcPr>
            <w:tcW w:w="870" w:type="dxa"/>
            <w:tcBorders>
              <w:top w:val="single" w:sz="4" w:space="0" w:color="auto"/>
              <w:left w:val="single" w:sz="4" w:space="0" w:color="auto"/>
              <w:bottom w:val="single" w:sz="4" w:space="0" w:color="auto"/>
              <w:right w:val="single" w:sz="4" w:space="0" w:color="auto"/>
            </w:tcBorders>
            <w:vAlign w:val="center"/>
          </w:tcPr>
          <w:p w14:paraId="6069ACC8"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0.61</w:t>
            </w:r>
          </w:p>
        </w:tc>
      </w:tr>
      <w:tr w:rsidR="00783E42" w:rsidRPr="00401B79" w14:paraId="38F83236" w14:textId="77777777" w:rsidTr="00650395">
        <w:trPr>
          <w:trHeight w:val="212"/>
          <w:jc w:val="center"/>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0412AA2"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GED</w:t>
            </w:r>
          </w:p>
        </w:tc>
        <w:tc>
          <w:tcPr>
            <w:tcW w:w="1350" w:type="dxa"/>
            <w:tcBorders>
              <w:top w:val="nil"/>
              <w:left w:val="nil"/>
              <w:bottom w:val="single" w:sz="4" w:space="0" w:color="auto"/>
              <w:right w:val="single" w:sz="4" w:space="0" w:color="auto"/>
            </w:tcBorders>
            <w:shd w:val="clear" w:color="auto" w:fill="auto"/>
            <w:noWrap/>
            <w:vAlign w:val="center"/>
          </w:tcPr>
          <w:p w14:paraId="3F0D7D37"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88.19</w:t>
            </w:r>
          </w:p>
        </w:tc>
        <w:tc>
          <w:tcPr>
            <w:tcW w:w="1530" w:type="dxa"/>
            <w:tcBorders>
              <w:top w:val="nil"/>
              <w:left w:val="nil"/>
              <w:bottom w:val="single" w:sz="4" w:space="0" w:color="auto"/>
              <w:right w:val="single" w:sz="4" w:space="0" w:color="auto"/>
            </w:tcBorders>
            <w:shd w:val="clear" w:color="auto" w:fill="auto"/>
            <w:noWrap/>
            <w:vAlign w:val="center"/>
          </w:tcPr>
          <w:p w14:paraId="03898432"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29.68</w:t>
            </w:r>
          </w:p>
        </w:tc>
        <w:tc>
          <w:tcPr>
            <w:tcW w:w="900" w:type="dxa"/>
            <w:tcBorders>
              <w:top w:val="nil"/>
              <w:left w:val="nil"/>
              <w:bottom w:val="single" w:sz="4" w:space="0" w:color="auto"/>
              <w:right w:val="single" w:sz="4" w:space="0" w:color="auto"/>
            </w:tcBorders>
            <w:shd w:val="clear" w:color="auto" w:fill="auto"/>
            <w:noWrap/>
            <w:vAlign w:val="center"/>
          </w:tcPr>
          <w:p w14:paraId="4DA12424"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2.97</w:t>
            </w:r>
          </w:p>
        </w:tc>
        <w:tc>
          <w:tcPr>
            <w:tcW w:w="1471" w:type="dxa"/>
            <w:tcBorders>
              <w:top w:val="single" w:sz="4" w:space="0" w:color="auto"/>
              <w:left w:val="single" w:sz="4" w:space="0" w:color="auto"/>
              <w:bottom w:val="single" w:sz="4" w:space="0" w:color="auto"/>
              <w:right w:val="single" w:sz="4" w:space="0" w:color="auto"/>
            </w:tcBorders>
            <w:vAlign w:val="center"/>
          </w:tcPr>
          <w:p w14:paraId="39F458D6"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67.11</w:t>
            </w:r>
          </w:p>
        </w:tc>
        <w:tc>
          <w:tcPr>
            <w:tcW w:w="1499" w:type="dxa"/>
            <w:tcBorders>
              <w:top w:val="single" w:sz="4" w:space="0" w:color="auto"/>
              <w:left w:val="single" w:sz="4" w:space="0" w:color="auto"/>
              <w:bottom w:val="single" w:sz="4" w:space="0" w:color="auto"/>
              <w:right w:val="single" w:sz="4" w:space="0" w:color="auto"/>
            </w:tcBorders>
            <w:vAlign w:val="center"/>
          </w:tcPr>
          <w:p w14:paraId="6E00E8D3"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40.84</w:t>
            </w:r>
          </w:p>
        </w:tc>
        <w:tc>
          <w:tcPr>
            <w:tcW w:w="870" w:type="dxa"/>
            <w:tcBorders>
              <w:top w:val="single" w:sz="4" w:space="0" w:color="auto"/>
              <w:left w:val="single" w:sz="4" w:space="0" w:color="auto"/>
              <w:bottom w:val="single" w:sz="4" w:space="0" w:color="auto"/>
              <w:right w:val="single" w:sz="4" w:space="0" w:color="auto"/>
            </w:tcBorders>
            <w:vAlign w:val="center"/>
          </w:tcPr>
          <w:p w14:paraId="33F0D3C0"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1.64</w:t>
            </w:r>
          </w:p>
        </w:tc>
      </w:tr>
      <w:tr w:rsidR="00783E42" w:rsidRPr="00401B79" w14:paraId="2E896862" w14:textId="77777777" w:rsidTr="00650395">
        <w:trPr>
          <w:trHeight w:val="212"/>
          <w:jc w:val="center"/>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24AB03B5"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FED</w:t>
            </w:r>
          </w:p>
        </w:tc>
        <w:tc>
          <w:tcPr>
            <w:tcW w:w="1350" w:type="dxa"/>
            <w:tcBorders>
              <w:top w:val="nil"/>
              <w:left w:val="nil"/>
              <w:bottom w:val="single" w:sz="4" w:space="0" w:color="auto"/>
              <w:right w:val="single" w:sz="4" w:space="0" w:color="auto"/>
            </w:tcBorders>
            <w:shd w:val="clear" w:color="auto" w:fill="auto"/>
            <w:noWrap/>
            <w:vAlign w:val="center"/>
          </w:tcPr>
          <w:p w14:paraId="4FB9F22C"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167.2</w:t>
            </w:r>
            <w:r>
              <w:rPr>
                <w:rFonts w:cs="Times New Roman"/>
                <w:color w:val="000000"/>
                <w:sz w:val="20"/>
                <w:szCs w:val="20"/>
              </w:rPr>
              <w:t>5</w:t>
            </w:r>
          </w:p>
        </w:tc>
        <w:tc>
          <w:tcPr>
            <w:tcW w:w="1530" w:type="dxa"/>
            <w:tcBorders>
              <w:top w:val="nil"/>
              <w:left w:val="nil"/>
              <w:bottom w:val="single" w:sz="4" w:space="0" w:color="auto"/>
              <w:right w:val="single" w:sz="4" w:space="0" w:color="auto"/>
            </w:tcBorders>
            <w:shd w:val="clear" w:color="auto" w:fill="auto"/>
            <w:noWrap/>
            <w:vAlign w:val="center"/>
          </w:tcPr>
          <w:p w14:paraId="2B8C5D66"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-12.73</w:t>
            </w:r>
          </w:p>
        </w:tc>
        <w:tc>
          <w:tcPr>
            <w:tcW w:w="900" w:type="dxa"/>
            <w:tcBorders>
              <w:top w:val="nil"/>
              <w:left w:val="nil"/>
              <w:bottom w:val="single" w:sz="4" w:space="0" w:color="auto"/>
              <w:right w:val="single" w:sz="4" w:space="0" w:color="auto"/>
            </w:tcBorders>
            <w:shd w:val="clear" w:color="auto" w:fill="auto"/>
            <w:noWrap/>
            <w:vAlign w:val="center"/>
          </w:tcPr>
          <w:p w14:paraId="42E7DC9C"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13.14</w:t>
            </w:r>
          </w:p>
        </w:tc>
        <w:tc>
          <w:tcPr>
            <w:tcW w:w="1471" w:type="dxa"/>
            <w:tcBorders>
              <w:top w:val="single" w:sz="4" w:space="0" w:color="auto"/>
              <w:left w:val="single" w:sz="4" w:space="0" w:color="auto"/>
              <w:bottom w:val="single" w:sz="4" w:space="0" w:color="auto"/>
              <w:right w:val="single" w:sz="4" w:space="0" w:color="auto"/>
            </w:tcBorders>
            <w:vAlign w:val="center"/>
          </w:tcPr>
          <w:p w14:paraId="54071C3F"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151.59</w:t>
            </w:r>
          </w:p>
        </w:tc>
        <w:tc>
          <w:tcPr>
            <w:tcW w:w="1499" w:type="dxa"/>
            <w:tcBorders>
              <w:top w:val="single" w:sz="4" w:space="0" w:color="auto"/>
              <w:left w:val="single" w:sz="4" w:space="0" w:color="auto"/>
              <w:bottom w:val="single" w:sz="4" w:space="0" w:color="auto"/>
              <w:right w:val="single" w:sz="4" w:space="0" w:color="auto"/>
            </w:tcBorders>
            <w:vAlign w:val="center"/>
          </w:tcPr>
          <w:p w14:paraId="2FD372FB"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-4.45</w:t>
            </w:r>
          </w:p>
        </w:tc>
        <w:tc>
          <w:tcPr>
            <w:tcW w:w="870" w:type="dxa"/>
            <w:tcBorders>
              <w:top w:val="single" w:sz="4" w:space="0" w:color="auto"/>
              <w:left w:val="single" w:sz="4" w:space="0" w:color="auto"/>
              <w:bottom w:val="single" w:sz="4" w:space="0" w:color="auto"/>
              <w:right w:val="single" w:sz="4" w:space="0" w:color="auto"/>
            </w:tcBorders>
            <w:vAlign w:val="center"/>
          </w:tcPr>
          <w:p w14:paraId="5DEED5B5"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34.08</w:t>
            </w:r>
          </w:p>
        </w:tc>
      </w:tr>
      <w:tr w:rsidR="00783E42" w:rsidRPr="00401B79" w14:paraId="007A28D3" w14:textId="77777777" w:rsidTr="00650395">
        <w:trPr>
          <w:trHeight w:val="212"/>
          <w:jc w:val="center"/>
        </w:trPr>
        <w:tc>
          <w:tcPr>
            <w:tcW w:w="1165" w:type="dxa"/>
            <w:tcBorders>
              <w:top w:val="nil"/>
              <w:left w:val="single" w:sz="4" w:space="0" w:color="auto"/>
              <w:bottom w:val="single" w:sz="4" w:space="0" w:color="auto"/>
              <w:right w:val="single" w:sz="4" w:space="0" w:color="auto"/>
            </w:tcBorders>
            <w:shd w:val="clear" w:color="auto" w:fill="auto"/>
            <w:noWrap/>
            <w:vAlign w:val="center"/>
            <w:hideMark/>
          </w:tcPr>
          <w:p w14:paraId="68763318"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FGD</w:t>
            </w:r>
          </w:p>
        </w:tc>
        <w:tc>
          <w:tcPr>
            <w:tcW w:w="1350" w:type="dxa"/>
            <w:tcBorders>
              <w:top w:val="nil"/>
              <w:left w:val="nil"/>
              <w:bottom w:val="single" w:sz="4" w:space="0" w:color="auto"/>
              <w:right w:val="single" w:sz="4" w:space="0" w:color="auto"/>
            </w:tcBorders>
            <w:shd w:val="clear" w:color="auto" w:fill="auto"/>
            <w:noWrap/>
            <w:vAlign w:val="center"/>
          </w:tcPr>
          <w:p w14:paraId="1993021A"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118.01</w:t>
            </w:r>
          </w:p>
        </w:tc>
        <w:tc>
          <w:tcPr>
            <w:tcW w:w="1530" w:type="dxa"/>
            <w:tcBorders>
              <w:top w:val="nil"/>
              <w:left w:val="nil"/>
              <w:bottom w:val="single" w:sz="4" w:space="0" w:color="auto"/>
              <w:right w:val="single" w:sz="4" w:space="0" w:color="auto"/>
            </w:tcBorders>
            <w:shd w:val="clear" w:color="auto" w:fill="auto"/>
            <w:noWrap/>
            <w:vAlign w:val="center"/>
          </w:tcPr>
          <w:p w14:paraId="37C465E1"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13.6</w:t>
            </w:r>
            <w:r>
              <w:rPr>
                <w:rFonts w:cs="Times New Roman"/>
                <w:color w:val="000000"/>
                <w:sz w:val="20"/>
                <w:szCs w:val="20"/>
              </w:rPr>
              <w:t>9</w:t>
            </w:r>
          </w:p>
        </w:tc>
        <w:tc>
          <w:tcPr>
            <w:tcW w:w="900" w:type="dxa"/>
            <w:tcBorders>
              <w:top w:val="nil"/>
              <w:left w:val="nil"/>
              <w:bottom w:val="single" w:sz="4" w:space="0" w:color="auto"/>
              <w:right w:val="single" w:sz="4" w:space="0" w:color="auto"/>
            </w:tcBorders>
            <w:shd w:val="clear" w:color="auto" w:fill="auto"/>
            <w:noWrap/>
            <w:vAlign w:val="center"/>
          </w:tcPr>
          <w:p w14:paraId="048538B1"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8.62</w:t>
            </w:r>
          </w:p>
        </w:tc>
        <w:tc>
          <w:tcPr>
            <w:tcW w:w="1471" w:type="dxa"/>
            <w:tcBorders>
              <w:top w:val="single" w:sz="4" w:space="0" w:color="auto"/>
              <w:left w:val="single" w:sz="4" w:space="0" w:color="auto"/>
              <w:bottom w:val="single" w:sz="4" w:space="0" w:color="auto"/>
              <w:right w:val="single" w:sz="4" w:space="0" w:color="auto"/>
            </w:tcBorders>
            <w:vAlign w:val="center"/>
          </w:tcPr>
          <w:p w14:paraId="05DC8A83"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148.39</w:t>
            </w:r>
          </w:p>
        </w:tc>
        <w:tc>
          <w:tcPr>
            <w:tcW w:w="1499" w:type="dxa"/>
            <w:tcBorders>
              <w:top w:val="single" w:sz="4" w:space="0" w:color="auto"/>
              <w:left w:val="single" w:sz="4" w:space="0" w:color="auto"/>
              <w:bottom w:val="single" w:sz="4" w:space="0" w:color="auto"/>
              <w:right w:val="single" w:sz="4" w:space="0" w:color="auto"/>
            </w:tcBorders>
            <w:vAlign w:val="center"/>
          </w:tcPr>
          <w:p w14:paraId="78BA7D82"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-2.76</w:t>
            </w:r>
          </w:p>
        </w:tc>
        <w:tc>
          <w:tcPr>
            <w:tcW w:w="870" w:type="dxa"/>
            <w:tcBorders>
              <w:top w:val="single" w:sz="4" w:space="0" w:color="auto"/>
              <w:left w:val="single" w:sz="4" w:space="0" w:color="auto"/>
              <w:bottom w:val="single" w:sz="4" w:space="0" w:color="auto"/>
              <w:right w:val="single" w:sz="4" w:space="0" w:color="auto"/>
            </w:tcBorders>
            <w:vAlign w:val="center"/>
          </w:tcPr>
          <w:p w14:paraId="256DCDBA"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53.75</w:t>
            </w:r>
          </w:p>
        </w:tc>
      </w:tr>
      <w:tr w:rsidR="00783E42" w:rsidRPr="00401B79" w14:paraId="3039FE65" w14:textId="77777777" w:rsidTr="00650395">
        <w:trPr>
          <w:trHeight w:val="212"/>
          <w:jc w:val="center"/>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97CC85E"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WD</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731FB44F" w14:textId="77777777" w:rsidR="00783E42" w:rsidRPr="00401B79" w:rsidRDefault="00783E42" w:rsidP="00650395">
            <w:pPr>
              <w:spacing w:line="276" w:lineRule="auto"/>
              <w:jc w:val="center"/>
              <w:rPr>
                <w:rFonts w:cs="Times New Roman"/>
                <w:color w:val="000000"/>
                <w:sz w:val="20"/>
                <w:szCs w:val="20"/>
              </w:rPr>
            </w:pPr>
            <w:r w:rsidRPr="00401B79">
              <w:rPr>
                <w:rFonts w:cs="Times New Roman"/>
                <w:color w:val="000000"/>
                <w:sz w:val="20"/>
                <w:szCs w:val="20"/>
              </w:rPr>
              <w:t>45.05</w:t>
            </w:r>
          </w:p>
        </w:tc>
        <w:tc>
          <w:tcPr>
            <w:tcW w:w="1530" w:type="dxa"/>
            <w:tcBorders>
              <w:top w:val="single" w:sz="4" w:space="0" w:color="auto"/>
              <w:left w:val="nil"/>
              <w:bottom w:val="single" w:sz="4" w:space="0" w:color="auto"/>
              <w:right w:val="single" w:sz="4" w:space="0" w:color="auto"/>
            </w:tcBorders>
            <w:shd w:val="clear" w:color="auto" w:fill="auto"/>
            <w:noWrap/>
            <w:vAlign w:val="center"/>
          </w:tcPr>
          <w:p w14:paraId="2255312A"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52.8</w:t>
            </w:r>
            <w:r>
              <w:rPr>
                <w:rFonts w:cs="Times New Roman"/>
                <w:color w:val="000000"/>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center"/>
          </w:tcPr>
          <w:p w14:paraId="394BD27A"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0.85</w:t>
            </w:r>
          </w:p>
        </w:tc>
        <w:tc>
          <w:tcPr>
            <w:tcW w:w="1471" w:type="dxa"/>
            <w:tcBorders>
              <w:top w:val="single" w:sz="4" w:space="0" w:color="auto"/>
              <w:left w:val="single" w:sz="4" w:space="0" w:color="auto"/>
              <w:bottom w:val="single" w:sz="4" w:space="0" w:color="auto"/>
              <w:right w:val="single" w:sz="4" w:space="0" w:color="auto"/>
            </w:tcBorders>
            <w:vAlign w:val="center"/>
          </w:tcPr>
          <w:p w14:paraId="2CD67155" w14:textId="77777777" w:rsidR="00783E42" w:rsidRPr="00401B79" w:rsidRDefault="00783E42" w:rsidP="00650395">
            <w:pPr>
              <w:spacing w:line="276" w:lineRule="auto"/>
              <w:jc w:val="center"/>
              <w:rPr>
                <w:rFonts w:cs="Times New Roman"/>
                <w:color w:val="000000"/>
                <w:sz w:val="20"/>
                <w:szCs w:val="20"/>
              </w:rPr>
            </w:pPr>
            <w:r w:rsidRPr="00401B79">
              <w:rPr>
                <w:rFonts w:cs="Times New Roman"/>
                <w:color w:val="000000"/>
                <w:sz w:val="20"/>
                <w:szCs w:val="20"/>
              </w:rPr>
              <w:t>43.22</w:t>
            </w:r>
          </w:p>
        </w:tc>
        <w:tc>
          <w:tcPr>
            <w:tcW w:w="1499" w:type="dxa"/>
            <w:tcBorders>
              <w:top w:val="single" w:sz="4" w:space="0" w:color="auto"/>
              <w:left w:val="single" w:sz="4" w:space="0" w:color="auto"/>
              <w:bottom w:val="single" w:sz="4" w:space="0" w:color="auto"/>
              <w:right w:val="single" w:sz="4" w:space="0" w:color="auto"/>
            </w:tcBorders>
            <w:vAlign w:val="center"/>
          </w:tcPr>
          <w:p w14:paraId="39C689A5" w14:textId="77777777" w:rsidR="00783E42" w:rsidRPr="00401B79" w:rsidRDefault="00783E42" w:rsidP="00650395">
            <w:pPr>
              <w:spacing w:line="276" w:lineRule="auto"/>
              <w:jc w:val="center"/>
              <w:rPr>
                <w:rFonts w:cs="Times New Roman"/>
                <w:color w:val="000000"/>
                <w:sz w:val="20"/>
                <w:szCs w:val="20"/>
              </w:rPr>
            </w:pPr>
            <w:r w:rsidRPr="00401B79">
              <w:rPr>
                <w:rFonts w:cs="Times New Roman"/>
                <w:color w:val="000000"/>
                <w:sz w:val="20"/>
                <w:szCs w:val="20"/>
              </w:rPr>
              <w:t>53.66</w:t>
            </w:r>
          </w:p>
        </w:tc>
        <w:tc>
          <w:tcPr>
            <w:tcW w:w="870" w:type="dxa"/>
            <w:tcBorders>
              <w:top w:val="single" w:sz="4" w:space="0" w:color="auto"/>
              <w:left w:val="single" w:sz="4" w:space="0" w:color="auto"/>
              <w:bottom w:val="single" w:sz="4" w:space="0" w:color="auto"/>
              <w:right w:val="single" w:sz="4" w:space="0" w:color="auto"/>
            </w:tcBorders>
            <w:vAlign w:val="center"/>
          </w:tcPr>
          <w:p w14:paraId="109B4886" w14:textId="77777777" w:rsidR="00783E42" w:rsidRPr="00401B79" w:rsidRDefault="00783E42" w:rsidP="00650395">
            <w:pPr>
              <w:spacing w:line="276" w:lineRule="auto"/>
              <w:jc w:val="center"/>
              <w:rPr>
                <w:rFonts w:cs="Times New Roman"/>
                <w:color w:val="000000"/>
                <w:sz w:val="20"/>
                <w:szCs w:val="20"/>
              </w:rPr>
            </w:pPr>
            <w:r w:rsidRPr="00401B79">
              <w:rPr>
                <w:rFonts w:cs="Times New Roman"/>
                <w:color w:val="000000"/>
                <w:sz w:val="20"/>
                <w:szCs w:val="20"/>
              </w:rPr>
              <w:t>0.81</w:t>
            </w:r>
          </w:p>
        </w:tc>
      </w:tr>
      <w:tr w:rsidR="00783E42" w:rsidRPr="00401B79" w14:paraId="0FF71B52" w14:textId="77777777" w:rsidTr="00650395">
        <w:trPr>
          <w:trHeight w:val="212"/>
          <w:jc w:val="center"/>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BE127A2"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GD</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47BA3B82" w14:textId="77777777" w:rsidR="00783E42" w:rsidRPr="00401B79" w:rsidRDefault="00783E42" w:rsidP="00650395">
            <w:pPr>
              <w:spacing w:line="276" w:lineRule="auto"/>
              <w:jc w:val="center"/>
              <w:rPr>
                <w:rFonts w:cs="Times New Roman"/>
                <w:color w:val="000000"/>
                <w:sz w:val="20"/>
                <w:szCs w:val="20"/>
              </w:rPr>
            </w:pPr>
            <w:r w:rsidRPr="00401B79">
              <w:rPr>
                <w:rFonts w:cs="Times New Roman"/>
                <w:color w:val="000000"/>
                <w:sz w:val="20"/>
                <w:szCs w:val="20"/>
              </w:rPr>
              <w:t>48.49</w:t>
            </w:r>
          </w:p>
        </w:tc>
        <w:tc>
          <w:tcPr>
            <w:tcW w:w="1530" w:type="dxa"/>
            <w:tcBorders>
              <w:top w:val="single" w:sz="4" w:space="0" w:color="auto"/>
              <w:left w:val="nil"/>
              <w:bottom w:val="single" w:sz="4" w:space="0" w:color="auto"/>
              <w:right w:val="single" w:sz="4" w:space="0" w:color="auto"/>
            </w:tcBorders>
            <w:shd w:val="clear" w:color="auto" w:fill="auto"/>
            <w:noWrap/>
            <w:vAlign w:val="center"/>
          </w:tcPr>
          <w:p w14:paraId="4E89B2E8"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50.98</w:t>
            </w:r>
          </w:p>
        </w:tc>
        <w:tc>
          <w:tcPr>
            <w:tcW w:w="900" w:type="dxa"/>
            <w:tcBorders>
              <w:top w:val="single" w:sz="4" w:space="0" w:color="auto"/>
              <w:left w:val="nil"/>
              <w:bottom w:val="single" w:sz="4" w:space="0" w:color="auto"/>
              <w:right w:val="single" w:sz="4" w:space="0" w:color="auto"/>
            </w:tcBorders>
            <w:shd w:val="clear" w:color="auto" w:fill="auto"/>
            <w:noWrap/>
            <w:vAlign w:val="center"/>
          </w:tcPr>
          <w:p w14:paraId="13A14F77"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0.95</w:t>
            </w:r>
          </w:p>
        </w:tc>
        <w:tc>
          <w:tcPr>
            <w:tcW w:w="1471" w:type="dxa"/>
            <w:tcBorders>
              <w:top w:val="single" w:sz="4" w:space="0" w:color="auto"/>
              <w:left w:val="single" w:sz="4" w:space="0" w:color="auto"/>
              <w:bottom w:val="single" w:sz="4" w:space="0" w:color="auto"/>
              <w:right w:val="single" w:sz="4" w:space="0" w:color="auto"/>
            </w:tcBorders>
            <w:vAlign w:val="center"/>
          </w:tcPr>
          <w:p w14:paraId="2E725243" w14:textId="77777777" w:rsidR="00783E42" w:rsidRPr="00401B79" w:rsidRDefault="00783E42" w:rsidP="00650395">
            <w:pPr>
              <w:spacing w:line="276" w:lineRule="auto"/>
              <w:jc w:val="center"/>
              <w:rPr>
                <w:rFonts w:cs="Times New Roman"/>
                <w:color w:val="000000"/>
                <w:sz w:val="20"/>
                <w:szCs w:val="20"/>
              </w:rPr>
            </w:pPr>
            <w:r w:rsidRPr="00401B79">
              <w:rPr>
                <w:rFonts w:cs="Times New Roman"/>
                <w:color w:val="000000"/>
                <w:sz w:val="20"/>
                <w:szCs w:val="20"/>
              </w:rPr>
              <w:t>42.15</w:t>
            </w:r>
          </w:p>
        </w:tc>
        <w:tc>
          <w:tcPr>
            <w:tcW w:w="1499" w:type="dxa"/>
            <w:tcBorders>
              <w:top w:val="single" w:sz="4" w:space="0" w:color="auto"/>
              <w:left w:val="single" w:sz="4" w:space="0" w:color="auto"/>
              <w:bottom w:val="single" w:sz="4" w:space="0" w:color="auto"/>
              <w:right w:val="single" w:sz="4" w:space="0" w:color="auto"/>
            </w:tcBorders>
            <w:vAlign w:val="center"/>
          </w:tcPr>
          <w:p w14:paraId="72CA997F" w14:textId="77777777" w:rsidR="00783E42" w:rsidRPr="00401B79" w:rsidRDefault="00783E42" w:rsidP="00650395">
            <w:pPr>
              <w:spacing w:line="276" w:lineRule="auto"/>
              <w:jc w:val="center"/>
              <w:rPr>
                <w:rFonts w:cs="Times New Roman"/>
                <w:color w:val="000000"/>
                <w:sz w:val="20"/>
                <w:szCs w:val="20"/>
              </w:rPr>
            </w:pPr>
            <w:r w:rsidRPr="00401B79">
              <w:rPr>
                <w:rFonts w:cs="Times New Roman"/>
                <w:color w:val="000000"/>
                <w:sz w:val="20"/>
                <w:szCs w:val="20"/>
              </w:rPr>
              <w:t>54.23</w:t>
            </w:r>
          </w:p>
        </w:tc>
        <w:tc>
          <w:tcPr>
            <w:tcW w:w="870" w:type="dxa"/>
            <w:tcBorders>
              <w:top w:val="single" w:sz="4" w:space="0" w:color="auto"/>
              <w:left w:val="single" w:sz="4" w:space="0" w:color="auto"/>
              <w:bottom w:val="single" w:sz="4" w:space="0" w:color="auto"/>
              <w:right w:val="single" w:sz="4" w:space="0" w:color="auto"/>
            </w:tcBorders>
            <w:vAlign w:val="center"/>
          </w:tcPr>
          <w:p w14:paraId="616F9013" w14:textId="77777777" w:rsidR="00783E42" w:rsidRPr="00401B79" w:rsidRDefault="00783E42" w:rsidP="00650395">
            <w:pPr>
              <w:spacing w:line="276" w:lineRule="auto"/>
              <w:jc w:val="center"/>
              <w:rPr>
                <w:rFonts w:cs="Times New Roman"/>
                <w:color w:val="000000"/>
                <w:sz w:val="20"/>
                <w:szCs w:val="20"/>
              </w:rPr>
            </w:pPr>
            <w:r w:rsidRPr="00401B79">
              <w:rPr>
                <w:rFonts w:cs="Times New Roman"/>
                <w:color w:val="000000"/>
                <w:sz w:val="20"/>
                <w:szCs w:val="20"/>
              </w:rPr>
              <w:t>0.78</w:t>
            </w:r>
          </w:p>
        </w:tc>
      </w:tr>
      <w:tr w:rsidR="00783E42" w:rsidRPr="00401B79" w14:paraId="0FC83B9C" w14:textId="77777777" w:rsidTr="00650395">
        <w:trPr>
          <w:trHeight w:val="212"/>
          <w:jc w:val="center"/>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5DFDA47"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FD</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47C5A631" w14:textId="77777777" w:rsidR="00783E42" w:rsidRPr="00401B79" w:rsidRDefault="00783E42" w:rsidP="00650395">
            <w:pPr>
              <w:spacing w:line="276" w:lineRule="auto"/>
              <w:jc w:val="center"/>
              <w:rPr>
                <w:rFonts w:cs="Times New Roman"/>
                <w:color w:val="000000"/>
                <w:sz w:val="20"/>
                <w:szCs w:val="20"/>
              </w:rPr>
            </w:pPr>
            <w:r w:rsidRPr="00401B79">
              <w:rPr>
                <w:rFonts w:cs="Times New Roman"/>
                <w:color w:val="000000"/>
                <w:sz w:val="20"/>
                <w:szCs w:val="20"/>
              </w:rPr>
              <w:t>44.64</w:t>
            </w:r>
          </w:p>
        </w:tc>
        <w:tc>
          <w:tcPr>
            <w:tcW w:w="1530" w:type="dxa"/>
            <w:tcBorders>
              <w:top w:val="single" w:sz="4" w:space="0" w:color="auto"/>
              <w:left w:val="nil"/>
              <w:bottom w:val="single" w:sz="4" w:space="0" w:color="auto"/>
              <w:right w:val="single" w:sz="4" w:space="0" w:color="auto"/>
            </w:tcBorders>
            <w:shd w:val="clear" w:color="auto" w:fill="auto"/>
            <w:noWrap/>
            <w:vAlign w:val="center"/>
          </w:tcPr>
          <w:p w14:paraId="04857BD3"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53.0</w:t>
            </w:r>
            <w:r>
              <w:rPr>
                <w:rFonts w:cs="Times New Roman"/>
                <w:color w:val="000000"/>
                <w:sz w:val="20"/>
                <w:szCs w:val="20"/>
              </w:rPr>
              <w:t>5</w:t>
            </w:r>
          </w:p>
        </w:tc>
        <w:tc>
          <w:tcPr>
            <w:tcW w:w="900" w:type="dxa"/>
            <w:tcBorders>
              <w:top w:val="single" w:sz="4" w:space="0" w:color="auto"/>
              <w:left w:val="nil"/>
              <w:bottom w:val="single" w:sz="4" w:space="0" w:color="auto"/>
              <w:right w:val="single" w:sz="4" w:space="0" w:color="auto"/>
            </w:tcBorders>
            <w:shd w:val="clear" w:color="auto" w:fill="auto"/>
            <w:noWrap/>
            <w:vAlign w:val="center"/>
          </w:tcPr>
          <w:p w14:paraId="0FEBEED9"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0.84</w:t>
            </w:r>
          </w:p>
        </w:tc>
        <w:tc>
          <w:tcPr>
            <w:tcW w:w="1471" w:type="dxa"/>
            <w:tcBorders>
              <w:top w:val="single" w:sz="4" w:space="0" w:color="auto"/>
              <w:left w:val="single" w:sz="4" w:space="0" w:color="auto"/>
              <w:bottom w:val="single" w:sz="4" w:space="0" w:color="auto"/>
              <w:right w:val="single" w:sz="4" w:space="0" w:color="auto"/>
            </w:tcBorders>
            <w:vAlign w:val="center"/>
          </w:tcPr>
          <w:p w14:paraId="6936C037" w14:textId="77777777" w:rsidR="00783E42" w:rsidRPr="00401B79" w:rsidRDefault="00783E42" w:rsidP="00650395">
            <w:pPr>
              <w:spacing w:line="276" w:lineRule="auto"/>
              <w:jc w:val="center"/>
              <w:rPr>
                <w:rFonts w:cs="Times New Roman"/>
                <w:color w:val="000000"/>
                <w:sz w:val="20"/>
                <w:szCs w:val="20"/>
              </w:rPr>
            </w:pPr>
            <w:r w:rsidRPr="00401B79">
              <w:rPr>
                <w:rFonts w:cs="Times New Roman"/>
                <w:color w:val="000000"/>
                <w:sz w:val="20"/>
                <w:szCs w:val="20"/>
              </w:rPr>
              <w:t>37.01</w:t>
            </w:r>
          </w:p>
        </w:tc>
        <w:tc>
          <w:tcPr>
            <w:tcW w:w="1499" w:type="dxa"/>
            <w:tcBorders>
              <w:top w:val="single" w:sz="4" w:space="0" w:color="auto"/>
              <w:left w:val="single" w:sz="4" w:space="0" w:color="auto"/>
              <w:bottom w:val="single" w:sz="4" w:space="0" w:color="auto"/>
              <w:right w:val="single" w:sz="4" w:space="0" w:color="auto"/>
            </w:tcBorders>
            <w:vAlign w:val="center"/>
          </w:tcPr>
          <w:p w14:paraId="7478DF76" w14:textId="77777777" w:rsidR="00783E42" w:rsidRPr="00401B79" w:rsidRDefault="00783E42" w:rsidP="00650395">
            <w:pPr>
              <w:spacing w:line="276" w:lineRule="auto"/>
              <w:jc w:val="center"/>
              <w:rPr>
                <w:rFonts w:cs="Times New Roman"/>
                <w:color w:val="000000"/>
                <w:sz w:val="20"/>
                <w:szCs w:val="20"/>
              </w:rPr>
            </w:pPr>
            <w:r w:rsidRPr="00401B79">
              <w:rPr>
                <w:rFonts w:cs="Times New Roman"/>
                <w:color w:val="000000"/>
                <w:sz w:val="20"/>
                <w:szCs w:val="20"/>
              </w:rPr>
              <w:t>56.99</w:t>
            </w:r>
          </w:p>
        </w:tc>
        <w:tc>
          <w:tcPr>
            <w:tcW w:w="870" w:type="dxa"/>
            <w:tcBorders>
              <w:top w:val="single" w:sz="4" w:space="0" w:color="auto"/>
              <w:left w:val="single" w:sz="4" w:space="0" w:color="auto"/>
              <w:bottom w:val="single" w:sz="4" w:space="0" w:color="auto"/>
              <w:right w:val="single" w:sz="4" w:space="0" w:color="auto"/>
            </w:tcBorders>
            <w:vAlign w:val="center"/>
          </w:tcPr>
          <w:p w14:paraId="5C2197C5" w14:textId="77777777" w:rsidR="00783E42" w:rsidRPr="00401B79" w:rsidRDefault="00783E42" w:rsidP="00650395">
            <w:pPr>
              <w:spacing w:line="276" w:lineRule="auto"/>
              <w:jc w:val="center"/>
              <w:rPr>
                <w:rFonts w:cs="Times New Roman"/>
                <w:color w:val="000000"/>
                <w:sz w:val="20"/>
                <w:szCs w:val="20"/>
              </w:rPr>
            </w:pPr>
            <w:r w:rsidRPr="00401B79">
              <w:rPr>
                <w:rFonts w:cs="Times New Roman"/>
                <w:color w:val="000000"/>
                <w:sz w:val="20"/>
                <w:szCs w:val="20"/>
              </w:rPr>
              <w:t>0.65</w:t>
            </w:r>
          </w:p>
        </w:tc>
      </w:tr>
      <w:tr w:rsidR="00783E42" w:rsidRPr="00401B79" w14:paraId="38359C99" w14:textId="77777777" w:rsidTr="00650395">
        <w:trPr>
          <w:trHeight w:val="212"/>
          <w:jc w:val="center"/>
        </w:trPr>
        <w:tc>
          <w:tcPr>
            <w:tcW w:w="116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FA37763"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DE</w:t>
            </w:r>
          </w:p>
        </w:tc>
        <w:tc>
          <w:tcPr>
            <w:tcW w:w="1350" w:type="dxa"/>
            <w:tcBorders>
              <w:top w:val="single" w:sz="4" w:space="0" w:color="auto"/>
              <w:left w:val="nil"/>
              <w:bottom w:val="single" w:sz="4" w:space="0" w:color="auto"/>
              <w:right w:val="single" w:sz="4" w:space="0" w:color="auto"/>
            </w:tcBorders>
            <w:shd w:val="clear" w:color="auto" w:fill="auto"/>
            <w:noWrap/>
            <w:vAlign w:val="center"/>
          </w:tcPr>
          <w:p w14:paraId="0D27CEC9" w14:textId="77777777" w:rsidR="00783E42" w:rsidRPr="00401B79" w:rsidRDefault="00783E42" w:rsidP="00650395">
            <w:pPr>
              <w:spacing w:line="276" w:lineRule="auto"/>
              <w:jc w:val="center"/>
              <w:rPr>
                <w:rFonts w:cs="Times New Roman"/>
                <w:color w:val="000000"/>
                <w:sz w:val="20"/>
                <w:szCs w:val="20"/>
              </w:rPr>
            </w:pPr>
            <w:r w:rsidRPr="00401B79">
              <w:rPr>
                <w:rFonts w:cs="Times New Roman"/>
                <w:color w:val="000000"/>
                <w:sz w:val="20"/>
                <w:szCs w:val="20"/>
              </w:rPr>
              <w:t>56.6</w:t>
            </w:r>
            <w:r>
              <w:rPr>
                <w:rFonts w:cs="Times New Roman"/>
                <w:color w:val="000000"/>
                <w:sz w:val="20"/>
                <w:szCs w:val="20"/>
              </w:rPr>
              <w:t>1</w:t>
            </w:r>
          </w:p>
        </w:tc>
        <w:tc>
          <w:tcPr>
            <w:tcW w:w="1530" w:type="dxa"/>
            <w:tcBorders>
              <w:top w:val="single" w:sz="4" w:space="0" w:color="auto"/>
              <w:left w:val="nil"/>
              <w:bottom w:val="single" w:sz="4" w:space="0" w:color="auto"/>
              <w:right w:val="single" w:sz="4" w:space="0" w:color="auto"/>
            </w:tcBorders>
            <w:shd w:val="clear" w:color="auto" w:fill="auto"/>
            <w:noWrap/>
            <w:vAlign w:val="center"/>
          </w:tcPr>
          <w:p w14:paraId="4B34A2E0"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46.6</w:t>
            </w:r>
            <w:r>
              <w:rPr>
                <w:rFonts w:cs="Times New Roman"/>
                <w:color w:val="000000"/>
                <w:sz w:val="20"/>
                <w:szCs w:val="20"/>
              </w:rPr>
              <w:t>3</w:t>
            </w:r>
          </w:p>
        </w:tc>
        <w:tc>
          <w:tcPr>
            <w:tcW w:w="900" w:type="dxa"/>
            <w:tcBorders>
              <w:top w:val="single" w:sz="4" w:space="0" w:color="auto"/>
              <w:left w:val="nil"/>
              <w:bottom w:val="single" w:sz="4" w:space="0" w:color="auto"/>
              <w:right w:val="single" w:sz="4" w:space="0" w:color="auto"/>
            </w:tcBorders>
            <w:shd w:val="clear" w:color="auto" w:fill="auto"/>
            <w:noWrap/>
            <w:vAlign w:val="center"/>
          </w:tcPr>
          <w:p w14:paraId="3D594B82" w14:textId="77777777" w:rsidR="00783E42" w:rsidRPr="00401B79" w:rsidRDefault="00783E42" w:rsidP="00650395">
            <w:pPr>
              <w:spacing w:line="276" w:lineRule="auto"/>
              <w:jc w:val="center"/>
              <w:rPr>
                <w:rFonts w:eastAsia="Times New Roman" w:cs="Times New Roman"/>
                <w:color w:val="000000"/>
                <w:sz w:val="20"/>
                <w:szCs w:val="20"/>
              </w:rPr>
            </w:pPr>
            <w:r w:rsidRPr="00401B79">
              <w:rPr>
                <w:rFonts w:cs="Times New Roman"/>
                <w:color w:val="000000"/>
                <w:sz w:val="20"/>
                <w:szCs w:val="20"/>
              </w:rPr>
              <w:t>1.21</w:t>
            </w:r>
          </w:p>
        </w:tc>
        <w:tc>
          <w:tcPr>
            <w:tcW w:w="1471" w:type="dxa"/>
            <w:tcBorders>
              <w:top w:val="single" w:sz="4" w:space="0" w:color="auto"/>
              <w:left w:val="single" w:sz="4" w:space="0" w:color="auto"/>
              <w:bottom w:val="single" w:sz="4" w:space="0" w:color="auto"/>
              <w:right w:val="single" w:sz="4" w:space="0" w:color="auto"/>
            </w:tcBorders>
            <w:vAlign w:val="center"/>
          </w:tcPr>
          <w:p w14:paraId="25B295CA" w14:textId="77777777" w:rsidR="00783E42" w:rsidRPr="00401B79" w:rsidRDefault="00783E42" w:rsidP="00650395">
            <w:pPr>
              <w:spacing w:line="276" w:lineRule="auto"/>
              <w:jc w:val="center"/>
              <w:rPr>
                <w:rFonts w:cs="Times New Roman"/>
                <w:color w:val="000000"/>
                <w:sz w:val="20"/>
                <w:szCs w:val="20"/>
              </w:rPr>
            </w:pPr>
            <w:r w:rsidRPr="00401B79">
              <w:rPr>
                <w:rFonts w:cs="Times New Roman"/>
                <w:color w:val="000000"/>
                <w:sz w:val="20"/>
                <w:szCs w:val="20"/>
              </w:rPr>
              <w:t>47.54</w:t>
            </w:r>
          </w:p>
        </w:tc>
        <w:tc>
          <w:tcPr>
            <w:tcW w:w="1499" w:type="dxa"/>
            <w:tcBorders>
              <w:top w:val="single" w:sz="4" w:space="0" w:color="auto"/>
              <w:left w:val="single" w:sz="4" w:space="0" w:color="auto"/>
              <w:bottom w:val="single" w:sz="4" w:space="0" w:color="auto"/>
              <w:right w:val="single" w:sz="4" w:space="0" w:color="auto"/>
            </w:tcBorders>
            <w:vAlign w:val="center"/>
          </w:tcPr>
          <w:p w14:paraId="4F293EDF" w14:textId="77777777" w:rsidR="00783E42" w:rsidRPr="00401B79" w:rsidRDefault="00783E42" w:rsidP="00650395">
            <w:pPr>
              <w:spacing w:line="276" w:lineRule="auto"/>
              <w:jc w:val="center"/>
              <w:rPr>
                <w:rFonts w:cs="Times New Roman"/>
                <w:color w:val="000000"/>
                <w:sz w:val="20"/>
                <w:szCs w:val="20"/>
              </w:rPr>
            </w:pPr>
            <w:r w:rsidRPr="00401B79">
              <w:rPr>
                <w:rFonts w:cs="Times New Roman"/>
                <w:color w:val="000000"/>
                <w:sz w:val="20"/>
                <w:szCs w:val="20"/>
              </w:rPr>
              <w:t>51.34</w:t>
            </w:r>
          </w:p>
        </w:tc>
        <w:tc>
          <w:tcPr>
            <w:tcW w:w="870" w:type="dxa"/>
            <w:tcBorders>
              <w:top w:val="single" w:sz="4" w:space="0" w:color="auto"/>
              <w:left w:val="single" w:sz="4" w:space="0" w:color="auto"/>
              <w:bottom w:val="single" w:sz="4" w:space="0" w:color="auto"/>
              <w:right w:val="single" w:sz="4" w:space="0" w:color="auto"/>
            </w:tcBorders>
            <w:vAlign w:val="center"/>
          </w:tcPr>
          <w:p w14:paraId="7C5DDEB4" w14:textId="77777777" w:rsidR="00783E42" w:rsidRPr="00401B79" w:rsidRDefault="00783E42" w:rsidP="00650395">
            <w:pPr>
              <w:spacing w:line="276" w:lineRule="auto"/>
              <w:jc w:val="center"/>
              <w:rPr>
                <w:rFonts w:cs="Times New Roman"/>
                <w:color w:val="000000"/>
                <w:sz w:val="20"/>
                <w:szCs w:val="20"/>
              </w:rPr>
            </w:pPr>
            <w:r w:rsidRPr="00401B79">
              <w:rPr>
                <w:rFonts w:cs="Times New Roman"/>
                <w:color w:val="000000"/>
                <w:sz w:val="20"/>
                <w:szCs w:val="20"/>
              </w:rPr>
              <w:t>0.93</w:t>
            </w:r>
          </w:p>
        </w:tc>
      </w:tr>
    </w:tbl>
    <w:p w14:paraId="7BC56123" w14:textId="77777777" w:rsidR="00783E42" w:rsidRPr="00145455" w:rsidRDefault="00783E42" w:rsidP="00783E42">
      <w:pPr>
        <w:spacing w:line="360" w:lineRule="auto"/>
        <w:rPr>
          <w:rFonts w:cs="Times New Roman"/>
          <w:szCs w:val="24"/>
        </w:rPr>
      </w:pPr>
    </w:p>
    <w:p w14:paraId="10C7E93D" w14:textId="77777777" w:rsidR="003226BB" w:rsidRDefault="003226BB" w:rsidP="003226BB">
      <w:pPr>
        <w:spacing w:line="360" w:lineRule="auto"/>
        <w:jc w:val="center"/>
        <w:rPr>
          <w:rFonts w:cs="Times New Roman"/>
          <w:szCs w:val="24"/>
        </w:rPr>
      </w:pPr>
    </w:p>
    <w:p w14:paraId="4C7799B0" w14:textId="77777777" w:rsidR="003226BB" w:rsidRDefault="003226BB" w:rsidP="003226BB">
      <w:pPr>
        <w:spacing w:line="360" w:lineRule="auto"/>
        <w:jc w:val="center"/>
        <w:rPr>
          <w:rFonts w:cs="Times New Roman"/>
          <w:szCs w:val="24"/>
        </w:rPr>
      </w:pPr>
    </w:p>
    <w:p w14:paraId="4604ADC0" w14:textId="77777777" w:rsidR="003226BB" w:rsidRDefault="003226BB" w:rsidP="003226BB">
      <w:pPr>
        <w:spacing w:line="360" w:lineRule="auto"/>
        <w:jc w:val="center"/>
        <w:rPr>
          <w:rFonts w:cs="Times New Roman"/>
          <w:szCs w:val="24"/>
        </w:rPr>
      </w:pPr>
    </w:p>
    <w:p w14:paraId="29B0CE77" w14:textId="77777777" w:rsidR="003226BB" w:rsidRDefault="003226BB" w:rsidP="003226BB">
      <w:pPr>
        <w:spacing w:line="360" w:lineRule="auto"/>
        <w:jc w:val="center"/>
        <w:rPr>
          <w:rFonts w:cs="Times New Roman"/>
          <w:szCs w:val="24"/>
        </w:rPr>
      </w:pPr>
    </w:p>
    <w:p w14:paraId="773C8A8C" w14:textId="77777777" w:rsidR="003226BB" w:rsidRDefault="003226BB" w:rsidP="003226BB">
      <w:pPr>
        <w:spacing w:line="360" w:lineRule="auto"/>
        <w:jc w:val="center"/>
        <w:rPr>
          <w:rFonts w:cs="Times New Roman"/>
          <w:szCs w:val="24"/>
        </w:rPr>
      </w:pPr>
    </w:p>
    <w:p w14:paraId="46701371" w14:textId="77777777" w:rsidR="003226BB" w:rsidRDefault="003226BB" w:rsidP="003226BB">
      <w:pPr>
        <w:spacing w:line="360" w:lineRule="auto"/>
        <w:jc w:val="center"/>
        <w:rPr>
          <w:rFonts w:cs="Times New Roman"/>
          <w:szCs w:val="24"/>
        </w:rPr>
      </w:pPr>
    </w:p>
    <w:p w14:paraId="18DEF934" w14:textId="77777777" w:rsidR="003226BB" w:rsidRDefault="003226BB" w:rsidP="003226BB">
      <w:pPr>
        <w:spacing w:line="360" w:lineRule="auto"/>
        <w:jc w:val="center"/>
        <w:rPr>
          <w:rFonts w:cs="Times New Roman"/>
          <w:szCs w:val="24"/>
        </w:rPr>
      </w:pPr>
    </w:p>
    <w:p w14:paraId="68694BD8" w14:textId="77777777" w:rsidR="003226BB" w:rsidRDefault="003226BB" w:rsidP="003226BB">
      <w:pPr>
        <w:spacing w:line="360" w:lineRule="auto"/>
        <w:jc w:val="center"/>
        <w:rPr>
          <w:rFonts w:cs="Times New Roman"/>
          <w:szCs w:val="24"/>
        </w:rPr>
      </w:pPr>
    </w:p>
    <w:p w14:paraId="5FDAA119" w14:textId="77777777" w:rsidR="003226BB" w:rsidRDefault="003226BB" w:rsidP="003226BB">
      <w:pPr>
        <w:spacing w:line="360" w:lineRule="auto"/>
        <w:jc w:val="center"/>
        <w:rPr>
          <w:rFonts w:cs="Times New Roman"/>
          <w:szCs w:val="24"/>
        </w:rPr>
      </w:pPr>
    </w:p>
    <w:p w14:paraId="344C4DE1" w14:textId="77777777" w:rsidR="003226BB" w:rsidRDefault="003226BB" w:rsidP="003226BB">
      <w:pPr>
        <w:spacing w:line="360" w:lineRule="auto"/>
        <w:jc w:val="center"/>
        <w:rPr>
          <w:rFonts w:cs="Times New Roman"/>
          <w:szCs w:val="24"/>
        </w:rPr>
      </w:pPr>
    </w:p>
    <w:p w14:paraId="3858AF59" w14:textId="77777777" w:rsidR="003226BB" w:rsidRDefault="003226BB" w:rsidP="003226BB">
      <w:pPr>
        <w:spacing w:line="360" w:lineRule="auto"/>
        <w:jc w:val="center"/>
        <w:rPr>
          <w:rFonts w:cs="Times New Roman"/>
          <w:szCs w:val="24"/>
        </w:rPr>
      </w:pPr>
    </w:p>
    <w:p w14:paraId="1F433862" w14:textId="77777777" w:rsidR="003226BB" w:rsidRDefault="003226BB" w:rsidP="003226BB">
      <w:pPr>
        <w:spacing w:line="360" w:lineRule="auto"/>
        <w:jc w:val="center"/>
        <w:rPr>
          <w:rFonts w:cs="Times New Roman"/>
          <w:szCs w:val="24"/>
        </w:rPr>
      </w:pPr>
    </w:p>
    <w:p w14:paraId="797A786F" w14:textId="77777777" w:rsidR="003226BB" w:rsidRDefault="003226BB" w:rsidP="003226BB">
      <w:pPr>
        <w:spacing w:line="360" w:lineRule="auto"/>
        <w:jc w:val="center"/>
        <w:rPr>
          <w:rFonts w:cs="Times New Roman"/>
          <w:szCs w:val="24"/>
        </w:rPr>
      </w:pPr>
    </w:p>
    <w:p w14:paraId="2D4CAED4" w14:textId="77777777" w:rsidR="003226BB" w:rsidRDefault="003226BB" w:rsidP="003226BB">
      <w:pPr>
        <w:spacing w:line="360" w:lineRule="auto"/>
        <w:jc w:val="center"/>
        <w:rPr>
          <w:rFonts w:cs="Times New Roman"/>
          <w:szCs w:val="24"/>
        </w:rPr>
      </w:pPr>
    </w:p>
    <w:p w14:paraId="169368FD" w14:textId="77777777" w:rsidR="003226BB" w:rsidRDefault="003226BB" w:rsidP="003226BB">
      <w:pPr>
        <w:spacing w:line="360" w:lineRule="auto"/>
        <w:jc w:val="center"/>
        <w:rPr>
          <w:rFonts w:cs="Times New Roman"/>
          <w:szCs w:val="24"/>
        </w:rPr>
      </w:pPr>
    </w:p>
    <w:p w14:paraId="1CEA02FD" w14:textId="09CAC173" w:rsidR="003226BB" w:rsidRDefault="002438A2" w:rsidP="00537471">
      <w:pPr>
        <w:pStyle w:val="Caption"/>
        <w:spacing w:line="480" w:lineRule="auto"/>
        <w:jc w:val="center"/>
        <w:rPr>
          <w:szCs w:val="24"/>
        </w:rPr>
      </w:pPr>
      <w:bookmarkStart w:id="57" w:name="_Toc71330980"/>
      <w:r>
        <w:t xml:space="preserve">Table </w:t>
      </w:r>
      <w:fldSimple w:instr=" STYLEREF 1 \s ">
        <w:r w:rsidR="005050F0">
          <w:rPr>
            <w:noProof/>
          </w:rPr>
          <w:t>2</w:t>
        </w:r>
      </w:fldSimple>
      <w:r w:rsidR="00700639">
        <w:t>.</w:t>
      </w:r>
      <w:fldSimple w:instr=" SEQ Table \* ARABIC \s 1 ">
        <w:r w:rsidR="005050F0">
          <w:rPr>
            <w:noProof/>
          </w:rPr>
          <w:t>9</w:t>
        </w:r>
      </w:fldSimple>
      <w:r>
        <w:t xml:space="preserve"> </w:t>
      </w:r>
      <w:r w:rsidR="003226BB" w:rsidRPr="00047D9A">
        <w:rPr>
          <w:szCs w:val="24"/>
        </w:rPr>
        <w:t xml:space="preserve">Surface Free </w:t>
      </w:r>
      <w:r w:rsidR="003226BB">
        <w:rPr>
          <w:szCs w:val="24"/>
        </w:rPr>
        <w:t>E</w:t>
      </w:r>
      <w:r w:rsidR="003226BB" w:rsidRPr="00047D9A">
        <w:rPr>
          <w:szCs w:val="24"/>
        </w:rPr>
        <w:t xml:space="preserve">nergy </w:t>
      </w:r>
      <w:r w:rsidR="003226BB">
        <w:rPr>
          <w:szCs w:val="24"/>
        </w:rPr>
        <w:t>Components of S1 and S4 Binders from</w:t>
      </w:r>
      <w:r w:rsidR="003226BB" w:rsidRPr="00047D9A">
        <w:rPr>
          <w:szCs w:val="24"/>
        </w:rPr>
        <w:t xml:space="preserve"> </w:t>
      </w:r>
      <w:r w:rsidR="003226BB">
        <w:rPr>
          <w:szCs w:val="24"/>
        </w:rPr>
        <w:t>Wu</w:t>
      </w:r>
      <w:r w:rsidR="003226BB" w:rsidRPr="00047D9A">
        <w:rPr>
          <w:szCs w:val="24"/>
        </w:rPr>
        <w:t xml:space="preserve"> </w:t>
      </w:r>
      <w:r w:rsidR="003226BB">
        <w:rPr>
          <w:szCs w:val="24"/>
        </w:rPr>
        <w:t>M</w:t>
      </w:r>
      <w:r w:rsidR="003226BB" w:rsidRPr="00047D9A">
        <w:rPr>
          <w:szCs w:val="24"/>
        </w:rPr>
        <w:t>ethod</w:t>
      </w:r>
      <w:bookmarkEnd w:id="57"/>
    </w:p>
    <w:tbl>
      <w:tblPr>
        <w:tblW w:w="8361" w:type="dxa"/>
        <w:jc w:val="center"/>
        <w:tblLayout w:type="fixed"/>
        <w:tblLook w:val="04A0" w:firstRow="1" w:lastRow="0" w:firstColumn="1" w:lastColumn="0" w:noHBand="0" w:noVBand="1"/>
      </w:tblPr>
      <w:tblGrid>
        <w:gridCol w:w="1364"/>
        <w:gridCol w:w="1246"/>
        <w:gridCol w:w="1121"/>
        <w:gridCol w:w="1127"/>
        <w:gridCol w:w="1249"/>
        <w:gridCol w:w="1124"/>
        <w:gridCol w:w="1130"/>
      </w:tblGrid>
      <w:tr w:rsidR="003226BB" w:rsidRPr="00401B79" w14:paraId="3714B785" w14:textId="77777777" w:rsidTr="00650395">
        <w:trPr>
          <w:trHeight w:val="231"/>
          <w:jc w:val="center"/>
        </w:trPr>
        <w:tc>
          <w:tcPr>
            <w:tcW w:w="136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8815703" w14:textId="77777777" w:rsidR="003226BB" w:rsidRPr="00401B79" w:rsidRDefault="003226BB" w:rsidP="00650395">
            <w:pPr>
              <w:spacing w:line="276" w:lineRule="auto"/>
              <w:jc w:val="center"/>
              <w:rPr>
                <w:rFonts w:eastAsia="Times New Roman" w:cs="Times New Roman"/>
                <w:b/>
                <w:bCs/>
                <w:color w:val="000000"/>
                <w:sz w:val="20"/>
                <w:szCs w:val="20"/>
              </w:rPr>
            </w:pPr>
            <w:r w:rsidRPr="00401B79">
              <w:rPr>
                <w:rFonts w:eastAsia="Times New Roman" w:cs="Times New Roman"/>
                <w:b/>
                <w:bCs/>
                <w:color w:val="000000"/>
                <w:sz w:val="20"/>
                <w:szCs w:val="20"/>
              </w:rPr>
              <w:t>Test liquid set</w:t>
            </w:r>
          </w:p>
        </w:tc>
        <w:tc>
          <w:tcPr>
            <w:tcW w:w="3494" w:type="dxa"/>
            <w:gridSpan w:val="3"/>
            <w:tcBorders>
              <w:top w:val="single" w:sz="4" w:space="0" w:color="auto"/>
              <w:left w:val="nil"/>
              <w:bottom w:val="single" w:sz="4" w:space="0" w:color="auto"/>
              <w:right w:val="single" w:sz="4" w:space="0" w:color="auto"/>
            </w:tcBorders>
            <w:shd w:val="clear" w:color="auto" w:fill="auto"/>
            <w:vAlign w:val="center"/>
          </w:tcPr>
          <w:p w14:paraId="74F3E348" w14:textId="77777777" w:rsidR="003226BB" w:rsidRPr="00401B79" w:rsidRDefault="003226BB" w:rsidP="00650395">
            <w:pPr>
              <w:spacing w:line="276" w:lineRule="auto"/>
              <w:jc w:val="center"/>
              <w:rPr>
                <w:rFonts w:eastAsia="Times New Roman" w:cs="Times New Roman"/>
                <w:b/>
                <w:bCs/>
                <w:sz w:val="20"/>
                <w:szCs w:val="20"/>
              </w:rPr>
            </w:pPr>
            <w:r w:rsidRPr="00401B79">
              <w:rPr>
                <w:rFonts w:eastAsia="Times New Roman" w:cs="Times New Roman"/>
                <w:b/>
                <w:bCs/>
                <w:sz w:val="20"/>
                <w:szCs w:val="20"/>
              </w:rPr>
              <w:t>S1 Binder</w:t>
            </w:r>
          </w:p>
        </w:tc>
        <w:tc>
          <w:tcPr>
            <w:tcW w:w="3503" w:type="dxa"/>
            <w:gridSpan w:val="3"/>
            <w:tcBorders>
              <w:top w:val="single" w:sz="4" w:space="0" w:color="auto"/>
              <w:left w:val="single" w:sz="4" w:space="0" w:color="auto"/>
              <w:bottom w:val="single" w:sz="4" w:space="0" w:color="auto"/>
              <w:right w:val="single" w:sz="4" w:space="0" w:color="auto"/>
            </w:tcBorders>
            <w:vAlign w:val="center"/>
          </w:tcPr>
          <w:p w14:paraId="4B632F27" w14:textId="77777777" w:rsidR="003226BB" w:rsidRPr="00401B79" w:rsidRDefault="003226BB" w:rsidP="00650395">
            <w:pPr>
              <w:spacing w:line="276" w:lineRule="auto"/>
              <w:jc w:val="center"/>
              <w:rPr>
                <w:rFonts w:eastAsia="Times New Roman" w:cs="Times New Roman"/>
                <w:b/>
                <w:bCs/>
                <w:sz w:val="20"/>
                <w:szCs w:val="20"/>
              </w:rPr>
            </w:pPr>
            <w:r w:rsidRPr="00401B79">
              <w:rPr>
                <w:rFonts w:eastAsia="Times New Roman" w:cs="Times New Roman"/>
                <w:b/>
                <w:bCs/>
                <w:sz w:val="20"/>
                <w:szCs w:val="20"/>
              </w:rPr>
              <w:t>S4 Binder</w:t>
            </w:r>
          </w:p>
        </w:tc>
      </w:tr>
      <w:tr w:rsidR="003226BB" w:rsidRPr="00401B79" w14:paraId="1BB584EA" w14:textId="77777777" w:rsidTr="00650395">
        <w:trPr>
          <w:trHeight w:val="231"/>
          <w:jc w:val="center"/>
        </w:trPr>
        <w:tc>
          <w:tcPr>
            <w:tcW w:w="1364" w:type="dxa"/>
            <w:vMerge/>
            <w:tcBorders>
              <w:top w:val="single" w:sz="4" w:space="0" w:color="auto"/>
              <w:left w:val="single" w:sz="4" w:space="0" w:color="auto"/>
              <w:right w:val="single" w:sz="4" w:space="0" w:color="auto"/>
            </w:tcBorders>
            <w:shd w:val="clear" w:color="auto" w:fill="auto"/>
            <w:noWrap/>
            <w:vAlign w:val="center"/>
          </w:tcPr>
          <w:p w14:paraId="30D146AE" w14:textId="77777777" w:rsidR="003226BB" w:rsidRPr="00401B79" w:rsidRDefault="003226BB" w:rsidP="00650395">
            <w:pPr>
              <w:spacing w:line="276" w:lineRule="auto"/>
              <w:jc w:val="center"/>
              <w:rPr>
                <w:rFonts w:eastAsia="Times New Roman" w:cs="Times New Roman"/>
                <w:b/>
                <w:bCs/>
                <w:color w:val="000000"/>
                <w:sz w:val="20"/>
                <w:szCs w:val="20"/>
              </w:rPr>
            </w:pPr>
          </w:p>
        </w:tc>
        <w:tc>
          <w:tcPr>
            <w:tcW w:w="3494" w:type="dxa"/>
            <w:gridSpan w:val="3"/>
            <w:tcBorders>
              <w:top w:val="single" w:sz="4" w:space="0" w:color="auto"/>
              <w:left w:val="nil"/>
              <w:bottom w:val="single" w:sz="4" w:space="0" w:color="auto"/>
              <w:right w:val="single" w:sz="4" w:space="0" w:color="auto"/>
            </w:tcBorders>
            <w:shd w:val="clear" w:color="auto" w:fill="auto"/>
            <w:vAlign w:val="center"/>
          </w:tcPr>
          <w:p w14:paraId="6791411F" w14:textId="77777777" w:rsidR="003226BB" w:rsidRPr="00401B79" w:rsidRDefault="003226BB" w:rsidP="00650395">
            <w:pPr>
              <w:spacing w:line="276" w:lineRule="auto"/>
              <w:jc w:val="center"/>
              <w:rPr>
                <w:rFonts w:eastAsia="Times New Roman" w:cs="Times New Roman"/>
                <w:b/>
                <w:bCs/>
                <w:sz w:val="20"/>
                <w:szCs w:val="20"/>
              </w:rPr>
            </w:pPr>
            <w:r w:rsidRPr="00401B79">
              <w:rPr>
                <w:rFonts w:eastAsia="Times New Roman" w:cs="Times New Roman"/>
                <w:b/>
                <w:bCs/>
                <w:sz w:val="20"/>
                <w:szCs w:val="20"/>
              </w:rPr>
              <w:t xml:space="preserve">SFE Components </w:t>
            </w:r>
            <w:r w:rsidRPr="00401B79">
              <w:rPr>
                <w:rFonts w:eastAsia="Times New Roman" w:cs="Times New Roman"/>
                <w:b/>
                <w:bCs/>
                <w:color w:val="000000"/>
                <w:sz w:val="20"/>
                <w:szCs w:val="20"/>
              </w:rPr>
              <w:t>(mJ/m</w:t>
            </w:r>
            <w:r w:rsidRPr="00401B79">
              <w:rPr>
                <w:rFonts w:eastAsia="Times New Roman" w:cs="Times New Roman"/>
                <w:b/>
                <w:bCs/>
                <w:color w:val="000000"/>
                <w:sz w:val="20"/>
                <w:szCs w:val="20"/>
                <w:vertAlign w:val="superscript"/>
              </w:rPr>
              <w:t>2</w:t>
            </w:r>
            <w:r w:rsidRPr="00401B79">
              <w:rPr>
                <w:rFonts w:eastAsia="Times New Roman" w:cs="Times New Roman"/>
                <w:b/>
                <w:bCs/>
                <w:color w:val="000000"/>
                <w:sz w:val="20"/>
                <w:szCs w:val="20"/>
              </w:rPr>
              <w:t>)</w:t>
            </w:r>
          </w:p>
        </w:tc>
        <w:tc>
          <w:tcPr>
            <w:tcW w:w="3503" w:type="dxa"/>
            <w:gridSpan w:val="3"/>
            <w:tcBorders>
              <w:top w:val="single" w:sz="4" w:space="0" w:color="auto"/>
              <w:left w:val="single" w:sz="4" w:space="0" w:color="auto"/>
              <w:bottom w:val="single" w:sz="4" w:space="0" w:color="auto"/>
              <w:right w:val="single" w:sz="4" w:space="0" w:color="auto"/>
            </w:tcBorders>
            <w:vAlign w:val="center"/>
          </w:tcPr>
          <w:p w14:paraId="4A7C4024" w14:textId="77777777" w:rsidR="003226BB" w:rsidRPr="00401B79" w:rsidRDefault="003226BB" w:rsidP="00650395">
            <w:pPr>
              <w:spacing w:line="276" w:lineRule="auto"/>
              <w:jc w:val="center"/>
              <w:rPr>
                <w:rFonts w:eastAsia="Times New Roman" w:cs="Times New Roman"/>
                <w:b/>
                <w:bCs/>
                <w:sz w:val="20"/>
                <w:szCs w:val="20"/>
              </w:rPr>
            </w:pPr>
            <w:r w:rsidRPr="00401B79">
              <w:rPr>
                <w:rFonts w:eastAsia="Times New Roman" w:cs="Times New Roman"/>
                <w:b/>
                <w:bCs/>
                <w:sz w:val="20"/>
                <w:szCs w:val="20"/>
              </w:rPr>
              <w:t xml:space="preserve">SFE Components </w:t>
            </w:r>
            <w:r w:rsidRPr="00401B79">
              <w:rPr>
                <w:rFonts w:eastAsia="Times New Roman" w:cs="Times New Roman"/>
                <w:b/>
                <w:bCs/>
                <w:color w:val="000000"/>
                <w:sz w:val="20"/>
                <w:szCs w:val="20"/>
              </w:rPr>
              <w:t>(mJ/m</w:t>
            </w:r>
            <w:r w:rsidRPr="00401B79">
              <w:rPr>
                <w:rFonts w:eastAsia="Times New Roman" w:cs="Times New Roman"/>
                <w:b/>
                <w:bCs/>
                <w:color w:val="000000"/>
                <w:sz w:val="20"/>
                <w:szCs w:val="20"/>
                <w:vertAlign w:val="superscript"/>
              </w:rPr>
              <w:t>2</w:t>
            </w:r>
            <w:r w:rsidRPr="00401B79">
              <w:rPr>
                <w:rFonts w:eastAsia="Times New Roman" w:cs="Times New Roman"/>
                <w:b/>
                <w:bCs/>
                <w:color w:val="000000"/>
                <w:sz w:val="20"/>
                <w:szCs w:val="20"/>
              </w:rPr>
              <w:t>)</w:t>
            </w:r>
          </w:p>
        </w:tc>
      </w:tr>
      <w:tr w:rsidR="003226BB" w:rsidRPr="00401B79" w14:paraId="3000AE0C" w14:textId="77777777" w:rsidTr="00650395">
        <w:trPr>
          <w:trHeight w:val="260"/>
          <w:jc w:val="center"/>
        </w:trPr>
        <w:tc>
          <w:tcPr>
            <w:tcW w:w="1364" w:type="dxa"/>
            <w:vMerge/>
            <w:tcBorders>
              <w:left w:val="single" w:sz="4" w:space="0" w:color="auto"/>
              <w:bottom w:val="single" w:sz="4" w:space="0" w:color="auto"/>
              <w:right w:val="single" w:sz="4" w:space="0" w:color="auto"/>
            </w:tcBorders>
            <w:shd w:val="clear" w:color="auto" w:fill="auto"/>
            <w:vAlign w:val="center"/>
            <w:hideMark/>
          </w:tcPr>
          <w:p w14:paraId="1DB8C4B3" w14:textId="77777777" w:rsidR="003226BB" w:rsidRPr="00401B79" w:rsidRDefault="003226BB" w:rsidP="00650395">
            <w:pPr>
              <w:spacing w:line="276" w:lineRule="auto"/>
              <w:jc w:val="center"/>
              <w:rPr>
                <w:rFonts w:eastAsia="Times New Roman" w:cs="Times New Roman"/>
                <w:b/>
                <w:bCs/>
                <w:color w:val="000000"/>
                <w:sz w:val="20"/>
                <w:szCs w:val="20"/>
              </w:rPr>
            </w:pPr>
          </w:p>
        </w:tc>
        <w:tc>
          <w:tcPr>
            <w:tcW w:w="1246" w:type="dxa"/>
            <w:tcBorders>
              <w:top w:val="nil"/>
              <w:left w:val="nil"/>
              <w:bottom w:val="single" w:sz="4" w:space="0" w:color="auto"/>
              <w:right w:val="single" w:sz="4" w:space="0" w:color="auto"/>
            </w:tcBorders>
            <w:shd w:val="clear" w:color="auto" w:fill="auto"/>
            <w:noWrap/>
            <w:vAlign w:val="center"/>
            <w:hideMark/>
          </w:tcPr>
          <w:p w14:paraId="545EC9A3" w14:textId="77777777" w:rsidR="003226BB" w:rsidRPr="00401B79" w:rsidRDefault="007F7885" w:rsidP="00650395">
            <w:pPr>
              <w:spacing w:line="276" w:lineRule="auto"/>
              <w:jc w:val="center"/>
              <w:rPr>
                <w:rFonts w:eastAsia="Times New Roman" w:cs="Times New Roman"/>
                <w:b/>
                <w:bCs/>
                <w:color w:val="000000"/>
                <w:sz w:val="20"/>
                <w:szCs w:val="20"/>
              </w:rPr>
            </w:pPr>
            <m:oMathPara>
              <m:oMath>
                <m:sSubSup>
                  <m:sSubSupPr>
                    <m:ctrlPr>
                      <w:rPr>
                        <w:rFonts w:ascii="Cambria Math" w:hAnsi="Cambria Math" w:cs="Times New Roman"/>
                        <w:i/>
                        <w:sz w:val="20"/>
                        <w:szCs w:val="20"/>
                        <w:lang w:val="en-GB" w:eastAsia="en-GB"/>
                      </w:rPr>
                    </m:ctrlPr>
                  </m:sSubSupPr>
                  <m:e>
                    <m:r>
                      <m:rPr>
                        <m:sty m:val="p"/>
                      </m:rPr>
                      <w:rPr>
                        <w:rFonts w:ascii="Cambria Math" w:hAnsi="Cambria Math" w:cs="Times New Roman"/>
                        <w:sz w:val="20"/>
                        <w:szCs w:val="20"/>
                      </w:rPr>
                      <m:t>Γ</m:t>
                    </m:r>
                  </m:e>
                  <m:sub>
                    <m:r>
                      <w:rPr>
                        <w:rFonts w:ascii="Cambria Math" w:hAnsi="Cambria Math" w:cs="Times New Roman"/>
                        <w:sz w:val="20"/>
                        <w:szCs w:val="20"/>
                      </w:rPr>
                      <m:t>A</m:t>
                    </m:r>
                  </m:sub>
                  <m:sup>
                    <m:r>
                      <w:rPr>
                        <w:rFonts w:ascii="Cambria Math" w:hAnsi="Cambria Math" w:cs="Times New Roman"/>
                        <w:sz w:val="20"/>
                        <w:szCs w:val="20"/>
                      </w:rPr>
                      <m:t>p</m:t>
                    </m:r>
                  </m:sup>
                </m:sSubSup>
              </m:oMath>
            </m:oMathPara>
          </w:p>
        </w:tc>
        <w:tc>
          <w:tcPr>
            <w:tcW w:w="1121" w:type="dxa"/>
            <w:tcBorders>
              <w:top w:val="nil"/>
              <w:left w:val="nil"/>
              <w:bottom w:val="single" w:sz="4" w:space="0" w:color="auto"/>
              <w:right w:val="single" w:sz="4" w:space="0" w:color="auto"/>
            </w:tcBorders>
            <w:shd w:val="clear" w:color="auto" w:fill="auto"/>
            <w:noWrap/>
            <w:vAlign w:val="center"/>
            <w:hideMark/>
          </w:tcPr>
          <w:p w14:paraId="536A5E69" w14:textId="77777777" w:rsidR="003226BB" w:rsidRPr="00401B79" w:rsidRDefault="007F7885" w:rsidP="00650395">
            <w:pPr>
              <w:spacing w:line="276" w:lineRule="auto"/>
              <w:jc w:val="center"/>
              <w:rPr>
                <w:rFonts w:eastAsia="Times New Roman" w:cs="Times New Roman"/>
                <w:b/>
                <w:bCs/>
                <w:color w:val="000000"/>
                <w:sz w:val="20"/>
                <w:szCs w:val="20"/>
              </w:rPr>
            </w:pPr>
            <m:oMathPara>
              <m:oMath>
                <m:sSubSup>
                  <m:sSubSupPr>
                    <m:ctrlPr>
                      <w:rPr>
                        <w:rFonts w:ascii="Cambria Math" w:hAnsi="Cambria Math" w:cs="Times New Roman"/>
                        <w:i/>
                        <w:sz w:val="20"/>
                        <w:szCs w:val="20"/>
                        <w:lang w:val="en-GB" w:eastAsia="en-GB"/>
                      </w:rPr>
                    </m:ctrlPr>
                  </m:sSubSupPr>
                  <m:e>
                    <m:r>
                      <m:rPr>
                        <m:sty m:val="p"/>
                      </m:rPr>
                      <w:rPr>
                        <w:rFonts w:ascii="Cambria Math" w:hAnsi="Cambria Math" w:cs="Times New Roman"/>
                        <w:sz w:val="20"/>
                        <w:szCs w:val="20"/>
                      </w:rPr>
                      <m:t>Γ</m:t>
                    </m:r>
                  </m:e>
                  <m:sub>
                    <m:r>
                      <w:rPr>
                        <w:rFonts w:ascii="Cambria Math" w:hAnsi="Cambria Math" w:cs="Times New Roman"/>
                        <w:sz w:val="20"/>
                        <w:szCs w:val="20"/>
                      </w:rPr>
                      <m:t>A</m:t>
                    </m:r>
                  </m:sub>
                  <m:sup>
                    <m:r>
                      <w:rPr>
                        <w:rFonts w:ascii="Cambria Math" w:hAnsi="Cambria Math" w:cs="Times New Roman"/>
                        <w:sz w:val="20"/>
                        <w:szCs w:val="20"/>
                      </w:rPr>
                      <m:t>d</m:t>
                    </m:r>
                  </m:sup>
                </m:sSubSup>
              </m:oMath>
            </m:oMathPara>
          </w:p>
        </w:tc>
        <w:tc>
          <w:tcPr>
            <w:tcW w:w="1127" w:type="dxa"/>
            <w:tcBorders>
              <w:top w:val="nil"/>
              <w:left w:val="nil"/>
              <w:bottom w:val="single" w:sz="4" w:space="0" w:color="auto"/>
              <w:right w:val="single" w:sz="4" w:space="0" w:color="auto"/>
            </w:tcBorders>
            <w:shd w:val="clear" w:color="auto" w:fill="auto"/>
            <w:noWrap/>
            <w:vAlign w:val="center"/>
            <w:hideMark/>
          </w:tcPr>
          <w:p w14:paraId="32B4C713" w14:textId="77777777" w:rsidR="003226BB" w:rsidRPr="00401B79" w:rsidRDefault="007F7885" w:rsidP="00650395">
            <w:pPr>
              <w:spacing w:line="276" w:lineRule="auto"/>
              <w:jc w:val="center"/>
              <w:rPr>
                <w:rFonts w:eastAsia="Times New Roman" w:cs="Times New Roman"/>
                <w:b/>
                <w:bCs/>
                <w:color w:val="000000"/>
                <w:sz w:val="20"/>
                <w:szCs w:val="20"/>
              </w:rPr>
            </w:pPr>
            <m:oMathPara>
              <m:oMath>
                <m:sSub>
                  <m:sSubPr>
                    <m:ctrlPr>
                      <w:rPr>
                        <w:rFonts w:ascii="Cambria Math" w:eastAsiaTheme="minorEastAsia" w:hAnsi="Cambria Math" w:cs="Times New Roman"/>
                        <w:i/>
                        <w:sz w:val="20"/>
                        <w:szCs w:val="20"/>
                      </w:rPr>
                    </m:ctrlPr>
                  </m:sSubPr>
                  <m:e>
                    <m:r>
                      <m:rPr>
                        <m:sty m:val="p"/>
                      </m:rPr>
                      <w:rPr>
                        <w:rFonts w:ascii="Cambria Math" w:eastAsiaTheme="minorEastAsia" w:hAnsi="Cambria Math" w:cs="Times New Roman"/>
                        <w:sz w:val="20"/>
                        <w:szCs w:val="20"/>
                      </w:rPr>
                      <m:t>Γ</m:t>
                    </m:r>
                  </m:e>
                  <m:sub>
                    <m:r>
                      <w:rPr>
                        <w:rFonts w:ascii="Cambria Math" w:eastAsiaTheme="minorEastAsia" w:hAnsi="Cambria Math" w:cs="Times New Roman"/>
                        <w:sz w:val="20"/>
                        <w:szCs w:val="20"/>
                      </w:rPr>
                      <m:t>A</m:t>
                    </m:r>
                  </m:sub>
                </m:sSub>
              </m:oMath>
            </m:oMathPara>
          </w:p>
        </w:tc>
        <w:tc>
          <w:tcPr>
            <w:tcW w:w="1249" w:type="dxa"/>
            <w:tcBorders>
              <w:top w:val="single" w:sz="4" w:space="0" w:color="auto"/>
              <w:left w:val="single" w:sz="4" w:space="0" w:color="auto"/>
              <w:bottom w:val="single" w:sz="4" w:space="0" w:color="auto"/>
              <w:right w:val="single" w:sz="4" w:space="0" w:color="auto"/>
            </w:tcBorders>
            <w:vAlign w:val="center"/>
          </w:tcPr>
          <w:p w14:paraId="5C45F114" w14:textId="77777777" w:rsidR="003226BB" w:rsidRPr="00401B79" w:rsidRDefault="007F7885" w:rsidP="00650395">
            <w:pPr>
              <w:spacing w:line="276" w:lineRule="auto"/>
              <w:jc w:val="center"/>
              <w:rPr>
                <w:rFonts w:eastAsia="Times New Roman" w:cs="Times New Roman"/>
                <w:color w:val="000000"/>
                <w:sz w:val="20"/>
                <w:szCs w:val="20"/>
              </w:rPr>
            </w:pPr>
            <m:oMathPara>
              <m:oMath>
                <m:sSubSup>
                  <m:sSubSupPr>
                    <m:ctrlPr>
                      <w:rPr>
                        <w:rFonts w:ascii="Cambria Math" w:hAnsi="Cambria Math" w:cs="Times New Roman"/>
                        <w:i/>
                        <w:sz w:val="20"/>
                        <w:szCs w:val="20"/>
                        <w:lang w:val="en-GB" w:eastAsia="en-GB"/>
                      </w:rPr>
                    </m:ctrlPr>
                  </m:sSubSupPr>
                  <m:e>
                    <m:r>
                      <m:rPr>
                        <m:sty m:val="p"/>
                      </m:rPr>
                      <w:rPr>
                        <w:rFonts w:ascii="Cambria Math" w:hAnsi="Cambria Math" w:cs="Times New Roman"/>
                        <w:sz w:val="20"/>
                        <w:szCs w:val="20"/>
                      </w:rPr>
                      <m:t>Γ</m:t>
                    </m:r>
                  </m:e>
                  <m:sub>
                    <m:r>
                      <w:rPr>
                        <w:rFonts w:ascii="Cambria Math" w:hAnsi="Cambria Math" w:cs="Times New Roman"/>
                        <w:sz w:val="20"/>
                        <w:szCs w:val="20"/>
                      </w:rPr>
                      <m:t>A</m:t>
                    </m:r>
                  </m:sub>
                  <m:sup>
                    <m:r>
                      <w:rPr>
                        <w:rFonts w:ascii="Cambria Math" w:hAnsi="Cambria Math" w:cs="Times New Roman"/>
                        <w:sz w:val="20"/>
                        <w:szCs w:val="20"/>
                      </w:rPr>
                      <m:t>p</m:t>
                    </m:r>
                  </m:sup>
                </m:sSubSup>
              </m:oMath>
            </m:oMathPara>
          </w:p>
        </w:tc>
        <w:tc>
          <w:tcPr>
            <w:tcW w:w="1124" w:type="dxa"/>
            <w:tcBorders>
              <w:top w:val="single" w:sz="4" w:space="0" w:color="auto"/>
              <w:left w:val="single" w:sz="4" w:space="0" w:color="auto"/>
              <w:bottom w:val="single" w:sz="4" w:space="0" w:color="auto"/>
              <w:right w:val="single" w:sz="4" w:space="0" w:color="auto"/>
            </w:tcBorders>
            <w:vAlign w:val="center"/>
          </w:tcPr>
          <w:p w14:paraId="023E698E" w14:textId="77777777" w:rsidR="003226BB" w:rsidRPr="00401B79" w:rsidRDefault="007F7885" w:rsidP="00650395">
            <w:pPr>
              <w:spacing w:line="276" w:lineRule="auto"/>
              <w:jc w:val="center"/>
              <w:rPr>
                <w:rFonts w:eastAsia="Times New Roman" w:cs="Times New Roman"/>
                <w:color w:val="000000"/>
                <w:sz w:val="20"/>
                <w:szCs w:val="20"/>
              </w:rPr>
            </w:pPr>
            <m:oMathPara>
              <m:oMath>
                <m:sSubSup>
                  <m:sSubSupPr>
                    <m:ctrlPr>
                      <w:rPr>
                        <w:rFonts w:ascii="Cambria Math" w:hAnsi="Cambria Math" w:cs="Times New Roman"/>
                        <w:i/>
                        <w:sz w:val="20"/>
                        <w:szCs w:val="20"/>
                        <w:lang w:val="en-GB" w:eastAsia="en-GB"/>
                      </w:rPr>
                    </m:ctrlPr>
                  </m:sSubSupPr>
                  <m:e>
                    <m:r>
                      <m:rPr>
                        <m:sty m:val="p"/>
                      </m:rPr>
                      <w:rPr>
                        <w:rFonts w:ascii="Cambria Math" w:hAnsi="Cambria Math" w:cs="Times New Roman"/>
                        <w:sz w:val="20"/>
                        <w:szCs w:val="20"/>
                      </w:rPr>
                      <m:t>Γ</m:t>
                    </m:r>
                  </m:e>
                  <m:sub>
                    <m:r>
                      <w:rPr>
                        <w:rFonts w:ascii="Cambria Math" w:hAnsi="Cambria Math" w:cs="Times New Roman"/>
                        <w:sz w:val="20"/>
                        <w:szCs w:val="20"/>
                      </w:rPr>
                      <m:t>A</m:t>
                    </m:r>
                  </m:sub>
                  <m:sup>
                    <m:r>
                      <w:rPr>
                        <w:rFonts w:ascii="Cambria Math" w:hAnsi="Cambria Math" w:cs="Times New Roman"/>
                        <w:sz w:val="20"/>
                        <w:szCs w:val="20"/>
                      </w:rPr>
                      <m:t>d</m:t>
                    </m:r>
                  </m:sup>
                </m:sSubSup>
              </m:oMath>
            </m:oMathPara>
          </w:p>
        </w:tc>
        <w:tc>
          <w:tcPr>
            <w:tcW w:w="1130" w:type="dxa"/>
            <w:tcBorders>
              <w:top w:val="single" w:sz="4" w:space="0" w:color="auto"/>
              <w:left w:val="single" w:sz="4" w:space="0" w:color="auto"/>
              <w:bottom w:val="single" w:sz="4" w:space="0" w:color="auto"/>
              <w:right w:val="single" w:sz="4" w:space="0" w:color="auto"/>
            </w:tcBorders>
            <w:vAlign w:val="center"/>
          </w:tcPr>
          <w:p w14:paraId="2F642588" w14:textId="77777777" w:rsidR="003226BB" w:rsidRPr="00401B79" w:rsidRDefault="007F7885" w:rsidP="00650395">
            <w:pPr>
              <w:spacing w:line="276" w:lineRule="auto"/>
              <w:jc w:val="center"/>
              <w:rPr>
                <w:rFonts w:eastAsia="Times New Roman" w:cs="Times New Roman"/>
                <w:color w:val="000000"/>
                <w:sz w:val="20"/>
                <w:szCs w:val="20"/>
              </w:rPr>
            </w:pPr>
            <m:oMathPara>
              <m:oMath>
                <m:sSub>
                  <m:sSubPr>
                    <m:ctrlPr>
                      <w:rPr>
                        <w:rFonts w:ascii="Cambria Math" w:eastAsiaTheme="minorEastAsia" w:hAnsi="Cambria Math" w:cs="Times New Roman"/>
                        <w:i/>
                        <w:sz w:val="20"/>
                        <w:szCs w:val="20"/>
                      </w:rPr>
                    </m:ctrlPr>
                  </m:sSubPr>
                  <m:e>
                    <m:r>
                      <m:rPr>
                        <m:sty m:val="p"/>
                      </m:rPr>
                      <w:rPr>
                        <w:rFonts w:ascii="Cambria Math" w:eastAsiaTheme="minorEastAsia" w:hAnsi="Cambria Math" w:cs="Times New Roman"/>
                        <w:sz w:val="20"/>
                        <w:szCs w:val="20"/>
                      </w:rPr>
                      <m:t>Γ</m:t>
                    </m:r>
                  </m:e>
                  <m:sub>
                    <m:r>
                      <w:rPr>
                        <w:rFonts w:ascii="Cambria Math" w:eastAsiaTheme="minorEastAsia" w:hAnsi="Cambria Math" w:cs="Times New Roman"/>
                        <w:sz w:val="20"/>
                        <w:szCs w:val="20"/>
                      </w:rPr>
                      <m:t>A</m:t>
                    </m:r>
                  </m:sub>
                </m:sSub>
              </m:oMath>
            </m:oMathPara>
          </w:p>
        </w:tc>
      </w:tr>
      <w:tr w:rsidR="003226BB" w:rsidRPr="00401B79" w14:paraId="7F352AA8" w14:textId="77777777" w:rsidTr="00650395">
        <w:trPr>
          <w:trHeight w:val="221"/>
          <w:jc w:val="center"/>
        </w:trPr>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2521D276"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WGFDE</w:t>
            </w:r>
          </w:p>
        </w:tc>
        <w:tc>
          <w:tcPr>
            <w:tcW w:w="1246" w:type="dxa"/>
            <w:tcBorders>
              <w:top w:val="nil"/>
              <w:left w:val="nil"/>
              <w:bottom w:val="single" w:sz="4" w:space="0" w:color="auto"/>
              <w:right w:val="single" w:sz="4" w:space="0" w:color="auto"/>
            </w:tcBorders>
            <w:shd w:val="clear" w:color="auto" w:fill="auto"/>
            <w:noWrap/>
            <w:vAlign w:val="center"/>
          </w:tcPr>
          <w:p w14:paraId="1D93B304"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2.70</w:t>
            </w:r>
          </w:p>
        </w:tc>
        <w:tc>
          <w:tcPr>
            <w:tcW w:w="1121" w:type="dxa"/>
            <w:tcBorders>
              <w:top w:val="nil"/>
              <w:left w:val="nil"/>
              <w:bottom w:val="single" w:sz="4" w:space="0" w:color="auto"/>
              <w:right w:val="single" w:sz="4" w:space="0" w:color="auto"/>
            </w:tcBorders>
            <w:shd w:val="clear" w:color="auto" w:fill="auto"/>
            <w:noWrap/>
            <w:vAlign w:val="center"/>
          </w:tcPr>
          <w:p w14:paraId="46475221"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18.93</w:t>
            </w:r>
          </w:p>
        </w:tc>
        <w:tc>
          <w:tcPr>
            <w:tcW w:w="1127" w:type="dxa"/>
            <w:tcBorders>
              <w:top w:val="nil"/>
              <w:left w:val="nil"/>
              <w:bottom w:val="single" w:sz="4" w:space="0" w:color="auto"/>
              <w:right w:val="single" w:sz="4" w:space="0" w:color="auto"/>
            </w:tcBorders>
            <w:shd w:val="clear" w:color="auto" w:fill="auto"/>
            <w:noWrap/>
            <w:vAlign w:val="center"/>
          </w:tcPr>
          <w:p w14:paraId="3926A63D"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21.63</w:t>
            </w:r>
          </w:p>
        </w:tc>
        <w:tc>
          <w:tcPr>
            <w:tcW w:w="1249" w:type="dxa"/>
            <w:tcBorders>
              <w:top w:val="single" w:sz="4" w:space="0" w:color="auto"/>
              <w:left w:val="single" w:sz="4" w:space="0" w:color="auto"/>
              <w:bottom w:val="single" w:sz="4" w:space="0" w:color="auto"/>
              <w:right w:val="single" w:sz="4" w:space="0" w:color="auto"/>
            </w:tcBorders>
            <w:vAlign w:val="center"/>
          </w:tcPr>
          <w:p w14:paraId="1AC43B5E"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1.86</w:t>
            </w:r>
          </w:p>
        </w:tc>
        <w:tc>
          <w:tcPr>
            <w:tcW w:w="1124" w:type="dxa"/>
            <w:tcBorders>
              <w:top w:val="single" w:sz="4" w:space="0" w:color="auto"/>
              <w:left w:val="single" w:sz="4" w:space="0" w:color="auto"/>
              <w:bottom w:val="single" w:sz="4" w:space="0" w:color="auto"/>
              <w:right w:val="single" w:sz="4" w:space="0" w:color="auto"/>
            </w:tcBorders>
            <w:vAlign w:val="center"/>
          </w:tcPr>
          <w:p w14:paraId="75264A61"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17.80</w:t>
            </w:r>
          </w:p>
        </w:tc>
        <w:tc>
          <w:tcPr>
            <w:tcW w:w="1130" w:type="dxa"/>
            <w:tcBorders>
              <w:top w:val="single" w:sz="4" w:space="0" w:color="auto"/>
              <w:left w:val="single" w:sz="4" w:space="0" w:color="auto"/>
              <w:bottom w:val="single" w:sz="4" w:space="0" w:color="auto"/>
              <w:right w:val="single" w:sz="4" w:space="0" w:color="auto"/>
            </w:tcBorders>
            <w:vAlign w:val="center"/>
          </w:tcPr>
          <w:p w14:paraId="59006525"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19.66</w:t>
            </w:r>
          </w:p>
        </w:tc>
      </w:tr>
      <w:tr w:rsidR="003226BB" w:rsidRPr="00401B79" w14:paraId="092310E6" w14:textId="77777777" w:rsidTr="00650395">
        <w:trPr>
          <w:trHeight w:val="221"/>
          <w:jc w:val="center"/>
        </w:trPr>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35B276A7"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FGED</w:t>
            </w:r>
          </w:p>
        </w:tc>
        <w:tc>
          <w:tcPr>
            <w:tcW w:w="1246" w:type="dxa"/>
            <w:tcBorders>
              <w:top w:val="nil"/>
              <w:left w:val="nil"/>
              <w:bottom w:val="single" w:sz="4" w:space="0" w:color="auto"/>
              <w:right w:val="single" w:sz="4" w:space="0" w:color="auto"/>
            </w:tcBorders>
            <w:shd w:val="clear" w:color="auto" w:fill="auto"/>
            <w:noWrap/>
            <w:vAlign w:val="center"/>
          </w:tcPr>
          <w:p w14:paraId="1A7EB5D1"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2.66</w:t>
            </w:r>
          </w:p>
        </w:tc>
        <w:tc>
          <w:tcPr>
            <w:tcW w:w="1121" w:type="dxa"/>
            <w:tcBorders>
              <w:top w:val="nil"/>
              <w:left w:val="nil"/>
              <w:bottom w:val="single" w:sz="4" w:space="0" w:color="auto"/>
              <w:right w:val="single" w:sz="4" w:space="0" w:color="auto"/>
            </w:tcBorders>
            <w:shd w:val="clear" w:color="auto" w:fill="auto"/>
            <w:noWrap/>
            <w:vAlign w:val="center"/>
          </w:tcPr>
          <w:p w14:paraId="0A11E1E7"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18.96</w:t>
            </w:r>
          </w:p>
        </w:tc>
        <w:tc>
          <w:tcPr>
            <w:tcW w:w="1127" w:type="dxa"/>
            <w:tcBorders>
              <w:top w:val="nil"/>
              <w:left w:val="nil"/>
              <w:bottom w:val="single" w:sz="4" w:space="0" w:color="auto"/>
              <w:right w:val="single" w:sz="4" w:space="0" w:color="auto"/>
            </w:tcBorders>
            <w:shd w:val="clear" w:color="auto" w:fill="auto"/>
            <w:noWrap/>
            <w:vAlign w:val="center"/>
          </w:tcPr>
          <w:p w14:paraId="6B141FA0"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21.62</w:t>
            </w:r>
          </w:p>
        </w:tc>
        <w:tc>
          <w:tcPr>
            <w:tcW w:w="1249" w:type="dxa"/>
            <w:tcBorders>
              <w:top w:val="single" w:sz="4" w:space="0" w:color="auto"/>
              <w:left w:val="single" w:sz="4" w:space="0" w:color="auto"/>
              <w:bottom w:val="single" w:sz="4" w:space="0" w:color="auto"/>
              <w:right w:val="single" w:sz="4" w:space="0" w:color="auto"/>
            </w:tcBorders>
            <w:vAlign w:val="center"/>
          </w:tcPr>
          <w:p w14:paraId="7E0E2C9D"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1.41</w:t>
            </w:r>
          </w:p>
        </w:tc>
        <w:tc>
          <w:tcPr>
            <w:tcW w:w="1124" w:type="dxa"/>
            <w:tcBorders>
              <w:top w:val="single" w:sz="4" w:space="0" w:color="auto"/>
              <w:left w:val="single" w:sz="4" w:space="0" w:color="auto"/>
              <w:bottom w:val="single" w:sz="4" w:space="0" w:color="auto"/>
              <w:right w:val="single" w:sz="4" w:space="0" w:color="auto"/>
            </w:tcBorders>
            <w:vAlign w:val="center"/>
          </w:tcPr>
          <w:p w14:paraId="00D28E08"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18.16</w:t>
            </w:r>
          </w:p>
        </w:tc>
        <w:tc>
          <w:tcPr>
            <w:tcW w:w="1130" w:type="dxa"/>
            <w:tcBorders>
              <w:top w:val="single" w:sz="4" w:space="0" w:color="auto"/>
              <w:left w:val="single" w:sz="4" w:space="0" w:color="auto"/>
              <w:bottom w:val="single" w:sz="4" w:space="0" w:color="auto"/>
              <w:right w:val="single" w:sz="4" w:space="0" w:color="auto"/>
            </w:tcBorders>
            <w:vAlign w:val="center"/>
          </w:tcPr>
          <w:p w14:paraId="289F7A49"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19.57</w:t>
            </w:r>
          </w:p>
        </w:tc>
      </w:tr>
      <w:tr w:rsidR="003226BB" w:rsidRPr="00401B79" w14:paraId="095E35D7" w14:textId="77777777" w:rsidTr="00650395">
        <w:trPr>
          <w:trHeight w:val="221"/>
          <w:jc w:val="center"/>
        </w:trPr>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214C0662"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WFGE</w:t>
            </w:r>
          </w:p>
        </w:tc>
        <w:tc>
          <w:tcPr>
            <w:tcW w:w="1246" w:type="dxa"/>
            <w:tcBorders>
              <w:top w:val="nil"/>
              <w:left w:val="nil"/>
              <w:bottom w:val="single" w:sz="4" w:space="0" w:color="auto"/>
              <w:right w:val="single" w:sz="4" w:space="0" w:color="auto"/>
            </w:tcBorders>
            <w:shd w:val="clear" w:color="auto" w:fill="auto"/>
            <w:noWrap/>
            <w:vAlign w:val="center"/>
          </w:tcPr>
          <w:p w14:paraId="7C9DAFFB"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3.80</w:t>
            </w:r>
          </w:p>
        </w:tc>
        <w:tc>
          <w:tcPr>
            <w:tcW w:w="1121" w:type="dxa"/>
            <w:tcBorders>
              <w:top w:val="nil"/>
              <w:left w:val="nil"/>
              <w:bottom w:val="single" w:sz="4" w:space="0" w:color="auto"/>
              <w:right w:val="single" w:sz="4" w:space="0" w:color="auto"/>
            </w:tcBorders>
            <w:shd w:val="clear" w:color="auto" w:fill="auto"/>
            <w:noWrap/>
            <w:vAlign w:val="center"/>
          </w:tcPr>
          <w:p w14:paraId="48753897"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16.70</w:t>
            </w:r>
          </w:p>
        </w:tc>
        <w:tc>
          <w:tcPr>
            <w:tcW w:w="1127" w:type="dxa"/>
            <w:tcBorders>
              <w:top w:val="nil"/>
              <w:left w:val="nil"/>
              <w:bottom w:val="single" w:sz="4" w:space="0" w:color="auto"/>
              <w:right w:val="single" w:sz="4" w:space="0" w:color="auto"/>
            </w:tcBorders>
            <w:shd w:val="clear" w:color="auto" w:fill="auto"/>
            <w:noWrap/>
            <w:vAlign w:val="center"/>
          </w:tcPr>
          <w:p w14:paraId="5408D996"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20.51</w:t>
            </w:r>
          </w:p>
        </w:tc>
        <w:tc>
          <w:tcPr>
            <w:tcW w:w="1249" w:type="dxa"/>
            <w:tcBorders>
              <w:top w:val="single" w:sz="4" w:space="0" w:color="auto"/>
              <w:left w:val="single" w:sz="4" w:space="0" w:color="auto"/>
              <w:bottom w:val="single" w:sz="4" w:space="0" w:color="auto"/>
              <w:right w:val="single" w:sz="4" w:space="0" w:color="auto"/>
            </w:tcBorders>
            <w:vAlign w:val="center"/>
          </w:tcPr>
          <w:p w14:paraId="72903C6F"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4.88</w:t>
            </w:r>
          </w:p>
        </w:tc>
        <w:tc>
          <w:tcPr>
            <w:tcW w:w="1124" w:type="dxa"/>
            <w:tcBorders>
              <w:top w:val="single" w:sz="4" w:space="0" w:color="auto"/>
              <w:left w:val="single" w:sz="4" w:space="0" w:color="auto"/>
              <w:bottom w:val="single" w:sz="4" w:space="0" w:color="auto"/>
              <w:right w:val="single" w:sz="4" w:space="0" w:color="auto"/>
            </w:tcBorders>
            <w:vAlign w:val="center"/>
          </w:tcPr>
          <w:p w14:paraId="226B7293"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12.44</w:t>
            </w:r>
          </w:p>
        </w:tc>
        <w:tc>
          <w:tcPr>
            <w:tcW w:w="1130" w:type="dxa"/>
            <w:tcBorders>
              <w:top w:val="single" w:sz="4" w:space="0" w:color="auto"/>
              <w:left w:val="single" w:sz="4" w:space="0" w:color="auto"/>
              <w:bottom w:val="single" w:sz="4" w:space="0" w:color="auto"/>
              <w:right w:val="single" w:sz="4" w:space="0" w:color="auto"/>
            </w:tcBorders>
            <w:vAlign w:val="center"/>
          </w:tcPr>
          <w:p w14:paraId="0F173BCF"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17.32</w:t>
            </w:r>
          </w:p>
        </w:tc>
      </w:tr>
      <w:tr w:rsidR="003226BB" w:rsidRPr="00401B79" w14:paraId="0F42DDE8" w14:textId="77777777" w:rsidTr="00650395">
        <w:trPr>
          <w:trHeight w:val="221"/>
          <w:jc w:val="center"/>
        </w:trPr>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7E443113"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WFGD</w:t>
            </w:r>
          </w:p>
        </w:tc>
        <w:tc>
          <w:tcPr>
            <w:tcW w:w="1246" w:type="dxa"/>
            <w:tcBorders>
              <w:top w:val="nil"/>
              <w:left w:val="nil"/>
              <w:bottom w:val="single" w:sz="4" w:space="0" w:color="auto"/>
              <w:right w:val="single" w:sz="4" w:space="0" w:color="auto"/>
            </w:tcBorders>
            <w:shd w:val="clear" w:color="auto" w:fill="auto"/>
            <w:noWrap/>
            <w:vAlign w:val="center"/>
          </w:tcPr>
          <w:p w14:paraId="191B9A0B"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2.52</w:t>
            </w:r>
          </w:p>
        </w:tc>
        <w:tc>
          <w:tcPr>
            <w:tcW w:w="1121" w:type="dxa"/>
            <w:tcBorders>
              <w:top w:val="nil"/>
              <w:left w:val="nil"/>
              <w:bottom w:val="single" w:sz="4" w:space="0" w:color="auto"/>
              <w:right w:val="single" w:sz="4" w:space="0" w:color="auto"/>
            </w:tcBorders>
            <w:shd w:val="clear" w:color="auto" w:fill="auto"/>
            <w:noWrap/>
            <w:vAlign w:val="center"/>
          </w:tcPr>
          <w:p w14:paraId="52F16073"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18.90</w:t>
            </w:r>
          </w:p>
        </w:tc>
        <w:tc>
          <w:tcPr>
            <w:tcW w:w="1127" w:type="dxa"/>
            <w:tcBorders>
              <w:top w:val="nil"/>
              <w:left w:val="nil"/>
              <w:bottom w:val="single" w:sz="4" w:space="0" w:color="auto"/>
              <w:right w:val="single" w:sz="4" w:space="0" w:color="auto"/>
            </w:tcBorders>
            <w:shd w:val="clear" w:color="auto" w:fill="auto"/>
            <w:noWrap/>
            <w:vAlign w:val="center"/>
          </w:tcPr>
          <w:p w14:paraId="110E0E6C"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21.41</w:t>
            </w:r>
          </w:p>
        </w:tc>
        <w:tc>
          <w:tcPr>
            <w:tcW w:w="1249" w:type="dxa"/>
            <w:tcBorders>
              <w:top w:val="single" w:sz="4" w:space="0" w:color="auto"/>
              <w:left w:val="single" w:sz="4" w:space="0" w:color="auto"/>
              <w:bottom w:val="single" w:sz="4" w:space="0" w:color="auto"/>
              <w:right w:val="single" w:sz="4" w:space="0" w:color="auto"/>
            </w:tcBorders>
            <w:vAlign w:val="center"/>
          </w:tcPr>
          <w:p w14:paraId="634BF543"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1.81</w:t>
            </w:r>
          </w:p>
        </w:tc>
        <w:tc>
          <w:tcPr>
            <w:tcW w:w="1124" w:type="dxa"/>
            <w:tcBorders>
              <w:top w:val="single" w:sz="4" w:space="0" w:color="auto"/>
              <w:left w:val="single" w:sz="4" w:space="0" w:color="auto"/>
              <w:bottom w:val="single" w:sz="4" w:space="0" w:color="auto"/>
              <w:right w:val="single" w:sz="4" w:space="0" w:color="auto"/>
            </w:tcBorders>
            <w:vAlign w:val="center"/>
          </w:tcPr>
          <w:p w14:paraId="740CF5BC"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17.80</w:t>
            </w:r>
          </w:p>
        </w:tc>
        <w:tc>
          <w:tcPr>
            <w:tcW w:w="1130" w:type="dxa"/>
            <w:tcBorders>
              <w:top w:val="single" w:sz="4" w:space="0" w:color="auto"/>
              <w:left w:val="single" w:sz="4" w:space="0" w:color="auto"/>
              <w:bottom w:val="single" w:sz="4" w:space="0" w:color="auto"/>
              <w:right w:val="single" w:sz="4" w:space="0" w:color="auto"/>
            </w:tcBorders>
            <w:vAlign w:val="center"/>
          </w:tcPr>
          <w:p w14:paraId="303C2ACE"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19.60</w:t>
            </w:r>
          </w:p>
        </w:tc>
      </w:tr>
      <w:tr w:rsidR="003226BB" w:rsidRPr="00401B79" w14:paraId="750584A3" w14:textId="77777777" w:rsidTr="00650395">
        <w:trPr>
          <w:trHeight w:val="221"/>
          <w:jc w:val="center"/>
        </w:trPr>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1347C22F"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WGED</w:t>
            </w:r>
          </w:p>
        </w:tc>
        <w:tc>
          <w:tcPr>
            <w:tcW w:w="1246" w:type="dxa"/>
            <w:tcBorders>
              <w:top w:val="nil"/>
              <w:left w:val="nil"/>
              <w:bottom w:val="single" w:sz="4" w:space="0" w:color="auto"/>
              <w:right w:val="single" w:sz="4" w:space="0" w:color="auto"/>
            </w:tcBorders>
            <w:shd w:val="clear" w:color="auto" w:fill="auto"/>
            <w:noWrap/>
            <w:vAlign w:val="center"/>
          </w:tcPr>
          <w:p w14:paraId="42F141B1"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2.83</w:t>
            </w:r>
          </w:p>
        </w:tc>
        <w:tc>
          <w:tcPr>
            <w:tcW w:w="1121" w:type="dxa"/>
            <w:tcBorders>
              <w:top w:val="nil"/>
              <w:left w:val="nil"/>
              <w:bottom w:val="single" w:sz="4" w:space="0" w:color="auto"/>
              <w:right w:val="single" w:sz="4" w:space="0" w:color="auto"/>
            </w:tcBorders>
            <w:shd w:val="clear" w:color="auto" w:fill="auto"/>
            <w:noWrap/>
            <w:vAlign w:val="center"/>
          </w:tcPr>
          <w:p w14:paraId="3C71FB1E"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19.27</w:t>
            </w:r>
          </w:p>
        </w:tc>
        <w:tc>
          <w:tcPr>
            <w:tcW w:w="1127" w:type="dxa"/>
            <w:tcBorders>
              <w:top w:val="nil"/>
              <w:left w:val="nil"/>
              <w:bottom w:val="single" w:sz="4" w:space="0" w:color="auto"/>
              <w:right w:val="single" w:sz="4" w:space="0" w:color="auto"/>
            </w:tcBorders>
            <w:shd w:val="clear" w:color="auto" w:fill="auto"/>
            <w:noWrap/>
            <w:vAlign w:val="center"/>
          </w:tcPr>
          <w:p w14:paraId="7BBB833D"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22.10</w:t>
            </w:r>
          </w:p>
        </w:tc>
        <w:tc>
          <w:tcPr>
            <w:tcW w:w="1249" w:type="dxa"/>
            <w:tcBorders>
              <w:top w:val="single" w:sz="4" w:space="0" w:color="auto"/>
              <w:left w:val="single" w:sz="4" w:space="0" w:color="auto"/>
              <w:bottom w:val="single" w:sz="4" w:space="0" w:color="auto"/>
              <w:right w:val="single" w:sz="4" w:space="0" w:color="auto"/>
            </w:tcBorders>
            <w:vAlign w:val="center"/>
          </w:tcPr>
          <w:p w14:paraId="63A6B717"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2.04</w:t>
            </w:r>
          </w:p>
        </w:tc>
        <w:tc>
          <w:tcPr>
            <w:tcW w:w="1124" w:type="dxa"/>
            <w:tcBorders>
              <w:top w:val="single" w:sz="4" w:space="0" w:color="auto"/>
              <w:left w:val="single" w:sz="4" w:space="0" w:color="auto"/>
              <w:bottom w:val="single" w:sz="4" w:space="0" w:color="auto"/>
              <w:right w:val="single" w:sz="4" w:space="0" w:color="auto"/>
            </w:tcBorders>
            <w:vAlign w:val="center"/>
          </w:tcPr>
          <w:p w14:paraId="0DCAD7FB"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18.15</w:t>
            </w:r>
          </w:p>
        </w:tc>
        <w:tc>
          <w:tcPr>
            <w:tcW w:w="1130" w:type="dxa"/>
            <w:tcBorders>
              <w:top w:val="single" w:sz="4" w:space="0" w:color="auto"/>
              <w:left w:val="single" w:sz="4" w:space="0" w:color="auto"/>
              <w:bottom w:val="single" w:sz="4" w:space="0" w:color="auto"/>
              <w:right w:val="single" w:sz="4" w:space="0" w:color="auto"/>
            </w:tcBorders>
            <w:vAlign w:val="center"/>
          </w:tcPr>
          <w:p w14:paraId="39CC7DDE"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20.19</w:t>
            </w:r>
          </w:p>
        </w:tc>
      </w:tr>
      <w:tr w:rsidR="003226BB" w:rsidRPr="00401B79" w14:paraId="22D4C033" w14:textId="77777777" w:rsidTr="00650395">
        <w:trPr>
          <w:trHeight w:val="159"/>
          <w:jc w:val="center"/>
        </w:trPr>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6FBE5CFE"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WFED</w:t>
            </w:r>
          </w:p>
        </w:tc>
        <w:tc>
          <w:tcPr>
            <w:tcW w:w="1246" w:type="dxa"/>
            <w:tcBorders>
              <w:top w:val="nil"/>
              <w:left w:val="nil"/>
              <w:bottom w:val="single" w:sz="4" w:space="0" w:color="auto"/>
              <w:right w:val="single" w:sz="4" w:space="0" w:color="auto"/>
            </w:tcBorders>
            <w:shd w:val="clear" w:color="auto" w:fill="auto"/>
            <w:noWrap/>
            <w:vAlign w:val="center"/>
          </w:tcPr>
          <w:p w14:paraId="75027F2C"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2.65</w:t>
            </w:r>
          </w:p>
        </w:tc>
        <w:tc>
          <w:tcPr>
            <w:tcW w:w="1121" w:type="dxa"/>
            <w:tcBorders>
              <w:top w:val="nil"/>
              <w:left w:val="nil"/>
              <w:bottom w:val="single" w:sz="4" w:space="0" w:color="auto"/>
              <w:right w:val="single" w:sz="4" w:space="0" w:color="auto"/>
            </w:tcBorders>
            <w:shd w:val="clear" w:color="auto" w:fill="auto"/>
            <w:noWrap/>
            <w:vAlign w:val="center"/>
          </w:tcPr>
          <w:p w14:paraId="7BD5A168"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18.91</w:t>
            </w:r>
          </w:p>
        </w:tc>
        <w:tc>
          <w:tcPr>
            <w:tcW w:w="1127" w:type="dxa"/>
            <w:tcBorders>
              <w:top w:val="nil"/>
              <w:left w:val="nil"/>
              <w:bottom w:val="single" w:sz="4" w:space="0" w:color="auto"/>
              <w:right w:val="single" w:sz="4" w:space="0" w:color="auto"/>
            </w:tcBorders>
            <w:shd w:val="clear" w:color="auto" w:fill="auto"/>
            <w:noWrap/>
            <w:vAlign w:val="center"/>
          </w:tcPr>
          <w:p w14:paraId="4D9E1EAC"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21.56</w:t>
            </w:r>
          </w:p>
        </w:tc>
        <w:tc>
          <w:tcPr>
            <w:tcW w:w="1249" w:type="dxa"/>
            <w:tcBorders>
              <w:top w:val="single" w:sz="4" w:space="0" w:color="auto"/>
              <w:left w:val="single" w:sz="4" w:space="0" w:color="auto"/>
              <w:bottom w:val="single" w:sz="4" w:space="0" w:color="auto"/>
              <w:right w:val="single" w:sz="4" w:space="0" w:color="auto"/>
            </w:tcBorders>
            <w:vAlign w:val="center"/>
          </w:tcPr>
          <w:p w14:paraId="460B8B1E"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1.85</w:t>
            </w:r>
          </w:p>
        </w:tc>
        <w:tc>
          <w:tcPr>
            <w:tcW w:w="1124" w:type="dxa"/>
            <w:tcBorders>
              <w:top w:val="single" w:sz="4" w:space="0" w:color="auto"/>
              <w:left w:val="single" w:sz="4" w:space="0" w:color="auto"/>
              <w:bottom w:val="single" w:sz="4" w:space="0" w:color="auto"/>
              <w:right w:val="single" w:sz="4" w:space="0" w:color="auto"/>
            </w:tcBorders>
            <w:vAlign w:val="center"/>
          </w:tcPr>
          <w:p w14:paraId="43E4E78C"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17.80</w:t>
            </w:r>
          </w:p>
        </w:tc>
        <w:tc>
          <w:tcPr>
            <w:tcW w:w="1130" w:type="dxa"/>
            <w:tcBorders>
              <w:top w:val="single" w:sz="4" w:space="0" w:color="auto"/>
              <w:left w:val="single" w:sz="4" w:space="0" w:color="auto"/>
              <w:bottom w:val="single" w:sz="4" w:space="0" w:color="auto"/>
              <w:right w:val="single" w:sz="4" w:space="0" w:color="auto"/>
            </w:tcBorders>
            <w:vAlign w:val="center"/>
          </w:tcPr>
          <w:p w14:paraId="3F93C40B"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19.65</w:t>
            </w:r>
          </w:p>
        </w:tc>
      </w:tr>
      <w:tr w:rsidR="003226BB" w:rsidRPr="00401B79" w14:paraId="70D28AA6" w14:textId="77777777" w:rsidTr="00650395">
        <w:trPr>
          <w:trHeight w:val="221"/>
          <w:jc w:val="center"/>
        </w:trPr>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56DE3513"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WED</w:t>
            </w:r>
          </w:p>
        </w:tc>
        <w:tc>
          <w:tcPr>
            <w:tcW w:w="1246" w:type="dxa"/>
            <w:tcBorders>
              <w:top w:val="nil"/>
              <w:left w:val="nil"/>
              <w:bottom w:val="single" w:sz="4" w:space="0" w:color="auto"/>
              <w:right w:val="single" w:sz="4" w:space="0" w:color="auto"/>
            </w:tcBorders>
            <w:shd w:val="clear" w:color="auto" w:fill="auto"/>
            <w:noWrap/>
            <w:vAlign w:val="center"/>
          </w:tcPr>
          <w:p w14:paraId="25A6FDDC"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2.89</w:t>
            </w:r>
          </w:p>
        </w:tc>
        <w:tc>
          <w:tcPr>
            <w:tcW w:w="1121" w:type="dxa"/>
            <w:tcBorders>
              <w:top w:val="nil"/>
              <w:left w:val="nil"/>
              <w:bottom w:val="single" w:sz="4" w:space="0" w:color="auto"/>
              <w:right w:val="single" w:sz="4" w:space="0" w:color="auto"/>
            </w:tcBorders>
            <w:shd w:val="clear" w:color="auto" w:fill="auto"/>
            <w:noWrap/>
            <w:vAlign w:val="center"/>
          </w:tcPr>
          <w:p w14:paraId="1265A03D"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19.30</w:t>
            </w:r>
          </w:p>
        </w:tc>
        <w:tc>
          <w:tcPr>
            <w:tcW w:w="1127" w:type="dxa"/>
            <w:tcBorders>
              <w:top w:val="nil"/>
              <w:left w:val="nil"/>
              <w:bottom w:val="single" w:sz="4" w:space="0" w:color="auto"/>
              <w:right w:val="single" w:sz="4" w:space="0" w:color="auto"/>
            </w:tcBorders>
            <w:shd w:val="clear" w:color="auto" w:fill="auto"/>
            <w:noWrap/>
            <w:vAlign w:val="center"/>
          </w:tcPr>
          <w:p w14:paraId="5FC10A4B"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22.19</w:t>
            </w:r>
          </w:p>
        </w:tc>
        <w:tc>
          <w:tcPr>
            <w:tcW w:w="1249" w:type="dxa"/>
            <w:tcBorders>
              <w:top w:val="single" w:sz="4" w:space="0" w:color="auto"/>
              <w:left w:val="single" w:sz="4" w:space="0" w:color="auto"/>
              <w:bottom w:val="single" w:sz="4" w:space="0" w:color="auto"/>
              <w:right w:val="single" w:sz="4" w:space="0" w:color="auto"/>
            </w:tcBorders>
            <w:vAlign w:val="center"/>
          </w:tcPr>
          <w:p w14:paraId="0BB4B9B0"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2.17</w:t>
            </w:r>
          </w:p>
        </w:tc>
        <w:tc>
          <w:tcPr>
            <w:tcW w:w="1124" w:type="dxa"/>
            <w:tcBorders>
              <w:top w:val="single" w:sz="4" w:space="0" w:color="auto"/>
              <w:left w:val="single" w:sz="4" w:space="0" w:color="auto"/>
              <w:bottom w:val="single" w:sz="4" w:space="0" w:color="auto"/>
              <w:right w:val="single" w:sz="4" w:space="0" w:color="auto"/>
            </w:tcBorders>
            <w:vAlign w:val="center"/>
          </w:tcPr>
          <w:p w14:paraId="2F4451A1"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18.23</w:t>
            </w:r>
          </w:p>
        </w:tc>
        <w:tc>
          <w:tcPr>
            <w:tcW w:w="1130" w:type="dxa"/>
            <w:tcBorders>
              <w:top w:val="single" w:sz="4" w:space="0" w:color="auto"/>
              <w:left w:val="single" w:sz="4" w:space="0" w:color="auto"/>
              <w:bottom w:val="single" w:sz="4" w:space="0" w:color="auto"/>
              <w:right w:val="single" w:sz="4" w:space="0" w:color="auto"/>
            </w:tcBorders>
            <w:vAlign w:val="center"/>
          </w:tcPr>
          <w:p w14:paraId="6AFC6C45"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20.40</w:t>
            </w:r>
          </w:p>
        </w:tc>
      </w:tr>
      <w:tr w:rsidR="003226BB" w:rsidRPr="00401B79" w14:paraId="2612203A" w14:textId="77777777" w:rsidTr="00650395">
        <w:trPr>
          <w:trHeight w:val="221"/>
          <w:jc w:val="center"/>
        </w:trPr>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581DFE9C"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WGD</w:t>
            </w:r>
          </w:p>
        </w:tc>
        <w:tc>
          <w:tcPr>
            <w:tcW w:w="1246" w:type="dxa"/>
            <w:tcBorders>
              <w:top w:val="nil"/>
              <w:left w:val="nil"/>
              <w:bottom w:val="single" w:sz="4" w:space="0" w:color="auto"/>
              <w:right w:val="single" w:sz="4" w:space="0" w:color="auto"/>
            </w:tcBorders>
            <w:shd w:val="clear" w:color="auto" w:fill="auto"/>
            <w:noWrap/>
            <w:vAlign w:val="center"/>
          </w:tcPr>
          <w:p w14:paraId="11BD8DB4"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2.70</w:t>
            </w:r>
          </w:p>
        </w:tc>
        <w:tc>
          <w:tcPr>
            <w:tcW w:w="1121" w:type="dxa"/>
            <w:tcBorders>
              <w:top w:val="nil"/>
              <w:left w:val="nil"/>
              <w:bottom w:val="single" w:sz="4" w:space="0" w:color="auto"/>
              <w:right w:val="single" w:sz="4" w:space="0" w:color="auto"/>
            </w:tcBorders>
            <w:shd w:val="clear" w:color="auto" w:fill="auto"/>
            <w:noWrap/>
            <w:vAlign w:val="center"/>
          </w:tcPr>
          <w:p w14:paraId="2FF1DC80"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19.20</w:t>
            </w:r>
          </w:p>
        </w:tc>
        <w:tc>
          <w:tcPr>
            <w:tcW w:w="1127" w:type="dxa"/>
            <w:tcBorders>
              <w:top w:val="nil"/>
              <w:left w:val="nil"/>
              <w:bottom w:val="single" w:sz="4" w:space="0" w:color="auto"/>
              <w:right w:val="single" w:sz="4" w:space="0" w:color="auto"/>
            </w:tcBorders>
            <w:shd w:val="clear" w:color="auto" w:fill="auto"/>
            <w:noWrap/>
            <w:vAlign w:val="center"/>
          </w:tcPr>
          <w:p w14:paraId="6CA4F77C"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21.90</w:t>
            </w:r>
          </w:p>
        </w:tc>
        <w:tc>
          <w:tcPr>
            <w:tcW w:w="1249" w:type="dxa"/>
            <w:tcBorders>
              <w:top w:val="single" w:sz="4" w:space="0" w:color="auto"/>
              <w:left w:val="single" w:sz="4" w:space="0" w:color="auto"/>
              <w:bottom w:val="single" w:sz="4" w:space="0" w:color="auto"/>
              <w:right w:val="single" w:sz="4" w:space="0" w:color="auto"/>
            </w:tcBorders>
            <w:vAlign w:val="center"/>
          </w:tcPr>
          <w:p w14:paraId="0FB739D9"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2.09</w:t>
            </w:r>
          </w:p>
        </w:tc>
        <w:tc>
          <w:tcPr>
            <w:tcW w:w="1124" w:type="dxa"/>
            <w:tcBorders>
              <w:top w:val="single" w:sz="4" w:space="0" w:color="auto"/>
              <w:left w:val="single" w:sz="4" w:space="0" w:color="auto"/>
              <w:bottom w:val="single" w:sz="4" w:space="0" w:color="auto"/>
              <w:right w:val="single" w:sz="4" w:space="0" w:color="auto"/>
            </w:tcBorders>
            <w:vAlign w:val="center"/>
          </w:tcPr>
          <w:p w14:paraId="0332FF98"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18.17</w:t>
            </w:r>
          </w:p>
        </w:tc>
        <w:tc>
          <w:tcPr>
            <w:tcW w:w="1130" w:type="dxa"/>
            <w:tcBorders>
              <w:top w:val="single" w:sz="4" w:space="0" w:color="auto"/>
              <w:left w:val="single" w:sz="4" w:space="0" w:color="auto"/>
              <w:bottom w:val="single" w:sz="4" w:space="0" w:color="auto"/>
              <w:right w:val="single" w:sz="4" w:space="0" w:color="auto"/>
            </w:tcBorders>
            <w:vAlign w:val="center"/>
          </w:tcPr>
          <w:p w14:paraId="568421D1"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20.26</w:t>
            </w:r>
          </w:p>
        </w:tc>
      </w:tr>
      <w:tr w:rsidR="003226BB" w:rsidRPr="00401B79" w14:paraId="446DD221" w14:textId="77777777" w:rsidTr="00650395">
        <w:trPr>
          <w:trHeight w:val="221"/>
          <w:jc w:val="center"/>
        </w:trPr>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206B1EA0"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WFD</w:t>
            </w:r>
          </w:p>
        </w:tc>
        <w:tc>
          <w:tcPr>
            <w:tcW w:w="1246" w:type="dxa"/>
            <w:tcBorders>
              <w:top w:val="nil"/>
              <w:left w:val="nil"/>
              <w:bottom w:val="single" w:sz="4" w:space="0" w:color="auto"/>
              <w:right w:val="single" w:sz="4" w:space="0" w:color="auto"/>
            </w:tcBorders>
            <w:shd w:val="clear" w:color="auto" w:fill="auto"/>
            <w:noWrap/>
            <w:vAlign w:val="center"/>
          </w:tcPr>
          <w:p w14:paraId="48829387"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2.35</w:t>
            </w:r>
          </w:p>
        </w:tc>
        <w:tc>
          <w:tcPr>
            <w:tcW w:w="1121" w:type="dxa"/>
            <w:tcBorders>
              <w:top w:val="nil"/>
              <w:left w:val="nil"/>
              <w:bottom w:val="single" w:sz="4" w:space="0" w:color="auto"/>
              <w:right w:val="single" w:sz="4" w:space="0" w:color="auto"/>
            </w:tcBorders>
            <w:shd w:val="clear" w:color="auto" w:fill="auto"/>
            <w:noWrap/>
            <w:vAlign w:val="center"/>
          </w:tcPr>
          <w:p w14:paraId="54626CBF"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18.86</w:t>
            </w:r>
          </w:p>
        </w:tc>
        <w:tc>
          <w:tcPr>
            <w:tcW w:w="1127" w:type="dxa"/>
            <w:tcBorders>
              <w:top w:val="nil"/>
              <w:left w:val="nil"/>
              <w:bottom w:val="single" w:sz="4" w:space="0" w:color="auto"/>
              <w:right w:val="single" w:sz="4" w:space="0" w:color="auto"/>
            </w:tcBorders>
            <w:shd w:val="clear" w:color="auto" w:fill="auto"/>
            <w:noWrap/>
            <w:vAlign w:val="center"/>
          </w:tcPr>
          <w:p w14:paraId="5EF2B8E5"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21.20</w:t>
            </w:r>
          </w:p>
        </w:tc>
        <w:tc>
          <w:tcPr>
            <w:tcW w:w="1249" w:type="dxa"/>
            <w:tcBorders>
              <w:top w:val="single" w:sz="4" w:space="0" w:color="auto"/>
              <w:left w:val="single" w:sz="4" w:space="0" w:color="auto"/>
              <w:bottom w:val="single" w:sz="4" w:space="0" w:color="auto"/>
              <w:right w:val="single" w:sz="4" w:space="0" w:color="auto"/>
            </w:tcBorders>
            <w:vAlign w:val="center"/>
          </w:tcPr>
          <w:p w14:paraId="20AC1D68"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1.77</w:t>
            </w:r>
          </w:p>
        </w:tc>
        <w:tc>
          <w:tcPr>
            <w:tcW w:w="1124" w:type="dxa"/>
            <w:tcBorders>
              <w:top w:val="single" w:sz="4" w:space="0" w:color="auto"/>
              <w:left w:val="single" w:sz="4" w:space="0" w:color="auto"/>
              <w:bottom w:val="single" w:sz="4" w:space="0" w:color="auto"/>
              <w:right w:val="single" w:sz="4" w:space="0" w:color="auto"/>
            </w:tcBorders>
            <w:vAlign w:val="center"/>
          </w:tcPr>
          <w:p w14:paraId="05F0EE0F"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17.79</w:t>
            </w:r>
          </w:p>
        </w:tc>
        <w:tc>
          <w:tcPr>
            <w:tcW w:w="1130" w:type="dxa"/>
            <w:tcBorders>
              <w:top w:val="single" w:sz="4" w:space="0" w:color="auto"/>
              <w:left w:val="single" w:sz="4" w:space="0" w:color="auto"/>
              <w:bottom w:val="single" w:sz="4" w:space="0" w:color="auto"/>
              <w:right w:val="single" w:sz="4" w:space="0" w:color="auto"/>
            </w:tcBorders>
            <w:vAlign w:val="center"/>
          </w:tcPr>
          <w:p w14:paraId="06E96FAC"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19.56</w:t>
            </w:r>
          </w:p>
        </w:tc>
      </w:tr>
      <w:tr w:rsidR="003226BB" w:rsidRPr="00401B79" w14:paraId="38982B30" w14:textId="77777777" w:rsidTr="00650395">
        <w:trPr>
          <w:trHeight w:val="221"/>
          <w:jc w:val="center"/>
        </w:trPr>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4423221E"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WFG</w:t>
            </w:r>
          </w:p>
        </w:tc>
        <w:tc>
          <w:tcPr>
            <w:tcW w:w="1246" w:type="dxa"/>
            <w:tcBorders>
              <w:top w:val="nil"/>
              <w:left w:val="nil"/>
              <w:bottom w:val="single" w:sz="4" w:space="0" w:color="auto"/>
              <w:right w:val="single" w:sz="4" w:space="0" w:color="auto"/>
            </w:tcBorders>
            <w:shd w:val="clear" w:color="auto" w:fill="auto"/>
            <w:noWrap/>
            <w:vAlign w:val="center"/>
          </w:tcPr>
          <w:p w14:paraId="12E0A27B"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3.93</w:t>
            </w:r>
          </w:p>
        </w:tc>
        <w:tc>
          <w:tcPr>
            <w:tcW w:w="1121" w:type="dxa"/>
            <w:tcBorders>
              <w:top w:val="nil"/>
              <w:left w:val="nil"/>
              <w:bottom w:val="single" w:sz="4" w:space="0" w:color="auto"/>
              <w:right w:val="single" w:sz="4" w:space="0" w:color="auto"/>
            </w:tcBorders>
            <w:shd w:val="clear" w:color="auto" w:fill="auto"/>
            <w:noWrap/>
            <w:vAlign w:val="center"/>
          </w:tcPr>
          <w:p w14:paraId="4EC60A65"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16.05</w:t>
            </w:r>
          </w:p>
        </w:tc>
        <w:tc>
          <w:tcPr>
            <w:tcW w:w="1127" w:type="dxa"/>
            <w:tcBorders>
              <w:top w:val="nil"/>
              <w:left w:val="nil"/>
              <w:bottom w:val="single" w:sz="4" w:space="0" w:color="auto"/>
              <w:right w:val="single" w:sz="4" w:space="0" w:color="auto"/>
            </w:tcBorders>
            <w:shd w:val="clear" w:color="auto" w:fill="auto"/>
            <w:noWrap/>
            <w:vAlign w:val="center"/>
          </w:tcPr>
          <w:p w14:paraId="1E89A9FF"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19.98</w:t>
            </w:r>
          </w:p>
        </w:tc>
        <w:tc>
          <w:tcPr>
            <w:tcW w:w="1249" w:type="dxa"/>
            <w:tcBorders>
              <w:top w:val="single" w:sz="4" w:space="0" w:color="auto"/>
              <w:left w:val="single" w:sz="4" w:space="0" w:color="auto"/>
              <w:bottom w:val="single" w:sz="4" w:space="0" w:color="auto"/>
              <w:right w:val="single" w:sz="4" w:space="0" w:color="auto"/>
            </w:tcBorders>
            <w:vAlign w:val="center"/>
          </w:tcPr>
          <w:p w14:paraId="224B654B"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5.04</w:t>
            </w:r>
          </w:p>
        </w:tc>
        <w:tc>
          <w:tcPr>
            <w:tcW w:w="1124" w:type="dxa"/>
            <w:tcBorders>
              <w:top w:val="single" w:sz="4" w:space="0" w:color="auto"/>
              <w:left w:val="single" w:sz="4" w:space="0" w:color="auto"/>
              <w:bottom w:val="single" w:sz="4" w:space="0" w:color="auto"/>
              <w:right w:val="single" w:sz="4" w:space="0" w:color="auto"/>
            </w:tcBorders>
            <w:vAlign w:val="center"/>
          </w:tcPr>
          <w:p w14:paraId="4179B6ED"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12.03</w:t>
            </w:r>
          </w:p>
        </w:tc>
        <w:tc>
          <w:tcPr>
            <w:tcW w:w="1130" w:type="dxa"/>
            <w:tcBorders>
              <w:top w:val="single" w:sz="4" w:space="0" w:color="auto"/>
              <w:left w:val="single" w:sz="4" w:space="0" w:color="auto"/>
              <w:bottom w:val="single" w:sz="4" w:space="0" w:color="auto"/>
              <w:right w:val="single" w:sz="4" w:space="0" w:color="auto"/>
            </w:tcBorders>
            <w:vAlign w:val="center"/>
          </w:tcPr>
          <w:p w14:paraId="756B8347"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17.07</w:t>
            </w:r>
          </w:p>
        </w:tc>
      </w:tr>
      <w:tr w:rsidR="003226BB" w:rsidRPr="00401B79" w14:paraId="46A49F74" w14:textId="77777777" w:rsidTr="00650395">
        <w:trPr>
          <w:trHeight w:val="221"/>
          <w:jc w:val="center"/>
        </w:trPr>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40BD9599"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WFE</w:t>
            </w:r>
          </w:p>
        </w:tc>
        <w:tc>
          <w:tcPr>
            <w:tcW w:w="1246" w:type="dxa"/>
            <w:tcBorders>
              <w:top w:val="nil"/>
              <w:left w:val="nil"/>
              <w:bottom w:val="single" w:sz="4" w:space="0" w:color="auto"/>
              <w:right w:val="single" w:sz="4" w:space="0" w:color="auto"/>
            </w:tcBorders>
            <w:shd w:val="clear" w:color="auto" w:fill="auto"/>
            <w:noWrap/>
            <w:vAlign w:val="center"/>
          </w:tcPr>
          <w:p w14:paraId="4420DB29"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3.82</w:t>
            </w:r>
          </w:p>
        </w:tc>
        <w:tc>
          <w:tcPr>
            <w:tcW w:w="1121" w:type="dxa"/>
            <w:tcBorders>
              <w:top w:val="nil"/>
              <w:left w:val="nil"/>
              <w:bottom w:val="single" w:sz="4" w:space="0" w:color="auto"/>
              <w:right w:val="single" w:sz="4" w:space="0" w:color="auto"/>
            </w:tcBorders>
            <w:shd w:val="clear" w:color="auto" w:fill="auto"/>
            <w:noWrap/>
            <w:vAlign w:val="center"/>
          </w:tcPr>
          <w:p w14:paraId="3B847FCC"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16.49</w:t>
            </w:r>
          </w:p>
        </w:tc>
        <w:tc>
          <w:tcPr>
            <w:tcW w:w="1127" w:type="dxa"/>
            <w:tcBorders>
              <w:top w:val="nil"/>
              <w:left w:val="nil"/>
              <w:bottom w:val="single" w:sz="4" w:space="0" w:color="auto"/>
              <w:right w:val="single" w:sz="4" w:space="0" w:color="auto"/>
            </w:tcBorders>
            <w:shd w:val="clear" w:color="auto" w:fill="auto"/>
            <w:noWrap/>
            <w:vAlign w:val="center"/>
          </w:tcPr>
          <w:p w14:paraId="65278F05"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20.31</w:t>
            </w:r>
          </w:p>
        </w:tc>
        <w:tc>
          <w:tcPr>
            <w:tcW w:w="1249" w:type="dxa"/>
            <w:tcBorders>
              <w:top w:val="single" w:sz="4" w:space="0" w:color="auto"/>
              <w:left w:val="single" w:sz="4" w:space="0" w:color="auto"/>
              <w:bottom w:val="single" w:sz="4" w:space="0" w:color="auto"/>
              <w:right w:val="single" w:sz="4" w:space="0" w:color="auto"/>
            </w:tcBorders>
            <w:vAlign w:val="center"/>
          </w:tcPr>
          <w:p w14:paraId="39A6B1D2"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4.88</w:t>
            </w:r>
          </w:p>
        </w:tc>
        <w:tc>
          <w:tcPr>
            <w:tcW w:w="1124" w:type="dxa"/>
            <w:tcBorders>
              <w:top w:val="single" w:sz="4" w:space="0" w:color="auto"/>
              <w:left w:val="single" w:sz="4" w:space="0" w:color="auto"/>
              <w:bottom w:val="single" w:sz="4" w:space="0" w:color="auto"/>
              <w:right w:val="single" w:sz="4" w:space="0" w:color="auto"/>
            </w:tcBorders>
            <w:vAlign w:val="center"/>
          </w:tcPr>
          <w:p w14:paraId="4B009A8F"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12.33</w:t>
            </w:r>
          </w:p>
        </w:tc>
        <w:tc>
          <w:tcPr>
            <w:tcW w:w="1130" w:type="dxa"/>
            <w:tcBorders>
              <w:top w:val="single" w:sz="4" w:space="0" w:color="auto"/>
              <w:left w:val="single" w:sz="4" w:space="0" w:color="auto"/>
              <w:bottom w:val="single" w:sz="4" w:space="0" w:color="auto"/>
              <w:right w:val="single" w:sz="4" w:space="0" w:color="auto"/>
            </w:tcBorders>
            <w:vAlign w:val="center"/>
          </w:tcPr>
          <w:p w14:paraId="71362E8C"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17.21</w:t>
            </w:r>
          </w:p>
        </w:tc>
      </w:tr>
      <w:tr w:rsidR="003226BB" w:rsidRPr="00401B79" w14:paraId="724CACFF" w14:textId="77777777" w:rsidTr="00650395">
        <w:trPr>
          <w:trHeight w:val="221"/>
          <w:jc w:val="center"/>
        </w:trPr>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348602E0"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GED</w:t>
            </w:r>
          </w:p>
        </w:tc>
        <w:tc>
          <w:tcPr>
            <w:tcW w:w="1246" w:type="dxa"/>
            <w:tcBorders>
              <w:top w:val="nil"/>
              <w:left w:val="nil"/>
              <w:bottom w:val="single" w:sz="4" w:space="0" w:color="auto"/>
              <w:right w:val="single" w:sz="4" w:space="0" w:color="auto"/>
            </w:tcBorders>
            <w:shd w:val="clear" w:color="auto" w:fill="auto"/>
            <w:noWrap/>
            <w:vAlign w:val="center"/>
          </w:tcPr>
          <w:p w14:paraId="14292E22"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3.00</w:t>
            </w:r>
          </w:p>
        </w:tc>
        <w:tc>
          <w:tcPr>
            <w:tcW w:w="1121" w:type="dxa"/>
            <w:tcBorders>
              <w:top w:val="nil"/>
              <w:left w:val="nil"/>
              <w:bottom w:val="single" w:sz="4" w:space="0" w:color="auto"/>
              <w:right w:val="single" w:sz="4" w:space="0" w:color="auto"/>
            </w:tcBorders>
            <w:shd w:val="clear" w:color="auto" w:fill="auto"/>
            <w:noWrap/>
            <w:vAlign w:val="center"/>
          </w:tcPr>
          <w:p w14:paraId="0ADB9144"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19.18</w:t>
            </w:r>
          </w:p>
        </w:tc>
        <w:tc>
          <w:tcPr>
            <w:tcW w:w="1127" w:type="dxa"/>
            <w:tcBorders>
              <w:top w:val="nil"/>
              <w:left w:val="nil"/>
              <w:bottom w:val="single" w:sz="4" w:space="0" w:color="auto"/>
              <w:right w:val="single" w:sz="4" w:space="0" w:color="auto"/>
            </w:tcBorders>
            <w:shd w:val="clear" w:color="auto" w:fill="auto"/>
            <w:noWrap/>
            <w:vAlign w:val="center"/>
          </w:tcPr>
          <w:p w14:paraId="2460990C"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22.18</w:t>
            </w:r>
          </w:p>
        </w:tc>
        <w:tc>
          <w:tcPr>
            <w:tcW w:w="1249" w:type="dxa"/>
            <w:tcBorders>
              <w:top w:val="single" w:sz="4" w:space="0" w:color="auto"/>
              <w:left w:val="single" w:sz="4" w:space="0" w:color="auto"/>
              <w:bottom w:val="single" w:sz="4" w:space="0" w:color="auto"/>
              <w:right w:val="single" w:sz="4" w:space="0" w:color="auto"/>
            </w:tcBorders>
            <w:vAlign w:val="center"/>
          </w:tcPr>
          <w:p w14:paraId="28DC35CE"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1.71</w:t>
            </w:r>
          </w:p>
        </w:tc>
        <w:tc>
          <w:tcPr>
            <w:tcW w:w="1124" w:type="dxa"/>
            <w:tcBorders>
              <w:top w:val="single" w:sz="4" w:space="0" w:color="auto"/>
              <w:left w:val="single" w:sz="4" w:space="0" w:color="auto"/>
              <w:bottom w:val="single" w:sz="4" w:space="0" w:color="auto"/>
              <w:right w:val="single" w:sz="4" w:space="0" w:color="auto"/>
            </w:tcBorders>
            <w:vAlign w:val="center"/>
          </w:tcPr>
          <w:p w14:paraId="2308EE83"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18.33</w:t>
            </w:r>
          </w:p>
        </w:tc>
        <w:tc>
          <w:tcPr>
            <w:tcW w:w="1130" w:type="dxa"/>
            <w:tcBorders>
              <w:top w:val="single" w:sz="4" w:space="0" w:color="auto"/>
              <w:left w:val="single" w:sz="4" w:space="0" w:color="auto"/>
              <w:bottom w:val="single" w:sz="4" w:space="0" w:color="auto"/>
              <w:right w:val="single" w:sz="4" w:space="0" w:color="auto"/>
            </w:tcBorders>
            <w:vAlign w:val="center"/>
          </w:tcPr>
          <w:p w14:paraId="28B2E6CA"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20.04</w:t>
            </w:r>
          </w:p>
        </w:tc>
      </w:tr>
      <w:tr w:rsidR="003226BB" w:rsidRPr="00401B79" w14:paraId="471D2251" w14:textId="77777777" w:rsidTr="00650395">
        <w:trPr>
          <w:trHeight w:val="221"/>
          <w:jc w:val="center"/>
        </w:trPr>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029595C5"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GEF</w:t>
            </w:r>
          </w:p>
        </w:tc>
        <w:tc>
          <w:tcPr>
            <w:tcW w:w="1246" w:type="dxa"/>
            <w:tcBorders>
              <w:top w:val="nil"/>
              <w:left w:val="nil"/>
              <w:bottom w:val="single" w:sz="4" w:space="0" w:color="auto"/>
              <w:right w:val="single" w:sz="4" w:space="0" w:color="auto"/>
            </w:tcBorders>
            <w:shd w:val="clear" w:color="auto" w:fill="auto"/>
            <w:noWrap/>
            <w:vAlign w:val="center"/>
          </w:tcPr>
          <w:p w14:paraId="3F9F6608"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8.13</w:t>
            </w:r>
          </w:p>
        </w:tc>
        <w:tc>
          <w:tcPr>
            <w:tcW w:w="1121" w:type="dxa"/>
            <w:tcBorders>
              <w:top w:val="nil"/>
              <w:left w:val="nil"/>
              <w:bottom w:val="single" w:sz="4" w:space="0" w:color="auto"/>
              <w:right w:val="single" w:sz="4" w:space="0" w:color="auto"/>
            </w:tcBorders>
            <w:shd w:val="clear" w:color="auto" w:fill="auto"/>
            <w:noWrap/>
            <w:vAlign w:val="center"/>
          </w:tcPr>
          <w:p w14:paraId="611A14FA"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11.48</w:t>
            </w:r>
          </w:p>
        </w:tc>
        <w:tc>
          <w:tcPr>
            <w:tcW w:w="1127" w:type="dxa"/>
            <w:tcBorders>
              <w:top w:val="nil"/>
              <w:left w:val="nil"/>
              <w:bottom w:val="single" w:sz="4" w:space="0" w:color="auto"/>
              <w:right w:val="single" w:sz="4" w:space="0" w:color="auto"/>
            </w:tcBorders>
            <w:shd w:val="clear" w:color="auto" w:fill="auto"/>
            <w:noWrap/>
            <w:vAlign w:val="center"/>
          </w:tcPr>
          <w:p w14:paraId="40A3A405"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19.60</w:t>
            </w:r>
          </w:p>
        </w:tc>
        <w:tc>
          <w:tcPr>
            <w:tcW w:w="1249" w:type="dxa"/>
            <w:tcBorders>
              <w:top w:val="single" w:sz="4" w:space="0" w:color="auto"/>
              <w:left w:val="single" w:sz="4" w:space="0" w:color="auto"/>
              <w:bottom w:val="single" w:sz="4" w:space="0" w:color="auto"/>
              <w:right w:val="single" w:sz="4" w:space="0" w:color="auto"/>
            </w:tcBorders>
            <w:vAlign w:val="center"/>
          </w:tcPr>
          <w:p w14:paraId="60D82E8E"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7.61</w:t>
            </w:r>
          </w:p>
        </w:tc>
        <w:tc>
          <w:tcPr>
            <w:tcW w:w="1124" w:type="dxa"/>
            <w:tcBorders>
              <w:top w:val="single" w:sz="4" w:space="0" w:color="auto"/>
              <w:left w:val="single" w:sz="4" w:space="0" w:color="auto"/>
              <w:bottom w:val="single" w:sz="4" w:space="0" w:color="auto"/>
              <w:right w:val="single" w:sz="4" w:space="0" w:color="auto"/>
            </w:tcBorders>
            <w:vAlign w:val="center"/>
          </w:tcPr>
          <w:p w14:paraId="607ED626"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9.59</w:t>
            </w:r>
          </w:p>
        </w:tc>
        <w:tc>
          <w:tcPr>
            <w:tcW w:w="1130" w:type="dxa"/>
            <w:tcBorders>
              <w:top w:val="single" w:sz="4" w:space="0" w:color="auto"/>
              <w:left w:val="single" w:sz="4" w:space="0" w:color="auto"/>
              <w:bottom w:val="single" w:sz="4" w:space="0" w:color="auto"/>
              <w:right w:val="single" w:sz="4" w:space="0" w:color="auto"/>
            </w:tcBorders>
            <w:vAlign w:val="center"/>
          </w:tcPr>
          <w:p w14:paraId="7CEA6477"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17.20</w:t>
            </w:r>
          </w:p>
        </w:tc>
      </w:tr>
      <w:tr w:rsidR="003226BB" w:rsidRPr="00401B79" w14:paraId="10753471" w14:textId="77777777" w:rsidTr="00650395">
        <w:trPr>
          <w:trHeight w:val="221"/>
          <w:jc w:val="center"/>
        </w:trPr>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43BA4548"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FED</w:t>
            </w:r>
          </w:p>
        </w:tc>
        <w:tc>
          <w:tcPr>
            <w:tcW w:w="1246" w:type="dxa"/>
            <w:tcBorders>
              <w:top w:val="nil"/>
              <w:left w:val="nil"/>
              <w:bottom w:val="single" w:sz="4" w:space="0" w:color="auto"/>
              <w:right w:val="single" w:sz="4" w:space="0" w:color="auto"/>
            </w:tcBorders>
            <w:shd w:val="clear" w:color="auto" w:fill="auto"/>
            <w:noWrap/>
            <w:vAlign w:val="center"/>
          </w:tcPr>
          <w:p w14:paraId="5C00BC69"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2.54</w:t>
            </w:r>
          </w:p>
        </w:tc>
        <w:tc>
          <w:tcPr>
            <w:tcW w:w="1121" w:type="dxa"/>
            <w:tcBorders>
              <w:top w:val="nil"/>
              <w:left w:val="nil"/>
              <w:bottom w:val="single" w:sz="4" w:space="0" w:color="auto"/>
              <w:right w:val="single" w:sz="4" w:space="0" w:color="auto"/>
            </w:tcBorders>
            <w:shd w:val="clear" w:color="auto" w:fill="auto"/>
            <w:noWrap/>
            <w:vAlign w:val="center"/>
          </w:tcPr>
          <w:p w14:paraId="2348FF82"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18.98</w:t>
            </w:r>
          </w:p>
        </w:tc>
        <w:tc>
          <w:tcPr>
            <w:tcW w:w="1127" w:type="dxa"/>
            <w:tcBorders>
              <w:top w:val="nil"/>
              <w:left w:val="nil"/>
              <w:bottom w:val="single" w:sz="4" w:space="0" w:color="auto"/>
              <w:right w:val="single" w:sz="4" w:space="0" w:color="auto"/>
            </w:tcBorders>
            <w:shd w:val="clear" w:color="auto" w:fill="auto"/>
            <w:noWrap/>
            <w:vAlign w:val="center"/>
          </w:tcPr>
          <w:p w14:paraId="427EDF44"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21.52</w:t>
            </w:r>
          </w:p>
        </w:tc>
        <w:tc>
          <w:tcPr>
            <w:tcW w:w="1249" w:type="dxa"/>
            <w:tcBorders>
              <w:top w:val="single" w:sz="4" w:space="0" w:color="auto"/>
              <w:left w:val="single" w:sz="4" w:space="0" w:color="auto"/>
              <w:bottom w:val="single" w:sz="4" w:space="0" w:color="auto"/>
              <w:right w:val="single" w:sz="4" w:space="0" w:color="auto"/>
            </w:tcBorders>
            <w:vAlign w:val="center"/>
          </w:tcPr>
          <w:p w14:paraId="184800A8"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1.24</w:t>
            </w:r>
          </w:p>
        </w:tc>
        <w:tc>
          <w:tcPr>
            <w:tcW w:w="1124" w:type="dxa"/>
            <w:tcBorders>
              <w:top w:val="single" w:sz="4" w:space="0" w:color="auto"/>
              <w:left w:val="single" w:sz="4" w:space="0" w:color="auto"/>
              <w:bottom w:val="single" w:sz="4" w:space="0" w:color="auto"/>
              <w:right w:val="single" w:sz="4" w:space="0" w:color="auto"/>
            </w:tcBorders>
            <w:vAlign w:val="center"/>
          </w:tcPr>
          <w:p w14:paraId="1D4DF56A"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18.18</w:t>
            </w:r>
          </w:p>
        </w:tc>
        <w:tc>
          <w:tcPr>
            <w:tcW w:w="1130" w:type="dxa"/>
            <w:tcBorders>
              <w:top w:val="single" w:sz="4" w:space="0" w:color="auto"/>
              <w:left w:val="single" w:sz="4" w:space="0" w:color="auto"/>
              <w:bottom w:val="single" w:sz="4" w:space="0" w:color="auto"/>
              <w:right w:val="single" w:sz="4" w:space="0" w:color="auto"/>
            </w:tcBorders>
            <w:vAlign w:val="center"/>
          </w:tcPr>
          <w:p w14:paraId="52CCA8D1"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19.41</w:t>
            </w:r>
          </w:p>
        </w:tc>
      </w:tr>
      <w:tr w:rsidR="003226BB" w:rsidRPr="00401B79" w14:paraId="52A24CC2" w14:textId="77777777" w:rsidTr="00650395">
        <w:trPr>
          <w:trHeight w:val="221"/>
          <w:jc w:val="center"/>
        </w:trPr>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7B6996B5"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WGE</w:t>
            </w:r>
          </w:p>
        </w:tc>
        <w:tc>
          <w:tcPr>
            <w:tcW w:w="1246" w:type="dxa"/>
            <w:tcBorders>
              <w:top w:val="nil"/>
              <w:left w:val="nil"/>
              <w:bottom w:val="single" w:sz="4" w:space="0" w:color="auto"/>
              <w:right w:val="single" w:sz="4" w:space="0" w:color="auto"/>
            </w:tcBorders>
            <w:shd w:val="clear" w:color="auto" w:fill="auto"/>
            <w:noWrap/>
            <w:vAlign w:val="center"/>
          </w:tcPr>
          <w:p w14:paraId="1CC79EC8"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2.20</w:t>
            </w:r>
          </w:p>
        </w:tc>
        <w:tc>
          <w:tcPr>
            <w:tcW w:w="1121" w:type="dxa"/>
            <w:tcBorders>
              <w:top w:val="nil"/>
              <w:left w:val="nil"/>
              <w:bottom w:val="single" w:sz="4" w:space="0" w:color="auto"/>
              <w:right w:val="single" w:sz="4" w:space="0" w:color="auto"/>
            </w:tcBorders>
            <w:shd w:val="clear" w:color="auto" w:fill="auto"/>
            <w:noWrap/>
            <w:vAlign w:val="center"/>
          </w:tcPr>
          <w:p w14:paraId="31233067"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20.88</w:t>
            </w:r>
          </w:p>
        </w:tc>
        <w:tc>
          <w:tcPr>
            <w:tcW w:w="1127" w:type="dxa"/>
            <w:tcBorders>
              <w:top w:val="nil"/>
              <w:left w:val="nil"/>
              <w:bottom w:val="single" w:sz="4" w:space="0" w:color="auto"/>
              <w:right w:val="single" w:sz="4" w:space="0" w:color="auto"/>
            </w:tcBorders>
            <w:shd w:val="clear" w:color="auto" w:fill="auto"/>
            <w:noWrap/>
            <w:vAlign w:val="center"/>
          </w:tcPr>
          <w:p w14:paraId="2E04BFC7"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23.08</w:t>
            </w:r>
          </w:p>
        </w:tc>
        <w:tc>
          <w:tcPr>
            <w:tcW w:w="1249" w:type="dxa"/>
            <w:tcBorders>
              <w:top w:val="single" w:sz="4" w:space="0" w:color="auto"/>
              <w:left w:val="single" w:sz="4" w:space="0" w:color="auto"/>
              <w:bottom w:val="single" w:sz="4" w:space="0" w:color="auto"/>
              <w:right w:val="single" w:sz="4" w:space="0" w:color="auto"/>
            </w:tcBorders>
            <w:vAlign w:val="center"/>
          </w:tcPr>
          <w:p w14:paraId="073DFF67"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3.84</w:t>
            </w:r>
          </w:p>
        </w:tc>
        <w:tc>
          <w:tcPr>
            <w:tcW w:w="1124" w:type="dxa"/>
            <w:tcBorders>
              <w:top w:val="single" w:sz="4" w:space="0" w:color="auto"/>
              <w:left w:val="single" w:sz="4" w:space="0" w:color="auto"/>
              <w:bottom w:val="single" w:sz="4" w:space="0" w:color="auto"/>
              <w:right w:val="single" w:sz="4" w:space="0" w:color="auto"/>
            </w:tcBorders>
            <w:vAlign w:val="center"/>
          </w:tcPr>
          <w:p w14:paraId="707BB82E"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14.40</w:t>
            </w:r>
          </w:p>
        </w:tc>
        <w:tc>
          <w:tcPr>
            <w:tcW w:w="1130" w:type="dxa"/>
            <w:tcBorders>
              <w:top w:val="single" w:sz="4" w:space="0" w:color="auto"/>
              <w:left w:val="single" w:sz="4" w:space="0" w:color="auto"/>
              <w:bottom w:val="single" w:sz="4" w:space="0" w:color="auto"/>
              <w:right w:val="single" w:sz="4" w:space="0" w:color="auto"/>
            </w:tcBorders>
            <w:vAlign w:val="center"/>
          </w:tcPr>
          <w:p w14:paraId="5555AB87"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18.23</w:t>
            </w:r>
          </w:p>
        </w:tc>
      </w:tr>
      <w:tr w:rsidR="003226BB" w:rsidRPr="00401B79" w14:paraId="41E01A70" w14:textId="77777777" w:rsidTr="00650395">
        <w:trPr>
          <w:trHeight w:val="221"/>
          <w:jc w:val="center"/>
        </w:trPr>
        <w:tc>
          <w:tcPr>
            <w:tcW w:w="1364" w:type="dxa"/>
            <w:tcBorders>
              <w:top w:val="nil"/>
              <w:left w:val="single" w:sz="4" w:space="0" w:color="auto"/>
              <w:bottom w:val="single" w:sz="4" w:space="0" w:color="auto"/>
              <w:right w:val="single" w:sz="4" w:space="0" w:color="auto"/>
            </w:tcBorders>
            <w:shd w:val="clear" w:color="auto" w:fill="auto"/>
            <w:noWrap/>
            <w:vAlign w:val="center"/>
            <w:hideMark/>
          </w:tcPr>
          <w:p w14:paraId="37678BD7"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FGD</w:t>
            </w:r>
          </w:p>
        </w:tc>
        <w:tc>
          <w:tcPr>
            <w:tcW w:w="1246" w:type="dxa"/>
            <w:tcBorders>
              <w:top w:val="nil"/>
              <w:left w:val="nil"/>
              <w:bottom w:val="single" w:sz="4" w:space="0" w:color="auto"/>
              <w:right w:val="single" w:sz="4" w:space="0" w:color="auto"/>
            </w:tcBorders>
            <w:shd w:val="clear" w:color="auto" w:fill="auto"/>
            <w:noWrap/>
            <w:vAlign w:val="center"/>
          </w:tcPr>
          <w:p w14:paraId="1A6C7706"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2.28</w:t>
            </w:r>
          </w:p>
        </w:tc>
        <w:tc>
          <w:tcPr>
            <w:tcW w:w="1121" w:type="dxa"/>
            <w:tcBorders>
              <w:top w:val="nil"/>
              <w:left w:val="nil"/>
              <w:bottom w:val="single" w:sz="4" w:space="0" w:color="auto"/>
              <w:right w:val="single" w:sz="4" w:space="0" w:color="auto"/>
            </w:tcBorders>
            <w:shd w:val="clear" w:color="auto" w:fill="auto"/>
            <w:noWrap/>
            <w:vAlign w:val="center"/>
          </w:tcPr>
          <w:p w14:paraId="4E1ED255"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19.06</w:t>
            </w:r>
          </w:p>
        </w:tc>
        <w:tc>
          <w:tcPr>
            <w:tcW w:w="1127" w:type="dxa"/>
            <w:tcBorders>
              <w:top w:val="nil"/>
              <w:left w:val="nil"/>
              <w:bottom w:val="single" w:sz="4" w:space="0" w:color="auto"/>
              <w:right w:val="single" w:sz="4" w:space="0" w:color="auto"/>
            </w:tcBorders>
            <w:shd w:val="clear" w:color="auto" w:fill="auto"/>
            <w:noWrap/>
            <w:vAlign w:val="center"/>
          </w:tcPr>
          <w:p w14:paraId="0F77E6B7"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21.34</w:t>
            </w:r>
          </w:p>
        </w:tc>
        <w:tc>
          <w:tcPr>
            <w:tcW w:w="1249" w:type="dxa"/>
            <w:tcBorders>
              <w:top w:val="single" w:sz="4" w:space="0" w:color="auto"/>
              <w:left w:val="single" w:sz="4" w:space="0" w:color="auto"/>
              <w:bottom w:val="single" w:sz="4" w:space="0" w:color="auto"/>
              <w:right w:val="single" w:sz="4" w:space="0" w:color="auto"/>
            </w:tcBorders>
            <w:vAlign w:val="center"/>
          </w:tcPr>
          <w:p w14:paraId="05DABA2C"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2.56</w:t>
            </w:r>
          </w:p>
        </w:tc>
        <w:tc>
          <w:tcPr>
            <w:tcW w:w="1124" w:type="dxa"/>
            <w:tcBorders>
              <w:top w:val="single" w:sz="4" w:space="0" w:color="auto"/>
              <w:left w:val="single" w:sz="4" w:space="0" w:color="auto"/>
              <w:bottom w:val="single" w:sz="4" w:space="0" w:color="auto"/>
              <w:right w:val="single" w:sz="4" w:space="0" w:color="auto"/>
            </w:tcBorders>
            <w:vAlign w:val="center"/>
          </w:tcPr>
          <w:p w14:paraId="3324EC99"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17.66</w:t>
            </w:r>
          </w:p>
        </w:tc>
        <w:tc>
          <w:tcPr>
            <w:tcW w:w="1130" w:type="dxa"/>
            <w:tcBorders>
              <w:top w:val="single" w:sz="4" w:space="0" w:color="auto"/>
              <w:left w:val="single" w:sz="4" w:space="0" w:color="auto"/>
              <w:bottom w:val="single" w:sz="4" w:space="0" w:color="auto"/>
              <w:right w:val="single" w:sz="4" w:space="0" w:color="auto"/>
            </w:tcBorders>
            <w:vAlign w:val="center"/>
          </w:tcPr>
          <w:p w14:paraId="2A956F6B"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20.22</w:t>
            </w:r>
          </w:p>
        </w:tc>
      </w:tr>
      <w:tr w:rsidR="003226BB" w:rsidRPr="00401B79" w14:paraId="1B8D5D7A" w14:textId="77777777" w:rsidTr="00650395">
        <w:trPr>
          <w:trHeight w:val="221"/>
          <w:jc w:val="center"/>
        </w:trPr>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D6307DD"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WD</w:t>
            </w:r>
          </w:p>
        </w:tc>
        <w:tc>
          <w:tcPr>
            <w:tcW w:w="1246" w:type="dxa"/>
            <w:tcBorders>
              <w:top w:val="single" w:sz="4" w:space="0" w:color="auto"/>
              <w:left w:val="nil"/>
              <w:bottom w:val="single" w:sz="4" w:space="0" w:color="auto"/>
              <w:right w:val="single" w:sz="4" w:space="0" w:color="auto"/>
            </w:tcBorders>
            <w:shd w:val="clear" w:color="auto" w:fill="auto"/>
            <w:noWrap/>
            <w:vAlign w:val="center"/>
          </w:tcPr>
          <w:p w14:paraId="6B318692"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2.67</w:t>
            </w:r>
          </w:p>
        </w:tc>
        <w:tc>
          <w:tcPr>
            <w:tcW w:w="1121" w:type="dxa"/>
            <w:tcBorders>
              <w:top w:val="single" w:sz="4" w:space="0" w:color="auto"/>
              <w:left w:val="nil"/>
              <w:bottom w:val="single" w:sz="4" w:space="0" w:color="auto"/>
              <w:right w:val="single" w:sz="4" w:space="0" w:color="auto"/>
            </w:tcBorders>
            <w:shd w:val="clear" w:color="auto" w:fill="auto"/>
            <w:noWrap/>
            <w:vAlign w:val="center"/>
          </w:tcPr>
          <w:p w14:paraId="66046E59"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19.18</w:t>
            </w:r>
          </w:p>
        </w:tc>
        <w:tc>
          <w:tcPr>
            <w:tcW w:w="1127" w:type="dxa"/>
            <w:tcBorders>
              <w:top w:val="single" w:sz="4" w:space="0" w:color="auto"/>
              <w:left w:val="nil"/>
              <w:bottom w:val="single" w:sz="4" w:space="0" w:color="auto"/>
              <w:right w:val="single" w:sz="4" w:space="0" w:color="auto"/>
            </w:tcBorders>
            <w:shd w:val="clear" w:color="auto" w:fill="auto"/>
            <w:noWrap/>
            <w:vAlign w:val="center"/>
          </w:tcPr>
          <w:p w14:paraId="530A27F8"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21.85</w:t>
            </w:r>
          </w:p>
        </w:tc>
        <w:tc>
          <w:tcPr>
            <w:tcW w:w="1249" w:type="dxa"/>
            <w:tcBorders>
              <w:top w:val="single" w:sz="4" w:space="0" w:color="auto"/>
              <w:left w:val="single" w:sz="4" w:space="0" w:color="auto"/>
              <w:bottom w:val="single" w:sz="4" w:space="0" w:color="auto"/>
              <w:right w:val="single" w:sz="4" w:space="0" w:color="auto"/>
            </w:tcBorders>
            <w:vAlign w:val="center"/>
          </w:tcPr>
          <w:p w14:paraId="47AC348D"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2.39</w:t>
            </w:r>
          </w:p>
        </w:tc>
        <w:tc>
          <w:tcPr>
            <w:tcW w:w="1124" w:type="dxa"/>
            <w:tcBorders>
              <w:top w:val="single" w:sz="4" w:space="0" w:color="auto"/>
              <w:left w:val="single" w:sz="4" w:space="0" w:color="auto"/>
              <w:bottom w:val="single" w:sz="4" w:space="0" w:color="auto"/>
              <w:right w:val="single" w:sz="4" w:space="0" w:color="auto"/>
            </w:tcBorders>
            <w:vAlign w:val="center"/>
          </w:tcPr>
          <w:p w14:paraId="3468EECC"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18.34</w:t>
            </w:r>
          </w:p>
        </w:tc>
        <w:tc>
          <w:tcPr>
            <w:tcW w:w="1130" w:type="dxa"/>
            <w:tcBorders>
              <w:top w:val="single" w:sz="4" w:space="0" w:color="auto"/>
              <w:left w:val="single" w:sz="4" w:space="0" w:color="auto"/>
              <w:bottom w:val="single" w:sz="4" w:space="0" w:color="auto"/>
              <w:right w:val="single" w:sz="4" w:space="0" w:color="auto"/>
            </w:tcBorders>
            <w:vAlign w:val="center"/>
          </w:tcPr>
          <w:p w14:paraId="389DDF54"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20.73</w:t>
            </w:r>
          </w:p>
        </w:tc>
      </w:tr>
      <w:tr w:rsidR="003226BB" w:rsidRPr="00401B79" w14:paraId="744E4BE4" w14:textId="77777777" w:rsidTr="00650395">
        <w:trPr>
          <w:trHeight w:val="221"/>
          <w:jc w:val="center"/>
        </w:trPr>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947E17F"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WF</w:t>
            </w:r>
          </w:p>
        </w:tc>
        <w:tc>
          <w:tcPr>
            <w:tcW w:w="1246" w:type="dxa"/>
            <w:tcBorders>
              <w:top w:val="single" w:sz="4" w:space="0" w:color="auto"/>
              <w:left w:val="nil"/>
              <w:bottom w:val="single" w:sz="4" w:space="0" w:color="auto"/>
              <w:right w:val="single" w:sz="4" w:space="0" w:color="auto"/>
            </w:tcBorders>
            <w:shd w:val="clear" w:color="auto" w:fill="auto"/>
            <w:noWrap/>
            <w:vAlign w:val="center"/>
          </w:tcPr>
          <w:p w14:paraId="75A2863F"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4.01</w:t>
            </w:r>
          </w:p>
        </w:tc>
        <w:tc>
          <w:tcPr>
            <w:tcW w:w="1121" w:type="dxa"/>
            <w:tcBorders>
              <w:top w:val="single" w:sz="4" w:space="0" w:color="auto"/>
              <w:left w:val="nil"/>
              <w:bottom w:val="single" w:sz="4" w:space="0" w:color="auto"/>
              <w:right w:val="single" w:sz="4" w:space="0" w:color="auto"/>
            </w:tcBorders>
            <w:shd w:val="clear" w:color="auto" w:fill="auto"/>
            <w:noWrap/>
            <w:vAlign w:val="center"/>
          </w:tcPr>
          <w:p w14:paraId="7705192B"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15.40</w:t>
            </w:r>
          </w:p>
        </w:tc>
        <w:tc>
          <w:tcPr>
            <w:tcW w:w="1127" w:type="dxa"/>
            <w:tcBorders>
              <w:top w:val="single" w:sz="4" w:space="0" w:color="auto"/>
              <w:left w:val="nil"/>
              <w:bottom w:val="single" w:sz="4" w:space="0" w:color="auto"/>
              <w:right w:val="single" w:sz="4" w:space="0" w:color="auto"/>
            </w:tcBorders>
            <w:shd w:val="clear" w:color="auto" w:fill="auto"/>
            <w:noWrap/>
            <w:vAlign w:val="center"/>
          </w:tcPr>
          <w:p w14:paraId="19A3713F"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19.41</w:t>
            </w:r>
          </w:p>
        </w:tc>
        <w:tc>
          <w:tcPr>
            <w:tcW w:w="1249" w:type="dxa"/>
            <w:tcBorders>
              <w:top w:val="single" w:sz="4" w:space="0" w:color="auto"/>
              <w:left w:val="single" w:sz="4" w:space="0" w:color="auto"/>
              <w:bottom w:val="single" w:sz="4" w:space="0" w:color="auto"/>
              <w:right w:val="single" w:sz="4" w:space="0" w:color="auto"/>
            </w:tcBorders>
            <w:vAlign w:val="center"/>
          </w:tcPr>
          <w:p w14:paraId="2E3C43A5"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5.09</w:t>
            </w:r>
          </w:p>
        </w:tc>
        <w:tc>
          <w:tcPr>
            <w:tcW w:w="1124" w:type="dxa"/>
            <w:tcBorders>
              <w:top w:val="single" w:sz="4" w:space="0" w:color="auto"/>
              <w:left w:val="single" w:sz="4" w:space="0" w:color="auto"/>
              <w:bottom w:val="single" w:sz="4" w:space="0" w:color="auto"/>
              <w:right w:val="single" w:sz="4" w:space="0" w:color="auto"/>
            </w:tcBorders>
            <w:vAlign w:val="center"/>
          </w:tcPr>
          <w:p w14:paraId="58FBEEE6"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11.69</w:t>
            </w:r>
          </w:p>
        </w:tc>
        <w:tc>
          <w:tcPr>
            <w:tcW w:w="1130" w:type="dxa"/>
            <w:tcBorders>
              <w:top w:val="single" w:sz="4" w:space="0" w:color="auto"/>
              <w:left w:val="single" w:sz="4" w:space="0" w:color="auto"/>
              <w:bottom w:val="single" w:sz="4" w:space="0" w:color="auto"/>
              <w:right w:val="single" w:sz="4" w:space="0" w:color="auto"/>
            </w:tcBorders>
            <w:vAlign w:val="center"/>
          </w:tcPr>
          <w:p w14:paraId="5408E537"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16.79</w:t>
            </w:r>
          </w:p>
        </w:tc>
      </w:tr>
      <w:tr w:rsidR="003226BB" w:rsidRPr="00401B79" w14:paraId="0A159145" w14:textId="77777777" w:rsidTr="00650395">
        <w:trPr>
          <w:trHeight w:val="221"/>
          <w:jc w:val="center"/>
        </w:trPr>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AC24CA8"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WG</w:t>
            </w:r>
          </w:p>
        </w:tc>
        <w:tc>
          <w:tcPr>
            <w:tcW w:w="1246" w:type="dxa"/>
            <w:tcBorders>
              <w:top w:val="single" w:sz="4" w:space="0" w:color="auto"/>
              <w:left w:val="nil"/>
              <w:bottom w:val="single" w:sz="4" w:space="0" w:color="auto"/>
              <w:right w:val="single" w:sz="4" w:space="0" w:color="auto"/>
            </w:tcBorders>
            <w:shd w:val="clear" w:color="auto" w:fill="auto"/>
            <w:noWrap/>
            <w:vAlign w:val="center"/>
          </w:tcPr>
          <w:p w14:paraId="0B03B95A"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2.54</w:t>
            </w:r>
          </w:p>
        </w:tc>
        <w:tc>
          <w:tcPr>
            <w:tcW w:w="1121" w:type="dxa"/>
            <w:tcBorders>
              <w:top w:val="single" w:sz="4" w:space="0" w:color="auto"/>
              <w:left w:val="nil"/>
              <w:bottom w:val="single" w:sz="4" w:space="0" w:color="auto"/>
              <w:right w:val="single" w:sz="4" w:space="0" w:color="auto"/>
            </w:tcBorders>
            <w:shd w:val="clear" w:color="auto" w:fill="auto"/>
            <w:noWrap/>
            <w:vAlign w:val="center"/>
          </w:tcPr>
          <w:p w14:paraId="28EA6FF6"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19.62</w:t>
            </w:r>
          </w:p>
        </w:tc>
        <w:tc>
          <w:tcPr>
            <w:tcW w:w="1127" w:type="dxa"/>
            <w:tcBorders>
              <w:top w:val="single" w:sz="4" w:space="0" w:color="auto"/>
              <w:left w:val="nil"/>
              <w:bottom w:val="single" w:sz="4" w:space="0" w:color="auto"/>
              <w:right w:val="single" w:sz="4" w:space="0" w:color="auto"/>
            </w:tcBorders>
            <w:shd w:val="clear" w:color="auto" w:fill="auto"/>
            <w:noWrap/>
            <w:vAlign w:val="center"/>
          </w:tcPr>
          <w:p w14:paraId="44D60809"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22.16</w:t>
            </w:r>
          </w:p>
        </w:tc>
        <w:tc>
          <w:tcPr>
            <w:tcW w:w="1249" w:type="dxa"/>
            <w:tcBorders>
              <w:top w:val="single" w:sz="4" w:space="0" w:color="auto"/>
              <w:left w:val="single" w:sz="4" w:space="0" w:color="auto"/>
              <w:bottom w:val="single" w:sz="4" w:space="0" w:color="auto"/>
              <w:right w:val="single" w:sz="4" w:space="0" w:color="auto"/>
            </w:tcBorders>
            <w:vAlign w:val="center"/>
          </w:tcPr>
          <w:p w14:paraId="61FF08AD"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4.01</w:t>
            </w:r>
          </w:p>
        </w:tc>
        <w:tc>
          <w:tcPr>
            <w:tcW w:w="1124" w:type="dxa"/>
            <w:tcBorders>
              <w:top w:val="single" w:sz="4" w:space="0" w:color="auto"/>
              <w:left w:val="single" w:sz="4" w:space="0" w:color="auto"/>
              <w:bottom w:val="single" w:sz="4" w:space="0" w:color="auto"/>
              <w:right w:val="single" w:sz="4" w:space="0" w:color="auto"/>
            </w:tcBorders>
            <w:vAlign w:val="center"/>
          </w:tcPr>
          <w:p w14:paraId="0FFCB2A9"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14.00</w:t>
            </w:r>
          </w:p>
        </w:tc>
        <w:tc>
          <w:tcPr>
            <w:tcW w:w="1130" w:type="dxa"/>
            <w:tcBorders>
              <w:top w:val="single" w:sz="4" w:space="0" w:color="auto"/>
              <w:left w:val="single" w:sz="4" w:space="0" w:color="auto"/>
              <w:bottom w:val="single" w:sz="4" w:space="0" w:color="auto"/>
              <w:right w:val="single" w:sz="4" w:space="0" w:color="auto"/>
            </w:tcBorders>
            <w:vAlign w:val="center"/>
          </w:tcPr>
          <w:p w14:paraId="6C5EC0C1"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18.01</w:t>
            </w:r>
          </w:p>
        </w:tc>
      </w:tr>
      <w:tr w:rsidR="003226BB" w:rsidRPr="00401B79" w14:paraId="18BDEE6B" w14:textId="77777777" w:rsidTr="00650395">
        <w:trPr>
          <w:trHeight w:val="221"/>
          <w:jc w:val="center"/>
        </w:trPr>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872BFEE"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WE</w:t>
            </w:r>
          </w:p>
        </w:tc>
        <w:tc>
          <w:tcPr>
            <w:tcW w:w="1246" w:type="dxa"/>
            <w:tcBorders>
              <w:top w:val="single" w:sz="4" w:space="0" w:color="auto"/>
              <w:left w:val="nil"/>
              <w:bottom w:val="single" w:sz="4" w:space="0" w:color="auto"/>
              <w:right w:val="single" w:sz="4" w:space="0" w:color="auto"/>
            </w:tcBorders>
            <w:shd w:val="clear" w:color="auto" w:fill="auto"/>
            <w:noWrap/>
            <w:vAlign w:val="center"/>
          </w:tcPr>
          <w:p w14:paraId="653A12AE"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1.44</w:t>
            </w:r>
          </w:p>
        </w:tc>
        <w:tc>
          <w:tcPr>
            <w:tcW w:w="1121" w:type="dxa"/>
            <w:tcBorders>
              <w:top w:val="single" w:sz="4" w:space="0" w:color="auto"/>
              <w:left w:val="nil"/>
              <w:bottom w:val="single" w:sz="4" w:space="0" w:color="auto"/>
              <w:right w:val="single" w:sz="4" w:space="0" w:color="auto"/>
            </w:tcBorders>
            <w:shd w:val="clear" w:color="auto" w:fill="auto"/>
            <w:noWrap/>
            <w:vAlign w:val="center"/>
          </w:tcPr>
          <w:p w14:paraId="7FEB9BE9"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23.66</w:t>
            </w:r>
          </w:p>
        </w:tc>
        <w:tc>
          <w:tcPr>
            <w:tcW w:w="1127" w:type="dxa"/>
            <w:tcBorders>
              <w:top w:val="single" w:sz="4" w:space="0" w:color="auto"/>
              <w:left w:val="nil"/>
              <w:bottom w:val="single" w:sz="4" w:space="0" w:color="auto"/>
              <w:right w:val="single" w:sz="4" w:space="0" w:color="auto"/>
            </w:tcBorders>
            <w:shd w:val="clear" w:color="auto" w:fill="auto"/>
            <w:noWrap/>
            <w:vAlign w:val="center"/>
          </w:tcPr>
          <w:p w14:paraId="0CC93FC5"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25.10</w:t>
            </w:r>
          </w:p>
        </w:tc>
        <w:tc>
          <w:tcPr>
            <w:tcW w:w="1249" w:type="dxa"/>
            <w:tcBorders>
              <w:top w:val="single" w:sz="4" w:space="0" w:color="auto"/>
              <w:left w:val="single" w:sz="4" w:space="0" w:color="auto"/>
              <w:bottom w:val="single" w:sz="4" w:space="0" w:color="auto"/>
              <w:right w:val="single" w:sz="4" w:space="0" w:color="auto"/>
            </w:tcBorders>
            <w:vAlign w:val="center"/>
          </w:tcPr>
          <w:p w14:paraId="1FA02170"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3.68</w:t>
            </w:r>
          </w:p>
        </w:tc>
        <w:tc>
          <w:tcPr>
            <w:tcW w:w="1124" w:type="dxa"/>
            <w:tcBorders>
              <w:top w:val="single" w:sz="4" w:space="0" w:color="auto"/>
              <w:left w:val="single" w:sz="4" w:space="0" w:color="auto"/>
              <w:bottom w:val="single" w:sz="4" w:space="0" w:color="auto"/>
              <w:right w:val="single" w:sz="4" w:space="0" w:color="auto"/>
            </w:tcBorders>
            <w:vAlign w:val="center"/>
          </w:tcPr>
          <w:p w14:paraId="5D2F9A5B"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14.80</w:t>
            </w:r>
          </w:p>
        </w:tc>
        <w:tc>
          <w:tcPr>
            <w:tcW w:w="1130" w:type="dxa"/>
            <w:tcBorders>
              <w:top w:val="single" w:sz="4" w:space="0" w:color="auto"/>
              <w:left w:val="single" w:sz="4" w:space="0" w:color="auto"/>
              <w:bottom w:val="single" w:sz="4" w:space="0" w:color="auto"/>
              <w:right w:val="single" w:sz="4" w:space="0" w:color="auto"/>
            </w:tcBorders>
            <w:vAlign w:val="center"/>
          </w:tcPr>
          <w:p w14:paraId="064178A4"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18.47</w:t>
            </w:r>
          </w:p>
        </w:tc>
      </w:tr>
      <w:tr w:rsidR="003226BB" w:rsidRPr="00401B79" w14:paraId="788AB826" w14:textId="77777777" w:rsidTr="00650395">
        <w:trPr>
          <w:trHeight w:val="221"/>
          <w:jc w:val="center"/>
        </w:trPr>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970333F"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GF</w:t>
            </w:r>
          </w:p>
        </w:tc>
        <w:tc>
          <w:tcPr>
            <w:tcW w:w="1246" w:type="dxa"/>
            <w:tcBorders>
              <w:top w:val="single" w:sz="4" w:space="0" w:color="auto"/>
              <w:left w:val="nil"/>
              <w:bottom w:val="single" w:sz="4" w:space="0" w:color="auto"/>
              <w:right w:val="single" w:sz="4" w:space="0" w:color="auto"/>
            </w:tcBorders>
            <w:shd w:val="clear" w:color="auto" w:fill="auto"/>
            <w:noWrap/>
            <w:vAlign w:val="center"/>
          </w:tcPr>
          <w:p w14:paraId="706AD073"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8.12</w:t>
            </w:r>
          </w:p>
        </w:tc>
        <w:tc>
          <w:tcPr>
            <w:tcW w:w="1121" w:type="dxa"/>
            <w:tcBorders>
              <w:top w:val="single" w:sz="4" w:space="0" w:color="auto"/>
              <w:left w:val="nil"/>
              <w:bottom w:val="single" w:sz="4" w:space="0" w:color="auto"/>
              <w:right w:val="single" w:sz="4" w:space="0" w:color="auto"/>
            </w:tcBorders>
            <w:shd w:val="clear" w:color="auto" w:fill="auto"/>
            <w:noWrap/>
            <w:vAlign w:val="center"/>
          </w:tcPr>
          <w:p w14:paraId="4CCBC071"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11.13</w:t>
            </w:r>
          </w:p>
        </w:tc>
        <w:tc>
          <w:tcPr>
            <w:tcW w:w="1127" w:type="dxa"/>
            <w:tcBorders>
              <w:top w:val="single" w:sz="4" w:space="0" w:color="auto"/>
              <w:left w:val="nil"/>
              <w:bottom w:val="single" w:sz="4" w:space="0" w:color="auto"/>
              <w:right w:val="single" w:sz="4" w:space="0" w:color="auto"/>
            </w:tcBorders>
            <w:shd w:val="clear" w:color="auto" w:fill="auto"/>
            <w:noWrap/>
            <w:vAlign w:val="center"/>
          </w:tcPr>
          <w:p w14:paraId="3FA281D9"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19.26</w:t>
            </w:r>
          </w:p>
        </w:tc>
        <w:tc>
          <w:tcPr>
            <w:tcW w:w="1249" w:type="dxa"/>
            <w:tcBorders>
              <w:top w:val="single" w:sz="4" w:space="0" w:color="auto"/>
              <w:left w:val="single" w:sz="4" w:space="0" w:color="auto"/>
              <w:bottom w:val="single" w:sz="4" w:space="0" w:color="auto"/>
              <w:right w:val="single" w:sz="4" w:space="0" w:color="auto"/>
            </w:tcBorders>
            <w:vAlign w:val="center"/>
          </w:tcPr>
          <w:p w14:paraId="585C30A8"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7.71</w:t>
            </w:r>
          </w:p>
        </w:tc>
        <w:tc>
          <w:tcPr>
            <w:tcW w:w="1124" w:type="dxa"/>
            <w:tcBorders>
              <w:top w:val="single" w:sz="4" w:space="0" w:color="auto"/>
              <w:left w:val="single" w:sz="4" w:space="0" w:color="auto"/>
              <w:bottom w:val="single" w:sz="4" w:space="0" w:color="auto"/>
              <w:right w:val="single" w:sz="4" w:space="0" w:color="auto"/>
            </w:tcBorders>
            <w:vAlign w:val="center"/>
          </w:tcPr>
          <w:p w14:paraId="63C37A2A"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9.33</w:t>
            </w:r>
          </w:p>
        </w:tc>
        <w:tc>
          <w:tcPr>
            <w:tcW w:w="1130" w:type="dxa"/>
            <w:tcBorders>
              <w:top w:val="single" w:sz="4" w:space="0" w:color="auto"/>
              <w:left w:val="single" w:sz="4" w:space="0" w:color="auto"/>
              <w:bottom w:val="single" w:sz="4" w:space="0" w:color="auto"/>
              <w:right w:val="single" w:sz="4" w:space="0" w:color="auto"/>
            </w:tcBorders>
            <w:vAlign w:val="center"/>
          </w:tcPr>
          <w:p w14:paraId="5D3294FE"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17.04</w:t>
            </w:r>
          </w:p>
        </w:tc>
      </w:tr>
      <w:tr w:rsidR="003226BB" w:rsidRPr="00401B79" w14:paraId="5446487A" w14:textId="77777777" w:rsidTr="00650395">
        <w:trPr>
          <w:trHeight w:val="221"/>
          <w:jc w:val="center"/>
        </w:trPr>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CC78EE0"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GD</w:t>
            </w:r>
          </w:p>
        </w:tc>
        <w:tc>
          <w:tcPr>
            <w:tcW w:w="1246" w:type="dxa"/>
            <w:tcBorders>
              <w:top w:val="single" w:sz="4" w:space="0" w:color="auto"/>
              <w:left w:val="nil"/>
              <w:bottom w:val="single" w:sz="4" w:space="0" w:color="auto"/>
              <w:right w:val="single" w:sz="4" w:space="0" w:color="auto"/>
            </w:tcBorders>
            <w:shd w:val="clear" w:color="auto" w:fill="auto"/>
            <w:noWrap/>
            <w:vAlign w:val="center"/>
          </w:tcPr>
          <w:p w14:paraId="0EC117FF"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2.75</w:t>
            </w:r>
          </w:p>
        </w:tc>
        <w:tc>
          <w:tcPr>
            <w:tcW w:w="1121" w:type="dxa"/>
            <w:tcBorders>
              <w:top w:val="single" w:sz="4" w:space="0" w:color="auto"/>
              <w:left w:val="nil"/>
              <w:bottom w:val="single" w:sz="4" w:space="0" w:color="auto"/>
              <w:right w:val="single" w:sz="4" w:space="0" w:color="auto"/>
            </w:tcBorders>
            <w:shd w:val="clear" w:color="auto" w:fill="auto"/>
            <w:noWrap/>
            <w:vAlign w:val="center"/>
          </w:tcPr>
          <w:p w14:paraId="20C2456A"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19.18</w:t>
            </w:r>
          </w:p>
        </w:tc>
        <w:tc>
          <w:tcPr>
            <w:tcW w:w="1127" w:type="dxa"/>
            <w:tcBorders>
              <w:top w:val="single" w:sz="4" w:space="0" w:color="auto"/>
              <w:left w:val="nil"/>
              <w:bottom w:val="single" w:sz="4" w:space="0" w:color="auto"/>
              <w:right w:val="single" w:sz="4" w:space="0" w:color="auto"/>
            </w:tcBorders>
            <w:shd w:val="clear" w:color="auto" w:fill="auto"/>
            <w:noWrap/>
            <w:vAlign w:val="center"/>
          </w:tcPr>
          <w:p w14:paraId="57EDBAB0"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21.93</w:t>
            </w:r>
          </w:p>
        </w:tc>
        <w:tc>
          <w:tcPr>
            <w:tcW w:w="1249" w:type="dxa"/>
            <w:tcBorders>
              <w:top w:val="single" w:sz="4" w:space="0" w:color="auto"/>
              <w:left w:val="single" w:sz="4" w:space="0" w:color="auto"/>
              <w:bottom w:val="single" w:sz="4" w:space="0" w:color="auto"/>
              <w:right w:val="single" w:sz="4" w:space="0" w:color="auto"/>
            </w:tcBorders>
            <w:vAlign w:val="center"/>
          </w:tcPr>
          <w:p w14:paraId="561FE134"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1.62</w:t>
            </w:r>
          </w:p>
        </w:tc>
        <w:tc>
          <w:tcPr>
            <w:tcW w:w="1124" w:type="dxa"/>
            <w:tcBorders>
              <w:top w:val="single" w:sz="4" w:space="0" w:color="auto"/>
              <w:left w:val="single" w:sz="4" w:space="0" w:color="auto"/>
              <w:bottom w:val="single" w:sz="4" w:space="0" w:color="auto"/>
              <w:right w:val="single" w:sz="4" w:space="0" w:color="auto"/>
            </w:tcBorders>
            <w:vAlign w:val="center"/>
          </w:tcPr>
          <w:p w14:paraId="200F7DFB"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18.34</w:t>
            </w:r>
          </w:p>
        </w:tc>
        <w:tc>
          <w:tcPr>
            <w:tcW w:w="1130" w:type="dxa"/>
            <w:tcBorders>
              <w:top w:val="single" w:sz="4" w:space="0" w:color="auto"/>
              <w:left w:val="single" w:sz="4" w:space="0" w:color="auto"/>
              <w:bottom w:val="single" w:sz="4" w:space="0" w:color="auto"/>
              <w:right w:val="single" w:sz="4" w:space="0" w:color="auto"/>
            </w:tcBorders>
            <w:vAlign w:val="center"/>
          </w:tcPr>
          <w:p w14:paraId="0D60C3DA"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19.96</w:t>
            </w:r>
          </w:p>
        </w:tc>
      </w:tr>
      <w:tr w:rsidR="003226BB" w:rsidRPr="00401B79" w14:paraId="0B5CF4DB" w14:textId="77777777" w:rsidTr="00650395">
        <w:trPr>
          <w:trHeight w:val="221"/>
          <w:jc w:val="center"/>
        </w:trPr>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75758B2"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GE</w:t>
            </w:r>
          </w:p>
        </w:tc>
        <w:tc>
          <w:tcPr>
            <w:tcW w:w="1246" w:type="dxa"/>
            <w:tcBorders>
              <w:top w:val="single" w:sz="4" w:space="0" w:color="auto"/>
              <w:left w:val="nil"/>
              <w:bottom w:val="single" w:sz="4" w:space="0" w:color="auto"/>
              <w:right w:val="single" w:sz="4" w:space="0" w:color="auto"/>
            </w:tcBorders>
            <w:shd w:val="clear" w:color="auto" w:fill="auto"/>
            <w:noWrap/>
            <w:vAlign w:val="center"/>
          </w:tcPr>
          <w:p w14:paraId="5CF27F7A"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3.48</w:t>
            </w:r>
          </w:p>
        </w:tc>
        <w:tc>
          <w:tcPr>
            <w:tcW w:w="1121" w:type="dxa"/>
            <w:tcBorders>
              <w:top w:val="single" w:sz="4" w:space="0" w:color="auto"/>
              <w:left w:val="nil"/>
              <w:bottom w:val="single" w:sz="4" w:space="0" w:color="auto"/>
              <w:right w:val="single" w:sz="4" w:space="0" w:color="auto"/>
            </w:tcBorders>
            <w:shd w:val="clear" w:color="auto" w:fill="auto"/>
            <w:noWrap/>
            <w:vAlign w:val="center"/>
          </w:tcPr>
          <w:p w14:paraId="5E114ADA"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18.23</w:t>
            </w:r>
          </w:p>
        </w:tc>
        <w:tc>
          <w:tcPr>
            <w:tcW w:w="1127" w:type="dxa"/>
            <w:tcBorders>
              <w:top w:val="single" w:sz="4" w:space="0" w:color="auto"/>
              <w:left w:val="nil"/>
              <w:bottom w:val="single" w:sz="4" w:space="0" w:color="auto"/>
              <w:right w:val="single" w:sz="4" w:space="0" w:color="auto"/>
            </w:tcBorders>
            <w:shd w:val="clear" w:color="auto" w:fill="auto"/>
            <w:noWrap/>
            <w:vAlign w:val="center"/>
          </w:tcPr>
          <w:p w14:paraId="58717DBD"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21.71</w:t>
            </w:r>
          </w:p>
        </w:tc>
        <w:tc>
          <w:tcPr>
            <w:tcW w:w="1249" w:type="dxa"/>
            <w:tcBorders>
              <w:top w:val="single" w:sz="4" w:space="0" w:color="auto"/>
              <w:left w:val="single" w:sz="4" w:space="0" w:color="auto"/>
              <w:bottom w:val="single" w:sz="4" w:space="0" w:color="auto"/>
              <w:right w:val="single" w:sz="4" w:space="0" w:color="auto"/>
            </w:tcBorders>
            <w:vAlign w:val="center"/>
          </w:tcPr>
          <w:p w14:paraId="14F18EC2"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3.10</w:t>
            </w:r>
          </w:p>
        </w:tc>
        <w:tc>
          <w:tcPr>
            <w:tcW w:w="1124" w:type="dxa"/>
            <w:tcBorders>
              <w:top w:val="single" w:sz="4" w:space="0" w:color="auto"/>
              <w:left w:val="single" w:sz="4" w:space="0" w:color="auto"/>
              <w:bottom w:val="single" w:sz="4" w:space="0" w:color="auto"/>
              <w:right w:val="single" w:sz="4" w:space="0" w:color="auto"/>
            </w:tcBorders>
            <w:vAlign w:val="center"/>
          </w:tcPr>
          <w:p w14:paraId="11FE6CD0"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15.61</w:t>
            </w:r>
          </w:p>
        </w:tc>
        <w:tc>
          <w:tcPr>
            <w:tcW w:w="1130" w:type="dxa"/>
            <w:tcBorders>
              <w:top w:val="single" w:sz="4" w:space="0" w:color="auto"/>
              <w:left w:val="single" w:sz="4" w:space="0" w:color="auto"/>
              <w:bottom w:val="single" w:sz="4" w:space="0" w:color="auto"/>
              <w:right w:val="single" w:sz="4" w:space="0" w:color="auto"/>
            </w:tcBorders>
            <w:vAlign w:val="center"/>
          </w:tcPr>
          <w:p w14:paraId="68A13436"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18.71</w:t>
            </w:r>
          </w:p>
        </w:tc>
      </w:tr>
      <w:tr w:rsidR="003226BB" w:rsidRPr="00401B79" w14:paraId="16874231" w14:textId="77777777" w:rsidTr="00650395">
        <w:trPr>
          <w:trHeight w:val="221"/>
          <w:jc w:val="center"/>
        </w:trPr>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82A24FE"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FD</w:t>
            </w:r>
          </w:p>
        </w:tc>
        <w:tc>
          <w:tcPr>
            <w:tcW w:w="1246" w:type="dxa"/>
            <w:tcBorders>
              <w:top w:val="single" w:sz="4" w:space="0" w:color="auto"/>
              <w:left w:val="nil"/>
              <w:bottom w:val="single" w:sz="4" w:space="0" w:color="auto"/>
              <w:right w:val="single" w:sz="4" w:space="0" w:color="auto"/>
            </w:tcBorders>
            <w:shd w:val="clear" w:color="auto" w:fill="auto"/>
            <w:noWrap/>
            <w:vAlign w:val="center"/>
          </w:tcPr>
          <w:p w14:paraId="53D9D6ED"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1.62</w:t>
            </w:r>
          </w:p>
        </w:tc>
        <w:tc>
          <w:tcPr>
            <w:tcW w:w="1121" w:type="dxa"/>
            <w:tcBorders>
              <w:top w:val="single" w:sz="4" w:space="0" w:color="auto"/>
              <w:left w:val="nil"/>
              <w:bottom w:val="single" w:sz="4" w:space="0" w:color="auto"/>
              <w:right w:val="single" w:sz="4" w:space="0" w:color="auto"/>
            </w:tcBorders>
            <w:shd w:val="clear" w:color="auto" w:fill="auto"/>
            <w:noWrap/>
            <w:vAlign w:val="center"/>
          </w:tcPr>
          <w:p w14:paraId="671713D8"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19.18</w:t>
            </w:r>
          </w:p>
        </w:tc>
        <w:tc>
          <w:tcPr>
            <w:tcW w:w="1127" w:type="dxa"/>
            <w:tcBorders>
              <w:top w:val="single" w:sz="4" w:space="0" w:color="auto"/>
              <w:left w:val="nil"/>
              <w:bottom w:val="single" w:sz="4" w:space="0" w:color="auto"/>
              <w:right w:val="single" w:sz="4" w:space="0" w:color="auto"/>
            </w:tcBorders>
            <w:shd w:val="clear" w:color="auto" w:fill="auto"/>
            <w:noWrap/>
            <w:vAlign w:val="center"/>
          </w:tcPr>
          <w:p w14:paraId="7B6125D3"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20.80</w:t>
            </w:r>
          </w:p>
        </w:tc>
        <w:tc>
          <w:tcPr>
            <w:tcW w:w="1249" w:type="dxa"/>
            <w:tcBorders>
              <w:top w:val="single" w:sz="4" w:space="0" w:color="auto"/>
              <w:left w:val="single" w:sz="4" w:space="0" w:color="auto"/>
              <w:bottom w:val="single" w:sz="4" w:space="0" w:color="auto"/>
              <w:right w:val="single" w:sz="4" w:space="0" w:color="auto"/>
            </w:tcBorders>
            <w:vAlign w:val="center"/>
          </w:tcPr>
          <w:p w14:paraId="58F5001E"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0.56</w:t>
            </w:r>
          </w:p>
        </w:tc>
        <w:tc>
          <w:tcPr>
            <w:tcW w:w="1124" w:type="dxa"/>
            <w:tcBorders>
              <w:top w:val="single" w:sz="4" w:space="0" w:color="auto"/>
              <w:left w:val="single" w:sz="4" w:space="0" w:color="auto"/>
              <w:bottom w:val="single" w:sz="4" w:space="0" w:color="auto"/>
              <w:right w:val="single" w:sz="4" w:space="0" w:color="auto"/>
            </w:tcBorders>
            <w:vAlign w:val="center"/>
          </w:tcPr>
          <w:p w14:paraId="4A127177"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18.34</w:t>
            </w:r>
          </w:p>
        </w:tc>
        <w:tc>
          <w:tcPr>
            <w:tcW w:w="1130" w:type="dxa"/>
            <w:tcBorders>
              <w:top w:val="single" w:sz="4" w:space="0" w:color="auto"/>
              <w:left w:val="single" w:sz="4" w:space="0" w:color="auto"/>
              <w:bottom w:val="single" w:sz="4" w:space="0" w:color="auto"/>
              <w:right w:val="single" w:sz="4" w:space="0" w:color="auto"/>
            </w:tcBorders>
            <w:vAlign w:val="center"/>
          </w:tcPr>
          <w:p w14:paraId="4097B1A8"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18.89</w:t>
            </w:r>
          </w:p>
        </w:tc>
      </w:tr>
      <w:tr w:rsidR="003226BB" w:rsidRPr="00401B79" w14:paraId="7BD0B340" w14:textId="77777777" w:rsidTr="00650395">
        <w:trPr>
          <w:trHeight w:val="221"/>
          <w:jc w:val="center"/>
        </w:trPr>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E030234"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FE</w:t>
            </w:r>
          </w:p>
        </w:tc>
        <w:tc>
          <w:tcPr>
            <w:tcW w:w="1246" w:type="dxa"/>
            <w:tcBorders>
              <w:top w:val="single" w:sz="4" w:space="0" w:color="auto"/>
              <w:left w:val="nil"/>
              <w:bottom w:val="single" w:sz="4" w:space="0" w:color="auto"/>
              <w:right w:val="single" w:sz="4" w:space="0" w:color="auto"/>
            </w:tcBorders>
            <w:shd w:val="clear" w:color="auto" w:fill="auto"/>
            <w:noWrap/>
            <w:vAlign w:val="center"/>
          </w:tcPr>
          <w:p w14:paraId="34786BC5"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47.31</w:t>
            </w:r>
          </w:p>
        </w:tc>
        <w:tc>
          <w:tcPr>
            <w:tcW w:w="1121" w:type="dxa"/>
            <w:tcBorders>
              <w:top w:val="single" w:sz="4" w:space="0" w:color="auto"/>
              <w:left w:val="nil"/>
              <w:bottom w:val="single" w:sz="4" w:space="0" w:color="auto"/>
              <w:right w:val="single" w:sz="4" w:space="0" w:color="auto"/>
            </w:tcBorders>
            <w:shd w:val="clear" w:color="auto" w:fill="auto"/>
            <w:noWrap/>
            <w:vAlign w:val="center"/>
          </w:tcPr>
          <w:p w14:paraId="0ACB271B"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0.82</w:t>
            </w:r>
          </w:p>
        </w:tc>
        <w:tc>
          <w:tcPr>
            <w:tcW w:w="1127" w:type="dxa"/>
            <w:tcBorders>
              <w:top w:val="single" w:sz="4" w:space="0" w:color="auto"/>
              <w:left w:val="nil"/>
              <w:bottom w:val="single" w:sz="4" w:space="0" w:color="auto"/>
              <w:right w:val="single" w:sz="4" w:space="0" w:color="auto"/>
            </w:tcBorders>
            <w:shd w:val="clear" w:color="auto" w:fill="auto"/>
            <w:noWrap/>
            <w:vAlign w:val="center"/>
          </w:tcPr>
          <w:p w14:paraId="2EA7F5AD"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48.13</w:t>
            </w:r>
          </w:p>
        </w:tc>
        <w:tc>
          <w:tcPr>
            <w:tcW w:w="1249" w:type="dxa"/>
            <w:tcBorders>
              <w:top w:val="single" w:sz="4" w:space="0" w:color="auto"/>
              <w:left w:val="single" w:sz="4" w:space="0" w:color="auto"/>
              <w:bottom w:val="single" w:sz="4" w:space="0" w:color="auto"/>
              <w:right w:val="single" w:sz="4" w:space="0" w:color="auto"/>
            </w:tcBorders>
            <w:vAlign w:val="center"/>
          </w:tcPr>
          <w:p w14:paraId="7C88B088"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17.25</w:t>
            </w:r>
          </w:p>
        </w:tc>
        <w:tc>
          <w:tcPr>
            <w:tcW w:w="1124" w:type="dxa"/>
            <w:tcBorders>
              <w:top w:val="single" w:sz="4" w:space="0" w:color="auto"/>
              <w:left w:val="single" w:sz="4" w:space="0" w:color="auto"/>
              <w:bottom w:val="single" w:sz="4" w:space="0" w:color="auto"/>
              <w:right w:val="single" w:sz="4" w:space="0" w:color="auto"/>
            </w:tcBorders>
            <w:vAlign w:val="center"/>
          </w:tcPr>
          <w:p w14:paraId="22E94493"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4.42</w:t>
            </w:r>
          </w:p>
        </w:tc>
        <w:tc>
          <w:tcPr>
            <w:tcW w:w="1130" w:type="dxa"/>
            <w:tcBorders>
              <w:top w:val="single" w:sz="4" w:space="0" w:color="auto"/>
              <w:left w:val="single" w:sz="4" w:space="0" w:color="auto"/>
              <w:bottom w:val="single" w:sz="4" w:space="0" w:color="auto"/>
              <w:right w:val="single" w:sz="4" w:space="0" w:color="auto"/>
            </w:tcBorders>
            <w:vAlign w:val="center"/>
          </w:tcPr>
          <w:p w14:paraId="69F875EB"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21.67</w:t>
            </w:r>
          </w:p>
        </w:tc>
      </w:tr>
      <w:tr w:rsidR="003226BB" w:rsidRPr="00401B79" w14:paraId="0B0C7F5A" w14:textId="77777777" w:rsidTr="00650395">
        <w:trPr>
          <w:trHeight w:val="221"/>
          <w:jc w:val="center"/>
        </w:trPr>
        <w:tc>
          <w:tcPr>
            <w:tcW w:w="1364"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0799A42"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DE</w:t>
            </w:r>
          </w:p>
        </w:tc>
        <w:tc>
          <w:tcPr>
            <w:tcW w:w="1246" w:type="dxa"/>
            <w:tcBorders>
              <w:top w:val="single" w:sz="4" w:space="0" w:color="auto"/>
              <w:left w:val="nil"/>
              <w:bottom w:val="single" w:sz="4" w:space="0" w:color="auto"/>
              <w:right w:val="single" w:sz="4" w:space="0" w:color="auto"/>
            </w:tcBorders>
            <w:shd w:val="clear" w:color="auto" w:fill="auto"/>
            <w:noWrap/>
            <w:vAlign w:val="center"/>
          </w:tcPr>
          <w:p w14:paraId="241FA122"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3.31</w:t>
            </w:r>
          </w:p>
        </w:tc>
        <w:tc>
          <w:tcPr>
            <w:tcW w:w="1121" w:type="dxa"/>
            <w:tcBorders>
              <w:top w:val="single" w:sz="4" w:space="0" w:color="auto"/>
              <w:left w:val="nil"/>
              <w:bottom w:val="single" w:sz="4" w:space="0" w:color="auto"/>
              <w:right w:val="single" w:sz="4" w:space="0" w:color="auto"/>
            </w:tcBorders>
            <w:shd w:val="clear" w:color="auto" w:fill="auto"/>
            <w:noWrap/>
            <w:vAlign w:val="center"/>
          </w:tcPr>
          <w:p w14:paraId="6C754FF1"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19.18</w:t>
            </w:r>
          </w:p>
        </w:tc>
        <w:tc>
          <w:tcPr>
            <w:tcW w:w="1127" w:type="dxa"/>
            <w:tcBorders>
              <w:top w:val="single" w:sz="4" w:space="0" w:color="auto"/>
              <w:left w:val="nil"/>
              <w:bottom w:val="single" w:sz="4" w:space="0" w:color="auto"/>
              <w:right w:val="single" w:sz="4" w:space="0" w:color="auto"/>
            </w:tcBorders>
            <w:shd w:val="clear" w:color="auto" w:fill="auto"/>
            <w:noWrap/>
            <w:vAlign w:val="center"/>
          </w:tcPr>
          <w:p w14:paraId="6B88D266" w14:textId="77777777" w:rsidR="003226BB" w:rsidRPr="00401B79" w:rsidRDefault="003226BB" w:rsidP="00650395">
            <w:pPr>
              <w:spacing w:line="276" w:lineRule="auto"/>
              <w:jc w:val="center"/>
              <w:rPr>
                <w:rFonts w:eastAsia="Times New Roman" w:cs="Times New Roman"/>
                <w:color w:val="000000"/>
                <w:sz w:val="20"/>
                <w:szCs w:val="20"/>
              </w:rPr>
            </w:pPr>
            <w:r w:rsidRPr="00401B79">
              <w:rPr>
                <w:rFonts w:cs="Times New Roman"/>
                <w:color w:val="000000"/>
                <w:sz w:val="20"/>
                <w:szCs w:val="20"/>
              </w:rPr>
              <w:t>22.49</w:t>
            </w:r>
          </w:p>
        </w:tc>
        <w:tc>
          <w:tcPr>
            <w:tcW w:w="1249" w:type="dxa"/>
            <w:tcBorders>
              <w:top w:val="single" w:sz="4" w:space="0" w:color="auto"/>
              <w:left w:val="single" w:sz="4" w:space="0" w:color="auto"/>
              <w:bottom w:val="single" w:sz="4" w:space="0" w:color="auto"/>
              <w:right w:val="single" w:sz="4" w:space="0" w:color="auto"/>
            </w:tcBorders>
            <w:vAlign w:val="center"/>
          </w:tcPr>
          <w:p w14:paraId="7AFC8B03"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1.80</w:t>
            </w:r>
          </w:p>
        </w:tc>
        <w:tc>
          <w:tcPr>
            <w:tcW w:w="1124" w:type="dxa"/>
            <w:tcBorders>
              <w:top w:val="single" w:sz="4" w:space="0" w:color="auto"/>
              <w:left w:val="single" w:sz="4" w:space="0" w:color="auto"/>
              <w:bottom w:val="single" w:sz="4" w:space="0" w:color="auto"/>
              <w:right w:val="single" w:sz="4" w:space="0" w:color="auto"/>
            </w:tcBorders>
            <w:vAlign w:val="center"/>
          </w:tcPr>
          <w:p w14:paraId="456DEAF3"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18.34</w:t>
            </w:r>
          </w:p>
        </w:tc>
        <w:tc>
          <w:tcPr>
            <w:tcW w:w="1130" w:type="dxa"/>
            <w:tcBorders>
              <w:top w:val="single" w:sz="4" w:space="0" w:color="auto"/>
              <w:left w:val="single" w:sz="4" w:space="0" w:color="auto"/>
              <w:bottom w:val="single" w:sz="4" w:space="0" w:color="auto"/>
              <w:right w:val="single" w:sz="4" w:space="0" w:color="auto"/>
            </w:tcBorders>
            <w:vAlign w:val="center"/>
          </w:tcPr>
          <w:p w14:paraId="24DB45AB" w14:textId="77777777" w:rsidR="003226BB" w:rsidRPr="00401B79" w:rsidRDefault="003226BB" w:rsidP="00650395">
            <w:pPr>
              <w:spacing w:line="276" w:lineRule="auto"/>
              <w:jc w:val="center"/>
              <w:rPr>
                <w:rFonts w:cs="Times New Roman"/>
                <w:color w:val="000000"/>
                <w:sz w:val="20"/>
                <w:szCs w:val="20"/>
              </w:rPr>
            </w:pPr>
            <w:r w:rsidRPr="00401B79">
              <w:rPr>
                <w:rFonts w:cs="Times New Roman"/>
                <w:color w:val="000000"/>
                <w:sz w:val="20"/>
                <w:szCs w:val="20"/>
              </w:rPr>
              <w:t>20.14</w:t>
            </w:r>
          </w:p>
        </w:tc>
      </w:tr>
    </w:tbl>
    <w:p w14:paraId="797E4515" w14:textId="77777777" w:rsidR="003226BB" w:rsidRDefault="003226BB" w:rsidP="003226BB">
      <w:pPr>
        <w:spacing w:line="360" w:lineRule="auto"/>
        <w:rPr>
          <w:rFonts w:cs="Times New Roman"/>
          <w:i/>
          <w:iCs/>
          <w:szCs w:val="24"/>
        </w:rPr>
      </w:pPr>
    </w:p>
    <w:p w14:paraId="685FDF61" w14:textId="41EAF6BD" w:rsidR="00783E42" w:rsidRDefault="00783E42" w:rsidP="00B555D8">
      <w:pPr>
        <w:ind w:firstLine="720"/>
        <w:rPr>
          <w:rFonts w:eastAsia="Times New Roman" w:cs="Times New Roman"/>
          <w:szCs w:val="24"/>
          <w:lang w:bidi="en-US"/>
        </w:rPr>
      </w:pPr>
    </w:p>
    <w:p w14:paraId="6E088806" w14:textId="58574670" w:rsidR="00B90ACD" w:rsidRDefault="00B90ACD" w:rsidP="00B555D8">
      <w:pPr>
        <w:ind w:firstLine="720"/>
        <w:rPr>
          <w:rFonts w:eastAsia="Times New Roman" w:cs="Times New Roman"/>
          <w:szCs w:val="24"/>
          <w:lang w:bidi="en-US"/>
        </w:rPr>
      </w:pPr>
    </w:p>
    <w:p w14:paraId="2736250F" w14:textId="63387947" w:rsidR="00B90ACD" w:rsidRDefault="00B90ACD" w:rsidP="00B555D8">
      <w:pPr>
        <w:ind w:firstLine="720"/>
        <w:rPr>
          <w:rFonts w:eastAsia="Times New Roman" w:cs="Times New Roman"/>
          <w:szCs w:val="24"/>
          <w:lang w:bidi="en-US"/>
        </w:rPr>
      </w:pPr>
    </w:p>
    <w:p w14:paraId="089187EA" w14:textId="5217DDCB" w:rsidR="00B90ACD" w:rsidRDefault="00B90ACD" w:rsidP="00B555D8">
      <w:pPr>
        <w:ind w:firstLine="720"/>
        <w:rPr>
          <w:rFonts w:eastAsia="Times New Roman" w:cs="Times New Roman"/>
          <w:szCs w:val="24"/>
          <w:lang w:bidi="en-US"/>
        </w:rPr>
      </w:pPr>
    </w:p>
    <w:p w14:paraId="78A4A104" w14:textId="5EC20259" w:rsidR="00B90ACD" w:rsidRDefault="00B90ACD" w:rsidP="00B555D8">
      <w:pPr>
        <w:ind w:firstLine="720"/>
        <w:rPr>
          <w:rFonts w:eastAsia="Times New Roman" w:cs="Times New Roman"/>
          <w:szCs w:val="24"/>
          <w:lang w:bidi="en-US"/>
        </w:rPr>
      </w:pPr>
    </w:p>
    <w:p w14:paraId="53E0FFC0" w14:textId="79C04668" w:rsidR="00B90ACD" w:rsidRDefault="00B90ACD" w:rsidP="00B555D8">
      <w:pPr>
        <w:ind w:firstLine="720"/>
        <w:rPr>
          <w:rFonts w:eastAsia="Times New Roman" w:cs="Times New Roman"/>
          <w:szCs w:val="24"/>
          <w:lang w:bidi="en-US"/>
        </w:rPr>
      </w:pPr>
    </w:p>
    <w:p w14:paraId="67C6BEAF" w14:textId="236C6564" w:rsidR="00B90ACD" w:rsidRPr="00145455" w:rsidRDefault="002438A2" w:rsidP="00537471">
      <w:pPr>
        <w:pStyle w:val="Caption"/>
        <w:spacing w:line="480" w:lineRule="auto"/>
        <w:jc w:val="center"/>
        <w:rPr>
          <w:szCs w:val="24"/>
        </w:rPr>
      </w:pPr>
      <w:bookmarkStart w:id="58" w:name="_Toc71330981"/>
      <w:r>
        <w:t xml:space="preserve">Table </w:t>
      </w:r>
      <w:fldSimple w:instr=" STYLEREF 1 \s ">
        <w:r w:rsidR="005050F0">
          <w:rPr>
            <w:noProof/>
          </w:rPr>
          <w:t>2</w:t>
        </w:r>
      </w:fldSimple>
      <w:r w:rsidR="00700639">
        <w:t>.</w:t>
      </w:r>
      <w:fldSimple w:instr=" SEQ Table \* ARABIC \s 1 ">
        <w:r w:rsidR="005050F0">
          <w:rPr>
            <w:noProof/>
          </w:rPr>
          <w:t>10</w:t>
        </w:r>
      </w:fldSimple>
      <w:r>
        <w:t xml:space="preserve"> </w:t>
      </w:r>
      <w:r w:rsidR="00B90ACD" w:rsidRPr="0016503A">
        <w:rPr>
          <w:szCs w:val="24"/>
        </w:rPr>
        <w:t xml:space="preserve">Energy </w:t>
      </w:r>
      <w:r w:rsidR="00B90ACD">
        <w:rPr>
          <w:szCs w:val="24"/>
        </w:rPr>
        <w:t>Parameters</w:t>
      </w:r>
      <w:r w:rsidR="00B90ACD" w:rsidRPr="0016503A">
        <w:rPr>
          <w:szCs w:val="24"/>
        </w:rPr>
        <w:t xml:space="preserve"> of </w:t>
      </w:r>
      <w:r w:rsidR="00B90ACD">
        <w:rPr>
          <w:szCs w:val="24"/>
        </w:rPr>
        <w:t>B</w:t>
      </w:r>
      <w:r w:rsidR="00B90ACD" w:rsidRPr="0016503A">
        <w:rPr>
          <w:szCs w:val="24"/>
        </w:rPr>
        <w:t>inder-</w:t>
      </w:r>
      <w:r w:rsidR="00B90ACD">
        <w:rPr>
          <w:szCs w:val="24"/>
        </w:rPr>
        <w:t>A</w:t>
      </w:r>
      <w:r w:rsidR="00B90ACD" w:rsidRPr="0016503A">
        <w:rPr>
          <w:szCs w:val="24"/>
        </w:rPr>
        <w:t xml:space="preserve">ggregate </w:t>
      </w:r>
      <w:r w:rsidR="00B90ACD">
        <w:rPr>
          <w:szCs w:val="24"/>
        </w:rPr>
        <w:t>S</w:t>
      </w:r>
      <w:r w:rsidR="00B90ACD" w:rsidRPr="0016503A">
        <w:rPr>
          <w:szCs w:val="24"/>
        </w:rPr>
        <w:t xml:space="preserve">ystems from </w:t>
      </w:r>
      <w:r w:rsidR="00B90ACD">
        <w:rPr>
          <w:szCs w:val="24"/>
        </w:rPr>
        <w:t>Wu</w:t>
      </w:r>
      <w:r w:rsidR="00B90ACD" w:rsidRPr="0016503A">
        <w:rPr>
          <w:szCs w:val="24"/>
        </w:rPr>
        <w:t xml:space="preserve"> </w:t>
      </w:r>
      <w:r w:rsidR="00B90ACD">
        <w:rPr>
          <w:szCs w:val="24"/>
        </w:rPr>
        <w:t>M</w:t>
      </w:r>
      <w:r w:rsidR="00B90ACD" w:rsidRPr="0016503A">
        <w:rPr>
          <w:szCs w:val="24"/>
        </w:rPr>
        <w:t>ethod</w:t>
      </w:r>
      <w:bookmarkEnd w:id="58"/>
    </w:p>
    <w:tbl>
      <w:tblPr>
        <w:tblW w:w="8709" w:type="dxa"/>
        <w:jc w:val="center"/>
        <w:tblLayout w:type="fixed"/>
        <w:tblLook w:val="04A0" w:firstRow="1" w:lastRow="0" w:firstColumn="1" w:lastColumn="0" w:noHBand="0" w:noVBand="1"/>
      </w:tblPr>
      <w:tblGrid>
        <w:gridCol w:w="1155"/>
        <w:gridCol w:w="1338"/>
        <w:gridCol w:w="1516"/>
        <w:gridCol w:w="893"/>
        <w:gridCol w:w="1458"/>
        <w:gridCol w:w="1486"/>
        <w:gridCol w:w="863"/>
      </w:tblGrid>
      <w:tr w:rsidR="00B90ACD" w:rsidRPr="00401B79" w14:paraId="7D39953B" w14:textId="77777777" w:rsidTr="00650395">
        <w:trPr>
          <w:trHeight w:val="185"/>
          <w:jc w:val="center"/>
        </w:trPr>
        <w:tc>
          <w:tcPr>
            <w:tcW w:w="115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8E233A" w14:textId="77777777" w:rsidR="00B90ACD" w:rsidRPr="00401B79" w:rsidRDefault="00B90ACD" w:rsidP="00650395">
            <w:pPr>
              <w:spacing w:line="276" w:lineRule="auto"/>
              <w:jc w:val="center"/>
              <w:rPr>
                <w:rFonts w:eastAsia="Times New Roman" w:cs="Times New Roman"/>
                <w:b/>
                <w:bCs/>
                <w:color w:val="000000"/>
              </w:rPr>
            </w:pPr>
            <w:r w:rsidRPr="00401B79">
              <w:rPr>
                <w:rFonts w:eastAsia="Times New Roman" w:cs="Times New Roman"/>
                <w:b/>
                <w:bCs/>
                <w:color w:val="000000"/>
              </w:rPr>
              <w:t>Test liquid set</w:t>
            </w:r>
          </w:p>
        </w:tc>
        <w:tc>
          <w:tcPr>
            <w:tcW w:w="3747" w:type="dxa"/>
            <w:gridSpan w:val="3"/>
            <w:tcBorders>
              <w:top w:val="single" w:sz="4" w:space="0" w:color="auto"/>
              <w:left w:val="nil"/>
              <w:bottom w:val="single" w:sz="4" w:space="0" w:color="auto"/>
              <w:right w:val="single" w:sz="4" w:space="0" w:color="auto"/>
            </w:tcBorders>
            <w:shd w:val="clear" w:color="auto" w:fill="auto"/>
            <w:vAlign w:val="center"/>
          </w:tcPr>
          <w:p w14:paraId="3DEA583D" w14:textId="77777777" w:rsidR="00B90ACD" w:rsidRPr="00401B79" w:rsidRDefault="00B90ACD" w:rsidP="00650395">
            <w:pPr>
              <w:spacing w:line="276" w:lineRule="auto"/>
              <w:jc w:val="center"/>
              <w:rPr>
                <w:rFonts w:eastAsia="Times New Roman" w:cs="Times New Roman"/>
                <w:b/>
                <w:bCs/>
              </w:rPr>
            </w:pPr>
            <w:r w:rsidRPr="00401B79">
              <w:rPr>
                <w:rFonts w:eastAsia="Times New Roman" w:cs="Times New Roman"/>
                <w:b/>
                <w:bCs/>
              </w:rPr>
              <w:t>S1 Binder</w:t>
            </w:r>
          </w:p>
        </w:tc>
        <w:tc>
          <w:tcPr>
            <w:tcW w:w="3807" w:type="dxa"/>
            <w:gridSpan w:val="3"/>
            <w:tcBorders>
              <w:top w:val="single" w:sz="4" w:space="0" w:color="auto"/>
              <w:left w:val="single" w:sz="4" w:space="0" w:color="auto"/>
              <w:bottom w:val="single" w:sz="4" w:space="0" w:color="auto"/>
              <w:right w:val="single" w:sz="4" w:space="0" w:color="auto"/>
            </w:tcBorders>
            <w:vAlign w:val="center"/>
          </w:tcPr>
          <w:p w14:paraId="6247F2C7" w14:textId="77777777" w:rsidR="00B90ACD" w:rsidRPr="00401B79" w:rsidRDefault="00B90ACD" w:rsidP="00650395">
            <w:pPr>
              <w:spacing w:line="276" w:lineRule="auto"/>
              <w:jc w:val="center"/>
              <w:rPr>
                <w:rFonts w:eastAsia="Times New Roman" w:cs="Times New Roman"/>
                <w:b/>
                <w:bCs/>
              </w:rPr>
            </w:pPr>
            <w:r w:rsidRPr="00401B79">
              <w:rPr>
                <w:rFonts w:eastAsia="Times New Roman" w:cs="Times New Roman"/>
                <w:b/>
                <w:bCs/>
              </w:rPr>
              <w:t>S4 Binder</w:t>
            </w:r>
          </w:p>
        </w:tc>
      </w:tr>
      <w:tr w:rsidR="00B90ACD" w:rsidRPr="00401B79" w14:paraId="6ADBEABE" w14:textId="77777777" w:rsidTr="00650395">
        <w:trPr>
          <w:trHeight w:val="355"/>
          <w:jc w:val="center"/>
        </w:trPr>
        <w:tc>
          <w:tcPr>
            <w:tcW w:w="1155" w:type="dxa"/>
            <w:vMerge/>
            <w:tcBorders>
              <w:left w:val="single" w:sz="4" w:space="0" w:color="auto"/>
              <w:bottom w:val="single" w:sz="4" w:space="0" w:color="auto"/>
              <w:right w:val="single" w:sz="4" w:space="0" w:color="auto"/>
            </w:tcBorders>
            <w:shd w:val="clear" w:color="auto" w:fill="auto"/>
            <w:vAlign w:val="center"/>
            <w:hideMark/>
          </w:tcPr>
          <w:p w14:paraId="251EE994" w14:textId="77777777" w:rsidR="00B90ACD" w:rsidRPr="00401B79" w:rsidRDefault="00B90ACD" w:rsidP="00650395">
            <w:pPr>
              <w:spacing w:line="276" w:lineRule="auto"/>
              <w:jc w:val="center"/>
              <w:rPr>
                <w:rFonts w:eastAsia="Times New Roman" w:cs="Times New Roman"/>
                <w:b/>
                <w:bCs/>
                <w:color w:val="000000"/>
              </w:rPr>
            </w:pPr>
          </w:p>
        </w:tc>
        <w:tc>
          <w:tcPr>
            <w:tcW w:w="1338" w:type="dxa"/>
            <w:tcBorders>
              <w:top w:val="nil"/>
              <w:left w:val="nil"/>
              <w:bottom w:val="single" w:sz="4" w:space="0" w:color="auto"/>
              <w:right w:val="single" w:sz="4" w:space="0" w:color="auto"/>
            </w:tcBorders>
            <w:shd w:val="clear" w:color="auto" w:fill="auto"/>
            <w:noWrap/>
            <w:vAlign w:val="center"/>
            <w:hideMark/>
          </w:tcPr>
          <w:p w14:paraId="2DF39108" w14:textId="77777777" w:rsidR="00B90ACD" w:rsidRPr="00401B79" w:rsidRDefault="007F7885" w:rsidP="00650395">
            <w:pPr>
              <w:spacing w:line="276" w:lineRule="auto"/>
              <w:jc w:val="center"/>
              <w:rPr>
                <w:rFonts w:eastAsia="Times New Roman" w:cs="Times New Roman"/>
                <w:b/>
                <w:bCs/>
                <w:color w:val="000000"/>
              </w:rPr>
            </w:pPr>
            <m:oMath>
              <m:sSub>
                <m:sSubPr>
                  <m:ctrlPr>
                    <w:rPr>
                      <w:rFonts w:ascii="Cambria Math" w:eastAsiaTheme="minorEastAsia" w:hAnsi="Cambria Math" w:cs="Times New Roman"/>
                      <w:b/>
                      <w:bCs/>
                      <w:i/>
                    </w:rPr>
                  </m:ctrlPr>
                </m:sSubPr>
                <m:e>
                  <m:r>
                    <m:rPr>
                      <m:sty m:val="bi"/>
                    </m:rPr>
                    <w:rPr>
                      <w:rFonts w:ascii="Cambria Math" w:eastAsiaTheme="minorEastAsia" w:hAnsi="Cambria Math" w:cs="Times New Roman"/>
                    </w:rPr>
                    <m:t>W</m:t>
                  </m:r>
                </m:e>
                <m:sub>
                  <m:r>
                    <m:rPr>
                      <m:sty m:val="bi"/>
                    </m:rPr>
                    <w:rPr>
                      <w:rFonts w:ascii="Cambria Math" w:eastAsiaTheme="minorEastAsia" w:hAnsi="Cambria Math" w:cs="Times New Roman"/>
                    </w:rPr>
                    <m:t>AR</m:t>
                  </m:r>
                </m:sub>
              </m:sSub>
            </m:oMath>
            <w:r w:rsidR="00B90ACD" w:rsidRPr="00401B79">
              <w:rPr>
                <w:rFonts w:eastAsia="Times New Roman" w:cs="Times New Roman"/>
                <w:b/>
                <w:bCs/>
              </w:rPr>
              <w:t xml:space="preserve"> (</w:t>
            </w:r>
            <w:r w:rsidR="00B90ACD" w:rsidRPr="00401B79">
              <w:rPr>
                <w:rFonts w:cs="Times New Roman"/>
                <w:b/>
                <w:bCs/>
              </w:rPr>
              <w:t>mJ/m</w:t>
            </w:r>
            <w:r w:rsidR="00B90ACD" w:rsidRPr="00401B79">
              <w:rPr>
                <w:rFonts w:cs="Times New Roman"/>
                <w:b/>
                <w:bCs/>
                <w:vertAlign w:val="superscript"/>
              </w:rPr>
              <w:t>2</w:t>
            </w:r>
            <w:r w:rsidR="00B90ACD" w:rsidRPr="00401B79">
              <w:rPr>
                <w:rFonts w:cs="Times New Roman"/>
                <w:b/>
                <w:bCs/>
              </w:rPr>
              <w:t>)</w:t>
            </w:r>
          </w:p>
        </w:tc>
        <w:tc>
          <w:tcPr>
            <w:tcW w:w="1516" w:type="dxa"/>
            <w:tcBorders>
              <w:top w:val="nil"/>
              <w:left w:val="nil"/>
              <w:bottom w:val="single" w:sz="4" w:space="0" w:color="auto"/>
              <w:right w:val="single" w:sz="4" w:space="0" w:color="auto"/>
            </w:tcBorders>
            <w:shd w:val="clear" w:color="auto" w:fill="auto"/>
            <w:noWrap/>
            <w:vAlign w:val="center"/>
            <w:hideMark/>
          </w:tcPr>
          <w:p w14:paraId="740FB792" w14:textId="77777777" w:rsidR="00B90ACD" w:rsidRPr="00401B79" w:rsidRDefault="007F7885" w:rsidP="00650395">
            <w:pPr>
              <w:spacing w:line="276" w:lineRule="auto"/>
              <w:jc w:val="center"/>
              <w:rPr>
                <w:rFonts w:eastAsia="Times New Roman" w:cs="Times New Roman"/>
                <w:b/>
                <w:bCs/>
                <w:color w:val="000000"/>
              </w:rPr>
            </w:pPr>
            <m:oMath>
              <m:sSubSup>
                <m:sSubSupPr>
                  <m:ctrlPr>
                    <w:rPr>
                      <w:rFonts w:ascii="Cambria Math" w:hAnsi="Cambria Math" w:cs="Times New Roman"/>
                      <w:b/>
                      <w:bCs/>
                      <w:i/>
                      <w:lang w:val="en-GB" w:eastAsia="en-GB"/>
                    </w:rPr>
                  </m:ctrlPr>
                </m:sSubSupPr>
                <m:e>
                  <m:r>
                    <m:rPr>
                      <m:sty m:val="bi"/>
                    </m:rPr>
                    <w:rPr>
                      <w:rFonts w:ascii="Cambria Math" w:hAnsi="Cambria Math" w:cs="Times New Roman"/>
                      <w:lang w:val="en-GB" w:eastAsia="en-GB"/>
                    </w:rPr>
                    <m:t>W</m:t>
                  </m:r>
                </m:e>
                <m:sub>
                  <m:r>
                    <m:rPr>
                      <m:sty m:val="bi"/>
                    </m:rPr>
                    <w:rPr>
                      <w:rFonts w:ascii="Cambria Math" w:hAnsi="Cambria Math" w:cs="Times New Roman"/>
                      <w:lang w:val="en-GB" w:eastAsia="en-GB"/>
                    </w:rPr>
                    <m:t>ARW</m:t>
                  </m:r>
                </m:sub>
                <m:sup>
                  <m:r>
                    <m:rPr>
                      <m:sty m:val="bi"/>
                    </m:rPr>
                    <w:rPr>
                      <w:rFonts w:ascii="Cambria Math" w:hAnsi="Cambria Math" w:cs="Times New Roman"/>
                      <w:lang w:val="en-GB" w:eastAsia="en-GB"/>
                    </w:rPr>
                    <m:t>wet</m:t>
                  </m:r>
                </m:sup>
              </m:sSubSup>
            </m:oMath>
            <w:r w:rsidR="00B90ACD" w:rsidRPr="00401B79">
              <w:rPr>
                <w:rFonts w:eastAsia="Times New Roman" w:cs="Times New Roman"/>
                <w:b/>
                <w:bCs/>
                <w:lang w:val="en-GB" w:eastAsia="en-GB"/>
              </w:rPr>
              <w:t xml:space="preserve"> </w:t>
            </w:r>
            <w:r w:rsidR="00B90ACD" w:rsidRPr="00401B79">
              <w:rPr>
                <w:rFonts w:eastAsia="Times New Roman" w:cs="Times New Roman"/>
                <w:b/>
                <w:bCs/>
              </w:rPr>
              <w:t>(</w:t>
            </w:r>
            <w:r w:rsidR="00B90ACD" w:rsidRPr="00401B79">
              <w:rPr>
                <w:rFonts w:cs="Times New Roman"/>
                <w:b/>
                <w:bCs/>
              </w:rPr>
              <w:t>mJ/m</w:t>
            </w:r>
            <w:r w:rsidR="00B90ACD" w:rsidRPr="00401B79">
              <w:rPr>
                <w:rFonts w:cs="Times New Roman"/>
                <w:b/>
                <w:bCs/>
                <w:vertAlign w:val="superscript"/>
              </w:rPr>
              <w:t>2</w:t>
            </w:r>
            <w:r w:rsidR="00B90ACD" w:rsidRPr="00401B79">
              <w:rPr>
                <w:rFonts w:cs="Times New Roman"/>
                <w:b/>
                <w:bCs/>
              </w:rPr>
              <w:t>)</w:t>
            </w:r>
          </w:p>
        </w:tc>
        <w:tc>
          <w:tcPr>
            <w:tcW w:w="892" w:type="dxa"/>
            <w:tcBorders>
              <w:top w:val="nil"/>
              <w:left w:val="nil"/>
              <w:bottom w:val="single" w:sz="4" w:space="0" w:color="auto"/>
              <w:right w:val="single" w:sz="4" w:space="0" w:color="auto"/>
            </w:tcBorders>
            <w:shd w:val="clear" w:color="auto" w:fill="auto"/>
            <w:noWrap/>
            <w:vAlign w:val="center"/>
            <w:hideMark/>
          </w:tcPr>
          <w:p w14:paraId="1A0249D0" w14:textId="77777777" w:rsidR="00B90ACD" w:rsidRPr="00401B79" w:rsidRDefault="00B90ACD" w:rsidP="00650395">
            <w:pPr>
              <w:spacing w:line="276" w:lineRule="auto"/>
              <w:jc w:val="center"/>
              <w:rPr>
                <w:rFonts w:eastAsia="Times New Roman" w:cs="Times New Roman"/>
                <w:b/>
                <w:bCs/>
                <w:color w:val="000000"/>
              </w:rPr>
            </w:pPr>
            <w:r w:rsidRPr="00401B79">
              <w:rPr>
                <w:rFonts w:eastAsia="Times New Roman" w:cs="Times New Roman"/>
                <w:b/>
                <w:bCs/>
                <w:color w:val="000000"/>
              </w:rPr>
              <w:t>ER</w:t>
            </w:r>
          </w:p>
        </w:tc>
        <w:tc>
          <w:tcPr>
            <w:tcW w:w="1458" w:type="dxa"/>
            <w:tcBorders>
              <w:top w:val="single" w:sz="4" w:space="0" w:color="auto"/>
              <w:left w:val="single" w:sz="4" w:space="0" w:color="auto"/>
              <w:bottom w:val="single" w:sz="4" w:space="0" w:color="auto"/>
              <w:right w:val="single" w:sz="4" w:space="0" w:color="auto"/>
            </w:tcBorders>
            <w:vAlign w:val="center"/>
          </w:tcPr>
          <w:p w14:paraId="64D66815" w14:textId="77777777" w:rsidR="00B90ACD" w:rsidRPr="00401B79" w:rsidRDefault="007F7885" w:rsidP="00650395">
            <w:pPr>
              <w:spacing w:line="276" w:lineRule="auto"/>
              <w:jc w:val="center"/>
              <w:rPr>
                <w:rFonts w:eastAsia="Times New Roman" w:cs="Times New Roman"/>
                <w:b/>
                <w:bCs/>
                <w:color w:val="000000"/>
              </w:rPr>
            </w:pPr>
            <m:oMath>
              <m:sSub>
                <m:sSubPr>
                  <m:ctrlPr>
                    <w:rPr>
                      <w:rFonts w:ascii="Cambria Math" w:eastAsiaTheme="minorEastAsia" w:hAnsi="Cambria Math" w:cs="Times New Roman"/>
                      <w:b/>
                      <w:bCs/>
                      <w:i/>
                    </w:rPr>
                  </m:ctrlPr>
                </m:sSubPr>
                <m:e>
                  <m:r>
                    <m:rPr>
                      <m:sty m:val="bi"/>
                    </m:rPr>
                    <w:rPr>
                      <w:rFonts w:ascii="Cambria Math" w:eastAsiaTheme="minorEastAsia" w:hAnsi="Cambria Math" w:cs="Times New Roman"/>
                    </w:rPr>
                    <m:t>W</m:t>
                  </m:r>
                </m:e>
                <m:sub>
                  <m:r>
                    <m:rPr>
                      <m:sty m:val="bi"/>
                    </m:rPr>
                    <w:rPr>
                      <w:rFonts w:ascii="Cambria Math" w:eastAsiaTheme="minorEastAsia" w:hAnsi="Cambria Math" w:cs="Times New Roman"/>
                    </w:rPr>
                    <m:t>AR</m:t>
                  </m:r>
                </m:sub>
              </m:sSub>
            </m:oMath>
            <w:r w:rsidR="00B90ACD" w:rsidRPr="00401B79">
              <w:rPr>
                <w:rFonts w:eastAsia="Times New Roman" w:cs="Times New Roman"/>
                <w:b/>
                <w:bCs/>
              </w:rPr>
              <w:t xml:space="preserve"> (</w:t>
            </w:r>
            <w:r w:rsidR="00B90ACD" w:rsidRPr="00401B79">
              <w:rPr>
                <w:rFonts w:cs="Times New Roman"/>
                <w:b/>
                <w:bCs/>
              </w:rPr>
              <w:t>mJ/m</w:t>
            </w:r>
            <w:r w:rsidR="00B90ACD" w:rsidRPr="00401B79">
              <w:rPr>
                <w:rFonts w:cs="Times New Roman"/>
                <w:b/>
                <w:bCs/>
                <w:vertAlign w:val="superscript"/>
              </w:rPr>
              <w:t>2</w:t>
            </w:r>
            <w:r w:rsidR="00B90ACD" w:rsidRPr="00401B79">
              <w:rPr>
                <w:rFonts w:cs="Times New Roman"/>
                <w:b/>
                <w:bCs/>
              </w:rPr>
              <w:t>)</w:t>
            </w:r>
          </w:p>
        </w:tc>
        <w:tc>
          <w:tcPr>
            <w:tcW w:w="1486" w:type="dxa"/>
            <w:tcBorders>
              <w:top w:val="single" w:sz="4" w:space="0" w:color="auto"/>
              <w:left w:val="single" w:sz="4" w:space="0" w:color="auto"/>
              <w:bottom w:val="single" w:sz="4" w:space="0" w:color="auto"/>
              <w:right w:val="single" w:sz="4" w:space="0" w:color="auto"/>
            </w:tcBorders>
            <w:vAlign w:val="center"/>
          </w:tcPr>
          <w:p w14:paraId="1063DE53" w14:textId="77777777" w:rsidR="00B90ACD" w:rsidRPr="00401B79" w:rsidRDefault="007F7885" w:rsidP="00650395">
            <w:pPr>
              <w:spacing w:line="276" w:lineRule="auto"/>
              <w:jc w:val="center"/>
              <w:rPr>
                <w:rFonts w:eastAsia="Times New Roman" w:cs="Times New Roman"/>
                <w:b/>
                <w:bCs/>
                <w:color w:val="000000"/>
              </w:rPr>
            </w:pPr>
            <m:oMath>
              <m:sSubSup>
                <m:sSubSupPr>
                  <m:ctrlPr>
                    <w:rPr>
                      <w:rFonts w:ascii="Cambria Math" w:hAnsi="Cambria Math" w:cs="Times New Roman"/>
                      <w:b/>
                      <w:bCs/>
                      <w:i/>
                      <w:lang w:val="en-GB" w:eastAsia="en-GB"/>
                    </w:rPr>
                  </m:ctrlPr>
                </m:sSubSupPr>
                <m:e>
                  <m:r>
                    <m:rPr>
                      <m:sty m:val="bi"/>
                    </m:rPr>
                    <w:rPr>
                      <w:rFonts w:ascii="Cambria Math" w:hAnsi="Cambria Math" w:cs="Times New Roman"/>
                      <w:lang w:val="en-GB" w:eastAsia="en-GB"/>
                    </w:rPr>
                    <m:t>W</m:t>
                  </m:r>
                </m:e>
                <m:sub>
                  <m:r>
                    <m:rPr>
                      <m:sty m:val="bi"/>
                    </m:rPr>
                    <w:rPr>
                      <w:rFonts w:ascii="Cambria Math" w:hAnsi="Cambria Math" w:cs="Times New Roman"/>
                      <w:lang w:val="en-GB" w:eastAsia="en-GB"/>
                    </w:rPr>
                    <m:t>ARW</m:t>
                  </m:r>
                </m:sub>
                <m:sup>
                  <m:r>
                    <m:rPr>
                      <m:sty m:val="bi"/>
                    </m:rPr>
                    <w:rPr>
                      <w:rFonts w:ascii="Cambria Math" w:hAnsi="Cambria Math" w:cs="Times New Roman"/>
                      <w:lang w:val="en-GB" w:eastAsia="en-GB"/>
                    </w:rPr>
                    <m:t>wet</m:t>
                  </m:r>
                </m:sup>
              </m:sSubSup>
            </m:oMath>
            <w:r w:rsidR="00B90ACD" w:rsidRPr="00401B79">
              <w:rPr>
                <w:rFonts w:eastAsia="Times New Roman" w:cs="Times New Roman"/>
                <w:b/>
                <w:bCs/>
                <w:lang w:val="en-GB" w:eastAsia="en-GB"/>
              </w:rPr>
              <w:t xml:space="preserve"> </w:t>
            </w:r>
            <w:r w:rsidR="00B90ACD" w:rsidRPr="00401B79">
              <w:rPr>
                <w:rFonts w:eastAsia="Times New Roman" w:cs="Times New Roman"/>
                <w:b/>
                <w:bCs/>
              </w:rPr>
              <w:t>(</w:t>
            </w:r>
            <w:r w:rsidR="00B90ACD" w:rsidRPr="00401B79">
              <w:rPr>
                <w:rFonts w:cs="Times New Roman"/>
                <w:b/>
                <w:bCs/>
              </w:rPr>
              <w:t>mJ/m</w:t>
            </w:r>
            <w:r w:rsidR="00B90ACD" w:rsidRPr="00401B79">
              <w:rPr>
                <w:rFonts w:cs="Times New Roman"/>
                <w:b/>
                <w:bCs/>
                <w:vertAlign w:val="superscript"/>
              </w:rPr>
              <w:t>2</w:t>
            </w:r>
            <w:r w:rsidR="00B90ACD" w:rsidRPr="00401B79">
              <w:rPr>
                <w:rFonts w:cs="Times New Roman"/>
                <w:b/>
                <w:bCs/>
              </w:rPr>
              <w:t>)</w:t>
            </w:r>
          </w:p>
        </w:tc>
        <w:tc>
          <w:tcPr>
            <w:tcW w:w="862" w:type="dxa"/>
            <w:tcBorders>
              <w:top w:val="single" w:sz="4" w:space="0" w:color="auto"/>
              <w:left w:val="single" w:sz="4" w:space="0" w:color="auto"/>
              <w:bottom w:val="single" w:sz="4" w:space="0" w:color="auto"/>
              <w:right w:val="single" w:sz="4" w:space="0" w:color="auto"/>
            </w:tcBorders>
            <w:vAlign w:val="center"/>
          </w:tcPr>
          <w:p w14:paraId="6254D0D2" w14:textId="77777777" w:rsidR="00B90ACD" w:rsidRPr="00401B79" w:rsidRDefault="00B90ACD" w:rsidP="00650395">
            <w:pPr>
              <w:spacing w:line="276" w:lineRule="auto"/>
              <w:jc w:val="center"/>
              <w:rPr>
                <w:rFonts w:eastAsia="Times New Roman" w:cs="Times New Roman"/>
                <w:color w:val="000000"/>
              </w:rPr>
            </w:pPr>
            <w:r w:rsidRPr="00401B79">
              <w:rPr>
                <w:rFonts w:eastAsia="Times New Roman" w:cs="Times New Roman"/>
                <w:b/>
                <w:bCs/>
                <w:color w:val="000000"/>
              </w:rPr>
              <w:t>ER</w:t>
            </w:r>
          </w:p>
        </w:tc>
      </w:tr>
      <w:tr w:rsidR="00B90ACD" w:rsidRPr="00401B79" w14:paraId="3268CE16" w14:textId="77777777" w:rsidTr="00650395">
        <w:trPr>
          <w:trHeight w:val="178"/>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11C96ECA" w14:textId="77777777" w:rsidR="00B90ACD" w:rsidRPr="00401B79" w:rsidRDefault="00B90ACD" w:rsidP="00650395">
            <w:pPr>
              <w:spacing w:line="276" w:lineRule="auto"/>
              <w:jc w:val="center"/>
              <w:rPr>
                <w:rFonts w:eastAsia="Times New Roman" w:cs="Times New Roman"/>
                <w:color w:val="000000"/>
              </w:rPr>
            </w:pPr>
            <w:r w:rsidRPr="00401B79">
              <w:rPr>
                <w:rFonts w:eastAsia="Times New Roman" w:cs="Times New Roman"/>
                <w:color w:val="000000"/>
              </w:rPr>
              <w:t>WGFDE</w:t>
            </w:r>
          </w:p>
        </w:tc>
        <w:tc>
          <w:tcPr>
            <w:tcW w:w="1338" w:type="dxa"/>
            <w:tcBorders>
              <w:top w:val="nil"/>
              <w:left w:val="nil"/>
              <w:bottom w:val="single" w:sz="4" w:space="0" w:color="auto"/>
              <w:right w:val="single" w:sz="4" w:space="0" w:color="auto"/>
            </w:tcBorders>
            <w:shd w:val="clear" w:color="auto" w:fill="auto"/>
            <w:noWrap/>
            <w:vAlign w:val="center"/>
          </w:tcPr>
          <w:p w14:paraId="77AC0748"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16.86</w:t>
            </w:r>
          </w:p>
        </w:tc>
        <w:tc>
          <w:tcPr>
            <w:tcW w:w="1516" w:type="dxa"/>
            <w:tcBorders>
              <w:top w:val="nil"/>
              <w:left w:val="nil"/>
              <w:bottom w:val="single" w:sz="4" w:space="0" w:color="auto"/>
              <w:right w:val="single" w:sz="4" w:space="0" w:color="auto"/>
            </w:tcBorders>
            <w:shd w:val="clear" w:color="auto" w:fill="auto"/>
            <w:noWrap/>
            <w:vAlign w:val="center"/>
          </w:tcPr>
          <w:p w14:paraId="1DA05570"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17.16</w:t>
            </w:r>
          </w:p>
        </w:tc>
        <w:tc>
          <w:tcPr>
            <w:tcW w:w="892" w:type="dxa"/>
            <w:tcBorders>
              <w:top w:val="nil"/>
              <w:left w:val="nil"/>
              <w:bottom w:val="single" w:sz="4" w:space="0" w:color="auto"/>
              <w:right w:val="single" w:sz="4" w:space="0" w:color="auto"/>
            </w:tcBorders>
            <w:shd w:val="clear" w:color="auto" w:fill="auto"/>
            <w:noWrap/>
            <w:vAlign w:val="center"/>
          </w:tcPr>
          <w:p w14:paraId="2AFA5BF7"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0.98</w:t>
            </w:r>
          </w:p>
        </w:tc>
        <w:tc>
          <w:tcPr>
            <w:tcW w:w="1458" w:type="dxa"/>
            <w:tcBorders>
              <w:top w:val="single" w:sz="4" w:space="0" w:color="auto"/>
              <w:left w:val="single" w:sz="4" w:space="0" w:color="auto"/>
              <w:bottom w:val="single" w:sz="4" w:space="0" w:color="auto"/>
              <w:right w:val="single" w:sz="4" w:space="0" w:color="auto"/>
            </w:tcBorders>
            <w:vAlign w:val="center"/>
          </w:tcPr>
          <w:p w14:paraId="61A6E7FF"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15.39</w:t>
            </w:r>
          </w:p>
        </w:tc>
        <w:tc>
          <w:tcPr>
            <w:tcW w:w="1486" w:type="dxa"/>
            <w:tcBorders>
              <w:top w:val="single" w:sz="4" w:space="0" w:color="auto"/>
              <w:left w:val="single" w:sz="4" w:space="0" w:color="auto"/>
              <w:bottom w:val="single" w:sz="4" w:space="0" w:color="auto"/>
              <w:right w:val="single" w:sz="4" w:space="0" w:color="auto"/>
            </w:tcBorders>
            <w:vAlign w:val="center"/>
          </w:tcPr>
          <w:p w14:paraId="5B1F1699"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17.53</w:t>
            </w:r>
          </w:p>
        </w:tc>
        <w:tc>
          <w:tcPr>
            <w:tcW w:w="862" w:type="dxa"/>
            <w:tcBorders>
              <w:top w:val="single" w:sz="4" w:space="0" w:color="auto"/>
              <w:left w:val="single" w:sz="4" w:space="0" w:color="auto"/>
              <w:bottom w:val="single" w:sz="4" w:space="0" w:color="auto"/>
              <w:right w:val="single" w:sz="4" w:space="0" w:color="auto"/>
            </w:tcBorders>
            <w:vAlign w:val="center"/>
          </w:tcPr>
          <w:p w14:paraId="52B2DA2D"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0.88</w:t>
            </w:r>
          </w:p>
        </w:tc>
      </w:tr>
      <w:tr w:rsidR="00B90ACD" w:rsidRPr="00401B79" w14:paraId="69203486" w14:textId="77777777" w:rsidTr="00650395">
        <w:trPr>
          <w:trHeight w:val="178"/>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79B6DE62" w14:textId="77777777" w:rsidR="00B90ACD" w:rsidRPr="00401B79" w:rsidRDefault="00B90ACD" w:rsidP="00650395">
            <w:pPr>
              <w:spacing w:line="276" w:lineRule="auto"/>
              <w:jc w:val="center"/>
              <w:rPr>
                <w:rFonts w:eastAsia="Times New Roman" w:cs="Times New Roman"/>
                <w:color w:val="000000"/>
              </w:rPr>
            </w:pPr>
            <w:r w:rsidRPr="00401B79">
              <w:rPr>
                <w:rFonts w:eastAsia="Times New Roman" w:cs="Times New Roman"/>
                <w:color w:val="000000"/>
              </w:rPr>
              <w:t>FGED</w:t>
            </w:r>
          </w:p>
        </w:tc>
        <w:tc>
          <w:tcPr>
            <w:tcW w:w="1338" w:type="dxa"/>
            <w:tcBorders>
              <w:top w:val="nil"/>
              <w:left w:val="nil"/>
              <w:bottom w:val="single" w:sz="4" w:space="0" w:color="auto"/>
              <w:right w:val="single" w:sz="4" w:space="0" w:color="auto"/>
            </w:tcBorders>
            <w:shd w:val="clear" w:color="auto" w:fill="auto"/>
            <w:noWrap/>
            <w:vAlign w:val="center"/>
          </w:tcPr>
          <w:p w14:paraId="777E3EDF"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16.84</w:t>
            </w:r>
          </w:p>
        </w:tc>
        <w:tc>
          <w:tcPr>
            <w:tcW w:w="1516" w:type="dxa"/>
            <w:tcBorders>
              <w:top w:val="nil"/>
              <w:left w:val="nil"/>
              <w:bottom w:val="single" w:sz="4" w:space="0" w:color="auto"/>
              <w:right w:val="single" w:sz="4" w:space="0" w:color="auto"/>
            </w:tcBorders>
            <w:shd w:val="clear" w:color="auto" w:fill="auto"/>
            <w:noWrap/>
            <w:vAlign w:val="center"/>
          </w:tcPr>
          <w:p w14:paraId="413EF928"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17.16</w:t>
            </w:r>
          </w:p>
        </w:tc>
        <w:tc>
          <w:tcPr>
            <w:tcW w:w="892" w:type="dxa"/>
            <w:tcBorders>
              <w:top w:val="nil"/>
              <w:left w:val="nil"/>
              <w:bottom w:val="single" w:sz="4" w:space="0" w:color="auto"/>
              <w:right w:val="single" w:sz="4" w:space="0" w:color="auto"/>
            </w:tcBorders>
            <w:shd w:val="clear" w:color="auto" w:fill="auto"/>
            <w:noWrap/>
            <w:vAlign w:val="center"/>
          </w:tcPr>
          <w:p w14:paraId="27E94F05"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0.98</w:t>
            </w:r>
          </w:p>
        </w:tc>
        <w:tc>
          <w:tcPr>
            <w:tcW w:w="1458" w:type="dxa"/>
            <w:tcBorders>
              <w:top w:val="single" w:sz="4" w:space="0" w:color="auto"/>
              <w:left w:val="single" w:sz="4" w:space="0" w:color="auto"/>
              <w:bottom w:val="single" w:sz="4" w:space="0" w:color="auto"/>
              <w:right w:val="single" w:sz="4" w:space="0" w:color="auto"/>
            </w:tcBorders>
            <w:vAlign w:val="center"/>
          </w:tcPr>
          <w:p w14:paraId="3C894457"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15.16</w:t>
            </w:r>
          </w:p>
        </w:tc>
        <w:tc>
          <w:tcPr>
            <w:tcW w:w="1486" w:type="dxa"/>
            <w:tcBorders>
              <w:top w:val="single" w:sz="4" w:space="0" w:color="auto"/>
              <w:left w:val="single" w:sz="4" w:space="0" w:color="auto"/>
              <w:bottom w:val="single" w:sz="4" w:space="0" w:color="auto"/>
              <w:right w:val="single" w:sz="4" w:space="0" w:color="auto"/>
            </w:tcBorders>
            <w:vAlign w:val="center"/>
          </w:tcPr>
          <w:p w14:paraId="790F890E"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17.45</w:t>
            </w:r>
          </w:p>
        </w:tc>
        <w:tc>
          <w:tcPr>
            <w:tcW w:w="862" w:type="dxa"/>
            <w:tcBorders>
              <w:top w:val="single" w:sz="4" w:space="0" w:color="auto"/>
              <w:left w:val="single" w:sz="4" w:space="0" w:color="auto"/>
              <w:bottom w:val="single" w:sz="4" w:space="0" w:color="auto"/>
              <w:right w:val="single" w:sz="4" w:space="0" w:color="auto"/>
            </w:tcBorders>
            <w:vAlign w:val="center"/>
          </w:tcPr>
          <w:p w14:paraId="6409DAEA"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0.87</w:t>
            </w:r>
          </w:p>
        </w:tc>
      </w:tr>
      <w:tr w:rsidR="00B90ACD" w:rsidRPr="00401B79" w14:paraId="7643631A" w14:textId="77777777" w:rsidTr="00650395">
        <w:trPr>
          <w:trHeight w:val="178"/>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138BD9A4" w14:textId="77777777" w:rsidR="00B90ACD" w:rsidRPr="00401B79" w:rsidRDefault="00B90ACD" w:rsidP="00650395">
            <w:pPr>
              <w:spacing w:line="276" w:lineRule="auto"/>
              <w:jc w:val="center"/>
              <w:rPr>
                <w:rFonts w:eastAsia="Times New Roman" w:cs="Times New Roman"/>
                <w:color w:val="000000"/>
              </w:rPr>
            </w:pPr>
            <w:r w:rsidRPr="00401B79">
              <w:rPr>
                <w:rFonts w:eastAsia="Times New Roman" w:cs="Times New Roman"/>
                <w:color w:val="000000"/>
              </w:rPr>
              <w:t>WFGD</w:t>
            </w:r>
          </w:p>
        </w:tc>
        <w:tc>
          <w:tcPr>
            <w:tcW w:w="1338" w:type="dxa"/>
            <w:tcBorders>
              <w:top w:val="nil"/>
              <w:left w:val="nil"/>
              <w:bottom w:val="single" w:sz="4" w:space="0" w:color="auto"/>
              <w:right w:val="single" w:sz="4" w:space="0" w:color="auto"/>
            </w:tcBorders>
            <w:shd w:val="clear" w:color="auto" w:fill="auto"/>
            <w:noWrap/>
            <w:vAlign w:val="center"/>
          </w:tcPr>
          <w:p w14:paraId="77291DB3"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16.67</w:t>
            </w:r>
          </w:p>
        </w:tc>
        <w:tc>
          <w:tcPr>
            <w:tcW w:w="1516" w:type="dxa"/>
            <w:tcBorders>
              <w:top w:val="nil"/>
              <w:left w:val="nil"/>
              <w:bottom w:val="single" w:sz="4" w:space="0" w:color="auto"/>
              <w:right w:val="single" w:sz="4" w:space="0" w:color="auto"/>
            </w:tcBorders>
            <w:shd w:val="clear" w:color="auto" w:fill="auto"/>
            <w:noWrap/>
            <w:vAlign w:val="center"/>
          </w:tcPr>
          <w:p w14:paraId="7F6553E9"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17.18</w:t>
            </w:r>
          </w:p>
        </w:tc>
        <w:tc>
          <w:tcPr>
            <w:tcW w:w="892" w:type="dxa"/>
            <w:tcBorders>
              <w:top w:val="nil"/>
              <w:left w:val="nil"/>
              <w:bottom w:val="single" w:sz="4" w:space="0" w:color="auto"/>
              <w:right w:val="single" w:sz="4" w:space="0" w:color="auto"/>
            </w:tcBorders>
            <w:shd w:val="clear" w:color="auto" w:fill="auto"/>
            <w:noWrap/>
            <w:vAlign w:val="center"/>
          </w:tcPr>
          <w:p w14:paraId="6D510375"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0.97</w:t>
            </w:r>
          </w:p>
        </w:tc>
        <w:tc>
          <w:tcPr>
            <w:tcW w:w="1458" w:type="dxa"/>
            <w:tcBorders>
              <w:top w:val="single" w:sz="4" w:space="0" w:color="auto"/>
              <w:left w:val="single" w:sz="4" w:space="0" w:color="auto"/>
              <w:bottom w:val="single" w:sz="4" w:space="0" w:color="auto"/>
              <w:right w:val="single" w:sz="4" w:space="0" w:color="auto"/>
            </w:tcBorders>
            <w:vAlign w:val="center"/>
          </w:tcPr>
          <w:p w14:paraId="57FE9C69"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15.34</w:t>
            </w:r>
          </w:p>
        </w:tc>
        <w:tc>
          <w:tcPr>
            <w:tcW w:w="1486" w:type="dxa"/>
            <w:tcBorders>
              <w:top w:val="single" w:sz="4" w:space="0" w:color="auto"/>
              <w:left w:val="single" w:sz="4" w:space="0" w:color="auto"/>
              <w:bottom w:val="single" w:sz="4" w:space="0" w:color="auto"/>
              <w:right w:val="single" w:sz="4" w:space="0" w:color="auto"/>
            </w:tcBorders>
            <w:vAlign w:val="center"/>
          </w:tcPr>
          <w:p w14:paraId="5DC33A31"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17.53</w:t>
            </w:r>
          </w:p>
        </w:tc>
        <w:tc>
          <w:tcPr>
            <w:tcW w:w="862" w:type="dxa"/>
            <w:tcBorders>
              <w:top w:val="single" w:sz="4" w:space="0" w:color="auto"/>
              <w:left w:val="single" w:sz="4" w:space="0" w:color="auto"/>
              <w:bottom w:val="single" w:sz="4" w:space="0" w:color="auto"/>
              <w:right w:val="single" w:sz="4" w:space="0" w:color="auto"/>
            </w:tcBorders>
            <w:vAlign w:val="center"/>
          </w:tcPr>
          <w:p w14:paraId="259C3FAC"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0.87</w:t>
            </w:r>
          </w:p>
        </w:tc>
      </w:tr>
      <w:tr w:rsidR="00B90ACD" w:rsidRPr="00401B79" w14:paraId="116BB6C3" w14:textId="77777777" w:rsidTr="00650395">
        <w:trPr>
          <w:trHeight w:val="178"/>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123DD070" w14:textId="77777777" w:rsidR="00B90ACD" w:rsidRPr="00401B79" w:rsidRDefault="00B90ACD" w:rsidP="00650395">
            <w:pPr>
              <w:spacing w:line="276" w:lineRule="auto"/>
              <w:jc w:val="center"/>
              <w:rPr>
                <w:rFonts w:eastAsia="Times New Roman" w:cs="Times New Roman"/>
                <w:color w:val="000000"/>
              </w:rPr>
            </w:pPr>
            <w:r w:rsidRPr="00401B79">
              <w:rPr>
                <w:rFonts w:eastAsia="Times New Roman" w:cs="Times New Roman"/>
                <w:color w:val="000000"/>
              </w:rPr>
              <w:t>WGED</w:t>
            </w:r>
          </w:p>
        </w:tc>
        <w:tc>
          <w:tcPr>
            <w:tcW w:w="1338" w:type="dxa"/>
            <w:tcBorders>
              <w:top w:val="nil"/>
              <w:left w:val="nil"/>
              <w:bottom w:val="single" w:sz="4" w:space="0" w:color="auto"/>
              <w:right w:val="single" w:sz="4" w:space="0" w:color="auto"/>
            </w:tcBorders>
            <w:shd w:val="clear" w:color="auto" w:fill="auto"/>
            <w:noWrap/>
            <w:vAlign w:val="center"/>
          </w:tcPr>
          <w:p w14:paraId="6872130E"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17.18</w:t>
            </w:r>
          </w:p>
        </w:tc>
        <w:tc>
          <w:tcPr>
            <w:tcW w:w="1516" w:type="dxa"/>
            <w:tcBorders>
              <w:top w:val="nil"/>
              <w:left w:val="nil"/>
              <w:bottom w:val="single" w:sz="4" w:space="0" w:color="auto"/>
              <w:right w:val="single" w:sz="4" w:space="0" w:color="auto"/>
            </w:tcBorders>
            <w:shd w:val="clear" w:color="auto" w:fill="auto"/>
            <w:noWrap/>
            <w:vAlign w:val="center"/>
          </w:tcPr>
          <w:p w14:paraId="7B51ED07"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17.06</w:t>
            </w:r>
          </w:p>
        </w:tc>
        <w:tc>
          <w:tcPr>
            <w:tcW w:w="892" w:type="dxa"/>
            <w:tcBorders>
              <w:top w:val="nil"/>
              <w:left w:val="nil"/>
              <w:bottom w:val="single" w:sz="4" w:space="0" w:color="auto"/>
              <w:right w:val="single" w:sz="4" w:space="0" w:color="auto"/>
            </w:tcBorders>
            <w:shd w:val="clear" w:color="auto" w:fill="auto"/>
            <w:noWrap/>
            <w:vAlign w:val="center"/>
          </w:tcPr>
          <w:p w14:paraId="10FF29CB"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1.01</w:t>
            </w:r>
          </w:p>
        </w:tc>
        <w:tc>
          <w:tcPr>
            <w:tcW w:w="1458" w:type="dxa"/>
            <w:tcBorders>
              <w:top w:val="single" w:sz="4" w:space="0" w:color="auto"/>
              <w:left w:val="single" w:sz="4" w:space="0" w:color="auto"/>
              <w:bottom w:val="single" w:sz="4" w:space="0" w:color="auto"/>
              <w:right w:val="single" w:sz="4" w:space="0" w:color="auto"/>
            </w:tcBorders>
            <w:vAlign w:val="center"/>
          </w:tcPr>
          <w:p w14:paraId="27F31B27"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15.77</w:t>
            </w:r>
          </w:p>
        </w:tc>
        <w:tc>
          <w:tcPr>
            <w:tcW w:w="1486" w:type="dxa"/>
            <w:tcBorders>
              <w:top w:val="single" w:sz="4" w:space="0" w:color="auto"/>
              <w:left w:val="single" w:sz="4" w:space="0" w:color="auto"/>
              <w:bottom w:val="single" w:sz="4" w:space="0" w:color="auto"/>
              <w:right w:val="single" w:sz="4" w:space="0" w:color="auto"/>
            </w:tcBorders>
            <w:vAlign w:val="center"/>
          </w:tcPr>
          <w:p w14:paraId="346568CE"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17.42</w:t>
            </w:r>
          </w:p>
        </w:tc>
        <w:tc>
          <w:tcPr>
            <w:tcW w:w="862" w:type="dxa"/>
            <w:tcBorders>
              <w:top w:val="single" w:sz="4" w:space="0" w:color="auto"/>
              <w:left w:val="single" w:sz="4" w:space="0" w:color="auto"/>
              <w:bottom w:val="single" w:sz="4" w:space="0" w:color="auto"/>
              <w:right w:val="single" w:sz="4" w:space="0" w:color="auto"/>
            </w:tcBorders>
            <w:vAlign w:val="center"/>
          </w:tcPr>
          <w:p w14:paraId="3172852C"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0.91</w:t>
            </w:r>
          </w:p>
        </w:tc>
      </w:tr>
      <w:tr w:rsidR="00B90ACD" w:rsidRPr="00401B79" w14:paraId="4520CDAC" w14:textId="77777777" w:rsidTr="00650395">
        <w:trPr>
          <w:trHeight w:val="127"/>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6C4F1F25" w14:textId="77777777" w:rsidR="00B90ACD" w:rsidRPr="00401B79" w:rsidRDefault="00B90ACD" w:rsidP="00650395">
            <w:pPr>
              <w:spacing w:line="276" w:lineRule="auto"/>
              <w:jc w:val="center"/>
              <w:rPr>
                <w:rFonts w:eastAsia="Times New Roman" w:cs="Times New Roman"/>
                <w:color w:val="000000"/>
              </w:rPr>
            </w:pPr>
            <w:r w:rsidRPr="00401B79">
              <w:rPr>
                <w:rFonts w:eastAsia="Times New Roman" w:cs="Times New Roman"/>
                <w:color w:val="000000"/>
              </w:rPr>
              <w:t>WFED</w:t>
            </w:r>
          </w:p>
        </w:tc>
        <w:tc>
          <w:tcPr>
            <w:tcW w:w="1338" w:type="dxa"/>
            <w:tcBorders>
              <w:top w:val="nil"/>
              <w:left w:val="nil"/>
              <w:bottom w:val="single" w:sz="4" w:space="0" w:color="auto"/>
              <w:right w:val="single" w:sz="4" w:space="0" w:color="auto"/>
            </w:tcBorders>
            <w:shd w:val="clear" w:color="auto" w:fill="auto"/>
            <w:noWrap/>
            <w:vAlign w:val="center"/>
          </w:tcPr>
          <w:p w14:paraId="326AB325"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16.80</w:t>
            </w:r>
          </w:p>
        </w:tc>
        <w:tc>
          <w:tcPr>
            <w:tcW w:w="1516" w:type="dxa"/>
            <w:tcBorders>
              <w:top w:val="nil"/>
              <w:left w:val="nil"/>
              <w:bottom w:val="single" w:sz="4" w:space="0" w:color="auto"/>
              <w:right w:val="single" w:sz="4" w:space="0" w:color="auto"/>
            </w:tcBorders>
            <w:shd w:val="clear" w:color="auto" w:fill="auto"/>
            <w:noWrap/>
            <w:vAlign w:val="center"/>
          </w:tcPr>
          <w:p w14:paraId="42677113"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17.17</w:t>
            </w:r>
          </w:p>
        </w:tc>
        <w:tc>
          <w:tcPr>
            <w:tcW w:w="892" w:type="dxa"/>
            <w:tcBorders>
              <w:top w:val="nil"/>
              <w:left w:val="nil"/>
              <w:bottom w:val="single" w:sz="4" w:space="0" w:color="auto"/>
              <w:right w:val="single" w:sz="4" w:space="0" w:color="auto"/>
            </w:tcBorders>
            <w:shd w:val="clear" w:color="auto" w:fill="auto"/>
            <w:noWrap/>
            <w:vAlign w:val="center"/>
          </w:tcPr>
          <w:p w14:paraId="1569CF8E"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0.98</w:t>
            </w:r>
          </w:p>
        </w:tc>
        <w:tc>
          <w:tcPr>
            <w:tcW w:w="1458" w:type="dxa"/>
            <w:tcBorders>
              <w:top w:val="single" w:sz="4" w:space="0" w:color="auto"/>
              <w:left w:val="single" w:sz="4" w:space="0" w:color="auto"/>
              <w:bottom w:val="single" w:sz="4" w:space="0" w:color="auto"/>
              <w:right w:val="single" w:sz="4" w:space="0" w:color="auto"/>
            </w:tcBorders>
            <w:vAlign w:val="center"/>
          </w:tcPr>
          <w:p w14:paraId="174C3269"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15.39</w:t>
            </w:r>
          </w:p>
        </w:tc>
        <w:tc>
          <w:tcPr>
            <w:tcW w:w="1486" w:type="dxa"/>
            <w:tcBorders>
              <w:top w:val="single" w:sz="4" w:space="0" w:color="auto"/>
              <w:left w:val="single" w:sz="4" w:space="0" w:color="auto"/>
              <w:bottom w:val="single" w:sz="4" w:space="0" w:color="auto"/>
              <w:right w:val="single" w:sz="4" w:space="0" w:color="auto"/>
            </w:tcBorders>
            <w:vAlign w:val="center"/>
          </w:tcPr>
          <w:p w14:paraId="6136A5FB"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17.53</w:t>
            </w:r>
          </w:p>
        </w:tc>
        <w:tc>
          <w:tcPr>
            <w:tcW w:w="862" w:type="dxa"/>
            <w:tcBorders>
              <w:top w:val="single" w:sz="4" w:space="0" w:color="auto"/>
              <w:left w:val="single" w:sz="4" w:space="0" w:color="auto"/>
              <w:bottom w:val="single" w:sz="4" w:space="0" w:color="auto"/>
              <w:right w:val="single" w:sz="4" w:space="0" w:color="auto"/>
            </w:tcBorders>
            <w:vAlign w:val="center"/>
          </w:tcPr>
          <w:p w14:paraId="088A8519"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0.88</w:t>
            </w:r>
          </w:p>
        </w:tc>
      </w:tr>
      <w:tr w:rsidR="00B90ACD" w:rsidRPr="00401B79" w14:paraId="335A9811" w14:textId="77777777" w:rsidTr="00650395">
        <w:trPr>
          <w:trHeight w:val="178"/>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167F252A" w14:textId="77777777" w:rsidR="00B90ACD" w:rsidRPr="00401B79" w:rsidRDefault="00B90ACD" w:rsidP="00650395">
            <w:pPr>
              <w:spacing w:line="276" w:lineRule="auto"/>
              <w:jc w:val="center"/>
              <w:rPr>
                <w:rFonts w:eastAsia="Times New Roman" w:cs="Times New Roman"/>
                <w:color w:val="000000"/>
              </w:rPr>
            </w:pPr>
            <w:r w:rsidRPr="00401B79">
              <w:rPr>
                <w:rFonts w:eastAsia="Times New Roman" w:cs="Times New Roman"/>
                <w:color w:val="000000"/>
              </w:rPr>
              <w:t>WED</w:t>
            </w:r>
          </w:p>
        </w:tc>
        <w:tc>
          <w:tcPr>
            <w:tcW w:w="1338" w:type="dxa"/>
            <w:tcBorders>
              <w:top w:val="nil"/>
              <w:left w:val="nil"/>
              <w:bottom w:val="single" w:sz="4" w:space="0" w:color="auto"/>
              <w:right w:val="single" w:sz="4" w:space="0" w:color="auto"/>
            </w:tcBorders>
            <w:shd w:val="clear" w:color="auto" w:fill="auto"/>
            <w:noWrap/>
            <w:vAlign w:val="center"/>
          </w:tcPr>
          <w:p w14:paraId="26C18264"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17.25</w:t>
            </w:r>
          </w:p>
        </w:tc>
        <w:tc>
          <w:tcPr>
            <w:tcW w:w="1516" w:type="dxa"/>
            <w:tcBorders>
              <w:top w:val="nil"/>
              <w:left w:val="nil"/>
              <w:bottom w:val="single" w:sz="4" w:space="0" w:color="auto"/>
              <w:right w:val="single" w:sz="4" w:space="0" w:color="auto"/>
            </w:tcBorders>
            <w:shd w:val="clear" w:color="auto" w:fill="auto"/>
            <w:noWrap/>
            <w:vAlign w:val="center"/>
          </w:tcPr>
          <w:p w14:paraId="68B410C4"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17.04</w:t>
            </w:r>
          </w:p>
        </w:tc>
        <w:tc>
          <w:tcPr>
            <w:tcW w:w="892" w:type="dxa"/>
            <w:tcBorders>
              <w:top w:val="nil"/>
              <w:left w:val="nil"/>
              <w:bottom w:val="single" w:sz="4" w:space="0" w:color="auto"/>
              <w:right w:val="single" w:sz="4" w:space="0" w:color="auto"/>
            </w:tcBorders>
            <w:shd w:val="clear" w:color="auto" w:fill="auto"/>
            <w:noWrap/>
            <w:vAlign w:val="center"/>
          </w:tcPr>
          <w:p w14:paraId="5EF41242"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1.01</w:t>
            </w:r>
          </w:p>
        </w:tc>
        <w:tc>
          <w:tcPr>
            <w:tcW w:w="1458" w:type="dxa"/>
            <w:tcBorders>
              <w:top w:val="single" w:sz="4" w:space="0" w:color="auto"/>
              <w:left w:val="single" w:sz="4" w:space="0" w:color="auto"/>
              <w:bottom w:val="single" w:sz="4" w:space="0" w:color="auto"/>
              <w:right w:val="single" w:sz="4" w:space="0" w:color="auto"/>
            </w:tcBorders>
            <w:vAlign w:val="center"/>
          </w:tcPr>
          <w:p w14:paraId="546D4CC3"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15.95</w:t>
            </w:r>
          </w:p>
        </w:tc>
        <w:tc>
          <w:tcPr>
            <w:tcW w:w="1486" w:type="dxa"/>
            <w:tcBorders>
              <w:top w:val="single" w:sz="4" w:space="0" w:color="auto"/>
              <w:left w:val="single" w:sz="4" w:space="0" w:color="auto"/>
              <w:bottom w:val="single" w:sz="4" w:space="0" w:color="auto"/>
              <w:right w:val="single" w:sz="4" w:space="0" w:color="auto"/>
            </w:tcBorders>
            <w:vAlign w:val="center"/>
          </w:tcPr>
          <w:p w14:paraId="0026A611"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17.39</w:t>
            </w:r>
          </w:p>
        </w:tc>
        <w:tc>
          <w:tcPr>
            <w:tcW w:w="862" w:type="dxa"/>
            <w:tcBorders>
              <w:top w:val="single" w:sz="4" w:space="0" w:color="auto"/>
              <w:left w:val="single" w:sz="4" w:space="0" w:color="auto"/>
              <w:bottom w:val="single" w:sz="4" w:space="0" w:color="auto"/>
              <w:right w:val="single" w:sz="4" w:space="0" w:color="auto"/>
            </w:tcBorders>
            <w:vAlign w:val="center"/>
          </w:tcPr>
          <w:p w14:paraId="65BD89C1"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0.92</w:t>
            </w:r>
          </w:p>
        </w:tc>
      </w:tr>
      <w:tr w:rsidR="00B90ACD" w:rsidRPr="00401B79" w14:paraId="0C87DE05" w14:textId="77777777" w:rsidTr="00650395">
        <w:trPr>
          <w:trHeight w:val="178"/>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35889C11" w14:textId="77777777" w:rsidR="00B90ACD" w:rsidRPr="00401B79" w:rsidRDefault="00B90ACD" w:rsidP="00650395">
            <w:pPr>
              <w:spacing w:line="276" w:lineRule="auto"/>
              <w:jc w:val="center"/>
              <w:rPr>
                <w:rFonts w:eastAsia="Times New Roman" w:cs="Times New Roman"/>
                <w:color w:val="000000"/>
              </w:rPr>
            </w:pPr>
            <w:r w:rsidRPr="00401B79">
              <w:rPr>
                <w:rFonts w:eastAsia="Times New Roman" w:cs="Times New Roman"/>
                <w:color w:val="000000"/>
              </w:rPr>
              <w:t>WGD</w:t>
            </w:r>
          </w:p>
        </w:tc>
        <w:tc>
          <w:tcPr>
            <w:tcW w:w="1338" w:type="dxa"/>
            <w:tcBorders>
              <w:top w:val="nil"/>
              <w:left w:val="nil"/>
              <w:bottom w:val="single" w:sz="4" w:space="0" w:color="auto"/>
              <w:right w:val="single" w:sz="4" w:space="0" w:color="auto"/>
            </w:tcBorders>
            <w:shd w:val="clear" w:color="auto" w:fill="auto"/>
            <w:noWrap/>
            <w:vAlign w:val="center"/>
          </w:tcPr>
          <w:p w14:paraId="54D8147D"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17.01</w:t>
            </w:r>
          </w:p>
        </w:tc>
        <w:tc>
          <w:tcPr>
            <w:tcW w:w="1516" w:type="dxa"/>
            <w:tcBorders>
              <w:top w:val="nil"/>
              <w:left w:val="nil"/>
              <w:bottom w:val="single" w:sz="4" w:space="0" w:color="auto"/>
              <w:right w:val="single" w:sz="4" w:space="0" w:color="auto"/>
            </w:tcBorders>
            <w:shd w:val="clear" w:color="auto" w:fill="auto"/>
            <w:noWrap/>
            <w:vAlign w:val="center"/>
          </w:tcPr>
          <w:p w14:paraId="0096D0DD"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17.09</w:t>
            </w:r>
          </w:p>
        </w:tc>
        <w:tc>
          <w:tcPr>
            <w:tcW w:w="892" w:type="dxa"/>
            <w:tcBorders>
              <w:top w:val="nil"/>
              <w:left w:val="nil"/>
              <w:bottom w:val="single" w:sz="4" w:space="0" w:color="auto"/>
              <w:right w:val="single" w:sz="4" w:space="0" w:color="auto"/>
            </w:tcBorders>
            <w:shd w:val="clear" w:color="auto" w:fill="auto"/>
            <w:noWrap/>
            <w:vAlign w:val="center"/>
          </w:tcPr>
          <w:p w14:paraId="34D74C68"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1.00</w:t>
            </w:r>
          </w:p>
        </w:tc>
        <w:tc>
          <w:tcPr>
            <w:tcW w:w="1458" w:type="dxa"/>
            <w:tcBorders>
              <w:top w:val="single" w:sz="4" w:space="0" w:color="auto"/>
              <w:left w:val="single" w:sz="4" w:space="0" w:color="auto"/>
              <w:bottom w:val="single" w:sz="4" w:space="0" w:color="auto"/>
              <w:right w:val="single" w:sz="4" w:space="0" w:color="auto"/>
            </w:tcBorders>
            <w:vAlign w:val="center"/>
          </w:tcPr>
          <w:p w14:paraId="429B0C5F"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15.83</w:t>
            </w:r>
          </w:p>
        </w:tc>
        <w:tc>
          <w:tcPr>
            <w:tcW w:w="1486" w:type="dxa"/>
            <w:tcBorders>
              <w:top w:val="single" w:sz="4" w:space="0" w:color="auto"/>
              <w:left w:val="single" w:sz="4" w:space="0" w:color="auto"/>
              <w:bottom w:val="single" w:sz="4" w:space="0" w:color="auto"/>
              <w:right w:val="single" w:sz="4" w:space="0" w:color="auto"/>
            </w:tcBorders>
            <w:vAlign w:val="center"/>
          </w:tcPr>
          <w:p w14:paraId="51366EA4"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17.41</w:t>
            </w:r>
          </w:p>
        </w:tc>
        <w:tc>
          <w:tcPr>
            <w:tcW w:w="862" w:type="dxa"/>
            <w:tcBorders>
              <w:top w:val="single" w:sz="4" w:space="0" w:color="auto"/>
              <w:left w:val="single" w:sz="4" w:space="0" w:color="auto"/>
              <w:bottom w:val="single" w:sz="4" w:space="0" w:color="auto"/>
              <w:right w:val="single" w:sz="4" w:space="0" w:color="auto"/>
            </w:tcBorders>
            <w:vAlign w:val="center"/>
          </w:tcPr>
          <w:p w14:paraId="303F6EBC"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0.91</w:t>
            </w:r>
          </w:p>
        </w:tc>
      </w:tr>
      <w:tr w:rsidR="00B90ACD" w:rsidRPr="00401B79" w14:paraId="2F9803DC" w14:textId="77777777" w:rsidTr="00650395">
        <w:trPr>
          <w:trHeight w:val="178"/>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535D1060" w14:textId="77777777" w:rsidR="00B90ACD" w:rsidRPr="00401B79" w:rsidRDefault="00B90ACD" w:rsidP="00650395">
            <w:pPr>
              <w:spacing w:line="276" w:lineRule="auto"/>
              <w:jc w:val="center"/>
              <w:rPr>
                <w:rFonts w:eastAsia="Times New Roman" w:cs="Times New Roman"/>
                <w:color w:val="000000"/>
              </w:rPr>
            </w:pPr>
            <w:r w:rsidRPr="00401B79">
              <w:rPr>
                <w:rFonts w:eastAsia="Times New Roman" w:cs="Times New Roman"/>
                <w:color w:val="000000"/>
              </w:rPr>
              <w:t>WFD</w:t>
            </w:r>
          </w:p>
        </w:tc>
        <w:tc>
          <w:tcPr>
            <w:tcW w:w="1338" w:type="dxa"/>
            <w:tcBorders>
              <w:top w:val="nil"/>
              <w:left w:val="nil"/>
              <w:bottom w:val="single" w:sz="4" w:space="0" w:color="auto"/>
              <w:right w:val="single" w:sz="4" w:space="0" w:color="auto"/>
            </w:tcBorders>
            <w:shd w:val="clear" w:color="auto" w:fill="auto"/>
            <w:noWrap/>
            <w:vAlign w:val="center"/>
          </w:tcPr>
          <w:p w14:paraId="344A134F"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16.48</w:t>
            </w:r>
          </w:p>
        </w:tc>
        <w:tc>
          <w:tcPr>
            <w:tcW w:w="1516" w:type="dxa"/>
            <w:tcBorders>
              <w:top w:val="nil"/>
              <w:left w:val="nil"/>
              <w:bottom w:val="single" w:sz="4" w:space="0" w:color="auto"/>
              <w:right w:val="single" w:sz="4" w:space="0" w:color="auto"/>
            </w:tcBorders>
            <w:shd w:val="clear" w:color="auto" w:fill="auto"/>
            <w:noWrap/>
            <w:vAlign w:val="center"/>
          </w:tcPr>
          <w:p w14:paraId="18D38EC6"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17.21</w:t>
            </w:r>
          </w:p>
        </w:tc>
        <w:tc>
          <w:tcPr>
            <w:tcW w:w="892" w:type="dxa"/>
            <w:tcBorders>
              <w:top w:val="nil"/>
              <w:left w:val="nil"/>
              <w:bottom w:val="single" w:sz="4" w:space="0" w:color="auto"/>
              <w:right w:val="single" w:sz="4" w:space="0" w:color="auto"/>
            </w:tcBorders>
            <w:shd w:val="clear" w:color="auto" w:fill="auto"/>
            <w:noWrap/>
            <w:vAlign w:val="center"/>
          </w:tcPr>
          <w:p w14:paraId="071909F1"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0.96</w:t>
            </w:r>
          </w:p>
        </w:tc>
        <w:tc>
          <w:tcPr>
            <w:tcW w:w="1458" w:type="dxa"/>
            <w:tcBorders>
              <w:top w:val="single" w:sz="4" w:space="0" w:color="auto"/>
              <w:left w:val="single" w:sz="4" w:space="0" w:color="auto"/>
              <w:bottom w:val="single" w:sz="4" w:space="0" w:color="auto"/>
              <w:right w:val="single" w:sz="4" w:space="0" w:color="auto"/>
            </w:tcBorders>
            <w:vAlign w:val="center"/>
          </w:tcPr>
          <w:p w14:paraId="669F0504"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15.30</w:t>
            </w:r>
          </w:p>
        </w:tc>
        <w:tc>
          <w:tcPr>
            <w:tcW w:w="1486" w:type="dxa"/>
            <w:tcBorders>
              <w:top w:val="single" w:sz="4" w:space="0" w:color="auto"/>
              <w:left w:val="single" w:sz="4" w:space="0" w:color="auto"/>
              <w:bottom w:val="single" w:sz="4" w:space="0" w:color="auto"/>
              <w:right w:val="single" w:sz="4" w:space="0" w:color="auto"/>
            </w:tcBorders>
            <w:vAlign w:val="center"/>
          </w:tcPr>
          <w:p w14:paraId="7D905991"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17.54</w:t>
            </w:r>
          </w:p>
        </w:tc>
        <w:tc>
          <w:tcPr>
            <w:tcW w:w="862" w:type="dxa"/>
            <w:tcBorders>
              <w:top w:val="single" w:sz="4" w:space="0" w:color="auto"/>
              <w:left w:val="single" w:sz="4" w:space="0" w:color="auto"/>
              <w:bottom w:val="single" w:sz="4" w:space="0" w:color="auto"/>
              <w:right w:val="single" w:sz="4" w:space="0" w:color="auto"/>
            </w:tcBorders>
            <w:vAlign w:val="center"/>
          </w:tcPr>
          <w:p w14:paraId="25C91E31"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0.87</w:t>
            </w:r>
          </w:p>
        </w:tc>
      </w:tr>
      <w:tr w:rsidR="00B90ACD" w:rsidRPr="00401B79" w14:paraId="5B87B4E2" w14:textId="77777777" w:rsidTr="00650395">
        <w:trPr>
          <w:trHeight w:val="178"/>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75D8E264" w14:textId="77777777" w:rsidR="00B90ACD" w:rsidRPr="00401B79" w:rsidRDefault="00B90ACD" w:rsidP="00650395">
            <w:pPr>
              <w:spacing w:line="276" w:lineRule="auto"/>
              <w:jc w:val="center"/>
              <w:rPr>
                <w:rFonts w:eastAsia="Times New Roman" w:cs="Times New Roman"/>
                <w:color w:val="000000"/>
              </w:rPr>
            </w:pPr>
            <w:r w:rsidRPr="00401B79">
              <w:rPr>
                <w:rFonts w:eastAsia="Times New Roman" w:cs="Times New Roman"/>
                <w:color w:val="000000"/>
              </w:rPr>
              <w:t>GED</w:t>
            </w:r>
          </w:p>
        </w:tc>
        <w:tc>
          <w:tcPr>
            <w:tcW w:w="1338" w:type="dxa"/>
            <w:tcBorders>
              <w:top w:val="nil"/>
              <w:left w:val="nil"/>
              <w:bottom w:val="single" w:sz="4" w:space="0" w:color="auto"/>
              <w:right w:val="single" w:sz="4" w:space="0" w:color="auto"/>
            </w:tcBorders>
            <w:shd w:val="clear" w:color="auto" w:fill="auto"/>
            <w:noWrap/>
            <w:vAlign w:val="center"/>
          </w:tcPr>
          <w:p w14:paraId="1C71FD82"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17.29</w:t>
            </w:r>
          </w:p>
        </w:tc>
        <w:tc>
          <w:tcPr>
            <w:tcW w:w="1516" w:type="dxa"/>
            <w:tcBorders>
              <w:top w:val="nil"/>
              <w:left w:val="nil"/>
              <w:bottom w:val="single" w:sz="4" w:space="0" w:color="auto"/>
              <w:right w:val="single" w:sz="4" w:space="0" w:color="auto"/>
            </w:tcBorders>
            <w:shd w:val="clear" w:color="auto" w:fill="auto"/>
            <w:noWrap/>
            <w:vAlign w:val="center"/>
          </w:tcPr>
          <w:p w14:paraId="5C171C59"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17.07</w:t>
            </w:r>
          </w:p>
        </w:tc>
        <w:tc>
          <w:tcPr>
            <w:tcW w:w="892" w:type="dxa"/>
            <w:tcBorders>
              <w:top w:val="nil"/>
              <w:left w:val="nil"/>
              <w:bottom w:val="single" w:sz="4" w:space="0" w:color="auto"/>
              <w:right w:val="single" w:sz="4" w:space="0" w:color="auto"/>
            </w:tcBorders>
            <w:shd w:val="clear" w:color="auto" w:fill="auto"/>
            <w:noWrap/>
            <w:vAlign w:val="center"/>
          </w:tcPr>
          <w:p w14:paraId="7DA75E0A" w14:textId="77777777" w:rsidR="00B90ACD" w:rsidRPr="00401B79" w:rsidRDefault="00B90ACD" w:rsidP="00650395">
            <w:pPr>
              <w:spacing w:line="276" w:lineRule="auto"/>
              <w:jc w:val="center"/>
              <w:rPr>
                <w:rFonts w:cs="Times New Roman"/>
                <w:color w:val="000000"/>
              </w:rPr>
            </w:pPr>
            <w:r w:rsidRPr="00401B79">
              <w:rPr>
                <w:rFonts w:cs="Times New Roman"/>
                <w:color w:val="000000"/>
              </w:rPr>
              <w:t>1.01</w:t>
            </w:r>
          </w:p>
        </w:tc>
        <w:tc>
          <w:tcPr>
            <w:tcW w:w="1458" w:type="dxa"/>
            <w:tcBorders>
              <w:top w:val="single" w:sz="4" w:space="0" w:color="auto"/>
              <w:left w:val="single" w:sz="4" w:space="0" w:color="auto"/>
              <w:bottom w:val="single" w:sz="4" w:space="0" w:color="auto"/>
              <w:right w:val="single" w:sz="4" w:space="0" w:color="auto"/>
            </w:tcBorders>
            <w:vAlign w:val="center"/>
          </w:tcPr>
          <w:p w14:paraId="18CFB26D"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15.55</w:t>
            </w:r>
          </w:p>
        </w:tc>
        <w:tc>
          <w:tcPr>
            <w:tcW w:w="1486" w:type="dxa"/>
            <w:tcBorders>
              <w:top w:val="single" w:sz="4" w:space="0" w:color="auto"/>
              <w:left w:val="single" w:sz="4" w:space="0" w:color="auto"/>
              <w:bottom w:val="single" w:sz="4" w:space="0" w:color="auto"/>
              <w:right w:val="single" w:sz="4" w:space="0" w:color="auto"/>
            </w:tcBorders>
            <w:vAlign w:val="center"/>
          </w:tcPr>
          <w:p w14:paraId="72FCBEC2"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17.39</w:t>
            </w:r>
          </w:p>
        </w:tc>
        <w:tc>
          <w:tcPr>
            <w:tcW w:w="862" w:type="dxa"/>
            <w:tcBorders>
              <w:top w:val="single" w:sz="4" w:space="0" w:color="auto"/>
              <w:left w:val="single" w:sz="4" w:space="0" w:color="auto"/>
              <w:bottom w:val="single" w:sz="4" w:space="0" w:color="auto"/>
              <w:right w:val="single" w:sz="4" w:space="0" w:color="auto"/>
            </w:tcBorders>
            <w:vAlign w:val="center"/>
          </w:tcPr>
          <w:p w14:paraId="652F1D66" w14:textId="77777777" w:rsidR="00B90ACD" w:rsidRPr="00401B79" w:rsidRDefault="00B90ACD" w:rsidP="00650395">
            <w:pPr>
              <w:spacing w:line="276" w:lineRule="auto"/>
              <w:jc w:val="center"/>
              <w:rPr>
                <w:rFonts w:eastAsia="Times New Roman" w:cs="Times New Roman"/>
                <w:color w:val="000000"/>
              </w:rPr>
            </w:pPr>
            <w:r w:rsidRPr="00401B79">
              <w:rPr>
                <w:rFonts w:eastAsia="Times New Roman" w:cs="Times New Roman"/>
                <w:color w:val="000000"/>
              </w:rPr>
              <w:t>0.89</w:t>
            </w:r>
          </w:p>
        </w:tc>
      </w:tr>
      <w:tr w:rsidR="00B90ACD" w:rsidRPr="00401B79" w14:paraId="35BE29D0" w14:textId="77777777" w:rsidTr="00650395">
        <w:trPr>
          <w:trHeight w:val="178"/>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00333259" w14:textId="77777777" w:rsidR="00B90ACD" w:rsidRPr="00401B79" w:rsidRDefault="00B90ACD" w:rsidP="00650395">
            <w:pPr>
              <w:spacing w:line="276" w:lineRule="auto"/>
              <w:jc w:val="center"/>
              <w:rPr>
                <w:rFonts w:eastAsia="Times New Roman" w:cs="Times New Roman"/>
                <w:color w:val="000000"/>
              </w:rPr>
            </w:pPr>
            <w:r w:rsidRPr="00401B79">
              <w:rPr>
                <w:rFonts w:eastAsia="Times New Roman" w:cs="Times New Roman"/>
                <w:color w:val="000000"/>
              </w:rPr>
              <w:t>FED</w:t>
            </w:r>
          </w:p>
        </w:tc>
        <w:tc>
          <w:tcPr>
            <w:tcW w:w="1338" w:type="dxa"/>
            <w:tcBorders>
              <w:top w:val="nil"/>
              <w:left w:val="nil"/>
              <w:bottom w:val="single" w:sz="4" w:space="0" w:color="auto"/>
              <w:right w:val="single" w:sz="4" w:space="0" w:color="auto"/>
            </w:tcBorders>
            <w:shd w:val="clear" w:color="auto" w:fill="auto"/>
            <w:noWrap/>
            <w:vAlign w:val="center"/>
          </w:tcPr>
          <w:p w14:paraId="471F378E"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16.73</w:t>
            </w:r>
          </w:p>
        </w:tc>
        <w:tc>
          <w:tcPr>
            <w:tcW w:w="1516" w:type="dxa"/>
            <w:tcBorders>
              <w:top w:val="nil"/>
              <w:left w:val="nil"/>
              <w:bottom w:val="single" w:sz="4" w:space="0" w:color="auto"/>
              <w:right w:val="single" w:sz="4" w:space="0" w:color="auto"/>
            </w:tcBorders>
            <w:shd w:val="clear" w:color="auto" w:fill="auto"/>
            <w:noWrap/>
            <w:vAlign w:val="center"/>
          </w:tcPr>
          <w:p w14:paraId="13A31769"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17.16</w:t>
            </w:r>
          </w:p>
        </w:tc>
        <w:tc>
          <w:tcPr>
            <w:tcW w:w="892" w:type="dxa"/>
            <w:tcBorders>
              <w:top w:val="nil"/>
              <w:left w:val="nil"/>
              <w:bottom w:val="single" w:sz="4" w:space="0" w:color="auto"/>
              <w:right w:val="single" w:sz="4" w:space="0" w:color="auto"/>
            </w:tcBorders>
            <w:shd w:val="clear" w:color="auto" w:fill="auto"/>
            <w:noWrap/>
            <w:vAlign w:val="center"/>
          </w:tcPr>
          <w:p w14:paraId="72C5CA51" w14:textId="77777777" w:rsidR="00B90ACD" w:rsidRPr="00401B79" w:rsidRDefault="00B90ACD" w:rsidP="00650395">
            <w:pPr>
              <w:spacing w:line="276" w:lineRule="auto"/>
              <w:jc w:val="center"/>
              <w:rPr>
                <w:rFonts w:cs="Times New Roman"/>
                <w:color w:val="000000"/>
              </w:rPr>
            </w:pPr>
            <w:r w:rsidRPr="00401B79">
              <w:rPr>
                <w:rFonts w:cs="Times New Roman"/>
                <w:color w:val="000000"/>
              </w:rPr>
              <w:t>0.98</w:t>
            </w:r>
          </w:p>
        </w:tc>
        <w:tc>
          <w:tcPr>
            <w:tcW w:w="1458" w:type="dxa"/>
            <w:tcBorders>
              <w:top w:val="single" w:sz="4" w:space="0" w:color="auto"/>
              <w:left w:val="single" w:sz="4" w:space="0" w:color="auto"/>
              <w:bottom w:val="single" w:sz="4" w:space="0" w:color="auto"/>
              <w:right w:val="single" w:sz="4" w:space="0" w:color="auto"/>
            </w:tcBorders>
            <w:vAlign w:val="center"/>
          </w:tcPr>
          <w:p w14:paraId="28EF87F4"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14.99</w:t>
            </w:r>
          </w:p>
        </w:tc>
        <w:tc>
          <w:tcPr>
            <w:tcW w:w="1486" w:type="dxa"/>
            <w:tcBorders>
              <w:top w:val="single" w:sz="4" w:space="0" w:color="auto"/>
              <w:left w:val="single" w:sz="4" w:space="0" w:color="auto"/>
              <w:bottom w:val="single" w:sz="4" w:space="0" w:color="auto"/>
              <w:right w:val="single" w:sz="4" w:space="0" w:color="auto"/>
            </w:tcBorders>
            <w:vAlign w:val="center"/>
          </w:tcPr>
          <w:p w14:paraId="083F5F4E"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17.45</w:t>
            </w:r>
          </w:p>
        </w:tc>
        <w:tc>
          <w:tcPr>
            <w:tcW w:w="862" w:type="dxa"/>
            <w:tcBorders>
              <w:top w:val="single" w:sz="4" w:space="0" w:color="auto"/>
              <w:left w:val="single" w:sz="4" w:space="0" w:color="auto"/>
              <w:bottom w:val="single" w:sz="4" w:space="0" w:color="auto"/>
              <w:right w:val="single" w:sz="4" w:space="0" w:color="auto"/>
            </w:tcBorders>
            <w:vAlign w:val="center"/>
          </w:tcPr>
          <w:p w14:paraId="0237E7A4" w14:textId="77777777" w:rsidR="00B90ACD" w:rsidRPr="00401B79" w:rsidRDefault="00B90ACD" w:rsidP="00650395">
            <w:pPr>
              <w:spacing w:line="276" w:lineRule="auto"/>
              <w:jc w:val="center"/>
              <w:rPr>
                <w:rFonts w:eastAsia="Times New Roman" w:cs="Times New Roman"/>
                <w:color w:val="000000"/>
              </w:rPr>
            </w:pPr>
            <w:r w:rsidRPr="00401B79">
              <w:rPr>
                <w:rFonts w:eastAsia="Times New Roman" w:cs="Times New Roman"/>
                <w:color w:val="000000"/>
              </w:rPr>
              <w:t>0.86</w:t>
            </w:r>
          </w:p>
        </w:tc>
      </w:tr>
      <w:tr w:rsidR="00B90ACD" w:rsidRPr="00401B79" w14:paraId="6FB9C0E2" w14:textId="77777777" w:rsidTr="00650395">
        <w:trPr>
          <w:trHeight w:val="178"/>
          <w:jc w:val="center"/>
        </w:trPr>
        <w:tc>
          <w:tcPr>
            <w:tcW w:w="1155" w:type="dxa"/>
            <w:tcBorders>
              <w:top w:val="nil"/>
              <w:left w:val="single" w:sz="4" w:space="0" w:color="auto"/>
              <w:bottom w:val="single" w:sz="4" w:space="0" w:color="auto"/>
              <w:right w:val="single" w:sz="4" w:space="0" w:color="auto"/>
            </w:tcBorders>
            <w:shd w:val="clear" w:color="auto" w:fill="auto"/>
            <w:noWrap/>
            <w:vAlign w:val="center"/>
            <w:hideMark/>
          </w:tcPr>
          <w:p w14:paraId="5B56E2FC" w14:textId="77777777" w:rsidR="00B90ACD" w:rsidRPr="00401B79" w:rsidRDefault="00B90ACD" w:rsidP="00650395">
            <w:pPr>
              <w:spacing w:line="276" w:lineRule="auto"/>
              <w:jc w:val="center"/>
              <w:rPr>
                <w:rFonts w:eastAsia="Times New Roman" w:cs="Times New Roman"/>
                <w:color w:val="000000"/>
              </w:rPr>
            </w:pPr>
            <w:r w:rsidRPr="00401B79">
              <w:rPr>
                <w:rFonts w:eastAsia="Times New Roman" w:cs="Times New Roman"/>
                <w:color w:val="000000"/>
              </w:rPr>
              <w:t>FGD</w:t>
            </w:r>
          </w:p>
        </w:tc>
        <w:tc>
          <w:tcPr>
            <w:tcW w:w="1338" w:type="dxa"/>
            <w:tcBorders>
              <w:top w:val="nil"/>
              <w:left w:val="nil"/>
              <w:bottom w:val="single" w:sz="4" w:space="0" w:color="auto"/>
              <w:right w:val="single" w:sz="4" w:space="0" w:color="auto"/>
            </w:tcBorders>
            <w:shd w:val="clear" w:color="auto" w:fill="auto"/>
            <w:noWrap/>
            <w:vAlign w:val="center"/>
          </w:tcPr>
          <w:p w14:paraId="2F4EC6E6"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16.52</w:t>
            </w:r>
          </w:p>
        </w:tc>
        <w:tc>
          <w:tcPr>
            <w:tcW w:w="1516" w:type="dxa"/>
            <w:tcBorders>
              <w:top w:val="nil"/>
              <w:left w:val="nil"/>
              <w:bottom w:val="single" w:sz="4" w:space="0" w:color="auto"/>
              <w:right w:val="single" w:sz="4" w:space="0" w:color="auto"/>
            </w:tcBorders>
            <w:shd w:val="clear" w:color="auto" w:fill="auto"/>
            <w:noWrap/>
            <w:vAlign w:val="center"/>
          </w:tcPr>
          <w:p w14:paraId="7C3127DD"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17.16</w:t>
            </w:r>
          </w:p>
        </w:tc>
        <w:tc>
          <w:tcPr>
            <w:tcW w:w="892" w:type="dxa"/>
            <w:tcBorders>
              <w:top w:val="nil"/>
              <w:left w:val="nil"/>
              <w:bottom w:val="single" w:sz="4" w:space="0" w:color="auto"/>
              <w:right w:val="single" w:sz="4" w:space="0" w:color="auto"/>
            </w:tcBorders>
            <w:shd w:val="clear" w:color="auto" w:fill="auto"/>
            <w:noWrap/>
            <w:vAlign w:val="center"/>
          </w:tcPr>
          <w:p w14:paraId="04D33FFA" w14:textId="77777777" w:rsidR="00B90ACD" w:rsidRPr="00401B79" w:rsidRDefault="00B90ACD" w:rsidP="00650395">
            <w:pPr>
              <w:spacing w:line="276" w:lineRule="auto"/>
              <w:jc w:val="center"/>
              <w:rPr>
                <w:rFonts w:cs="Times New Roman"/>
                <w:color w:val="000000"/>
              </w:rPr>
            </w:pPr>
            <w:r w:rsidRPr="00401B79">
              <w:rPr>
                <w:rFonts w:cs="Times New Roman"/>
                <w:color w:val="000000"/>
              </w:rPr>
              <w:t>0.96</w:t>
            </w:r>
          </w:p>
        </w:tc>
        <w:tc>
          <w:tcPr>
            <w:tcW w:w="1458" w:type="dxa"/>
            <w:tcBorders>
              <w:top w:val="single" w:sz="4" w:space="0" w:color="auto"/>
              <w:left w:val="single" w:sz="4" w:space="0" w:color="auto"/>
              <w:bottom w:val="single" w:sz="4" w:space="0" w:color="auto"/>
              <w:right w:val="single" w:sz="4" w:space="0" w:color="auto"/>
            </w:tcBorders>
            <w:vAlign w:val="center"/>
          </w:tcPr>
          <w:p w14:paraId="374A0282"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16.00</w:t>
            </w:r>
          </w:p>
        </w:tc>
        <w:tc>
          <w:tcPr>
            <w:tcW w:w="1486" w:type="dxa"/>
            <w:tcBorders>
              <w:top w:val="single" w:sz="4" w:space="0" w:color="auto"/>
              <w:left w:val="single" w:sz="4" w:space="0" w:color="auto"/>
              <w:bottom w:val="single" w:sz="4" w:space="0" w:color="auto"/>
              <w:right w:val="single" w:sz="4" w:space="0" w:color="auto"/>
            </w:tcBorders>
            <w:vAlign w:val="center"/>
          </w:tcPr>
          <w:p w14:paraId="2D4F00E8"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17.52</w:t>
            </w:r>
          </w:p>
        </w:tc>
        <w:tc>
          <w:tcPr>
            <w:tcW w:w="862" w:type="dxa"/>
            <w:tcBorders>
              <w:top w:val="single" w:sz="4" w:space="0" w:color="auto"/>
              <w:left w:val="single" w:sz="4" w:space="0" w:color="auto"/>
              <w:bottom w:val="single" w:sz="4" w:space="0" w:color="auto"/>
              <w:right w:val="single" w:sz="4" w:space="0" w:color="auto"/>
            </w:tcBorders>
            <w:vAlign w:val="center"/>
          </w:tcPr>
          <w:p w14:paraId="4AE2894A" w14:textId="77777777" w:rsidR="00B90ACD" w:rsidRPr="00401B79" w:rsidRDefault="00B90ACD" w:rsidP="00650395">
            <w:pPr>
              <w:spacing w:line="276" w:lineRule="auto"/>
              <w:jc w:val="center"/>
              <w:rPr>
                <w:rFonts w:eastAsia="Times New Roman" w:cs="Times New Roman"/>
                <w:color w:val="000000"/>
              </w:rPr>
            </w:pPr>
            <w:r w:rsidRPr="00401B79">
              <w:rPr>
                <w:rFonts w:eastAsia="Times New Roman" w:cs="Times New Roman"/>
                <w:color w:val="000000"/>
              </w:rPr>
              <w:t>0.91</w:t>
            </w:r>
          </w:p>
        </w:tc>
      </w:tr>
      <w:tr w:rsidR="00B90ACD" w:rsidRPr="00401B79" w14:paraId="23EDF615" w14:textId="77777777" w:rsidTr="00650395">
        <w:trPr>
          <w:trHeight w:val="178"/>
          <w:jc w:val="center"/>
        </w:trPr>
        <w:tc>
          <w:tcPr>
            <w:tcW w:w="11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429989C"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WD</w:t>
            </w:r>
          </w:p>
        </w:tc>
        <w:tc>
          <w:tcPr>
            <w:tcW w:w="1338" w:type="dxa"/>
            <w:tcBorders>
              <w:top w:val="single" w:sz="4" w:space="0" w:color="auto"/>
              <w:left w:val="nil"/>
              <w:bottom w:val="single" w:sz="4" w:space="0" w:color="auto"/>
              <w:right w:val="single" w:sz="4" w:space="0" w:color="auto"/>
            </w:tcBorders>
            <w:shd w:val="clear" w:color="auto" w:fill="auto"/>
            <w:noWrap/>
            <w:vAlign w:val="center"/>
          </w:tcPr>
          <w:p w14:paraId="0AD071EA" w14:textId="77777777" w:rsidR="00B90ACD" w:rsidRPr="00401B79" w:rsidRDefault="00B90ACD" w:rsidP="00650395">
            <w:pPr>
              <w:spacing w:line="276" w:lineRule="auto"/>
              <w:jc w:val="center"/>
              <w:rPr>
                <w:rFonts w:cs="Times New Roman"/>
                <w:color w:val="000000"/>
              </w:rPr>
            </w:pPr>
            <w:r w:rsidRPr="00401B79">
              <w:rPr>
                <w:rFonts w:cs="Times New Roman"/>
                <w:color w:val="000000"/>
              </w:rPr>
              <w:t>16.98</w:t>
            </w:r>
          </w:p>
        </w:tc>
        <w:tc>
          <w:tcPr>
            <w:tcW w:w="1516" w:type="dxa"/>
            <w:tcBorders>
              <w:top w:val="single" w:sz="4" w:space="0" w:color="auto"/>
              <w:left w:val="nil"/>
              <w:bottom w:val="single" w:sz="4" w:space="0" w:color="auto"/>
              <w:right w:val="single" w:sz="4" w:space="0" w:color="auto"/>
            </w:tcBorders>
            <w:shd w:val="clear" w:color="auto" w:fill="auto"/>
            <w:noWrap/>
            <w:vAlign w:val="center"/>
          </w:tcPr>
          <w:p w14:paraId="79AEDE4B"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17.09</w:t>
            </w:r>
          </w:p>
        </w:tc>
        <w:tc>
          <w:tcPr>
            <w:tcW w:w="892" w:type="dxa"/>
            <w:tcBorders>
              <w:top w:val="single" w:sz="4" w:space="0" w:color="auto"/>
              <w:left w:val="nil"/>
              <w:bottom w:val="single" w:sz="4" w:space="0" w:color="auto"/>
              <w:right w:val="single" w:sz="4" w:space="0" w:color="auto"/>
            </w:tcBorders>
            <w:shd w:val="clear" w:color="auto" w:fill="auto"/>
            <w:noWrap/>
            <w:vAlign w:val="center"/>
          </w:tcPr>
          <w:p w14:paraId="4492DD9B" w14:textId="77777777" w:rsidR="00B90ACD" w:rsidRPr="00401B79" w:rsidRDefault="00B90ACD" w:rsidP="00650395">
            <w:pPr>
              <w:spacing w:line="276" w:lineRule="auto"/>
              <w:jc w:val="center"/>
              <w:rPr>
                <w:rFonts w:cs="Times New Roman"/>
                <w:color w:val="000000"/>
              </w:rPr>
            </w:pPr>
            <w:r w:rsidRPr="00401B79">
              <w:rPr>
                <w:rFonts w:cs="Times New Roman"/>
                <w:color w:val="000000"/>
              </w:rPr>
              <w:t>0.99</w:t>
            </w:r>
          </w:p>
        </w:tc>
        <w:tc>
          <w:tcPr>
            <w:tcW w:w="1458" w:type="dxa"/>
            <w:tcBorders>
              <w:top w:val="single" w:sz="4" w:space="0" w:color="auto"/>
              <w:left w:val="single" w:sz="4" w:space="0" w:color="auto"/>
              <w:bottom w:val="single" w:sz="4" w:space="0" w:color="auto"/>
              <w:right w:val="single" w:sz="4" w:space="0" w:color="auto"/>
            </w:tcBorders>
            <w:vAlign w:val="center"/>
          </w:tcPr>
          <w:p w14:paraId="514C4E9C" w14:textId="77777777" w:rsidR="00B90ACD" w:rsidRPr="00401B79" w:rsidRDefault="00B90ACD" w:rsidP="00650395">
            <w:pPr>
              <w:spacing w:line="276" w:lineRule="auto"/>
              <w:jc w:val="center"/>
              <w:rPr>
                <w:rFonts w:cs="Times New Roman"/>
                <w:color w:val="000000"/>
              </w:rPr>
            </w:pPr>
            <w:r w:rsidRPr="00401B79">
              <w:rPr>
                <w:rFonts w:cs="Times New Roman"/>
                <w:color w:val="000000"/>
              </w:rPr>
              <w:t>16.22</w:t>
            </w:r>
          </w:p>
        </w:tc>
        <w:tc>
          <w:tcPr>
            <w:tcW w:w="1486" w:type="dxa"/>
            <w:tcBorders>
              <w:top w:val="single" w:sz="4" w:space="0" w:color="auto"/>
              <w:left w:val="single" w:sz="4" w:space="0" w:color="auto"/>
              <w:bottom w:val="single" w:sz="4" w:space="0" w:color="auto"/>
              <w:right w:val="single" w:sz="4" w:space="0" w:color="auto"/>
            </w:tcBorders>
            <w:vAlign w:val="center"/>
          </w:tcPr>
          <w:p w14:paraId="7770A590" w14:textId="77777777" w:rsidR="00B90ACD" w:rsidRPr="00401B79" w:rsidRDefault="00B90ACD" w:rsidP="00650395">
            <w:pPr>
              <w:spacing w:line="276" w:lineRule="auto"/>
              <w:jc w:val="center"/>
              <w:rPr>
                <w:rFonts w:cs="Times New Roman"/>
                <w:color w:val="000000"/>
              </w:rPr>
            </w:pPr>
            <w:r w:rsidRPr="00401B79">
              <w:rPr>
                <w:rFonts w:cs="Times New Roman"/>
                <w:color w:val="000000"/>
              </w:rPr>
              <w:t>17.35</w:t>
            </w:r>
          </w:p>
        </w:tc>
        <w:tc>
          <w:tcPr>
            <w:tcW w:w="862" w:type="dxa"/>
            <w:tcBorders>
              <w:top w:val="single" w:sz="4" w:space="0" w:color="auto"/>
              <w:left w:val="single" w:sz="4" w:space="0" w:color="auto"/>
              <w:bottom w:val="single" w:sz="4" w:space="0" w:color="auto"/>
              <w:right w:val="single" w:sz="4" w:space="0" w:color="auto"/>
            </w:tcBorders>
            <w:vAlign w:val="center"/>
          </w:tcPr>
          <w:p w14:paraId="378C7EEC" w14:textId="77777777" w:rsidR="00B90ACD" w:rsidRPr="00401B79" w:rsidRDefault="00B90ACD" w:rsidP="00650395">
            <w:pPr>
              <w:spacing w:line="276" w:lineRule="auto"/>
              <w:jc w:val="center"/>
              <w:rPr>
                <w:rFonts w:cs="Times New Roman"/>
                <w:color w:val="000000"/>
              </w:rPr>
            </w:pPr>
            <w:r w:rsidRPr="00401B79">
              <w:rPr>
                <w:rFonts w:cs="Times New Roman"/>
                <w:color w:val="000000"/>
              </w:rPr>
              <w:t>0.94</w:t>
            </w:r>
          </w:p>
        </w:tc>
      </w:tr>
      <w:tr w:rsidR="00B90ACD" w:rsidRPr="00401B79" w14:paraId="0DE2C500" w14:textId="77777777" w:rsidTr="00650395">
        <w:trPr>
          <w:trHeight w:val="178"/>
          <w:jc w:val="center"/>
        </w:trPr>
        <w:tc>
          <w:tcPr>
            <w:tcW w:w="11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B064F01"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GD</w:t>
            </w:r>
          </w:p>
        </w:tc>
        <w:tc>
          <w:tcPr>
            <w:tcW w:w="1338" w:type="dxa"/>
            <w:tcBorders>
              <w:top w:val="single" w:sz="4" w:space="0" w:color="auto"/>
              <w:left w:val="nil"/>
              <w:bottom w:val="single" w:sz="4" w:space="0" w:color="auto"/>
              <w:right w:val="single" w:sz="4" w:space="0" w:color="auto"/>
            </w:tcBorders>
            <w:shd w:val="clear" w:color="auto" w:fill="auto"/>
            <w:noWrap/>
            <w:vAlign w:val="center"/>
          </w:tcPr>
          <w:p w14:paraId="3C11CF3A" w14:textId="77777777" w:rsidR="00B90ACD" w:rsidRPr="00401B79" w:rsidRDefault="00B90ACD" w:rsidP="00650395">
            <w:pPr>
              <w:spacing w:line="276" w:lineRule="auto"/>
              <w:jc w:val="center"/>
              <w:rPr>
                <w:rFonts w:cs="Times New Roman"/>
                <w:color w:val="000000"/>
              </w:rPr>
            </w:pPr>
            <w:r w:rsidRPr="00401B79">
              <w:rPr>
                <w:rFonts w:cs="Times New Roman"/>
                <w:color w:val="000000"/>
              </w:rPr>
              <w:t>17.05</w:t>
            </w:r>
          </w:p>
        </w:tc>
        <w:tc>
          <w:tcPr>
            <w:tcW w:w="1516" w:type="dxa"/>
            <w:tcBorders>
              <w:top w:val="single" w:sz="4" w:space="0" w:color="auto"/>
              <w:left w:val="nil"/>
              <w:bottom w:val="single" w:sz="4" w:space="0" w:color="auto"/>
              <w:right w:val="single" w:sz="4" w:space="0" w:color="auto"/>
            </w:tcBorders>
            <w:shd w:val="clear" w:color="auto" w:fill="auto"/>
            <w:noWrap/>
            <w:vAlign w:val="center"/>
          </w:tcPr>
          <w:p w14:paraId="1247B346"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17.09</w:t>
            </w:r>
          </w:p>
        </w:tc>
        <w:tc>
          <w:tcPr>
            <w:tcW w:w="892" w:type="dxa"/>
            <w:tcBorders>
              <w:top w:val="single" w:sz="4" w:space="0" w:color="auto"/>
              <w:left w:val="nil"/>
              <w:bottom w:val="single" w:sz="4" w:space="0" w:color="auto"/>
              <w:right w:val="single" w:sz="4" w:space="0" w:color="auto"/>
            </w:tcBorders>
            <w:shd w:val="clear" w:color="auto" w:fill="auto"/>
            <w:noWrap/>
            <w:vAlign w:val="center"/>
          </w:tcPr>
          <w:p w14:paraId="63B537AE" w14:textId="77777777" w:rsidR="00B90ACD" w:rsidRPr="00401B79" w:rsidRDefault="00B90ACD" w:rsidP="00650395">
            <w:pPr>
              <w:spacing w:line="276" w:lineRule="auto"/>
              <w:jc w:val="center"/>
              <w:rPr>
                <w:rFonts w:eastAsia="Times New Roman" w:cs="Times New Roman"/>
                <w:color w:val="000000"/>
              </w:rPr>
            </w:pPr>
            <w:r w:rsidRPr="00401B79">
              <w:rPr>
                <w:rFonts w:eastAsia="Times New Roman" w:cs="Times New Roman"/>
                <w:color w:val="000000"/>
              </w:rPr>
              <w:t>1.00</w:t>
            </w:r>
          </w:p>
        </w:tc>
        <w:tc>
          <w:tcPr>
            <w:tcW w:w="1458" w:type="dxa"/>
            <w:tcBorders>
              <w:top w:val="single" w:sz="4" w:space="0" w:color="auto"/>
              <w:left w:val="single" w:sz="4" w:space="0" w:color="auto"/>
              <w:bottom w:val="single" w:sz="4" w:space="0" w:color="auto"/>
              <w:right w:val="single" w:sz="4" w:space="0" w:color="auto"/>
            </w:tcBorders>
            <w:vAlign w:val="center"/>
          </w:tcPr>
          <w:p w14:paraId="3A25F157" w14:textId="77777777" w:rsidR="00B90ACD" w:rsidRPr="00401B79" w:rsidRDefault="00B90ACD" w:rsidP="00650395">
            <w:pPr>
              <w:spacing w:line="276" w:lineRule="auto"/>
              <w:jc w:val="center"/>
              <w:rPr>
                <w:rFonts w:cs="Times New Roman"/>
                <w:color w:val="000000"/>
              </w:rPr>
            </w:pPr>
            <w:r w:rsidRPr="00401B79">
              <w:rPr>
                <w:rFonts w:cs="Times New Roman"/>
                <w:color w:val="000000"/>
              </w:rPr>
              <w:t>15.47</w:t>
            </w:r>
          </w:p>
        </w:tc>
        <w:tc>
          <w:tcPr>
            <w:tcW w:w="1486" w:type="dxa"/>
            <w:tcBorders>
              <w:top w:val="single" w:sz="4" w:space="0" w:color="auto"/>
              <w:left w:val="single" w:sz="4" w:space="0" w:color="auto"/>
              <w:bottom w:val="single" w:sz="4" w:space="0" w:color="auto"/>
              <w:right w:val="single" w:sz="4" w:space="0" w:color="auto"/>
            </w:tcBorders>
            <w:vAlign w:val="center"/>
          </w:tcPr>
          <w:p w14:paraId="5CA87C5B" w14:textId="77777777" w:rsidR="00B90ACD" w:rsidRPr="00401B79" w:rsidRDefault="00B90ACD" w:rsidP="00650395">
            <w:pPr>
              <w:spacing w:line="276" w:lineRule="auto"/>
              <w:jc w:val="center"/>
              <w:rPr>
                <w:rFonts w:cs="Times New Roman"/>
                <w:color w:val="000000"/>
              </w:rPr>
            </w:pPr>
            <w:r w:rsidRPr="00401B79">
              <w:rPr>
                <w:rFonts w:cs="Times New Roman"/>
                <w:color w:val="000000"/>
              </w:rPr>
              <w:t>17.39</w:t>
            </w:r>
          </w:p>
        </w:tc>
        <w:tc>
          <w:tcPr>
            <w:tcW w:w="862" w:type="dxa"/>
            <w:tcBorders>
              <w:top w:val="single" w:sz="4" w:space="0" w:color="auto"/>
              <w:left w:val="single" w:sz="4" w:space="0" w:color="auto"/>
              <w:bottom w:val="single" w:sz="4" w:space="0" w:color="auto"/>
              <w:right w:val="single" w:sz="4" w:space="0" w:color="auto"/>
            </w:tcBorders>
            <w:vAlign w:val="center"/>
          </w:tcPr>
          <w:p w14:paraId="46B7A286" w14:textId="77777777" w:rsidR="00B90ACD" w:rsidRPr="00401B79" w:rsidRDefault="00B90ACD" w:rsidP="00650395">
            <w:pPr>
              <w:spacing w:line="276" w:lineRule="auto"/>
              <w:jc w:val="center"/>
              <w:rPr>
                <w:rFonts w:cs="Times New Roman"/>
                <w:color w:val="000000"/>
              </w:rPr>
            </w:pPr>
            <w:r w:rsidRPr="00401B79">
              <w:rPr>
                <w:rFonts w:cs="Times New Roman"/>
                <w:color w:val="000000"/>
              </w:rPr>
              <w:t>0.89</w:t>
            </w:r>
          </w:p>
        </w:tc>
      </w:tr>
      <w:tr w:rsidR="00B90ACD" w:rsidRPr="00401B79" w14:paraId="5B09E792" w14:textId="77777777" w:rsidTr="00650395">
        <w:trPr>
          <w:trHeight w:val="178"/>
          <w:jc w:val="center"/>
        </w:trPr>
        <w:tc>
          <w:tcPr>
            <w:tcW w:w="11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4FAC4E11"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FD</w:t>
            </w:r>
          </w:p>
        </w:tc>
        <w:tc>
          <w:tcPr>
            <w:tcW w:w="1338" w:type="dxa"/>
            <w:tcBorders>
              <w:top w:val="single" w:sz="4" w:space="0" w:color="auto"/>
              <w:left w:val="nil"/>
              <w:bottom w:val="single" w:sz="4" w:space="0" w:color="auto"/>
              <w:right w:val="single" w:sz="4" w:space="0" w:color="auto"/>
            </w:tcBorders>
            <w:shd w:val="clear" w:color="auto" w:fill="auto"/>
            <w:noWrap/>
            <w:vAlign w:val="center"/>
          </w:tcPr>
          <w:p w14:paraId="203BBD71" w14:textId="77777777" w:rsidR="00B90ACD" w:rsidRPr="00401B79" w:rsidRDefault="00B90ACD" w:rsidP="00650395">
            <w:pPr>
              <w:spacing w:line="276" w:lineRule="auto"/>
              <w:jc w:val="center"/>
              <w:rPr>
                <w:rFonts w:cs="Times New Roman"/>
                <w:color w:val="000000"/>
              </w:rPr>
            </w:pPr>
            <w:r w:rsidRPr="00401B79">
              <w:rPr>
                <w:rFonts w:cs="Times New Roman"/>
                <w:color w:val="000000"/>
              </w:rPr>
              <w:t>15.95</w:t>
            </w:r>
          </w:p>
        </w:tc>
        <w:tc>
          <w:tcPr>
            <w:tcW w:w="1516" w:type="dxa"/>
            <w:tcBorders>
              <w:top w:val="single" w:sz="4" w:space="0" w:color="auto"/>
              <w:left w:val="nil"/>
              <w:bottom w:val="single" w:sz="4" w:space="0" w:color="auto"/>
              <w:right w:val="single" w:sz="4" w:space="0" w:color="auto"/>
            </w:tcBorders>
            <w:shd w:val="clear" w:color="auto" w:fill="auto"/>
            <w:noWrap/>
            <w:vAlign w:val="center"/>
          </w:tcPr>
          <w:p w14:paraId="2EDF54AB"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17.16</w:t>
            </w:r>
          </w:p>
        </w:tc>
        <w:tc>
          <w:tcPr>
            <w:tcW w:w="892" w:type="dxa"/>
            <w:tcBorders>
              <w:top w:val="single" w:sz="4" w:space="0" w:color="auto"/>
              <w:left w:val="nil"/>
              <w:bottom w:val="single" w:sz="4" w:space="0" w:color="auto"/>
              <w:right w:val="single" w:sz="4" w:space="0" w:color="auto"/>
            </w:tcBorders>
            <w:shd w:val="clear" w:color="auto" w:fill="auto"/>
            <w:noWrap/>
            <w:vAlign w:val="center"/>
          </w:tcPr>
          <w:p w14:paraId="48BFFBF0" w14:textId="77777777" w:rsidR="00B90ACD" w:rsidRPr="00401B79" w:rsidRDefault="00B90ACD" w:rsidP="00650395">
            <w:pPr>
              <w:spacing w:line="276" w:lineRule="auto"/>
              <w:jc w:val="center"/>
              <w:rPr>
                <w:rFonts w:eastAsia="Times New Roman" w:cs="Times New Roman"/>
                <w:color w:val="000000"/>
              </w:rPr>
            </w:pPr>
            <w:r w:rsidRPr="00401B79">
              <w:rPr>
                <w:rFonts w:eastAsia="Times New Roman" w:cs="Times New Roman"/>
                <w:color w:val="000000"/>
              </w:rPr>
              <w:t>0.93</w:t>
            </w:r>
          </w:p>
        </w:tc>
        <w:tc>
          <w:tcPr>
            <w:tcW w:w="1458" w:type="dxa"/>
            <w:tcBorders>
              <w:top w:val="single" w:sz="4" w:space="0" w:color="auto"/>
              <w:left w:val="single" w:sz="4" w:space="0" w:color="auto"/>
              <w:bottom w:val="single" w:sz="4" w:space="0" w:color="auto"/>
              <w:right w:val="single" w:sz="4" w:space="0" w:color="auto"/>
            </w:tcBorders>
            <w:vAlign w:val="center"/>
          </w:tcPr>
          <w:p w14:paraId="0830FB89" w14:textId="77777777" w:rsidR="00B90ACD" w:rsidRPr="00401B79" w:rsidRDefault="00B90ACD" w:rsidP="00650395">
            <w:pPr>
              <w:spacing w:line="276" w:lineRule="auto"/>
              <w:jc w:val="center"/>
              <w:rPr>
                <w:rFonts w:cs="Times New Roman"/>
                <w:color w:val="000000"/>
              </w:rPr>
            </w:pPr>
            <w:r w:rsidRPr="00401B79">
              <w:rPr>
                <w:rFonts w:cs="Times New Roman"/>
                <w:color w:val="000000"/>
              </w:rPr>
              <w:t>14.41</w:t>
            </w:r>
          </w:p>
        </w:tc>
        <w:tc>
          <w:tcPr>
            <w:tcW w:w="1486" w:type="dxa"/>
            <w:tcBorders>
              <w:top w:val="single" w:sz="4" w:space="0" w:color="auto"/>
              <w:left w:val="single" w:sz="4" w:space="0" w:color="auto"/>
              <w:bottom w:val="single" w:sz="4" w:space="0" w:color="auto"/>
              <w:right w:val="single" w:sz="4" w:space="0" w:color="auto"/>
            </w:tcBorders>
            <w:vAlign w:val="center"/>
          </w:tcPr>
          <w:p w14:paraId="5A2E65F9" w14:textId="77777777" w:rsidR="00B90ACD" w:rsidRPr="00401B79" w:rsidRDefault="00B90ACD" w:rsidP="00650395">
            <w:pPr>
              <w:spacing w:line="276" w:lineRule="auto"/>
              <w:jc w:val="center"/>
              <w:rPr>
                <w:rFonts w:cs="Times New Roman"/>
                <w:color w:val="000000"/>
              </w:rPr>
            </w:pPr>
            <w:r w:rsidRPr="00401B79">
              <w:rPr>
                <w:rFonts w:cs="Times New Roman"/>
                <w:color w:val="000000"/>
              </w:rPr>
              <w:t>17.43</w:t>
            </w:r>
          </w:p>
        </w:tc>
        <w:tc>
          <w:tcPr>
            <w:tcW w:w="862" w:type="dxa"/>
            <w:tcBorders>
              <w:top w:val="single" w:sz="4" w:space="0" w:color="auto"/>
              <w:left w:val="single" w:sz="4" w:space="0" w:color="auto"/>
              <w:bottom w:val="single" w:sz="4" w:space="0" w:color="auto"/>
              <w:right w:val="single" w:sz="4" w:space="0" w:color="auto"/>
            </w:tcBorders>
            <w:vAlign w:val="center"/>
          </w:tcPr>
          <w:p w14:paraId="410AEBEE" w14:textId="77777777" w:rsidR="00B90ACD" w:rsidRPr="00401B79" w:rsidRDefault="00B90ACD" w:rsidP="00650395">
            <w:pPr>
              <w:spacing w:line="276" w:lineRule="auto"/>
              <w:jc w:val="center"/>
              <w:rPr>
                <w:rFonts w:cs="Times New Roman"/>
                <w:color w:val="000000"/>
              </w:rPr>
            </w:pPr>
            <w:r w:rsidRPr="00401B79">
              <w:rPr>
                <w:rFonts w:cs="Times New Roman"/>
                <w:color w:val="000000"/>
              </w:rPr>
              <w:t>0.83</w:t>
            </w:r>
          </w:p>
        </w:tc>
      </w:tr>
      <w:tr w:rsidR="00B90ACD" w:rsidRPr="00401B79" w14:paraId="4C7FDA67" w14:textId="77777777" w:rsidTr="00650395">
        <w:trPr>
          <w:trHeight w:val="178"/>
          <w:jc w:val="center"/>
        </w:trPr>
        <w:tc>
          <w:tcPr>
            <w:tcW w:w="115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605AB46"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DE</w:t>
            </w:r>
          </w:p>
        </w:tc>
        <w:tc>
          <w:tcPr>
            <w:tcW w:w="1338" w:type="dxa"/>
            <w:tcBorders>
              <w:top w:val="single" w:sz="4" w:space="0" w:color="auto"/>
              <w:left w:val="nil"/>
              <w:bottom w:val="single" w:sz="4" w:space="0" w:color="auto"/>
              <w:right w:val="single" w:sz="4" w:space="0" w:color="auto"/>
            </w:tcBorders>
            <w:shd w:val="clear" w:color="auto" w:fill="auto"/>
            <w:noWrap/>
            <w:vAlign w:val="center"/>
          </w:tcPr>
          <w:p w14:paraId="42887119" w14:textId="77777777" w:rsidR="00B90ACD" w:rsidRPr="00401B79" w:rsidRDefault="00B90ACD" w:rsidP="00650395">
            <w:pPr>
              <w:spacing w:line="276" w:lineRule="auto"/>
              <w:jc w:val="center"/>
              <w:rPr>
                <w:rFonts w:cs="Times New Roman"/>
                <w:color w:val="000000"/>
              </w:rPr>
            </w:pPr>
            <w:r w:rsidRPr="00401B79">
              <w:rPr>
                <w:rFonts w:cs="Times New Roman"/>
                <w:color w:val="000000"/>
              </w:rPr>
              <w:t>17.60</w:t>
            </w:r>
          </w:p>
        </w:tc>
        <w:tc>
          <w:tcPr>
            <w:tcW w:w="1516" w:type="dxa"/>
            <w:tcBorders>
              <w:top w:val="single" w:sz="4" w:space="0" w:color="auto"/>
              <w:left w:val="nil"/>
              <w:bottom w:val="single" w:sz="4" w:space="0" w:color="auto"/>
              <w:right w:val="single" w:sz="4" w:space="0" w:color="auto"/>
            </w:tcBorders>
            <w:shd w:val="clear" w:color="auto" w:fill="auto"/>
            <w:noWrap/>
            <w:vAlign w:val="center"/>
          </w:tcPr>
          <w:p w14:paraId="0767AFAA" w14:textId="77777777" w:rsidR="00B90ACD" w:rsidRPr="00401B79" w:rsidRDefault="00B90ACD" w:rsidP="00650395">
            <w:pPr>
              <w:spacing w:line="276" w:lineRule="auto"/>
              <w:jc w:val="center"/>
              <w:rPr>
                <w:rFonts w:eastAsia="Times New Roman" w:cs="Times New Roman"/>
                <w:color w:val="000000"/>
              </w:rPr>
            </w:pPr>
            <w:r w:rsidRPr="00401B79">
              <w:rPr>
                <w:rFonts w:cs="Times New Roman"/>
                <w:color w:val="000000"/>
              </w:rPr>
              <w:t>17.04</w:t>
            </w:r>
          </w:p>
        </w:tc>
        <w:tc>
          <w:tcPr>
            <w:tcW w:w="892" w:type="dxa"/>
            <w:tcBorders>
              <w:top w:val="single" w:sz="4" w:space="0" w:color="auto"/>
              <w:left w:val="nil"/>
              <w:bottom w:val="single" w:sz="4" w:space="0" w:color="auto"/>
              <w:right w:val="single" w:sz="4" w:space="0" w:color="auto"/>
            </w:tcBorders>
            <w:shd w:val="clear" w:color="auto" w:fill="auto"/>
            <w:noWrap/>
            <w:vAlign w:val="center"/>
          </w:tcPr>
          <w:p w14:paraId="2FCACF98" w14:textId="77777777" w:rsidR="00B90ACD" w:rsidRPr="00401B79" w:rsidRDefault="00B90ACD" w:rsidP="00650395">
            <w:pPr>
              <w:spacing w:line="276" w:lineRule="auto"/>
              <w:jc w:val="center"/>
              <w:rPr>
                <w:rFonts w:eastAsia="Times New Roman" w:cs="Times New Roman"/>
                <w:color w:val="000000"/>
              </w:rPr>
            </w:pPr>
            <w:r w:rsidRPr="00401B79">
              <w:rPr>
                <w:rFonts w:eastAsia="Times New Roman" w:cs="Times New Roman"/>
                <w:color w:val="000000"/>
              </w:rPr>
              <w:t>1.03</w:t>
            </w:r>
          </w:p>
        </w:tc>
        <w:tc>
          <w:tcPr>
            <w:tcW w:w="1458" w:type="dxa"/>
            <w:tcBorders>
              <w:top w:val="single" w:sz="4" w:space="0" w:color="auto"/>
              <w:left w:val="single" w:sz="4" w:space="0" w:color="auto"/>
              <w:bottom w:val="single" w:sz="4" w:space="0" w:color="auto"/>
              <w:right w:val="single" w:sz="4" w:space="0" w:color="auto"/>
            </w:tcBorders>
            <w:vAlign w:val="center"/>
          </w:tcPr>
          <w:p w14:paraId="128AD4F6" w14:textId="77777777" w:rsidR="00B90ACD" w:rsidRPr="00401B79" w:rsidRDefault="00B90ACD" w:rsidP="00650395">
            <w:pPr>
              <w:spacing w:line="276" w:lineRule="auto"/>
              <w:jc w:val="center"/>
              <w:rPr>
                <w:rFonts w:cs="Times New Roman"/>
                <w:color w:val="000000"/>
              </w:rPr>
            </w:pPr>
            <w:r w:rsidRPr="00401B79">
              <w:rPr>
                <w:rFonts w:cs="Times New Roman"/>
                <w:color w:val="000000"/>
              </w:rPr>
              <w:t>15.64</w:t>
            </w:r>
          </w:p>
        </w:tc>
        <w:tc>
          <w:tcPr>
            <w:tcW w:w="1486" w:type="dxa"/>
            <w:tcBorders>
              <w:top w:val="single" w:sz="4" w:space="0" w:color="auto"/>
              <w:left w:val="single" w:sz="4" w:space="0" w:color="auto"/>
              <w:bottom w:val="single" w:sz="4" w:space="0" w:color="auto"/>
              <w:right w:val="single" w:sz="4" w:space="0" w:color="auto"/>
            </w:tcBorders>
            <w:vAlign w:val="center"/>
          </w:tcPr>
          <w:p w14:paraId="73189391" w14:textId="77777777" w:rsidR="00B90ACD" w:rsidRPr="00401B79" w:rsidRDefault="00B90ACD" w:rsidP="00650395">
            <w:pPr>
              <w:spacing w:line="276" w:lineRule="auto"/>
              <w:jc w:val="center"/>
              <w:rPr>
                <w:rFonts w:cs="Times New Roman"/>
                <w:color w:val="000000"/>
              </w:rPr>
            </w:pPr>
            <w:r w:rsidRPr="00401B79">
              <w:rPr>
                <w:rFonts w:cs="Times New Roman"/>
                <w:color w:val="000000"/>
              </w:rPr>
              <w:t>17.38</w:t>
            </w:r>
          </w:p>
        </w:tc>
        <w:tc>
          <w:tcPr>
            <w:tcW w:w="862" w:type="dxa"/>
            <w:tcBorders>
              <w:top w:val="single" w:sz="4" w:space="0" w:color="auto"/>
              <w:left w:val="single" w:sz="4" w:space="0" w:color="auto"/>
              <w:bottom w:val="single" w:sz="4" w:space="0" w:color="auto"/>
              <w:right w:val="single" w:sz="4" w:space="0" w:color="auto"/>
            </w:tcBorders>
            <w:vAlign w:val="center"/>
          </w:tcPr>
          <w:p w14:paraId="10E21658" w14:textId="77777777" w:rsidR="00B90ACD" w:rsidRPr="00401B79" w:rsidRDefault="00B90ACD" w:rsidP="00650395">
            <w:pPr>
              <w:spacing w:line="276" w:lineRule="auto"/>
              <w:jc w:val="center"/>
              <w:rPr>
                <w:rFonts w:cs="Times New Roman"/>
                <w:color w:val="000000"/>
              </w:rPr>
            </w:pPr>
            <w:r w:rsidRPr="00401B79">
              <w:rPr>
                <w:rFonts w:cs="Times New Roman"/>
                <w:color w:val="000000"/>
              </w:rPr>
              <w:t>0.90</w:t>
            </w:r>
          </w:p>
        </w:tc>
      </w:tr>
    </w:tbl>
    <w:p w14:paraId="1A1AB2D9" w14:textId="7629D016" w:rsidR="00562CCE" w:rsidRPr="00145455" w:rsidRDefault="002438A2" w:rsidP="00080A56">
      <w:pPr>
        <w:pStyle w:val="Caption"/>
        <w:spacing w:before="240" w:line="480" w:lineRule="auto"/>
        <w:jc w:val="center"/>
        <w:rPr>
          <w:szCs w:val="24"/>
        </w:rPr>
      </w:pPr>
      <w:bookmarkStart w:id="59" w:name="_Toc71330982"/>
      <w:r>
        <w:t xml:space="preserve">Table </w:t>
      </w:r>
      <w:fldSimple w:instr=" STYLEREF 1 \s ">
        <w:r w:rsidR="005050F0">
          <w:rPr>
            <w:noProof/>
          </w:rPr>
          <w:t>2</w:t>
        </w:r>
      </w:fldSimple>
      <w:r w:rsidR="00700639">
        <w:t>.</w:t>
      </w:r>
      <w:fldSimple w:instr=" SEQ Table \* ARABIC \s 1 ">
        <w:r w:rsidR="005050F0">
          <w:rPr>
            <w:noProof/>
          </w:rPr>
          <w:t>11</w:t>
        </w:r>
      </w:fldSimple>
      <w:r>
        <w:t xml:space="preserve"> </w:t>
      </w:r>
      <w:r w:rsidR="00562CCE" w:rsidRPr="00145455">
        <w:rPr>
          <w:szCs w:val="24"/>
        </w:rPr>
        <w:t xml:space="preserve">Surface </w:t>
      </w:r>
      <w:r w:rsidR="00562CCE">
        <w:rPr>
          <w:szCs w:val="24"/>
        </w:rPr>
        <w:t>F</w:t>
      </w:r>
      <w:r w:rsidR="00562CCE" w:rsidRPr="00145455">
        <w:rPr>
          <w:szCs w:val="24"/>
        </w:rPr>
        <w:t xml:space="preserve">ree </w:t>
      </w:r>
      <w:r w:rsidR="00562CCE">
        <w:rPr>
          <w:szCs w:val="24"/>
        </w:rPr>
        <w:t>E</w:t>
      </w:r>
      <w:r w:rsidR="00562CCE" w:rsidRPr="00145455">
        <w:rPr>
          <w:szCs w:val="24"/>
        </w:rPr>
        <w:t xml:space="preserve">nergy of </w:t>
      </w:r>
      <w:r w:rsidR="00562CCE">
        <w:rPr>
          <w:szCs w:val="24"/>
        </w:rPr>
        <w:t>B</w:t>
      </w:r>
      <w:r w:rsidR="00562CCE" w:rsidRPr="00145455">
        <w:rPr>
          <w:szCs w:val="24"/>
        </w:rPr>
        <w:t xml:space="preserve">inders using Neumann </w:t>
      </w:r>
      <w:r w:rsidR="00562CCE">
        <w:rPr>
          <w:szCs w:val="24"/>
        </w:rPr>
        <w:t>M</w:t>
      </w:r>
      <w:r w:rsidR="00562CCE" w:rsidRPr="00145455">
        <w:rPr>
          <w:szCs w:val="24"/>
        </w:rPr>
        <w:t>ethod</w:t>
      </w:r>
      <w:bookmarkEnd w:id="59"/>
    </w:p>
    <w:tbl>
      <w:tblPr>
        <w:tblStyle w:val="TableGrid"/>
        <w:tblW w:w="0" w:type="auto"/>
        <w:jc w:val="center"/>
        <w:tblLook w:val="04A0" w:firstRow="1" w:lastRow="0" w:firstColumn="1" w:lastColumn="0" w:noHBand="0" w:noVBand="1"/>
      </w:tblPr>
      <w:tblGrid>
        <w:gridCol w:w="1576"/>
        <w:gridCol w:w="1576"/>
        <w:gridCol w:w="1576"/>
        <w:gridCol w:w="1576"/>
        <w:gridCol w:w="1576"/>
      </w:tblGrid>
      <w:tr w:rsidR="00562CCE" w:rsidRPr="00D76EE5" w14:paraId="6FC5840E" w14:textId="77777777" w:rsidTr="00650395">
        <w:trPr>
          <w:trHeight w:val="254"/>
          <w:jc w:val="center"/>
        </w:trPr>
        <w:tc>
          <w:tcPr>
            <w:tcW w:w="1576" w:type="dxa"/>
            <w:vAlign w:val="center"/>
          </w:tcPr>
          <w:p w14:paraId="0D4BF45E" w14:textId="77777777" w:rsidR="00562CCE" w:rsidRPr="008C6B9A" w:rsidRDefault="00562CCE" w:rsidP="004309CE">
            <w:pPr>
              <w:spacing w:line="240" w:lineRule="auto"/>
              <w:jc w:val="center"/>
              <w:rPr>
                <w:b/>
                <w:bCs/>
                <w:szCs w:val="24"/>
              </w:rPr>
            </w:pPr>
            <w:r w:rsidRPr="008C6B9A">
              <w:rPr>
                <w:b/>
                <w:bCs/>
                <w:szCs w:val="24"/>
              </w:rPr>
              <w:t>Binder</w:t>
            </w:r>
          </w:p>
        </w:tc>
        <w:tc>
          <w:tcPr>
            <w:tcW w:w="1576" w:type="dxa"/>
            <w:vAlign w:val="center"/>
          </w:tcPr>
          <w:p w14:paraId="35EA8334" w14:textId="77777777" w:rsidR="00562CCE" w:rsidRPr="008C6B9A" w:rsidRDefault="00562CCE" w:rsidP="004309CE">
            <w:pPr>
              <w:spacing w:line="240" w:lineRule="auto"/>
              <w:jc w:val="center"/>
              <w:rPr>
                <w:b/>
                <w:bCs/>
                <w:szCs w:val="24"/>
              </w:rPr>
            </w:pPr>
            <w:r w:rsidRPr="008C6B9A">
              <w:rPr>
                <w:b/>
                <w:bCs/>
                <w:szCs w:val="24"/>
              </w:rPr>
              <w:t xml:space="preserve">S1 </w:t>
            </w:r>
          </w:p>
        </w:tc>
        <w:tc>
          <w:tcPr>
            <w:tcW w:w="1576" w:type="dxa"/>
            <w:vAlign w:val="center"/>
          </w:tcPr>
          <w:p w14:paraId="00B83F8E" w14:textId="77777777" w:rsidR="00562CCE" w:rsidRPr="008C6B9A" w:rsidRDefault="00562CCE" w:rsidP="004309CE">
            <w:pPr>
              <w:spacing w:line="240" w:lineRule="auto"/>
              <w:jc w:val="center"/>
              <w:rPr>
                <w:b/>
                <w:bCs/>
                <w:szCs w:val="24"/>
              </w:rPr>
            </w:pPr>
            <w:r w:rsidRPr="008C6B9A">
              <w:rPr>
                <w:b/>
                <w:bCs/>
                <w:szCs w:val="24"/>
              </w:rPr>
              <w:t xml:space="preserve">S2 </w:t>
            </w:r>
          </w:p>
        </w:tc>
        <w:tc>
          <w:tcPr>
            <w:tcW w:w="1576" w:type="dxa"/>
            <w:vAlign w:val="center"/>
          </w:tcPr>
          <w:p w14:paraId="376AE003" w14:textId="77777777" w:rsidR="00562CCE" w:rsidRPr="008C6B9A" w:rsidRDefault="00562CCE" w:rsidP="004309CE">
            <w:pPr>
              <w:spacing w:line="240" w:lineRule="auto"/>
              <w:jc w:val="center"/>
              <w:rPr>
                <w:b/>
                <w:bCs/>
                <w:szCs w:val="24"/>
              </w:rPr>
            </w:pPr>
            <w:r w:rsidRPr="008C6B9A">
              <w:rPr>
                <w:b/>
                <w:bCs/>
                <w:szCs w:val="24"/>
              </w:rPr>
              <w:t xml:space="preserve">S3 </w:t>
            </w:r>
          </w:p>
        </w:tc>
        <w:tc>
          <w:tcPr>
            <w:tcW w:w="1576" w:type="dxa"/>
            <w:vAlign w:val="center"/>
          </w:tcPr>
          <w:p w14:paraId="1A209A20" w14:textId="77777777" w:rsidR="00562CCE" w:rsidRPr="008C6B9A" w:rsidRDefault="00562CCE" w:rsidP="004309CE">
            <w:pPr>
              <w:spacing w:line="240" w:lineRule="auto"/>
              <w:jc w:val="center"/>
              <w:rPr>
                <w:b/>
                <w:bCs/>
                <w:szCs w:val="24"/>
              </w:rPr>
            </w:pPr>
            <w:r w:rsidRPr="008C6B9A">
              <w:rPr>
                <w:b/>
                <w:bCs/>
                <w:szCs w:val="24"/>
              </w:rPr>
              <w:t>S4</w:t>
            </w:r>
          </w:p>
        </w:tc>
      </w:tr>
      <w:tr w:rsidR="00562CCE" w:rsidRPr="00D76EE5" w14:paraId="26A7D22E" w14:textId="77777777" w:rsidTr="00650395">
        <w:trPr>
          <w:trHeight w:val="254"/>
          <w:jc w:val="center"/>
        </w:trPr>
        <w:tc>
          <w:tcPr>
            <w:tcW w:w="1576" w:type="dxa"/>
            <w:vAlign w:val="center"/>
          </w:tcPr>
          <w:p w14:paraId="07680367" w14:textId="77777777" w:rsidR="00562CCE" w:rsidRPr="008C6B9A" w:rsidRDefault="00562CCE" w:rsidP="004309CE">
            <w:pPr>
              <w:spacing w:line="240" w:lineRule="auto"/>
              <w:jc w:val="center"/>
              <w:rPr>
                <w:b/>
                <w:bCs/>
                <w:szCs w:val="24"/>
              </w:rPr>
            </w:pPr>
            <w:r w:rsidRPr="008C6B9A">
              <w:rPr>
                <w:b/>
                <w:bCs/>
                <w:szCs w:val="24"/>
              </w:rPr>
              <w:t>β</w:t>
            </w:r>
          </w:p>
        </w:tc>
        <w:tc>
          <w:tcPr>
            <w:tcW w:w="1576" w:type="dxa"/>
            <w:vAlign w:val="center"/>
          </w:tcPr>
          <w:p w14:paraId="3C5732B3" w14:textId="77777777" w:rsidR="00562CCE" w:rsidRPr="00D76EE5" w:rsidRDefault="00562CCE" w:rsidP="004309CE">
            <w:pPr>
              <w:spacing w:line="240" w:lineRule="auto"/>
              <w:jc w:val="center"/>
              <w:rPr>
                <w:szCs w:val="24"/>
              </w:rPr>
            </w:pPr>
            <w:r w:rsidRPr="00D76EE5">
              <w:rPr>
                <w:color w:val="000000"/>
                <w:szCs w:val="24"/>
              </w:rPr>
              <w:t>0.000149</w:t>
            </w:r>
          </w:p>
        </w:tc>
        <w:tc>
          <w:tcPr>
            <w:tcW w:w="1576" w:type="dxa"/>
            <w:vAlign w:val="center"/>
          </w:tcPr>
          <w:p w14:paraId="7840E447" w14:textId="77777777" w:rsidR="00562CCE" w:rsidRPr="00D76EE5" w:rsidRDefault="00562CCE" w:rsidP="004309CE">
            <w:pPr>
              <w:spacing w:line="240" w:lineRule="auto"/>
              <w:jc w:val="center"/>
              <w:rPr>
                <w:szCs w:val="24"/>
              </w:rPr>
            </w:pPr>
            <w:r w:rsidRPr="00D76EE5">
              <w:rPr>
                <w:szCs w:val="24"/>
              </w:rPr>
              <w:t>0.000091</w:t>
            </w:r>
          </w:p>
        </w:tc>
        <w:tc>
          <w:tcPr>
            <w:tcW w:w="1576" w:type="dxa"/>
            <w:vAlign w:val="center"/>
          </w:tcPr>
          <w:p w14:paraId="6C825D2B" w14:textId="77777777" w:rsidR="00562CCE" w:rsidRPr="00D76EE5" w:rsidRDefault="00562CCE" w:rsidP="004309CE">
            <w:pPr>
              <w:spacing w:line="240" w:lineRule="auto"/>
              <w:jc w:val="center"/>
              <w:rPr>
                <w:szCs w:val="24"/>
              </w:rPr>
            </w:pPr>
            <w:r w:rsidRPr="00D76EE5">
              <w:rPr>
                <w:color w:val="000000"/>
                <w:szCs w:val="24"/>
              </w:rPr>
              <w:t>0.000029</w:t>
            </w:r>
          </w:p>
        </w:tc>
        <w:tc>
          <w:tcPr>
            <w:tcW w:w="1576" w:type="dxa"/>
            <w:vAlign w:val="center"/>
          </w:tcPr>
          <w:p w14:paraId="603D31AE" w14:textId="77777777" w:rsidR="00562CCE" w:rsidRPr="00D76EE5" w:rsidRDefault="00562CCE" w:rsidP="004309CE">
            <w:pPr>
              <w:spacing w:line="240" w:lineRule="auto"/>
              <w:jc w:val="center"/>
              <w:rPr>
                <w:szCs w:val="24"/>
              </w:rPr>
            </w:pPr>
            <w:r w:rsidRPr="00D76EE5">
              <w:rPr>
                <w:color w:val="000000"/>
                <w:szCs w:val="24"/>
              </w:rPr>
              <w:t>0.000125</w:t>
            </w:r>
          </w:p>
        </w:tc>
      </w:tr>
      <w:tr w:rsidR="00562CCE" w:rsidRPr="00D76EE5" w14:paraId="0E397541" w14:textId="77777777" w:rsidTr="00650395">
        <w:trPr>
          <w:trHeight w:val="254"/>
          <w:jc w:val="center"/>
        </w:trPr>
        <w:tc>
          <w:tcPr>
            <w:tcW w:w="1576" w:type="dxa"/>
            <w:vAlign w:val="center"/>
          </w:tcPr>
          <w:p w14:paraId="0F36ECC1" w14:textId="77777777" w:rsidR="00562CCE" w:rsidRPr="008C6B9A" w:rsidRDefault="007F7885" w:rsidP="004309CE">
            <w:pPr>
              <w:spacing w:line="240" w:lineRule="auto"/>
              <w:jc w:val="center"/>
              <w:rPr>
                <w:b/>
                <w:bCs/>
                <w:szCs w:val="24"/>
              </w:rPr>
            </w:pPr>
            <m:oMath>
              <m:sSub>
                <m:sSubPr>
                  <m:ctrlPr>
                    <w:rPr>
                      <w:rFonts w:ascii="Cambria Math" w:eastAsiaTheme="minorEastAsia" w:hAnsi="Cambria Math"/>
                      <w:b/>
                      <w:bCs/>
                      <w:i/>
                      <w:szCs w:val="24"/>
                    </w:rPr>
                  </m:ctrlPr>
                </m:sSubPr>
                <m:e>
                  <m:r>
                    <m:rPr>
                      <m:sty m:val="b"/>
                    </m:rPr>
                    <w:rPr>
                      <w:rFonts w:ascii="Cambria Math" w:eastAsiaTheme="minorEastAsia" w:hAnsi="Cambria Math"/>
                      <w:szCs w:val="24"/>
                    </w:rPr>
                    <m:t>Γ</m:t>
                  </m:r>
                </m:e>
                <m:sub>
                  <m:r>
                    <m:rPr>
                      <m:sty m:val="bi"/>
                    </m:rPr>
                    <w:rPr>
                      <w:rFonts w:ascii="Cambria Math" w:eastAsiaTheme="minorEastAsia" w:hAnsi="Cambria Math"/>
                      <w:szCs w:val="24"/>
                    </w:rPr>
                    <m:t>A</m:t>
                  </m:r>
                </m:sub>
              </m:sSub>
            </m:oMath>
            <w:r w:rsidR="00562CCE" w:rsidRPr="008C6B9A">
              <w:rPr>
                <w:b/>
                <w:bCs/>
                <w:color w:val="000000"/>
                <w:szCs w:val="24"/>
              </w:rPr>
              <w:t xml:space="preserve"> (</w:t>
            </w:r>
            <w:r w:rsidR="00562CCE" w:rsidRPr="008C6B9A">
              <w:rPr>
                <w:b/>
                <w:bCs/>
                <w:szCs w:val="24"/>
              </w:rPr>
              <w:t>mJ/m</w:t>
            </w:r>
            <w:r w:rsidR="00562CCE" w:rsidRPr="008C6B9A">
              <w:rPr>
                <w:b/>
                <w:bCs/>
                <w:szCs w:val="24"/>
                <w:vertAlign w:val="superscript"/>
              </w:rPr>
              <w:t>2</w:t>
            </w:r>
            <w:r w:rsidR="00562CCE" w:rsidRPr="008C6B9A">
              <w:rPr>
                <w:b/>
                <w:bCs/>
                <w:szCs w:val="24"/>
              </w:rPr>
              <w:t>)</w:t>
            </w:r>
          </w:p>
        </w:tc>
        <w:tc>
          <w:tcPr>
            <w:tcW w:w="1576" w:type="dxa"/>
            <w:vAlign w:val="center"/>
          </w:tcPr>
          <w:p w14:paraId="49256AE0" w14:textId="77777777" w:rsidR="00562CCE" w:rsidRPr="00D76EE5" w:rsidRDefault="00562CCE" w:rsidP="004309CE">
            <w:pPr>
              <w:spacing w:line="240" w:lineRule="auto"/>
              <w:jc w:val="center"/>
              <w:rPr>
                <w:szCs w:val="24"/>
              </w:rPr>
            </w:pPr>
            <w:r w:rsidRPr="00D76EE5">
              <w:rPr>
                <w:color w:val="000000"/>
                <w:szCs w:val="24"/>
              </w:rPr>
              <w:t>21.16</w:t>
            </w:r>
          </w:p>
        </w:tc>
        <w:tc>
          <w:tcPr>
            <w:tcW w:w="1576" w:type="dxa"/>
            <w:vAlign w:val="center"/>
          </w:tcPr>
          <w:p w14:paraId="3B81E725" w14:textId="77777777" w:rsidR="00562CCE" w:rsidRPr="00D76EE5" w:rsidRDefault="00562CCE" w:rsidP="004309CE">
            <w:pPr>
              <w:spacing w:line="240" w:lineRule="auto"/>
              <w:jc w:val="center"/>
              <w:rPr>
                <w:szCs w:val="24"/>
              </w:rPr>
            </w:pPr>
            <w:r w:rsidRPr="00D76EE5">
              <w:rPr>
                <w:szCs w:val="24"/>
              </w:rPr>
              <w:t>16.92</w:t>
            </w:r>
          </w:p>
        </w:tc>
        <w:tc>
          <w:tcPr>
            <w:tcW w:w="1576" w:type="dxa"/>
            <w:vAlign w:val="center"/>
          </w:tcPr>
          <w:p w14:paraId="018D5322" w14:textId="77777777" w:rsidR="00562CCE" w:rsidRPr="00D76EE5" w:rsidRDefault="00562CCE" w:rsidP="004309CE">
            <w:pPr>
              <w:spacing w:line="240" w:lineRule="auto"/>
              <w:jc w:val="center"/>
              <w:rPr>
                <w:szCs w:val="24"/>
              </w:rPr>
            </w:pPr>
            <w:r w:rsidRPr="00D76EE5">
              <w:rPr>
                <w:color w:val="000000"/>
                <w:szCs w:val="24"/>
              </w:rPr>
              <w:t>10.87</w:t>
            </w:r>
          </w:p>
        </w:tc>
        <w:tc>
          <w:tcPr>
            <w:tcW w:w="1576" w:type="dxa"/>
            <w:vAlign w:val="center"/>
          </w:tcPr>
          <w:p w14:paraId="25BAE6EA" w14:textId="77777777" w:rsidR="00562CCE" w:rsidRPr="00D76EE5" w:rsidRDefault="00562CCE" w:rsidP="004309CE">
            <w:pPr>
              <w:spacing w:line="240" w:lineRule="auto"/>
              <w:jc w:val="center"/>
              <w:rPr>
                <w:szCs w:val="24"/>
              </w:rPr>
            </w:pPr>
            <w:r w:rsidRPr="00D76EE5">
              <w:rPr>
                <w:color w:val="000000"/>
                <w:szCs w:val="24"/>
              </w:rPr>
              <w:t>18.02</w:t>
            </w:r>
          </w:p>
        </w:tc>
      </w:tr>
    </w:tbl>
    <w:p w14:paraId="4D540036" w14:textId="77777777" w:rsidR="00562CCE" w:rsidRDefault="00562CCE" w:rsidP="00562CCE">
      <w:pPr>
        <w:spacing w:line="360" w:lineRule="auto"/>
        <w:rPr>
          <w:rFonts w:cs="Times New Roman"/>
          <w:szCs w:val="24"/>
        </w:rPr>
      </w:pPr>
    </w:p>
    <w:p w14:paraId="2A9905A7" w14:textId="46B3CD39" w:rsidR="00562CCE" w:rsidRPr="007E3A5F" w:rsidRDefault="002438A2" w:rsidP="00537471">
      <w:pPr>
        <w:pStyle w:val="Caption"/>
        <w:spacing w:line="480" w:lineRule="auto"/>
        <w:jc w:val="center"/>
        <w:rPr>
          <w:szCs w:val="24"/>
        </w:rPr>
      </w:pPr>
      <w:bookmarkStart w:id="60" w:name="_Toc71330983"/>
      <w:r>
        <w:t xml:space="preserve">Table </w:t>
      </w:r>
      <w:fldSimple w:instr=" STYLEREF 1 \s ">
        <w:r w:rsidR="005050F0">
          <w:rPr>
            <w:noProof/>
          </w:rPr>
          <w:t>2</w:t>
        </w:r>
      </w:fldSimple>
      <w:r w:rsidR="00700639">
        <w:t>.</w:t>
      </w:r>
      <w:fldSimple w:instr=" SEQ Table \* ARABIC \s 1 ">
        <w:r w:rsidR="005050F0">
          <w:rPr>
            <w:noProof/>
          </w:rPr>
          <w:t>12</w:t>
        </w:r>
      </w:fldSimple>
      <w:r>
        <w:t xml:space="preserve"> </w:t>
      </w:r>
      <w:r w:rsidR="00562CCE" w:rsidRPr="007E3A5F">
        <w:rPr>
          <w:szCs w:val="24"/>
        </w:rPr>
        <w:t>Difference</w:t>
      </w:r>
      <w:r w:rsidR="00562CCE">
        <w:rPr>
          <w:szCs w:val="24"/>
        </w:rPr>
        <w:t>s</w:t>
      </w:r>
      <w:r w:rsidR="00562CCE" w:rsidRPr="007E3A5F">
        <w:rPr>
          <w:szCs w:val="24"/>
        </w:rPr>
        <w:t xml:space="preserve"> </w:t>
      </w:r>
      <w:r w:rsidR="00562CCE">
        <w:rPr>
          <w:szCs w:val="24"/>
        </w:rPr>
        <w:t>in Measured and Predicted C</w:t>
      </w:r>
      <w:r w:rsidR="00562CCE" w:rsidRPr="007E3A5F">
        <w:rPr>
          <w:szCs w:val="24"/>
        </w:rPr>
        <w:t xml:space="preserve">ontact </w:t>
      </w:r>
      <w:r w:rsidR="00562CCE">
        <w:rPr>
          <w:szCs w:val="24"/>
        </w:rPr>
        <w:t>A</w:t>
      </w:r>
      <w:r w:rsidR="00562CCE" w:rsidRPr="007E3A5F">
        <w:rPr>
          <w:szCs w:val="24"/>
        </w:rPr>
        <w:t xml:space="preserve">ngles from Neumann </w:t>
      </w:r>
      <w:r w:rsidR="00562CCE">
        <w:rPr>
          <w:szCs w:val="24"/>
        </w:rPr>
        <w:t>M</w:t>
      </w:r>
      <w:r w:rsidR="00562CCE" w:rsidRPr="007E3A5F">
        <w:rPr>
          <w:szCs w:val="24"/>
        </w:rPr>
        <w:t>ethod</w:t>
      </w:r>
      <w:bookmarkEnd w:id="60"/>
    </w:p>
    <w:tbl>
      <w:tblPr>
        <w:tblW w:w="80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86"/>
        <w:gridCol w:w="1717"/>
        <w:gridCol w:w="1376"/>
        <w:gridCol w:w="1376"/>
        <w:gridCol w:w="1284"/>
      </w:tblGrid>
      <w:tr w:rsidR="00562CCE" w:rsidRPr="00401B79" w14:paraId="1735FE7B" w14:textId="77777777" w:rsidTr="00650395">
        <w:trPr>
          <w:trHeight w:val="106"/>
          <w:jc w:val="center"/>
        </w:trPr>
        <w:tc>
          <w:tcPr>
            <w:tcW w:w="2286" w:type="dxa"/>
            <w:vMerge w:val="restart"/>
            <w:shd w:val="clear" w:color="auto" w:fill="auto"/>
            <w:noWrap/>
            <w:vAlign w:val="center"/>
            <w:hideMark/>
          </w:tcPr>
          <w:p w14:paraId="4B7A945C" w14:textId="77777777" w:rsidR="00562CCE" w:rsidRPr="008C6B9A" w:rsidRDefault="00562CCE" w:rsidP="00650395">
            <w:pPr>
              <w:spacing w:line="240" w:lineRule="auto"/>
              <w:jc w:val="center"/>
              <w:rPr>
                <w:rFonts w:eastAsia="Times New Roman" w:cs="Times New Roman"/>
                <w:b/>
                <w:bCs/>
                <w:color w:val="000000"/>
              </w:rPr>
            </w:pPr>
            <w:r w:rsidRPr="008C6B9A">
              <w:rPr>
                <w:rFonts w:eastAsia="Times New Roman" w:cs="Times New Roman"/>
                <w:b/>
                <w:bCs/>
                <w:color w:val="000000"/>
              </w:rPr>
              <w:t>Probe Liquid</w:t>
            </w:r>
          </w:p>
        </w:tc>
        <w:tc>
          <w:tcPr>
            <w:tcW w:w="5753" w:type="dxa"/>
            <w:gridSpan w:val="4"/>
            <w:shd w:val="clear" w:color="auto" w:fill="auto"/>
            <w:vAlign w:val="center"/>
          </w:tcPr>
          <w:p w14:paraId="389A6C35" w14:textId="77777777" w:rsidR="00562CCE" w:rsidRPr="008C6B9A" w:rsidRDefault="00562CCE" w:rsidP="00650395">
            <w:pPr>
              <w:spacing w:line="240" w:lineRule="auto"/>
              <w:jc w:val="center"/>
              <w:rPr>
                <w:rFonts w:eastAsia="Times New Roman" w:cs="Times New Roman"/>
                <w:b/>
                <w:bCs/>
                <w:color w:val="000000"/>
              </w:rPr>
            </w:pPr>
            <w:r w:rsidRPr="008C6B9A">
              <w:rPr>
                <w:rFonts w:eastAsia="Times New Roman" w:cs="Times New Roman"/>
                <w:b/>
                <w:bCs/>
                <w:color w:val="000000"/>
              </w:rPr>
              <w:t>Change in Contact Angle, |Δθ| (</w:t>
            </w:r>
            <w:r w:rsidRPr="008C6B9A">
              <w:rPr>
                <w:rFonts w:eastAsia="Times New Roman" w:cs="Times New Roman"/>
                <w:b/>
                <w:bCs/>
                <w:color w:val="000000"/>
              </w:rPr>
              <w:sym w:font="Symbol" w:char="F0B0"/>
            </w:r>
            <w:r w:rsidRPr="008C6B9A">
              <w:rPr>
                <w:rFonts w:eastAsia="Times New Roman" w:cs="Times New Roman"/>
                <w:b/>
                <w:bCs/>
                <w:color w:val="000000"/>
              </w:rPr>
              <w:t>)</w:t>
            </w:r>
          </w:p>
        </w:tc>
      </w:tr>
      <w:tr w:rsidR="00562CCE" w:rsidRPr="00401B79" w14:paraId="5B02E7D3" w14:textId="77777777" w:rsidTr="00650395">
        <w:trPr>
          <w:trHeight w:val="66"/>
          <w:jc w:val="center"/>
        </w:trPr>
        <w:tc>
          <w:tcPr>
            <w:tcW w:w="2286" w:type="dxa"/>
            <w:vMerge/>
            <w:shd w:val="clear" w:color="auto" w:fill="auto"/>
            <w:noWrap/>
            <w:vAlign w:val="center"/>
          </w:tcPr>
          <w:p w14:paraId="0D706444" w14:textId="77777777" w:rsidR="00562CCE" w:rsidRPr="008C6B9A" w:rsidRDefault="00562CCE" w:rsidP="00650395">
            <w:pPr>
              <w:spacing w:line="240" w:lineRule="auto"/>
              <w:jc w:val="center"/>
              <w:rPr>
                <w:rFonts w:eastAsia="Times New Roman" w:cs="Times New Roman"/>
                <w:b/>
                <w:bCs/>
                <w:color w:val="000000"/>
              </w:rPr>
            </w:pPr>
          </w:p>
        </w:tc>
        <w:tc>
          <w:tcPr>
            <w:tcW w:w="1717" w:type="dxa"/>
            <w:shd w:val="clear" w:color="auto" w:fill="auto"/>
            <w:vAlign w:val="center"/>
          </w:tcPr>
          <w:p w14:paraId="2BC3454B" w14:textId="77777777" w:rsidR="00562CCE" w:rsidRPr="00E80694" w:rsidRDefault="00562CCE" w:rsidP="00650395">
            <w:pPr>
              <w:spacing w:line="240" w:lineRule="auto"/>
              <w:jc w:val="center"/>
              <w:rPr>
                <w:rFonts w:eastAsia="Times New Roman" w:cs="Times New Roman"/>
                <w:color w:val="000000"/>
              </w:rPr>
            </w:pPr>
            <w:r w:rsidRPr="00E80694">
              <w:rPr>
                <w:rFonts w:eastAsia="Times New Roman" w:cs="Times New Roman"/>
                <w:color w:val="000000"/>
              </w:rPr>
              <w:t>S1 Binder</w:t>
            </w:r>
          </w:p>
        </w:tc>
        <w:tc>
          <w:tcPr>
            <w:tcW w:w="1376" w:type="dxa"/>
          </w:tcPr>
          <w:p w14:paraId="7D4617BF" w14:textId="77777777" w:rsidR="00562CCE" w:rsidRPr="00E80694" w:rsidRDefault="00562CCE" w:rsidP="00650395">
            <w:pPr>
              <w:spacing w:line="240" w:lineRule="auto"/>
              <w:jc w:val="center"/>
              <w:rPr>
                <w:rFonts w:eastAsia="Times New Roman" w:cs="Times New Roman"/>
                <w:color w:val="000000"/>
              </w:rPr>
            </w:pPr>
            <w:r w:rsidRPr="00E80694">
              <w:rPr>
                <w:rFonts w:eastAsia="Times New Roman" w:cs="Times New Roman"/>
                <w:color w:val="000000"/>
              </w:rPr>
              <w:t>S2 Binder</w:t>
            </w:r>
          </w:p>
        </w:tc>
        <w:tc>
          <w:tcPr>
            <w:tcW w:w="1376" w:type="dxa"/>
            <w:shd w:val="clear" w:color="auto" w:fill="auto"/>
            <w:vAlign w:val="center"/>
          </w:tcPr>
          <w:p w14:paraId="050A01DC" w14:textId="77777777" w:rsidR="00562CCE" w:rsidRPr="00E80694" w:rsidRDefault="00562CCE" w:rsidP="00650395">
            <w:pPr>
              <w:spacing w:line="240" w:lineRule="auto"/>
              <w:jc w:val="center"/>
              <w:rPr>
                <w:rFonts w:eastAsia="Times New Roman" w:cs="Times New Roman"/>
                <w:color w:val="000000"/>
              </w:rPr>
            </w:pPr>
            <w:r w:rsidRPr="00E80694">
              <w:rPr>
                <w:rFonts w:eastAsia="Times New Roman" w:cs="Times New Roman"/>
                <w:color w:val="000000"/>
              </w:rPr>
              <w:t>S3 Binder</w:t>
            </w:r>
          </w:p>
        </w:tc>
        <w:tc>
          <w:tcPr>
            <w:tcW w:w="1282" w:type="dxa"/>
            <w:shd w:val="clear" w:color="auto" w:fill="auto"/>
            <w:noWrap/>
            <w:vAlign w:val="center"/>
          </w:tcPr>
          <w:p w14:paraId="6BF617FB" w14:textId="77777777" w:rsidR="00562CCE" w:rsidRPr="00E80694" w:rsidRDefault="00562CCE" w:rsidP="00650395">
            <w:pPr>
              <w:spacing w:line="240" w:lineRule="auto"/>
              <w:jc w:val="center"/>
              <w:rPr>
                <w:rFonts w:eastAsia="Times New Roman" w:cs="Times New Roman"/>
                <w:color w:val="000000"/>
              </w:rPr>
            </w:pPr>
            <w:r w:rsidRPr="00E80694">
              <w:rPr>
                <w:rFonts w:eastAsia="Times New Roman" w:cs="Times New Roman"/>
                <w:color w:val="000000"/>
              </w:rPr>
              <w:t>S4 Binder</w:t>
            </w:r>
          </w:p>
        </w:tc>
      </w:tr>
      <w:tr w:rsidR="00562CCE" w:rsidRPr="00401B79" w14:paraId="383F5DAB" w14:textId="77777777" w:rsidTr="00650395">
        <w:trPr>
          <w:trHeight w:val="232"/>
          <w:jc w:val="center"/>
        </w:trPr>
        <w:tc>
          <w:tcPr>
            <w:tcW w:w="2286" w:type="dxa"/>
            <w:shd w:val="clear" w:color="auto" w:fill="auto"/>
            <w:noWrap/>
            <w:vAlign w:val="center"/>
            <w:hideMark/>
          </w:tcPr>
          <w:p w14:paraId="19847C5F" w14:textId="77777777" w:rsidR="00562CCE" w:rsidRPr="008C6B9A" w:rsidRDefault="00562CCE" w:rsidP="00650395">
            <w:pPr>
              <w:spacing w:line="240" w:lineRule="auto"/>
              <w:jc w:val="center"/>
              <w:rPr>
                <w:rFonts w:eastAsia="Times New Roman" w:cs="Times New Roman"/>
                <w:b/>
                <w:bCs/>
                <w:color w:val="000000"/>
              </w:rPr>
            </w:pPr>
            <w:r w:rsidRPr="008C6B9A">
              <w:rPr>
                <w:rFonts w:eastAsia="Times New Roman" w:cs="Times New Roman"/>
                <w:b/>
                <w:bCs/>
                <w:color w:val="000000"/>
              </w:rPr>
              <w:t>Water</w:t>
            </w:r>
          </w:p>
        </w:tc>
        <w:tc>
          <w:tcPr>
            <w:tcW w:w="1717" w:type="dxa"/>
            <w:shd w:val="clear" w:color="auto" w:fill="auto"/>
            <w:noWrap/>
            <w:vAlign w:val="center"/>
            <w:hideMark/>
          </w:tcPr>
          <w:p w14:paraId="0AA3FF83" w14:textId="77777777" w:rsidR="00562CCE" w:rsidRPr="00401B79" w:rsidRDefault="00562CCE" w:rsidP="00650395">
            <w:pPr>
              <w:spacing w:line="240" w:lineRule="auto"/>
              <w:jc w:val="center"/>
              <w:rPr>
                <w:rFonts w:eastAsia="Times New Roman" w:cs="Times New Roman"/>
                <w:color w:val="000000"/>
              </w:rPr>
            </w:pPr>
            <w:r w:rsidRPr="00401B79">
              <w:rPr>
                <w:rFonts w:eastAsia="Times New Roman" w:cs="Times New Roman"/>
                <w:color w:val="000000"/>
              </w:rPr>
              <w:t>1.47</w:t>
            </w:r>
          </w:p>
        </w:tc>
        <w:tc>
          <w:tcPr>
            <w:tcW w:w="1376" w:type="dxa"/>
            <w:vAlign w:val="bottom"/>
          </w:tcPr>
          <w:p w14:paraId="508E0481" w14:textId="77777777" w:rsidR="00562CCE" w:rsidRPr="00401B79" w:rsidRDefault="00562CCE" w:rsidP="00650395">
            <w:pPr>
              <w:spacing w:line="240" w:lineRule="auto"/>
              <w:jc w:val="center"/>
              <w:rPr>
                <w:rFonts w:eastAsia="Times New Roman" w:cs="Times New Roman"/>
                <w:color w:val="000000"/>
              </w:rPr>
            </w:pPr>
            <w:r w:rsidRPr="00401B79">
              <w:rPr>
                <w:rFonts w:cs="Times New Roman"/>
                <w:color w:val="000000"/>
              </w:rPr>
              <w:t>0.17</w:t>
            </w:r>
          </w:p>
        </w:tc>
        <w:tc>
          <w:tcPr>
            <w:tcW w:w="1376" w:type="dxa"/>
            <w:shd w:val="clear" w:color="auto" w:fill="auto"/>
            <w:noWrap/>
            <w:vAlign w:val="center"/>
            <w:hideMark/>
          </w:tcPr>
          <w:p w14:paraId="734FA060" w14:textId="77777777" w:rsidR="00562CCE" w:rsidRPr="00401B79" w:rsidRDefault="00562CCE" w:rsidP="00650395">
            <w:pPr>
              <w:spacing w:line="240" w:lineRule="auto"/>
              <w:jc w:val="center"/>
              <w:rPr>
                <w:rFonts w:eastAsia="Times New Roman" w:cs="Times New Roman"/>
                <w:color w:val="000000"/>
              </w:rPr>
            </w:pPr>
            <w:r w:rsidRPr="00401B79">
              <w:rPr>
                <w:rFonts w:eastAsia="Times New Roman" w:cs="Times New Roman"/>
                <w:color w:val="000000"/>
              </w:rPr>
              <w:t>0.86</w:t>
            </w:r>
          </w:p>
        </w:tc>
        <w:tc>
          <w:tcPr>
            <w:tcW w:w="1282" w:type="dxa"/>
            <w:shd w:val="clear" w:color="auto" w:fill="auto"/>
            <w:noWrap/>
            <w:vAlign w:val="center"/>
            <w:hideMark/>
          </w:tcPr>
          <w:p w14:paraId="50C88912" w14:textId="77777777" w:rsidR="00562CCE" w:rsidRPr="00401B79" w:rsidRDefault="00562CCE" w:rsidP="00650395">
            <w:pPr>
              <w:spacing w:line="240" w:lineRule="auto"/>
              <w:jc w:val="center"/>
              <w:rPr>
                <w:rFonts w:eastAsia="Times New Roman" w:cs="Times New Roman"/>
                <w:color w:val="000000"/>
              </w:rPr>
            </w:pPr>
            <w:r w:rsidRPr="00401B79">
              <w:rPr>
                <w:rFonts w:eastAsia="Times New Roman" w:cs="Times New Roman"/>
                <w:color w:val="000000"/>
              </w:rPr>
              <w:t>0.66</w:t>
            </w:r>
          </w:p>
        </w:tc>
      </w:tr>
      <w:tr w:rsidR="00562CCE" w:rsidRPr="00401B79" w14:paraId="0E451B6D" w14:textId="77777777" w:rsidTr="00650395">
        <w:trPr>
          <w:trHeight w:val="232"/>
          <w:jc w:val="center"/>
        </w:trPr>
        <w:tc>
          <w:tcPr>
            <w:tcW w:w="2286" w:type="dxa"/>
            <w:shd w:val="clear" w:color="auto" w:fill="auto"/>
            <w:noWrap/>
            <w:vAlign w:val="center"/>
            <w:hideMark/>
          </w:tcPr>
          <w:p w14:paraId="71F932B3" w14:textId="77777777" w:rsidR="00562CCE" w:rsidRPr="008C6B9A" w:rsidRDefault="00562CCE" w:rsidP="00650395">
            <w:pPr>
              <w:spacing w:line="240" w:lineRule="auto"/>
              <w:jc w:val="center"/>
              <w:rPr>
                <w:rFonts w:eastAsia="Times New Roman" w:cs="Times New Roman"/>
                <w:b/>
                <w:bCs/>
                <w:color w:val="000000"/>
              </w:rPr>
            </w:pPr>
            <w:r w:rsidRPr="008C6B9A">
              <w:rPr>
                <w:rFonts w:eastAsia="Times New Roman" w:cs="Times New Roman"/>
                <w:b/>
                <w:bCs/>
                <w:color w:val="000000"/>
              </w:rPr>
              <w:t>Glycerol</w:t>
            </w:r>
          </w:p>
        </w:tc>
        <w:tc>
          <w:tcPr>
            <w:tcW w:w="1717" w:type="dxa"/>
            <w:shd w:val="clear" w:color="auto" w:fill="auto"/>
            <w:noWrap/>
            <w:vAlign w:val="center"/>
            <w:hideMark/>
          </w:tcPr>
          <w:p w14:paraId="001AE51B" w14:textId="77777777" w:rsidR="00562CCE" w:rsidRPr="00401B79" w:rsidRDefault="00562CCE" w:rsidP="00650395">
            <w:pPr>
              <w:spacing w:line="240" w:lineRule="auto"/>
              <w:jc w:val="center"/>
              <w:rPr>
                <w:rFonts w:eastAsia="Times New Roman" w:cs="Times New Roman"/>
                <w:color w:val="000000"/>
              </w:rPr>
            </w:pPr>
            <w:r w:rsidRPr="00401B79">
              <w:rPr>
                <w:rFonts w:eastAsia="Times New Roman" w:cs="Times New Roman"/>
                <w:color w:val="000000"/>
              </w:rPr>
              <w:t>2.81</w:t>
            </w:r>
          </w:p>
        </w:tc>
        <w:tc>
          <w:tcPr>
            <w:tcW w:w="1376" w:type="dxa"/>
            <w:vAlign w:val="bottom"/>
          </w:tcPr>
          <w:p w14:paraId="22D3FBD3" w14:textId="77777777" w:rsidR="00562CCE" w:rsidRPr="00401B79" w:rsidRDefault="00562CCE" w:rsidP="00650395">
            <w:pPr>
              <w:spacing w:line="240" w:lineRule="auto"/>
              <w:jc w:val="center"/>
              <w:rPr>
                <w:rFonts w:eastAsia="Times New Roman" w:cs="Times New Roman"/>
                <w:color w:val="000000"/>
              </w:rPr>
            </w:pPr>
            <w:r w:rsidRPr="00401B79">
              <w:rPr>
                <w:rFonts w:cs="Times New Roman"/>
                <w:color w:val="000000"/>
              </w:rPr>
              <w:t>0.90</w:t>
            </w:r>
          </w:p>
        </w:tc>
        <w:tc>
          <w:tcPr>
            <w:tcW w:w="1376" w:type="dxa"/>
            <w:shd w:val="clear" w:color="auto" w:fill="auto"/>
            <w:noWrap/>
            <w:vAlign w:val="center"/>
            <w:hideMark/>
          </w:tcPr>
          <w:p w14:paraId="39709E47" w14:textId="77777777" w:rsidR="00562CCE" w:rsidRPr="00401B79" w:rsidRDefault="00562CCE" w:rsidP="00650395">
            <w:pPr>
              <w:spacing w:line="240" w:lineRule="auto"/>
              <w:jc w:val="center"/>
              <w:rPr>
                <w:rFonts w:eastAsia="Times New Roman" w:cs="Times New Roman"/>
                <w:color w:val="000000"/>
              </w:rPr>
            </w:pPr>
            <w:r w:rsidRPr="00401B79">
              <w:rPr>
                <w:rFonts w:eastAsia="Times New Roman" w:cs="Times New Roman"/>
                <w:color w:val="000000"/>
              </w:rPr>
              <w:t>1.57</w:t>
            </w:r>
          </w:p>
        </w:tc>
        <w:tc>
          <w:tcPr>
            <w:tcW w:w="1282" w:type="dxa"/>
            <w:shd w:val="clear" w:color="auto" w:fill="auto"/>
            <w:noWrap/>
            <w:vAlign w:val="center"/>
            <w:hideMark/>
          </w:tcPr>
          <w:p w14:paraId="3074DCBD" w14:textId="77777777" w:rsidR="00562CCE" w:rsidRPr="00401B79" w:rsidRDefault="00562CCE" w:rsidP="00650395">
            <w:pPr>
              <w:spacing w:line="240" w:lineRule="auto"/>
              <w:jc w:val="center"/>
              <w:rPr>
                <w:rFonts w:eastAsia="Times New Roman" w:cs="Times New Roman"/>
                <w:color w:val="000000"/>
              </w:rPr>
            </w:pPr>
            <w:r w:rsidRPr="00401B79">
              <w:rPr>
                <w:rFonts w:eastAsia="Times New Roman" w:cs="Times New Roman"/>
                <w:color w:val="000000"/>
              </w:rPr>
              <w:t>1.53</w:t>
            </w:r>
          </w:p>
        </w:tc>
      </w:tr>
      <w:tr w:rsidR="00562CCE" w:rsidRPr="00401B79" w14:paraId="2F23B2C5" w14:textId="77777777" w:rsidTr="00650395">
        <w:trPr>
          <w:trHeight w:val="232"/>
          <w:jc w:val="center"/>
        </w:trPr>
        <w:tc>
          <w:tcPr>
            <w:tcW w:w="2286" w:type="dxa"/>
            <w:shd w:val="clear" w:color="auto" w:fill="auto"/>
            <w:noWrap/>
            <w:vAlign w:val="center"/>
            <w:hideMark/>
          </w:tcPr>
          <w:p w14:paraId="0C39D322" w14:textId="77777777" w:rsidR="00562CCE" w:rsidRPr="008C6B9A" w:rsidRDefault="00562CCE" w:rsidP="00650395">
            <w:pPr>
              <w:spacing w:line="240" w:lineRule="auto"/>
              <w:jc w:val="center"/>
              <w:rPr>
                <w:rFonts w:eastAsia="Times New Roman" w:cs="Times New Roman"/>
                <w:b/>
                <w:bCs/>
                <w:color w:val="000000"/>
              </w:rPr>
            </w:pPr>
            <w:r w:rsidRPr="008C6B9A">
              <w:rPr>
                <w:rFonts w:eastAsia="Times New Roman" w:cs="Times New Roman"/>
                <w:b/>
                <w:bCs/>
                <w:color w:val="000000"/>
              </w:rPr>
              <w:t>Formamide</w:t>
            </w:r>
          </w:p>
        </w:tc>
        <w:tc>
          <w:tcPr>
            <w:tcW w:w="1717" w:type="dxa"/>
            <w:shd w:val="clear" w:color="auto" w:fill="auto"/>
            <w:noWrap/>
            <w:vAlign w:val="center"/>
            <w:hideMark/>
          </w:tcPr>
          <w:p w14:paraId="21656B1D" w14:textId="77777777" w:rsidR="00562CCE" w:rsidRPr="00401B79" w:rsidRDefault="00562CCE" w:rsidP="00650395">
            <w:pPr>
              <w:spacing w:line="240" w:lineRule="auto"/>
              <w:jc w:val="center"/>
              <w:rPr>
                <w:rFonts w:eastAsia="Times New Roman" w:cs="Times New Roman"/>
                <w:color w:val="000000"/>
              </w:rPr>
            </w:pPr>
            <w:r w:rsidRPr="00401B79">
              <w:rPr>
                <w:rFonts w:eastAsia="Times New Roman" w:cs="Times New Roman"/>
                <w:color w:val="000000"/>
              </w:rPr>
              <w:t>0.17</w:t>
            </w:r>
          </w:p>
        </w:tc>
        <w:tc>
          <w:tcPr>
            <w:tcW w:w="1376" w:type="dxa"/>
            <w:vAlign w:val="bottom"/>
          </w:tcPr>
          <w:p w14:paraId="4ACAEE02" w14:textId="77777777" w:rsidR="00562CCE" w:rsidRPr="00401B79" w:rsidRDefault="00562CCE" w:rsidP="00650395">
            <w:pPr>
              <w:spacing w:line="240" w:lineRule="auto"/>
              <w:jc w:val="center"/>
              <w:rPr>
                <w:rFonts w:eastAsia="Times New Roman" w:cs="Times New Roman"/>
                <w:color w:val="000000"/>
              </w:rPr>
            </w:pPr>
            <w:r w:rsidRPr="00401B79">
              <w:rPr>
                <w:rFonts w:cs="Times New Roman"/>
                <w:color w:val="000000"/>
              </w:rPr>
              <w:t>1.40</w:t>
            </w:r>
          </w:p>
        </w:tc>
        <w:tc>
          <w:tcPr>
            <w:tcW w:w="1376" w:type="dxa"/>
            <w:shd w:val="clear" w:color="auto" w:fill="auto"/>
            <w:noWrap/>
            <w:vAlign w:val="center"/>
            <w:hideMark/>
          </w:tcPr>
          <w:p w14:paraId="66199E96" w14:textId="77777777" w:rsidR="00562CCE" w:rsidRPr="00401B79" w:rsidRDefault="00562CCE" w:rsidP="00650395">
            <w:pPr>
              <w:spacing w:line="240" w:lineRule="auto"/>
              <w:jc w:val="center"/>
              <w:rPr>
                <w:rFonts w:eastAsia="Times New Roman" w:cs="Times New Roman"/>
                <w:color w:val="000000"/>
              </w:rPr>
            </w:pPr>
            <w:r w:rsidRPr="00401B79">
              <w:rPr>
                <w:rFonts w:eastAsia="Times New Roman" w:cs="Times New Roman"/>
                <w:color w:val="000000"/>
              </w:rPr>
              <w:t>0.33</w:t>
            </w:r>
          </w:p>
        </w:tc>
        <w:tc>
          <w:tcPr>
            <w:tcW w:w="1282" w:type="dxa"/>
            <w:shd w:val="clear" w:color="auto" w:fill="auto"/>
            <w:noWrap/>
            <w:vAlign w:val="center"/>
            <w:hideMark/>
          </w:tcPr>
          <w:p w14:paraId="7FE5D4DA" w14:textId="77777777" w:rsidR="00562CCE" w:rsidRPr="00401B79" w:rsidRDefault="00562CCE" w:rsidP="00650395">
            <w:pPr>
              <w:spacing w:line="240" w:lineRule="auto"/>
              <w:jc w:val="center"/>
              <w:rPr>
                <w:rFonts w:eastAsia="Times New Roman" w:cs="Times New Roman"/>
                <w:color w:val="000000"/>
              </w:rPr>
            </w:pPr>
            <w:r w:rsidRPr="00401B79">
              <w:rPr>
                <w:rFonts w:eastAsia="Times New Roman" w:cs="Times New Roman"/>
                <w:color w:val="000000"/>
              </w:rPr>
              <w:t>0.88</w:t>
            </w:r>
          </w:p>
        </w:tc>
      </w:tr>
      <w:tr w:rsidR="00562CCE" w:rsidRPr="00401B79" w14:paraId="3DBC3A0C" w14:textId="77777777" w:rsidTr="00650395">
        <w:trPr>
          <w:trHeight w:val="232"/>
          <w:jc w:val="center"/>
        </w:trPr>
        <w:tc>
          <w:tcPr>
            <w:tcW w:w="2286" w:type="dxa"/>
            <w:shd w:val="clear" w:color="auto" w:fill="auto"/>
            <w:noWrap/>
            <w:vAlign w:val="center"/>
            <w:hideMark/>
          </w:tcPr>
          <w:p w14:paraId="078E07E9" w14:textId="77777777" w:rsidR="00562CCE" w:rsidRPr="008C6B9A" w:rsidRDefault="00562CCE" w:rsidP="00650395">
            <w:pPr>
              <w:spacing w:line="240" w:lineRule="auto"/>
              <w:jc w:val="center"/>
              <w:rPr>
                <w:rFonts w:eastAsia="Times New Roman" w:cs="Times New Roman"/>
                <w:b/>
                <w:bCs/>
                <w:color w:val="000000"/>
              </w:rPr>
            </w:pPr>
            <w:r w:rsidRPr="008C6B9A">
              <w:rPr>
                <w:rFonts w:eastAsia="Times New Roman" w:cs="Times New Roman"/>
                <w:b/>
                <w:bCs/>
                <w:color w:val="000000"/>
              </w:rPr>
              <w:t>Ethylene glycol</w:t>
            </w:r>
          </w:p>
        </w:tc>
        <w:tc>
          <w:tcPr>
            <w:tcW w:w="1717" w:type="dxa"/>
            <w:shd w:val="clear" w:color="auto" w:fill="auto"/>
            <w:noWrap/>
            <w:vAlign w:val="center"/>
            <w:hideMark/>
          </w:tcPr>
          <w:p w14:paraId="6ED22F09" w14:textId="77777777" w:rsidR="00562CCE" w:rsidRPr="00401B79" w:rsidRDefault="00562CCE" w:rsidP="00650395">
            <w:pPr>
              <w:spacing w:line="240" w:lineRule="auto"/>
              <w:jc w:val="center"/>
              <w:rPr>
                <w:rFonts w:eastAsia="Times New Roman" w:cs="Times New Roman"/>
                <w:color w:val="000000"/>
              </w:rPr>
            </w:pPr>
            <w:r w:rsidRPr="00401B79">
              <w:rPr>
                <w:rFonts w:eastAsia="Times New Roman" w:cs="Times New Roman"/>
                <w:color w:val="000000"/>
              </w:rPr>
              <w:t>0.25</w:t>
            </w:r>
          </w:p>
        </w:tc>
        <w:tc>
          <w:tcPr>
            <w:tcW w:w="1376" w:type="dxa"/>
            <w:vAlign w:val="bottom"/>
          </w:tcPr>
          <w:p w14:paraId="106371B8" w14:textId="77777777" w:rsidR="00562CCE" w:rsidRPr="00401B79" w:rsidRDefault="00562CCE" w:rsidP="00650395">
            <w:pPr>
              <w:spacing w:line="240" w:lineRule="auto"/>
              <w:jc w:val="center"/>
              <w:rPr>
                <w:rFonts w:eastAsia="Times New Roman" w:cs="Times New Roman"/>
                <w:color w:val="000000"/>
              </w:rPr>
            </w:pPr>
            <w:r w:rsidRPr="00401B79">
              <w:rPr>
                <w:rFonts w:cs="Times New Roman"/>
                <w:color w:val="000000"/>
              </w:rPr>
              <w:t>0.79</w:t>
            </w:r>
          </w:p>
        </w:tc>
        <w:tc>
          <w:tcPr>
            <w:tcW w:w="1376" w:type="dxa"/>
            <w:shd w:val="clear" w:color="auto" w:fill="auto"/>
            <w:noWrap/>
            <w:vAlign w:val="center"/>
            <w:hideMark/>
          </w:tcPr>
          <w:p w14:paraId="520E66A6" w14:textId="77777777" w:rsidR="00562CCE" w:rsidRPr="00401B79" w:rsidRDefault="00562CCE" w:rsidP="00650395">
            <w:pPr>
              <w:spacing w:line="240" w:lineRule="auto"/>
              <w:jc w:val="center"/>
              <w:rPr>
                <w:rFonts w:eastAsia="Times New Roman" w:cs="Times New Roman"/>
                <w:color w:val="000000"/>
              </w:rPr>
            </w:pPr>
            <w:r w:rsidRPr="00401B79">
              <w:rPr>
                <w:rFonts w:eastAsia="Times New Roman" w:cs="Times New Roman"/>
                <w:color w:val="000000"/>
              </w:rPr>
              <w:t>0.82</w:t>
            </w:r>
          </w:p>
        </w:tc>
        <w:tc>
          <w:tcPr>
            <w:tcW w:w="1282" w:type="dxa"/>
            <w:shd w:val="clear" w:color="auto" w:fill="auto"/>
            <w:noWrap/>
            <w:vAlign w:val="center"/>
            <w:hideMark/>
          </w:tcPr>
          <w:p w14:paraId="0D84E119" w14:textId="77777777" w:rsidR="00562CCE" w:rsidRPr="00401B79" w:rsidRDefault="00562CCE" w:rsidP="00650395">
            <w:pPr>
              <w:spacing w:line="240" w:lineRule="auto"/>
              <w:jc w:val="center"/>
              <w:rPr>
                <w:rFonts w:eastAsia="Times New Roman" w:cs="Times New Roman"/>
                <w:color w:val="000000"/>
              </w:rPr>
            </w:pPr>
            <w:r w:rsidRPr="00401B79">
              <w:rPr>
                <w:rFonts w:eastAsia="Times New Roman" w:cs="Times New Roman"/>
                <w:color w:val="000000"/>
              </w:rPr>
              <w:t>1.26</w:t>
            </w:r>
          </w:p>
        </w:tc>
      </w:tr>
      <w:tr w:rsidR="00562CCE" w:rsidRPr="00401B79" w14:paraId="15C8431D" w14:textId="77777777" w:rsidTr="00650395">
        <w:trPr>
          <w:trHeight w:val="232"/>
          <w:jc w:val="center"/>
        </w:trPr>
        <w:tc>
          <w:tcPr>
            <w:tcW w:w="2286" w:type="dxa"/>
            <w:shd w:val="clear" w:color="auto" w:fill="auto"/>
            <w:noWrap/>
            <w:vAlign w:val="center"/>
            <w:hideMark/>
          </w:tcPr>
          <w:p w14:paraId="790BC083" w14:textId="77777777" w:rsidR="00562CCE" w:rsidRPr="008C6B9A" w:rsidRDefault="00562CCE" w:rsidP="00650395">
            <w:pPr>
              <w:spacing w:line="240" w:lineRule="auto"/>
              <w:jc w:val="center"/>
              <w:rPr>
                <w:rFonts w:eastAsia="Times New Roman" w:cs="Times New Roman"/>
                <w:b/>
                <w:bCs/>
                <w:color w:val="000000"/>
              </w:rPr>
            </w:pPr>
            <w:r w:rsidRPr="008C6B9A">
              <w:rPr>
                <w:rFonts w:eastAsia="Times New Roman" w:cs="Times New Roman"/>
                <w:b/>
                <w:bCs/>
                <w:color w:val="000000"/>
              </w:rPr>
              <w:t>Methylene Iodide</w:t>
            </w:r>
          </w:p>
        </w:tc>
        <w:tc>
          <w:tcPr>
            <w:tcW w:w="1717" w:type="dxa"/>
            <w:shd w:val="clear" w:color="auto" w:fill="auto"/>
            <w:noWrap/>
            <w:vAlign w:val="center"/>
            <w:hideMark/>
          </w:tcPr>
          <w:p w14:paraId="52E55FD8" w14:textId="77777777" w:rsidR="00562CCE" w:rsidRPr="00401B79" w:rsidRDefault="00562CCE" w:rsidP="00650395">
            <w:pPr>
              <w:spacing w:line="240" w:lineRule="auto"/>
              <w:jc w:val="center"/>
              <w:rPr>
                <w:rFonts w:eastAsia="Times New Roman" w:cs="Times New Roman"/>
                <w:color w:val="000000"/>
              </w:rPr>
            </w:pPr>
            <w:r w:rsidRPr="00401B79">
              <w:rPr>
                <w:rFonts w:eastAsia="Times New Roman" w:cs="Times New Roman"/>
                <w:color w:val="000000"/>
              </w:rPr>
              <w:t>2.08</w:t>
            </w:r>
          </w:p>
        </w:tc>
        <w:tc>
          <w:tcPr>
            <w:tcW w:w="1376" w:type="dxa"/>
            <w:vAlign w:val="bottom"/>
          </w:tcPr>
          <w:p w14:paraId="449ABDDB" w14:textId="77777777" w:rsidR="00562CCE" w:rsidRPr="00401B79" w:rsidRDefault="00562CCE" w:rsidP="00650395">
            <w:pPr>
              <w:spacing w:line="240" w:lineRule="auto"/>
              <w:jc w:val="center"/>
              <w:rPr>
                <w:rFonts w:eastAsia="Times New Roman" w:cs="Times New Roman"/>
                <w:color w:val="000000"/>
              </w:rPr>
            </w:pPr>
            <w:r w:rsidRPr="00401B79">
              <w:rPr>
                <w:rFonts w:cs="Times New Roman"/>
                <w:color w:val="000000"/>
              </w:rPr>
              <w:t>1.47</w:t>
            </w:r>
          </w:p>
        </w:tc>
        <w:tc>
          <w:tcPr>
            <w:tcW w:w="1376" w:type="dxa"/>
            <w:shd w:val="clear" w:color="auto" w:fill="auto"/>
            <w:noWrap/>
            <w:vAlign w:val="center"/>
            <w:hideMark/>
          </w:tcPr>
          <w:p w14:paraId="7F7252F8" w14:textId="77777777" w:rsidR="00562CCE" w:rsidRPr="00401B79" w:rsidRDefault="00562CCE" w:rsidP="00650395">
            <w:pPr>
              <w:spacing w:line="240" w:lineRule="auto"/>
              <w:jc w:val="center"/>
              <w:rPr>
                <w:rFonts w:eastAsia="Times New Roman" w:cs="Times New Roman"/>
                <w:color w:val="000000"/>
              </w:rPr>
            </w:pPr>
            <w:r w:rsidRPr="00401B79">
              <w:rPr>
                <w:rFonts w:eastAsia="Times New Roman" w:cs="Times New Roman"/>
                <w:color w:val="000000"/>
              </w:rPr>
              <w:t>0.39</w:t>
            </w:r>
          </w:p>
        </w:tc>
        <w:tc>
          <w:tcPr>
            <w:tcW w:w="1282" w:type="dxa"/>
            <w:shd w:val="clear" w:color="auto" w:fill="auto"/>
            <w:noWrap/>
            <w:vAlign w:val="center"/>
            <w:hideMark/>
          </w:tcPr>
          <w:p w14:paraId="5FE6012F" w14:textId="77777777" w:rsidR="00562CCE" w:rsidRPr="00401B79" w:rsidRDefault="00562CCE" w:rsidP="00650395">
            <w:pPr>
              <w:spacing w:line="240" w:lineRule="auto"/>
              <w:jc w:val="center"/>
              <w:rPr>
                <w:rFonts w:eastAsia="Times New Roman" w:cs="Times New Roman"/>
                <w:color w:val="000000"/>
              </w:rPr>
            </w:pPr>
            <w:r w:rsidRPr="00401B79">
              <w:rPr>
                <w:rFonts w:eastAsia="Times New Roman" w:cs="Times New Roman"/>
                <w:color w:val="000000"/>
              </w:rPr>
              <w:t>1.13</w:t>
            </w:r>
          </w:p>
        </w:tc>
      </w:tr>
    </w:tbl>
    <w:p w14:paraId="0854FE31" w14:textId="77777777" w:rsidR="004309CE" w:rsidRDefault="004309CE" w:rsidP="00537471">
      <w:pPr>
        <w:pStyle w:val="Caption"/>
        <w:spacing w:line="480" w:lineRule="auto"/>
        <w:jc w:val="center"/>
      </w:pPr>
    </w:p>
    <w:p w14:paraId="375FB82B" w14:textId="77777777" w:rsidR="004309CE" w:rsidRDefault="004309CE" w:rsidP="00537471">
      <w:pPr>
        <w:pStyle w:val="Caption"/>
        <w:spacing w:line="480" w:lineRule="auto"/>
        <w:jc w:val="center"/>
      </w:pPr>
    </w:p>
    <w:p w14:paraId="6CB6ADD9" w14:textId="00FB7097" w:rsidR="00562CCE" w:rsidRPr="007E3A5F" w:rsidRDefault="002438A2" w:rsidP="00537471">
      <w:pPr>
        <w:pStyle w:val="Caption"/>
        <w:spacing w:line="480" w:lineRule="auto"/>
        <w:jc w:val="center"/>
        <w:rPr>
          <w:szCs w:val="24"/>
        </w:rPr>
      </w:pPr>
      <w:bookmarkStart w:id="61" w:name="_Toc71330984"/>
      <w:r>
        <w:t xml:space="preserve">Table </w:t>
      </w:r>
      <w:fldSimple w:instr=" STYLEREF 1 \s ">
        <w:r w:rsidR="005050F0">
          <w:rPr>
            <w:noProof/>
          </w:rPr>
          <w:t>2</w:t>
        </w:r>
      </w:fldSimple>
      <w:r w:rsidR="00700639">
        <w:t>.</w:t>
      </w:r>
      <w:fldSimple w:instr=" SEQ Table \* ARABIC \s 1 ">
        <w:r w:rsidR="005050F0">
          <w:rPr>
            <w:noProof/>
          </w:rPr>
          <w:t>13</w:t>
        </w:r>
      </w:fldSimple>
      <w:r>
        <w:t xml:space="preserve"> </w:t>
      </w:r>
      <w:r w:rsidR="00562CCE">
        <w:rPr>
          <w:szCs w:val="24"/>
        </w:rPr>
        <w:t>Energy R</w:t>
      </w:r>
      <w:r w:rsidR="00562CCE" w:rsidRPr="007E3A5F">
        <w:rPr>
          <w:szCs w:val="24"/>
        </w:rPr>
        <w:t xml:space="preserve">atios of </w:t>
      </w:r>
      <w:r w:rsidR="00562CCE">
        <w:rPr>
          <w:szCs w:val="24"/>
        </w:rPr>
        <w:t>B</w:t>
      </w:r>
      <w:r w:rsidR="00562CCE" w:rsidRPr="007E3A5F">
        <w:rPr>
          <w:szCs w:val="24"/>
        </w:rPr>
        <w:t>inder</w:t>
      </w:r>
      <w:r w:rsidR="00562CCE">
        <w:rPr>
          <w:szCs w:val="24"/>
        </w:rPr>
        <w:t>-A</w:t>
      </w:r>
      <w:r w:rsidR="00562CCE" w:rsidRPr="007E3A5F">
        <w:rPr>
          <w:szCs w:val="24"/>
        </w:rPr>
        <w:t xml:space="preserve">ggregate </w:t>
      </w:r>
      <w:r w:rsidR="00562CCE">
        <w:rPr>
          <w:szCs w:val="24"/>
        </w:rPr>
        <w:t>S</w:t>
      </w:r>
      <w:r w:rsidR="00562CCE" w:rsidRPr="007E3A5F">
        <w:rPr>
          <w:szCs w:val="24"/>
        </w:rPr>
        <w:t xml:space="preserve">ystems from </w:t>
      </w:r>
      <w:r w:rsidR="00562CCE">
        <w:rPr>
          <w:szCs w:val="24"/>
        </w:rPr>
        <w:t>Neumann</w:t>
      </w:r>
      <w:r w:rsidR="00562CCE" w:rsidRPr="007E3A5F">
        <w:rPr>
          <w:szCs w:val="24"/>
        </w:rPr>
        <w:t xml:space="preserve"> </w:t>
      </w:r>
      <w:r w:rsidR="00562CCE">
        <w:rPr>
          <w:szCs w:val="24"/>
        </w:rPr>
        <w:t>M</w:t>
      </w:r>
      <w:r w:rsidR="00562CCE" w:rsidRPr="007E3A5F">
        <w:rPr>
          <w:szCs w:val="24"/>
        </w:rPr>
        <w:t>ethod</w:t>
      </w:r>
      <w:bookmarkEnd w:id="61"/>
    </w:p>
    <w:tbl>
      <w:tblPr>
        <w:tblStyle w:val="TableGrid"/>
        <w:tblW w:w="0" w:type="auto"/>
        <w:jc w:val="center"/>
        <w:tblLook w:val="04A0" w:firstRow="1" w:lastRow="0" w:firstColumn="1" w:lastColumn="0" w:noHBand="0" w:noVBand="1"/>
      </w:tblPr>
      <w:tblGrid>
        <w:gridCol w:w="1813"/>
        <w:gridCol w:w="1164"/>
        <w:gridCol w:w="1488"/>
        <w:gridCol w:w="1488"/>
        <w:gridCol w:w="1488"/>
      </w:tblGrid>
      <w:tr w:rsidR="00562CCE" w:rsidRPr="00401B79" w14:paraId="5EC2055A" w14:textId="77777777" w:rsidTr="004309CE">
        <w:trPr>
          <w:trHeight w:val="442"/>
          <w:jc w:val="center"/>
        </w:trPr>
        <w:tc>
          <w:tcPr>
            <w:tcW w:w="1813" w:type="dxa"/>
            <w:vAlign w:val="center"/>
          </w:tcPr>
          <w:p w14:paraId="3738586A" w14:textId="77777777" w:rsidR="00562CCE" w:rsidRPr="008C6B9A" w:rsidRDefault="00562CCE" w:rsidP="004309CE">
            <w:pPr>
              <w:spacing w:line="240" w:lineRule="auto"/>
              <w:jc w:val="center"/>
              <w:rPr>
                <w:b/>
                <w:bCs/>
              </w:rPr>
            </w:pPr>
            <w:r w:rsidRPr="008C6B9A">
              <w:rPr>
                <w:b/>
                <w:bCs/>
              </w:rPr>
              <w:t>Binder</w:t>
            </w:r>
          </w:p>
        </w:tc>
        <w:tc>
          <w:tcPr>
            <w:tcW w:w="1164" w:type="dxa"/>
            <w:vAlign w:val="center"/>
          </w:tcPr>
          <w:p w14:paraId="07A4BAA5" w14:textId="77777777" w:rsidR="00562CCE" w:rsidRPr="008C6B9A" w:rsidRDefault="00562CCE" w:rsidP="004309CE">
            <w:pPr>
              <w:spacing w:line="240" w:lineRule="auto"/>
              <w:jc w:val="center"/>
              <w:rPr>
                <w:b/>
                <w:bCs/>
              </w:rPr>
            </w:pPr>
            <w:r w:rsidRPr="008C6B9A">
              <w:rPr>
                <w:b/>
                <w:bCs/>
              </w:rPr>
              <w:t>S1</w:t>
            </w:r>
          </w:p>
        </w:tc>
        <w:tc>
          <w:tcPr>
            <w:tcW w:w="1488" w:type="dxa"/>
            <w:vAlign w:val="center"/>
          </w:tcPr>
          <w:p w14:paraId="55990124" w14:textId="77777777" w:rsidR="00562CCE" w:rsidRPr="008C6B9A" w:rsidRDefault="00562CCE" w:rsidP="004309CE">
            <w:pPr>
              <w:spacing w:line="240" w:lineRule="auto"/>
              <w:jc w:val="center"/>
              <w:rPr>
                <w:b/>
                <w:bCs/>
              </w:rPr>
            </w:pPr>
            <w:r w:rsidRPr="008C6B9A">
              <w:rPr>
                <w:b/>
                <w:bCs/>
              </w:rPr>
              <w:t>S2</w:t>
            </w:r>
          </w:p>
        </w:tc>
        <w:tc>
          <w:tcPr>
            <w:tcW w:w="1488" w:type="dxa"/>
            <w:vAlign w:val="center"/>
          </w:tcPr>
          <w:p w14:paraId="69CD9A91" w14:textId="77777777" w:rsidR="00562CCE" w:rsidRPr="008C6B9A" w:rsidRDefault="00562CCE" w:rsidP="004309CE">
            <w:pPr>
              <w:spacing w:line="240" w:lineRule="auto"/>
              <w:jc w:val="center"/>
              <w:rPr>
                <w:b/>
                <w:bCs/>
              </w:rPr>
            </w:pPr>
            <w:r w:rsidRPr="008C6B9A">
              <w:rPr>
                <w:b/>
                <w:bCs/>
              </w:rPr>
              <w:t>S3</w:t>
            </w:r>
          </w:p>
        </w:tc>
        <w:tc>
          <w:tcPr>
            <w:tcW w:w="1488" w:type="dxa"/>
            <w:vAlign w:val="center"/>
          </w:tcPr>
          <w:p w14:paraId="0FAF9A60" w14:textId="77777777" w:rsidR="00562CCE" w:rsidRPr="008C6B9A" w:rsidRDefault="00562CCE" w:rsidP="004309CE">
            <w:pPr>
              <w:spacing w:line="240" w:lineRule="auto"/>
              <w:jc w:val="center"/>
              <w:rPr>
                <w:b/>
                <w:bCs/>
              </w:rPr>
            </w:pPr>
            <w:r w:rsidRPr="008C6B9A">
              <w:rPr>
                <w:b/>
                <w:bCs/>
              </w:rPr>
              <w:t>S4</w:t>
            </w:r>
          </w:p>
        </w:tc>
      </w:tr>
      <w:tr w:rsidR="00562CCE" w:rsidRPr="00401B79" w14:paraId="6712F2DB" w14:textId="77777777" w:rsidTr="004309CE">
        <w:trPr>
          <w:trHeight w:val="416"/>
          <w:jc w:val="center"/>
        </w:trPr>
        <w:tc>
          <w:tcPr>
            <w:tcW w:w="1813" w:type="dxa"/>
            <w:vAlign w:val="center"/>
          </w:tcPr>
          <w:p w14:paraId="54543B8A" w14:textId="77777777" w:rsidR="00562CCE" w:rsidRPr="008C6B9A" w:rsidRDefault="007F7885" w:rsidP="004309CE">
            <w:pPr>
              <w:spacing w:line="240" w:lineRule="auto"/>
              <w:jc w:val="center"/>
              <w:rPr>
                <w:b/>
                <w:bCs/>
              </w:rPr>
            </w:pPr>
            <m:oMath>
              <m:sSub>
                <m:sSubPr>
                  <m:ctrlPr>
                    <w:rPr>
                      <w:rFonts w:ascii="Cambria Math" w:eastAsiaTheme="minorEastAsia" w:hAnsi="Cambria Math"/>
                      <w:b/>
                      <w:bCs/>
                      <w:i/>
                    </w:rPr>
                  </m:ctrlPr>
                </m:sSubPr>
                <m:e>
                  <m:r>
                    <m:rPr>
                      <m:sty m:val="bi"/>
                    </m:rPr>
                    <w:rPr>
                      <w:rFonts w:ascii="Cambria Math" w:eastAsiaTheme="minorEastAsia" w:hAnsi="Cambria Math"/>
                    </w:rPr>
                    <m:t>W</m:t>
                  </m:r>
                </m:e>
                <m:sub>
                  <m:r>
                    <m:rPr>
                      <m:sty m:val="bi"/>
                    </m:rPr>
                    <w:rPr>
                      <w:rFonts w:ascii="Cambria Math" w:eastAsiaTheme="minorEastAsia" w:hAnsi="Cambria Math"/>
                    </w:rPr>
                    <m:t>AR</m:t>
                  </m:r>
                </m:sub>
              </m:sSub>
            </m:oMath>
            <w:r w:rsidR="00562CCE" w:rsidRPr="008C6B9A">
              <w:rPr>
                <w:b/>
                <w:bCs/>
              </w:rPr>
              <w:t xml:space="preserve"> </w:t>
            </w:r>
            <w:r w:rsidR="00562CCE" w:rsidRPr="008C6B9A">
              <w:rPr>
                <w:b/>
                <w:bCs/>
                <w:color w:val="000000"/>
                <w:sz w:val="20"/>
              </w:rPr>
              <w:t>(mJ/m</w:t>
            </w:r>
            <w:r w:rsidR="00562CCE" w:rsidRPr="008C6B9A">
              <w:rPr>
                <w:b/>
                <w:bCs/>
                <w:color w:val="000000"/>
                <w:sz w:val="20"/>
                <w:vertAlign w:val="superscript"/>
              </w:rPr>
              <w:t>2</w:t>
            </w:r>
            <w:r w:rsidR="00562CCE" w:rsidRPr="008C6B9A">
              <w:rPr>
                <w:b/>
                <w:bCs/>
                <w:color w:val="000000"/>
                <w:sz w:val="20"/>
              </w:rPr>
              <w:t>)</w:t>
            </w:r>
          </w:p>
        </w:tc>
        <w:tc>
          <w:tcPr>
            <w:tcW w:w="1164" w:type="dxa"/>
            <w:vAlign w:val="center"/>
          </w:tcPr>
          <w:p w14:paraId="3E7D01E9" w14:textId="77777777" w:rsidR="00562CCE" w:rsidRPr="00401B79" w:rsidRDefault="00562CCE" w:rsidP="004309CE">
            <w:pPr>
              <w:spacing w:line="240" w:lineRule="auto"/>
              <w:jc w:val="center"/>
            </w:pPr>
            <w:r w:rsidRPr="00401B79">
              <w:t>78.89</w:t>
            </w:r>
          </w:p>
        </w:tc>
        <w:tc>
          <w:tcPr>
            <w:tcW w:w="1488" w:type="dxa"/>
            <w:vAlign w:val="center"/>
          </w:tcPr>
          <w:p w14:paraId="5CBF2D3F" w14:textId="77777777" w:rsidR="00562CCE" w:rsidRPr="00401B79" w:rsidRDefault="00562CCE" w:rsidP="004309CE">
            <w:pPr>
              <w:spacing w:line="240" w:lineRule="auto"/>
              <w:jc w:val="center"/>
            </w:pPr>
            <w:r w:rsidRPr="00401B79">
              <w:t>70.54</w:t>
            </w:r>
          </w:p>
        </w:tc>
        <w:tc>
          <w:tcPr>
            <w:tcW w:w="1488" w:type="dxa"/>
            <w:vAlign w:val="center"/>
          </w:tcPr>
          <w:p w14:paraId="2D37AF6B" w14:textId="77777777" w:rsidR="00562CCE" w:rsidRPr="00401B79" w:rsidRDefault="00562CCE" w:rsidP="004309CE">
            <w:pPr>
              <w:spacing w:line="240" w:lineRule="auto"/>
              <w:jc w:val="center"/>
            </w:pPr>
            <w:r w:rsidRPr="00401B79">
              <w:t>56.55</w:t>
            </w:r>
          </w:p>
        </w:tc>
        <w:tc>
          <w:tcPr>
            <w:tcW w:w="1488" w:type="dxa"/>
            <w:vAlign w:val="center"/>
          </w:tcPr>
          <w:p w14:paraId="4C515411" w14:textId="77777777" w:rsidR="00562CCE" w:rsidRPr="00401B79" w:rsidRDefault="00562CCE" w:rsidP="004309CE">
            <w:pPr>
              <w:spacing w:line="240" w:lineRule="auto"/>
              <w:jc w:val="center"/>
            </w:pPr>
            <w:r w:rsidRPr="00401B79">
              <w:t>72.80</w:t>
            </w:r>
          </w:p>
        </w:tc>
      </w:tr>
      <w:tr w:rsidR="00562CCE" w:rsidRPr="00401B79" w14:paraId="1A73B4DD" w14:textId="77777777" w:rsidTr="004309CE">
        <w:trPr>
          <w:trHeight w:val="467"/>
          <w:jc w:val="center"/>
        </w:trPr>
        <w:tc>
          <w:tcPr>
            <w:tcW w:w="1813" w:type="dxa"/>
            <w:vAlign w:val="center"/>
          </w:tcPr>
          <w:p w14:paraId="5CFB9DDD" w14:textId="77777777" w:rsidR="00562CCE" w:rsidRPr="008C6B9A" w:rsidRDefault="007F7885" w:rsidP="004309CE">
            <w:pPr>
              <w:spacing w:line="240" w:lineRule="auto"/>
              <w:jc w:val="center"/>
              <w:rPr>
                <w:b/>
                <w:bCs/>
              </w:rPr>
            </w:pPr>
            <m:oMath>
              <m:sSubSup>
                <m:sSubSupPr>
                  <m:ctrlPr>
                    <w:rPr>
                      <w:rFonts w:ascii="Cambria Math" w:hAnsi="Cambria Math"/>
                      <w:b/>
                      <w:bCs/>
                      <w:i/>
                      <w:lang w:val="en-GB" w:eastAsia="en-GB"/>
                    </w:rPr>
                  </m:ctrlPr>
                </m:sSubSupPr>
                <m:e>
                  <m:r>
                    <m:rPr>
                      <m:sty m:val="bi"/>
                    </m:rPr>
                    <w:rPr>
                      <w:rFonts w:ascii="Cambria Math" w:hAnsi="Cambria Math"/>
                      <w:lang w:val="en-GB" w:eastAsia="en-GB"/>
                    </w:rPr>
                    <m:t>W</m:t>
                  </m:r>
                </m:e>
                <m:sub>
                  <m:r>
                    <m:rPr>
                      <m:sty m:val="bi"/>
                    </m:rPr>
                    <w:rPr>
                      <w:rFonts w:ascii="Cambria Math" w:hAnsi="Cambria Math"/>
                      <w:lang w:val="en-GB" w:eastAsia="en-GB"/>
                    </w:rPr>
                    <m:t>ARW</m:t>
                  </m:r>
                </m:sub>
                <m:sup>
                  <m:r>
                    <m:rPr>
                      <m:sty m:val="bi"/>
                    </m:rPr>
                    <w:rPr>
                      <w:rFonts w:ascii="Cambria Math" w:hAnsi="Cambria Math"/>
                      <w:lang w:val="en-GB" w:eastAsia="en-GB"/>
                    </w:rPr>
                    <m:t>wet</m:t>
                  </m:r>
                </m:sup>
              </m:sSubSup>
            </m:oMath>
            <w:r w:rsidR="00562CCE" w:rsidRPr="008C6B9A">
              <w:rPr>
                <w:b/>
                <w:bCs/>
                <w:lang w:val="en-GB" w:eastAsia="en-GB"/>
              </w:rPr>
              <w:t xml:space="preserve"> </w:t>
            </w:r>
            <w:r w:rsidR="00562CCE" w:rsidRPr="008C6B9A">
              <w:rPr>
                <w:b/>
                <w:bCs/>
                <w:color w:val="000000"/>
                <w:sz w:val="20"/>
              </w:rPr>
              <w:t>(mJ/m</w:t>
            </w:r>
            <w:r w:rsidR="00562CCE" w:rsidRPr="008C6B9A">
              <w:rPr>
                <w:b/>
                <w:bCs/>
                <w:color w:val="000000"/>
                <w:sz w:val="20"/>
                <w:vertAlign w:val="superscript"/>
              </w:rPr>
              <w:t>2</w:t>
            </w:r>
            <w:r w:rsidR="00562CCE" w:rsidRPr="008C6B9A">
              <w:rPr>
                <w:b/>
                <w:bCs/>
                <w:color w:val="000000"/>
                <w:sz w:val="20"/>
              </w:rPr>
              <w:t>)</w:t>
            </w:r>
          </w:p>
        </w:tc>
        <w:tc>
          <w:tcPr>
            <w:tcW w:w="1164" w:type="dxa"/>
            <w:vAlign w:val="center"/>
          </w:tcPr>
          <w:p w14:paraId="3BE40D1D" w14:textId="77777777" w:rsidR="00562CCE" w:rsidRPr="00401B79" w:rsidRDefault="00562CCE" w:rsidP="004309CE">
            <w:pPr>
              <w:spacing w:line="240" w:lineRule="auto"/>
              <w:jc w:val="center"/>
            </w:pPr>
            <w:r w:rsidRPr="00401B79">
              <w:t>33.88</w:t>
            </w:r>
          </w:p>
        </w:tc>
        <w:tc>
          <w:tcPr>
            <w:tcW w:w="1488" w:type="dxa"/>
            <w:vAlign w:val="center"/>
          </w:tcPr>
          <w:p w14:paraId="36D7E59B" w14:textId="77777777" w:rsidR="00562CCE" w:rsidRPr="00401B79" w:rsidRDefault="00562CCE" w:rsidP="004309CE">
            <w:pPr>
              <w:spacing w:line="240" w:lineRule="auto"/>
              <w:jc w:val="center"/>
            </w:pPr>
            <w:r w:rsidRPr="00401B79">
              <w:t>38.08</w:t>
            </w:r>
          </w:p>
        </w:tc>
        <w:tc>
          <w:tcPr>
            <w:tcW w:w="1488" w:type="dxa"/>
            <w:vAlign w:val="center"/>
          </w:tcPr>
          <w:p w14:paraId="13903D82" w14:textId="77777777" w:rsidR="00562CCE" w:rsidRPr="00401B79" w:rsidRDefault="00562CCE" w:rsidP="004309CE">
            <w:pPr>
              <w:spacing w:line="240" w:lineRule="auto"/>
              <w:jc w:val="center"/>
            </w:pPr>
            <w:r w:rsidRPr="00401B79">
              <w:t>45.11</w:t>
            </w:r>
          </w:p>
        </w:tc>
        <w:tc>
          <w:tcPr>
            <w:tcW w:w="1488" w:type="dxa"/>
            <w:vAlign w:val="center"/>
          </w:tcPr>
          <w:p w14:paraId="1F9461AC" w14:textId="77777777" w:rsidR="00562CCE" w:rsidRPr="00401B79" w:rsidRDefault="00562CCE" w:rsidP="004309CE">
            <w:pPr>
              <w:spacing w:line="240" w:lineRule="auto"/>
              <w:jc w:val="center"/>
            </w:pPr>
            <w:r w:rsidRPr="00401B79">
              <w:t>36.94</w:t>
            </w:r>
          </w:p>
        </w:tc>
      </w:tr>
      <w:tr w:rsidR="00562CCE" w:rsidRPr="00401B79" w14:paraId="6550C218" w14:textId="77777777" w:rsidTr="004309CE">
        <w:trPr>
          <w:trHeight w:val="416"/>
          <w:jc w:val="center"/>
        </w:trPr>
        <w:tc>
          <w:tcPr>
            <w:tcW w:w="1813" w:type="dxa"/>
            <w:vAlign w:val="center"/>
          </w:tcPr>
          <w:p w14:paraId="63EE50A9" w14:textId="77777777" w:rsidR="00562CCE" w:rsidRPr="008C6B9A" w:rsidRDefault="00562CCE" w:rsidP="004309CE">
            <w:pPr>
              <w:spacing w:line="240" w:lineRule="auto"/>
              <w:jc w:val="center"/>
              <w:rPr>
                <w:b/>
                <w:bCs/>
                <w:color w:val="000000"/>
              </w:rPr>
            </w:pPr>
            <w:r w:rsidRPr="008C6B9A">
              <w:rPr>
                <w:b/>
                <w:bCs/>
                <w:color w:val="000000"/>
              </w:rPr>
              <w:t>ER</w:t>
            </w:r>
          </w:p>
        </w:tc>
        <w:tc>
          <w:tcPr>
            <w:tcW w:w="1164" w:type="dxa"/>
            <w:vAlign w:val="center"/>
          </w:tcPr>
          <w:p w14:paraId="48993D15" w14:textId="77777777" w:rsidR="00562CCE" w:rsidRPr="00401B79" w:rsidRDefault="00562CCE" w:rsidP="004309CE">
            <w:pPr>
              <w:spacing w:line="240" w:lineRule="auto"/>
              <w:jc w:val="center"/>
              <w:rPr>
                <w:color w:val="000000"/>
              </w:rPr>
            </w:pPr>
            <w:r w:rsidRPr="00401B79">
              <w:rPr>
                <w:color w:val="000000"/>
              </w:rPr>
              <w:t>2.32</w:t>
            </w:r>
          </w:p>
        </w:tc>
        <w:tc>
          <w:tcPr>
            <w:tcW w:w="1488" w:type="dxa"/>
            <w:vAlign w:val="center"/>
          </w:tcPr>
          <w:p w14:paraId="39C938BA" w14:textId="77777777" w:rsidR="00562CCE" w:rsidRPr="00401B79" w:rsidRDefault="00562CCE" w:rsidP="004309CE">
            <w:pPr>
              <w:spacing w:line="240" w:lineRule="auto"/>
              <w:jc w:val="center"/>
            </w:pPr>
            <w:r w:rsidRPr="00401B79">
              <w:t>1.85</w:t>
            </w:r>
          </w:p>
        </w:tc>
        <w:tc>
          <w:tcPr>
            <w:tcW w:w="1488" w:type="dxa"/>
            <w:vAlign w:val="center"/>
          </w:tcPr>
          <w:p w14:paraId="77921933" w14:textId="77777777" w:rsidR="00562CCE" w:rsidRPr="00401B79" w:rsidRDefault="00562CCE" w:rsidP="004309CE">
            <w:pPr>
              <w:spacing w:line="240" w:lineRule="auto"/>
              <w:jc w:val="center"/>
              <w:rPr>
                <w:color w:val="000000"/>
              </w:rPr>
            </w:pPr>
            <w:r w:rsidRPr="00401B79">
              <w:rPr>
                <w:color w:val="000000"/>
              </w:rPr>
              <w:t>1.25</w:t>
            </w:r>
          </w:p>
        </w:tc>
        <w:tc>
          <w:tcPr>
            <w:tcW w:w="1488" w:type="dxa"/>
            <w:vAlign w:val="center"/>
          </w:tcPr>
          <w:p w14:paraId="3ADDAD5E" w14:textId="77777777" w:rsidR="00562CCE" w:rsidRPr="00401B79" w:rsidRDefault="00562CCE" w:rsidP="004309CE">
            <w:pPr>
              <w:spacing w:line="240" w:lineRule="auto"/>
              <w:jc w:val="center"/>
              <w:rPr>
                <w:color w:val="000000"/>
              </w:rPr>
            </w:pPr>
            <w:r w:rsidRPr="00401B79">
              <w:rPr>
                <w:color w:val="000000"/>
              </w:rPr>
              <w:t>1.97</w:t>
            </w:r>
          </w:p>
        </w:tc>
      </w:tr>
    </w:tbl>
    <w:p w14:paraId="5A36B30C" w14:textId="77777777" w:rsidR="00B63832" w:rsidRDefault="00B63832" w:rsidP="00556D10">
      <w:pPr>
        <w:pStyle w:val="Caption"/>
        <w:spacing w:line="480" w:lineRule="auto"/>
      </w:pPr>
    </w:p>
    <w:p w14:paraId="0C7AFCF5" w14:textId="1050BB5B" w:rsidR="00923081" w:rsidRPr="007E3A5F" w:rsidRDefault="002438A2" w:rsidP="00537471">
      <w:pPr>
        <w:pStyle w:val="Caption"/>
        <w:spacing w:line="480" w:lineRule="auto"/>
        <w:jc w:val="center"/>
        <w:rPr>
          <w:szCs w:val="24"/>
        </w:rPr>
      </w:pPr>
      <w:bookmarkStart w:id="62" w:name="_Toc71330985"/>
      <w:r>
        <w:t xml:space="preserve">Table </w:t>
      </w:r>
      <w:fldSimple w:instr=" STYLEREF 1 \s ">
        <w:r w:rsidR="005050F0">
          <w:rPr>
            <w:noProof/>
          </w:rPr>
          <w:t>2</w:t>
        </w:r>
      </w:fldSimple>
      <w:r w:rsidR="00700639">
        <w:t>.</w:t>
      </w:r>
      <w:fldSimple w:instr=" SEQ Table \* ARABIC \s 1 ">
        <w:r w:rsidR="005050F0">
          <w:rPr>
            <w:noProof/>
          </w:rPr>
          <w:t>14</w:t>
        </w:r>
      </w:fldSimple>
      <w:r>
        <w:t xml:space="preserve"> </w:t>
      </w:r>
      <w:r w:rsidR="00923081">
        <w:rPr>
          <w:szCs w:val="24"/>
        </w:rPr>
        <w:t>%D</w:t>
      </w:r>
      <w:r w:rsidR="00923081" w:rsidRPr="007E3A5F">
        <w:rPr>
          <w:szCs w:val="24"/>
        </w:rPr>
        <w:t xml:space="preserve">ifference in </w:t>
      </w:r>
      <w:r w:rsidR="000677E2">
        <w:rPr>
          <w:rFonts w:eastAsiaTheme="minorEastAsia"/>
          <w:szCs w:val="24"/>
        </w:rPr>
        <w:t>Γ</w:t>
      </w:r>
      <w:r w:rsidR="000677E2" w:rsidRPr="000677E2">
        <w:rPr>
          <w:rFonts w:eastAsiaTheme="minorEastAsia"/>
          <w:szCs w:val="24"/>
          <w:vertAlign w:val="subscript"/>
        </w:rPr>
        <w:t>A</w:t>
      </w:r>
      <w:r w:rsidR="000677E2" w:rsidRPr="000677E2">
        <w:rPr>
          <w:rFonts w:eastAsiaTheme="minorEastAsia"/>
          <w:b w:val="0"/>
          <w:bCs w:val="0"/>
          <w:szCs w:val="24"/>
        </w:rPr>
        <w:t xml:space="preserve"> </w:t>
      </w:r>
      <w:r w:rsidR="00923081" w:rsidRPr="007E3A5F">
        <w:rPr>
          <w:szCs w:val="24"/>
        </w:rPr>
        <w:t xml:space="preserve">SFE component with </w:t>
      </w:r>
      <w:r w:rsidR="00923081">
        <w:rPr>
          <w:szCs w:val="24"/>
        </w:rPr>
        <w:t>R</w:t>
      </w:r>
      <w:r w:rsidR="00923081" w:rsidRPr="007E3A5F">
        <w:rPr>
          <w:szCs w:val="24"/>
        </w:rPr>
        <w:t>espect to Neumann’s Method</w:t>
      </w:r>
      <w:bookmarkEnd w:id="62"/>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15"/>
        <w:gridCol w:w="1004"/>
        <w:gridCol w:w="793"/>
        <w:gridCol w:w="880"/>
        <w:gridCol w:w="968"/>
        <w:gridCol w:w="968"/>
        <w:gridCol w:w="880"/>
        <w:gridCol w:w="897"/>
        <w:gridCol w:w="960"/>
        <w:gridCol w:w="985"/>
      </w:tblGrid>
      <w:tr w:rsidR="00923081" w:rsidRPr="00401B79" w14:paraId="0EF88D79" w14:textId="77777777" w:rsidTr="00650395">
        <w:trPr>
          <w:trHeight w:val="279"/>
          <w:jc w:val="center"/>
        </w:trPr>
        <w:tc>
          <w:tcPr>
            <w:tcW w:w="1015" w:type="dxa"/>
            <w:vMerge w:val="restart"/>
            <w:shd w:val="clear" w:color="auto" w:fill="auto"/>
            <w:noWrap/>
            <w:vAlign w:val="center"/>
          </w:tcPr>
          <w:p w14:paraId="654700BE" w14:textId="77777777" w:rsidR="00923081" w:rsidRPr="00401B79" w:rsidRDefault="00923081" w:rsidP="00650395">
            <w:pPr>
              <w:spacing w:line="276" w:lineRule="auto"/>
              <w:jc w:val="center"/>
              <w:rPr>
                <w:rFonts w:eastAsia="Times New Roman" w:cs="Times New Roman"/>
                <w:b/>
                <w:bCs/>
                <w:color w:val="000000"/>
                <w:sz w:val="20"/>
                <w:szCs w:val="20"/>
              </w:rPr>
            </w:pPr>
            <w:r w:rsidRPr="00401B79">
              <w:rPr>
                <w:rFonts w:eastAsia="Times New Roman" w:cs="Times New Roman"/>
                <w:b/>
                <w:bCs/>
                <w:color w:val="000000"/>
                <w:sz w:val="20"/>
                <w:szCs w:val="20"/>
              </w:rPr>
              <w:t>Binder</w:t>
            </w:r>
          </w:p>
        </w:tc>
        <w:tc>
          <w:tcPr>
            <w:tcW w:w="8335" w:type="dxa"/>
            <w:gridSpan w:val="9"/>
            <w:shd w:val="clear" w:color="auto" w:fill="auto"/>
            <w:noWrap/>
            <w:vAlign w:val="center"/>
          </w:tcPr>
          <w:p w14:paraId="6FF46CA3" w14:textId="77777777" w:rsidR="00923081" w:rsidRPr="00401B79" w:rsidRDefault="00923081" w:rsidP="00650395">
            <w:pPr>
              <w:spacing w:line="276" w:lineRule="auto"/>
              <w:jc w:val="center"/>
              <w:rPr>
                <w:rFonts w:eastAsia="Times New Roman" w:cs="Times New Roman"/>
                <w:b/>
                <w:bCs/>
                <w:color w:val="000000"/>
                <w:sz w:val="20"/>
                <w:szCs w:val="20"/>
              </w:rPr>
            </w:pPr>
            <w:r w:rsidRPr="00401B79">
              <w:rPr>
                <w:rFonts w:eastAsia="Times New Roman" w:cs="Times New Roman"/>
                <w:b/>
                <w:bCs/>
                <w:color w:val="000000"/>
                <w:sz w:val="20"/>
                <w:szCs w:val="20"/>
              </w:rPr>
              <w:t>%Difference in Total SFE</w:t>
            </w:r>
            <w:r>
              <w:rPr>
                <w:rFonts w:eastAsia="Times New Roman" w:cs="Times New Roman"/>
                <w:b/>
                <w:bCs/>
                <w:color w:val="000000"/>
                <w:sz w:val="20"/>
                <w:szCs w:val="20"/>
              </w:rPr>
              <w:t xml:space="preserve"> from Neumann Method</w:t>
            </w:r>
          </w:p>
        </w:tc>
      </w:tr>
      <w:tr w:rsidR="00923081" w:rsidRPr="00401B79" w14:paraId="1487475B" w14:textId="77777777" w:rsidTr="00650395">
        <w:trPr>
          <w:trHeight w:val="279"/>
          <w:jc w:val="center"/>
        </w:trPr>
        <w:tc>
          <w:tcPr>
            <w:tcW w:w="1015" w:type="dxa"/>
            <w:vMerge/>
            <w:shd w:val="clear" w:color="auto" w:fill="auto"/>
            <w:noWrap/>
            <w:vAlign w:val="center"/>
            <w:hideMark/>
          </w:tcPr>
          <w:p w14:paraId="70580FEE" w14:textId="77777777" w:rsidR="00923081" w:rsidRPr="00401B79" w:rsidRDefault="00923081" w:rsidP="00650395">
            <w:pPr>
              <w:spacing w:line="276" w:lineRule="auto"/>
              <w:jc w:val="center"/>
              <w:rPr>
                <w:rFonts w:eastAsia="Times New Roman" w:cs="Times New Roman"/>
                <w:b/>
                <w:bCs/>
                <w:sz w:val="20"/>
                <w:szCs w:val="20"/>
              </w:rPr>
            </w:pPr>
          </w:p>
        </w:tc>
        <w:tc>
          <w:tcPr>
            <w:tcW w:w="2677" w:type="dxa"/>
            <w:gridSpan w:val="3"/>
            <w:shd w:val="clear" w:color="auto" w:fill="auto"/>
            <w:noWrap/>
            <w:vAlign w:val="center"/>
            <w:hideMark/>
          </w:tcPr>
          <w:p w14:paraId="7D680768" w14:textId="77777777" w:rsidR="00923081" w:rsidRPr="00401B79" w:rsidRDefault="00923081" w:rsidP="00650395">
            <w:pPr>
              <w:spacing w:line="276" w:lineRule="auto"/>
              <w:jc w:val="center"/>
              <w:rPr>
                <w:rFonts w:eastAsia="Times New Roman" w:cs="Times New Roman"/>
                <w:b/>
                <w:bCs/>
                <w:color w:val="000000"/>
                <w:sz w:val="20"/>
                <w:szCs w:val="20"/>
              </w:rPr>
            </w:pPr>
            <w:r w:rsidRPr="00401B79">
              <w:rPr>
                <w:rFonts w:eastAsia="Times New Roman" w:cs="Times New Roman"/>
                <w:b/>
                <w:bCs/>
                <w:color w:val="000000"/>
                <w:sz w:val="20"/>
                <w:szCs w:val="20"/>
              </w:rPr>
              <w:t>GvOC</w:t>
            </w:r>
          </w:p>
        </w:tc>
        <w:tc>
          <w:tcPr>
            <w:tcW w:w="2816" w:type="dxa"/>
            <w:gridSpan w:val="3"/>
            <w:shd w:val="clear" w:color="auto" w:fill="auto"/>
            <w:vAlign w:val="center"/>
          </w:tcPr>
          <w:p w14:paraId="1AF11AFE" w14:textId="77777777" w:rsidR="00923081" w:rsidRPr="00401B79" w:rsidRDefault="00923081" w:rsidP="00650395">
            <w:pPr>
              <w:spacing w:line="276" w:lineRule="auto"/>
              <w:jc w:val="center"/>
              <w:rPr>
                <w:rFonts w:eastAsia="Times New Roman" w:cs="Times New Roman"/>
                <w:b/>
                <w:bCs/>
                <w:color w:val="000000"/>
                <w:sz w:val="20"/>
                <w:szCs w:val="20"/>
              </w:rPr>
            </w:pPr>
            <w:r w:rsidRPr="00401B79">
              <w:rPr>
                <w:rFonts w:eastAsia="Times New Roman" w:cs="Times New Roman"/>
                <w:b/>
                <w:bCs/>
                <w:color w:val="000000"/>
                <w:sz w:val="20"/>
                <w:szCs w:val="20"/>
              </w:rPr>
              <w:t>OW</w:t>
            </w:r>
          </w:p>
        </w:tc>
        <w:tc>
          <w:tcPr>
            <w:tcW w:w="2842" w:type="dxa"/>
            <w:gridSpan w:val="3"/>
          </w:tcPr>
          <w:p w14:paraId="2EA53FA4" w14:textId="77777777" w:rsidR="00923081" w:rsidRPr="00401B79" w:rsidRDefault="00923081" w:rsidP="00650395">
            <w:pPr>
              <w:spacing w:line="276" w:lineRule="auto"/>
              <w:jc w:val="center"/>
              <w:rPr>
                <w:rFonts w:eastAsia="Times New Roman" w:cs="Times New Roman"/>
                <w:b/>
                <w:bCs/>
                <w:color w:val="000000"/>
                <w:sz w:val="20"/>
                <w:szCs w:val="20"/>
              </w:rPr>
            </w:pPr>
            <w:r w:rsidRPr="00401B79">
              <w:rPr>
                <w:rFonts w:eastAsia="Times New Roman" w:cs="Times New Roman"/>
                <w:b/>
                <w:bCs/>
                <w:color w:val="000000"/>
                <w:sz w:val="20"/>
                <w:szCs w:val="20"/>
              </w:rPr>
              <w:t>Wu</w:t>
            </w:r>
          </w:p>
        </w:tc>
      </w:tr>
      <w:tr w:rsidR="00923081" w:rsidRPr="00401B79" w14:paraId="7D0D4754" w14:textId="77777777" w:rsidTr="00650395">
        <w:trPr>
          <w:trHeight w:val="279"/>
          <w:jc w:val="center"/>
        </w:trPr>
        <w:tc>
          <w:tcPr>
            <w:tcW w:w="1015" w:type="dxa"/>
            <w:vMerge/>
            <w:shd w:val="clear" w:color="auto" w:fill="auto"/>
            <w:noWrap/>
            <w:vAlign w:val="center"/>
            <w:hideMark/>
          </w:tcPr>
          <w:p w14:paraId="24C91A31" w14:textId="77777777" w:rsidR="00923081" w:rsidRPr="00401B79" w:rsidRDefault="00923081" w:rsidP="00650395">
            <w:pPr>
              <w:spacing w:line="276" w:lineRule="auto"/>
              <w:jc w:val="center"/>
              <w:rPr>
                <w:rFonts w:eastAsia="Times New Roman" w:cs="Times New Roman"/>
                <w:b/>
                <w:bCs/>
                <w:color w:val="000000"/>
                <w:sz w:val="20"/>
                <w:szCs w:val="20"/>
              </w:rPr>
            </w:pPr>
          </w:p>
        </w:tc>
        <w:tc>
          <w:tcPr>
            <w:tcW w:w="1004" w:type="dxa"/>
            <w:shd w:val="clear" w:color="auto" w:fill="auto"/>
            <w:noWrap/>
            <w:vAlign w:val="center"/>
            <w:hideMark/>
          </w:tcPr>
          <w:p w14:paraId="51FEA31D" w14:textId="77777777" w:rsidR="00923081" w:rsidRPr="00401B79" w:rsidRDefault="00923081" w:rsidP="00650395">
            <w:pPr>
              <w:spacing w:line="276" w:lineRule="auto"/>
              <w:jc w:val="center"/>
              <w:rPr>
                <w:rFonts w:eastAsia="Times New Roman" w:cs="Times New Roman"/>
                <w:b/>
                <w:bCs/>
                <w:color w:val="000000"/>
                <w:sz w:val="18"/>
                <w:szCs w:val="18"/>
              </w:rPr>
            </w:pPr>
            <w:r w:rsidRPr="00401B79">
              <w:rPr>
                <w:rFonts w:eastAsia="Times New Roman" w:cs="Times New Roman"/>
                <w:b/>
                <w:bCs/>
                <w:color w:val="000000"/>
                <w:sz w:val="18"/>
                <w:szCs w:val="18"/>
              </w:rPr>
              <w:t>WGFDE</w:t>
            </w:r>
          </w:p>
        </w:tc>
        <w:tc>
          <w:tcPr>
            <w:tcW w:w="793" w:type="dxa"/>
            <w:shd w:val="clear" w:color="auto" w:fill="auto"/>
            <w:noWrap/>
            <w:vAlign w:val="center"/>
            <w:hideMark/>
          </w:tcPr>
          <w:p w14:paraId="30C47D28" w14:textId="77777777" w:rsidR="00923081" w:rsidRPr="00401B79" w:rsidRDefault="00923081" w:rsidP="00650395">
            <w:pPr>
              <w:spacing w:line="276" w:lineRule="auto"/>
              <w:jc w:val="center"/>
              <w:rPr>
                <w:rFonts w:eastAsia="Times New Roman" w:cs="Times New Roman"/>
                <w:b/>
                <w:bCs/>
                <w:color w:val="000000"/>
                <w:sz w:val="18"/>
                <w:szCs w:val="18"/>
              </w:rPr>
            </w:pPr>
            <w:r w:rsidRPr="00401B79">
              <w:rPr>
                <w:rFonts w:eastAsia="Times New Roman" w:cs="Times New Roman"/>
                <w:b/>
                <w:bCs/>
                <w:color w:val="000000"/>
                <w:sz w:val="18"/>
                <w:szCs w:val="18"/>
              </w:rPr>
              <w:t>WGED</w:t>
            </w:r>
          </w:p>
        </w:tc>
        <w:tc>
          <w:tcPr>
            <w:tcW w:w="880" w:type="dxa"/>
            <w:shd w:val="clear" w:color="auto" w:fill="auto"/>
            <w:noWrap/>
            <w:vAlign w:val="center"/>
            <w:hideMark/>
          </w:tcPr>
          <w:p w14:paraId="7D023767" w14:textId="77777777" w:rsidR="00923081" w:rsidRPr="00401B79" w:rsidRDefault="00923081" w:rsidP="00650395">
            <w:pPr>
              <w:spacing w:line="276" w:lineRule="auto"/>
              <w:jc w:val="center"/>
              <w:rPr>
                <w:rFonts w:eastAsia="Times New Roman" w:cs="Times New Roman"/>
                <w:b/>
                <w:bCs/>
                <w:color w:val="000000"/>
                <w:sz w:val="18"/>
                <w:szCs w:val="18"/>
              </w:rPr>
            </w:pPr>
            <w:r w:rsidRPr="00401B79">
              <w:rPr>
                <w:rFonts w:eastAsia="Times New Roman" w:cs="Times New Roman"/>
                <w:b/>
                <w:bCs/>
                <w:color w:val="000000"/>
                <w:sz w:val="18"/>
                <w:szCs w:val="18"/>
              </w:rPr>
              <w:t>WFED</w:t>
            </w:r>
          </w:p>
        </w:tc>
        <w:tc>
          <w:tcPr>
            <w:tcW w:w="968" w:type="dxa"/>
            <w:shd w:val="clear" w:color="auto" w:fill="auto"/>
            <w:noWrap/>
            <w:vAlign w:val="center"/>
            <w:hideMark/>
          </w:tcPr>
          <w:p w14:paraId="59145C62" w14:textId="77777777" w:rsidR="00923081" w:rsidRPr="00401B79" w:rsidRDefault="00923081" w:rsidP="00650395">
            <w:pPr>
              <w:spacing w:line="276" w:lineRule="auto"/>
              <w:jc w:val="center"/>
              <w:rPr>
                <w:rFonts w:eastAsia="Times New Roman" w:cs="Times New Roman"/>
                <w:b/>
                <w:bCs/>
                <w:color w:val="000000"/>
                <w:sz w:val="18"/>
                <w:szCs w:val="18"/>
              </w:rPr>
            </w:pPr>
            <w:r w:rsidRPr="00401B79">
              <w:rPr>
                <w:rFonts w:cs="Times New Roman"/>
                <w:b/>
                <w:bCs/>
                <w:color w:val="000000"/>
                <w:sz w:val="18"/>
                <w:szCs w:val="18"/>
              </w:rPr>
              <w:t>WGFDE</w:t>
            </w:r>
          </w:p>
        </w:tc>
        <w:tc>
          <w:tcPr>
            <w:tcW w:w="968" w:type="dxa"/>
            <w:shd w:val="clear" w:color="auto" w:fill="auto"/>
            <w:noWrap/>
            <w:vAlign w:val="center"/>
            <w:hideMark/>
          </w:tcPr>
          <w:p w14:paraId="7D290014" w14:textId="77777777" w:rsidR="00923081" w:rsidRPr="00401B79" w:rsidRDefault="00923081" w:rsidP="00650395">
            <w:pPr>
              <w:spacing w:line="276" w:lineRule="auto"/>
              <w:jc w:val="center"/>
              <w:rPr>
                <w:rFonts w:eastAsia="Times New Roman" w:cs="Times New Roman"/>
                <w:b/>
                <w:bCs/>
                <w:color w:val="000000"/>
                <w:sz w:val="18"/>
                <w:szCs w:val="18"/>
              </w:rPr>
            </w:pPr>
            <w:r w:rsidRPr="00401B79">
              <w:rPr>
                <w:rFonts w:cs="Times New Roman"/>
                <w:b/>
                <w:bCs/>
                <w:color w:val="000000"/>
                <w:sz w:val="18"/>
                <w:szCs w:val="18"/>
              </w:rPr>
              <w:t>WGED</w:t>
            </w:r>
          </w:p>
        </w:tc>
        <w:tc>
          <w:tcPr>
            <w:tcW w:w="880" w:type="dxa"/>
            <w:shd w:val="clear" w:color="auto" w:fill="auto"/>
            <w:noWrap/>
            <w:vAlign w:val="center"/>
            <w:hideMark/>
          </w:tcPr>
          <w:p w14:paraId="28F4EF5C" w14:textId="77777777" w:rsidR="00923081" w:rsidRPr="00401B79" w:rsidRDefault="00923081" w:rsidP="00650395">
            <w:pPr>
              <w:spacing w:line="276" w:lineRule="auto"/>
              <w:jc w:val="center"/>
              <w:rPr>
                <w:rFonts w:eastAsia="Times New Roman" w:cs="Times New Roman"/>
                <w:b/>
                <w:bCs/>
                <w:color w:val="000000"/>
                <w:sz w:val="18"/>
                <w:szCs w:val="18"/>
              </w:rPr>
            </w:pPr>
            <w:r w:rsidRPr="00401B79">
              <w:rPr>
                <w:rFonts w:cs="Times New Roman"/>
                <w:b/>
                <w:bCs/>
                <w:color w:val="000000"/>
                <w:sz w:val="18"/>
                <w:szCs w:val="18"/>
              </w:rPr>
              <w:t>WFED</w:t>
            </w:r>
          </w:p>
        </w:tc>
        <w:tc>
          <w:tcPr>
            <w:tcW w:w="897" w:type="dxa"/>
            <w:vAlign w:val="center"/>
          </w:tcPr>
          <w:p w14:paraId="578F6C12" w14:textId="77777777" w:rsidR="00923081" w:rsidRPr="00401B79" w:rsidRDefault="00923081" w:rsidP="00650395">
            <w:pPr>
              <w:spacing w:line="276" w:lineRule="auto"/>
              <w:jc w:val="center"/>
              <w:rPr>
                <w:rFonts w:eastAsia="Times New Roman" w:cs="Times New Roman"/>
                <w:b/>
                <w:bCs/>
                <w:color w:val="000000"/>
                <w:sz w:val="18"/>
                <w:szCs w:val="18"/>
              </w:rPr>
            </w:pPr>
            <w:r w:rsidRPr="00401B79">
              <w:rPr>
                <w:rFonts w:eastAsia="Times New Roman" w:cs="Times New Roman"/>
                <w:b/>
                <w:bCs/>
                <w:color w:val="000000"/>
                <w:sz w:val="18"/>
                <w:szCs w:val="18"/>
              </w:rPr>
              <w:t>WGFDE</w:t>
            </w:r>
          </w:p>
        </w:tc>
        <w:tc>
          <w:tcPr>
            <w:tcW w:w="960" w:type="dxa"/>
            <w:vAlign w:val="center"/>
          </w:tcPr>
          <w:p w14:paraId="3431CB9A" w14:textId="77777777" w:rsidR="00923081" w:rsidRPr="00401B79" w:rsidRDefault="00923081" w:rsidP="00650395">
            <w:pPr>
              <w:spacing w:line="276" w:lineRule="auto"/>
              <w:jc w:val="center"/>
              <w:rPr>
                <w:rFonts w:eastAsia="Times New Roman" w:cs="Times New Roman"/>
                <w:b/>
                <w:bCs/>
                <w:color w:val="000000"/>
                <w:sz w:val="18"/>
                <w:szCs w:val="18"/>
              </w:rPr>
            </w:pPr>
            <w:r w:rsidRPr="00401B79">
              <w:rPr>
                <w:rFonts w:cs="Times New Roman"/>
                <w:b/>
                <w:bCs/>
                <w:sz w:val="18"/>
                <w:szCs w:val="18"/>
              </w:rPr>
              <w:t>WFGD</w:t>
            </w:r>
          </w:p>
        </w:tc>
        <w:tc>
          <w:tcPr>
            <w:tcW w:w="985" w:type="dxa"/>
            <w:shd w:val="clear" w:color="auto" w:fill="auto"/>
            <w:noWrap/>
            <w:vAlign w:val="center"/>
            <w:hideMark/>
          </w:tcPr>
          <w:p w14:paraId="755C9D59" w14:textId="77777777" w:rsidR="00923081" w:rsidRPr="00401B79" w:rsidRDefault="00923081" w:rsidP="00650395">
            <w:pPr>
              <w:spacing w:line="276" w:lineRule="auto"/>
              <w:jc w:val="center"/>
              <w:rPr>
                <w:rFonts w:eastAsia="Times New Roman" w:cs="Times New Roman"/>
                <w:b/>
                <w:bCs/>
                <w:color w:val="000000"/>
                <w:sz w:val="18"/>
                <w:szCs w:val="18"/>
              </w:rPr>
            </w:pPr>
            <w:r w:rsidRPr="00401B79">
              <w:rPr>
                <w:rFonts w:eastAsia="Times New Roman" w:cs="Times New Roman"/>
                <w:b/>
                <w:bCs/>
                <w:color w:val="000000"/>
                <w:sz w:val="18"/>
                <w:szCs w:val="18"/>
              </w:rPr>
              <w:t>WFED</w:t>
            </w:r>
          </w:p>
        </w:tc>
      </w:tr>
      <w:tr w:rsidR="00923081" w:rsidRPr="00401B79" w14:paraId="6F02DD2A" w14:textId="77777777" w:rsidTr="00650395">
        <w:trPr>
          <w:trHeight w:val="279"/>
          <w:jc w:val="center"/>
        </w:trPr>
        <w:tc>
          <w:tcPr>
            <w:tcW w:w="1015" w:type="dxa"/>
            <w:shd w:val="clear" w:color="auto" w:fill="auto"/>
            <w:noWrap/>
            <w:vAlign w:val="center"/>
            <w:hideMark/>
          </w:tcPr>
          <w:p w14:paraId="01766638" w14:textId="77777777" w:rsidR="00923081" w:rsidRPr="00E80694" w:rsidRDefault="00923081" w:rsidP="00650395">
            <w:pPr>
              <w:spacing w:line="276" w:lineRule="auto"/>
              <w:jc w:val="center"/>
              <w:rPr>
                <w:rFonts w:eastAsia="Times New Roman" w:cs="Times New Roman"/>
                <w:color w:val="000000"/>
                <w:sz w:val="20"/>
                <w:szCs w:val="20"/>
              </w:rPr>
            </w:pPr>
            <w:r w:rsidRPr="00E80694">
              <w:rPr>
                <w:rFonts w:eastAsia="Times New Roman" w:cs="Times New Roman"/>
                <w:color w:val="000000"/>
                <w:sz w:val="20"/>
                <w:szCs w:val="20"/>
              </w:rPr>
              <w:t>S1</w:t>
            </w:r>
          </w:p>
        </w:tc>
        <w:tc>
          <w:tcPr>
            <w:tcW w:w="1004" w:type="dxa"/>
            <w:shd w:val="clear" w:color="auto" w:fill="auto"/>
            <w:noWrap/>
            <w:vAlign w:val="center"/>
          </w:tcPr>
          <w:p w14:paraId="363C19D5"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24.2</w:t>
            </w:r>
          </w:p>
        </w:tc>
        <w:tc>
          <w:tcPr>
            <w:tcW w:w="793" w:type="dxa"/>
            <w:shd w:val="clear" w:color="auto" w:fill="auto"/>
            <w:noWrap/>
            <w:vAlign w:val="center"/>
          </w:tcPr>
          <w:p w14:paraId="3AB7CFA8"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23.3</w:t>
            </w:r>
          </w:p>
        </w:tc>
        <w:tc>
          <w:tcPr>
            <w:tcW w:w="880" w:type="dxa"/>
            <w:shd w:val="clear" w:color="auto" w:fill="auto"/>
            <w:noWrap/>
            <w:vAlign w:val="center"/>
          </w:tcPr>
          <w:p w14:paraId="38A625B7"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24.4</w:t>
            </w:r>
          </w:p>
        </w:tc>
        <w:tc>
          <w:tcPr>
            <w:tcW w:w="968" w:type="dxa"/>
            <w:shd w:val="clear" w:color="auto" w:fill="auto"/>
            <w:noWrap/>
            <w:vAlign w:val="center"/>
          </w:tcPr>
          <w:p w14:paraId="5901B479"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24.2</w:t>
            </w:r>
          </w:p>
        </w:tc>
        <w:tc>
          <w:tcPr>
            <w:tcW w:w="968" w:type="dxa"/>
            <w:shd w:val="clear" w:color="auto" w:fill="auto"/>
            <w:noWrap/>
            <w:vAlign w:val="center"/>
          </w:tcPr>
          <w:p w14:paraId="31755B60"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23.3</w:t>
            </w:r>
          </w:p>
        </w:tc>
        <w:tc>
          <w:tcPr>
            <w:tcW w:w="880" w:type="dxa"/>
            <w:shd w:val="clear" w:color="auto" w:fill="auto"/>
            <w:noWrap/>
            <w:vAlign w:val="center"/>
          </w:tcPr>
          <w:p w14:paraId="7E3F4E68"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24.4</w:t>
            </w:r>
          </w:p>
        </w:tc>
        <w:tc>
          <w:tcPr>
            <w:tcW w:w="897" w:type="dxa"/>
          </w:tcPr>
          <w:p w14:paraId="5DAFF87F"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2.2</w:t>
            </w:r>
          </w:p>
        </w:tc>
        <w:tc>
          <w:tcPr>
            <w:tcW w:w="960" w:type="dxa"/>
          </w:tcPr>
          <w:p w14:paraId="42DCFEC5"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1.2</w:t>
            </w:r>
          </w:p>
        </w:tc>
        <w:tc>
          <w:tcPr>
            <w:tcW w:w="985" w:type="dxa"/>
            <w:shd w:val="clear" w:color="auto" w:fill="auto"/>
            <w:noWrap/>
            <w:vAlign w:val="center"/>
          </w:tcPr>
          <w:p w14:paraId="3326B537"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1.9</w:t>
            </w:r>
          </w:p>
        </w:tc>
      </w:tr>
      <w:tr w:rsidR="00923081" w:rsidRPr="00401B79" w14:paraId="21C4E607" w14:textId="77777777" w:rsidTr="00650395">
        <w:trPr>
          <w:trHeight w:val="279"/>
          <w:jc w:val="center"/>
        </w:trPr>
        <w:tc>
          <w:tcPr>
            <w:tcW w:w="1015" w:type="dxa"/>
            <w:shd w:val="clear" w:color="auto" w:fill="auto"/>
            <w:noWrap/>
            <w:vAlign w:val="center"/>
            <w:hideMark/>
          </w:tcPr>
          <w:p w14:paraId="5BEB7A75" w14:textId="77777777" w:rsidR="00923081" w:rsidRPr="00E80694" w:rsidRDefault="00923081" w:rsidP="00650395">
            <w:pPr>
              <w:spacing w:line="276" w:lineRule="auto"/>
              <w:jc w:val="center"/>
              <w:rPr>
                <w:rFonts w:eastAsia="Times New Roman" w:cs="Times New Roman"/>
                <w:color w:val="000000"/>
                <w:sz w:val="20"/>
                <w:szCs w:val="20"/>
              </w:rPr>
            </w:pPr>
            <w:r w:rsidRPr="00E80694">
              <w:rPr>
                <w:rFonts w:eastAsia="Times New Roman" w:cs="Times New Roman"/>
                <w:color w:val="000000"/>
                <w:sz w:val="20"/>
                <w:szCs w:val="20"/>
              </w:rPr>
              <w:t>S2</w:t>
            </w:r>
          </w:p>
        </w:tc>
        <w:tc>
          <w:tcPr>
            <w:tcW w:w="1004" w:type="dxa"/>
            <w:shd w:val="clear" w:color="auto" w:fill="auto"/>
            <w:noWrap/>
            <w:vAlign w:val="center"/>
          </w:tcPr>
          <w:p w14:paraId="73C5D16A"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5.6</w:t>
            </w:r>
          </w:p>
        </w:tc>
        <w:tc>
          <w:tcPr>
            <w:tcW w:w="793" w:type="dxa"/>
            <w:shd w:val="clear" w:color="auto" w:fill="auto"/>
            <w:noWrap/>
            <w:vAlign w:val="center"/>
          </w:tcPr>
          <w:p w14:paraId="06FFB377"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3.1</w:t>
            </w:r>
          </w:p>
        </w:tc>
        <w:tc>
          <w:tcPr>
            <w:tcW w:w="880" w:type="dxa"/>
            <w:shd w:val="clear" w:color="auto" w:fill="auto"/>
            <w:noWrap/>
            <w:vAlign w:val="center"/>
          </w:tcPr>
          <w:p w14:paraId="1A949BB3"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6.2</w:t>
            </w:r>
          </w:p>
        </w:tc>
        <w:tc>
          <w:tcPr>
            <w:tcW w:w="968" w:type="dxa"/>
            <w:shd w:val="clear" w:color="auto" w:fill="auto"/>
            <w:noWrap/>
            <w:vAlign w:val="center"/>
          </w:tcPr>
          <w:p w14:paraId="5225CFBC"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5.6</w:t>
            </w:r>
          </w:p>
        </w:tc>
        <w:tc>
          <w:tcPr>
            <w:tcW w:w="968" w:type="dxa"/>
            <w:shd w:val="clear" w:color="auto" w:fill="auto"/>
            <w:noWrap/>
            <w:vAlign w:val="center"/>
          </w:tcPr>
          <w:p w14:paraId="0F9F317F"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3.1</w:t>
            </w:r>
          </w:p>
        </w:tc>
        <w:tc>
          <w:tcPr>
            <w:tcW w:w="880" w:type="dxa"/>
            <w:shd w:val="clear" w:color="auto" w:fill="auto"/>
            <w:noWrap/>
            <w:vAlign w:val="center"/>
          </w:tcPr>
          <w:p w14:paraId="693A9293"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6.2</w:t>
            </w:r>
          </w:p>
        </w:tc>
        <w:tc>
          <w:tcPr>
            <w:tcW w:w="897" w:type="dxa"/>
          </w:tcPr>
          <w:p w14:paraId="07160F83"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17.6</w:t>
            </w:r>
          </w:p>
        </w:tc>
        <w:tc>
          <w:tcPr>
            <w:tcW w:w="960" w:type="dxa"/>
          </w:tcPr>
          <w:p w14:paraId="745DBC99"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18.0</w:t>
            </w:r>
          </w:p>
        </w:tc>
        <w:tc>
          <w:tcPr>
            <w:tcW w:w="985" w:type="dxa"/>
            <w:shd w:val="clear" w:color="auto" w:fill="auto"/>
            <w:noWrap/>
            <w:vAlign w:val="center"/>
          </w:tcPr>
          <w:p w14:paraId="4B1939A2"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17.9</w:t>
            </w:r>
          </w:p>
        </w:tc>
      </w:tr>
      <w:tr w:rsidR="00923081" w:rsidRPr="00401B79" w14:paraId="47F01E38" w14:textId="77777777" w:rsidTr="00650395">
        <w:trPr>
          <w:trHeight w:val="279"/>
          <w:jc w:val="center"/>
        </w:trPr>
        <w:tc>
          <w:tcPr>
            <w:tcW w:w="1015" w:type="dxa"/>
            <w:shd w:val="clear" w:color="auto" w:fill="auto"/>
            <w:noWrap/>
            <w:vAlign w:val="center"/>
            <w:hideMark/>
          </w:tcPr>
          <w:p w14:paraId="19B95CC8" w14:textId="77777777" w:rsidR="00923081" w:rsidRPr="00E80694" w:rsidRDefault="00923081" w:rsidP="00650395">
            <w:pPr>
              <w:spacing w:line="276" w:lineRule="auto"/>
              <w:jc w:val="center"/>
              <w:rPr>
                <w:rFonts w:eastAsia="Times New Roman" w:cs="Times New Roman"/>
                <w:color w:val="000000"/>
                <w:sz w:val="20"/>
                <w:szCs w:val="20"/>
              </w:rPr>
            </w:pPr>
            <w:r w:rsidRPr="00E80694">
              <w:rPr>
                <w:rFonts w:eastAsia="Times New Roman" w:cs="Times New Roman"/>
                <w:color w:val="000000"/>
                <w:sz w:val="20"/>
                <w:szCs w:val="20"/>
              </w:rPr>
              <w:t>S3</w:t>
            </w:r>
          </w:p>
        </w:tc>
        <w:tc>
          <w:tcPr>
            <w:tcW w:w="1004" w:type="dxa"/>
            <w:shd w:val="clear" w:color="auto" w:fill="auto"/>
            <w:noWrap/>
            <w:vAlign w:val="center"/>
          </w:tcPr>
          <w:p w14:paraId="77292E02"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0.4</w:t>
            </w:r>
          </w:p>
        </w:tc>
        <w:tc>
          <w:tcPr>
            <w:tcW w:w="793" w:type="dxa"/>
            <w:shd w:val="clear" w:color="auto" w:fill="auto"/>
            <w:noWrap/>
            <w:vAlign w:val="center"/>
          </w:tcPr>
          <w:p w14:paraId="01D6FC44"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1.8</w:t>
            </w:r>
          </w:p>
        </w:tc>
        <w:tc>
          <w:tcPr>
            <w:tcW w:w="880" w:type="dxa"/>
            <w:shd w:val="clear" w:color="auto" w:fill="auto"/>
            <w:noWrap/>
            <w:vAlign w:val="center"/>
          </w:tcPr>
          <w:p w14:paraId="2F9861CB"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0.9</w:t>
            </w:r>
          </w:p>
        </w:tc>
        <w:tc>
          <w:tcPr>
            <w:tcW w:w="968" w:type="dxa"/>
            <w:shd w:val="clear" w:color="auto" w:fill="auto"/>
            <w:noWrap/>
            <w:vAlign w:val="center"/>
          </w:tcPr>
          <w:p w14:paraId="03EC7F38"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0.4</w:t>
            </w:r>
          </w:p>
        </w:tc>
        <w:tc>
          <w:tcPr>
            <w:tcW w:w="968" w:type="dxa"/>
            <w:shd w:val="clear" w:color="auto" w:fill="auto"/>
            <w:noWrap/>
            <w:vAlign w:val="center"/>
          </w:tcPr>
          <w:p w14:paraId="22D942FD"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1.8</w:t>
            </w:r>
          </w:p>
        </w:tc>
        <w:tc>
          <w:tcPr>
            <w:tcW w:w="880" w:type="dxa"/>
            <w:shd w:val="clear" w:color="auto" w:fill="auto"/>
            <w:noWrap/>
            <w:vAlign w:val="center"/>
          </w:tcPr>
          <w:p w14:paraId="03EBADDE"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0.9</w:t>
            </w:r>
          </w:p>
        </w:tc>
        <w:tc>
          <w:tcPr>
            <w:tcW w:w="897" w:type="dxa"/>
          </w:tcPr>
          <w:p w14:paraId="0379DBD8"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51.0</w:t>
            </w:r>
          </w:p>
        </w:tc>
        <w:tc>
          <w:tcPr>
            <w:tcW w:w="960" w:type="dxa"/>
          </w:tcPr>
          <w:p w14:paraId="74F397CD"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53.0</w:t>
            </w:r>
          </w:p>
        </w:tc>
        <w:tc>
          <w:tcPr>
            <w:tcW w:w="985" w:type="dxa"/>
            <w:shd w:val="clear" w:color="auto" w:fill="auto"/>
            <w:noWrap/>
            <w:vAlign w:val="center"/>
          </w:tcPr>
          <w:p w14:paraId="4013855D"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53.5</w:t>
            </w:r>
          </w:p>
        </w:tc>
      </w:tr>
      <w:tr w:rsidR="00923081" w:rsidRPr="00401B79" w14:paraId="624F8B72" w14:textId="77777777" w:rsidTr="00650395">
        <w:trPr>
          <w:trHeight w:val="279"/>
          <w:jc w:val="center"/>
        </w:trPr>
        <w:tc>
          <w:tcPr>
            <w:tcW w:w="1015" w:type="dxa"/>
            <w:shd w:val="clear" w:color="auto" w:fill="auto"/>
            <w:noWrap/>
            <w:vAlign w:val="center"/>
            <w:hideMark/>
          </w:tcPr>
          <w:p w14:paraId="61C43796" w14:textId="77777777" w:rsidR="00923081" w:rsidRPr="00E80694" w:rsidRDefault="00923081" w:rsidP="00650395">
            <w:pPr>
              <w:spacing w:line="276" w:lineRule="auto"/>
              <w:jc w:val="center"/>
              <w:rPr>
                <w:rFonts w:eastAsia="Times New Roman" w:cs="Times New Roman"/>
                <w:color w:val="000000"/>
                <w:sz w:val="20"/>
                <w:szCs w:val="20"/>
              </w:rPr>
            </w:pPr>
            <w:r w:rsidRPr="00E80694">
              <w:rPr>
                <w:rFonts w:eastAsia="Times New Roman" w:cs="Times New Roman"/>
                <w:color w:val="000000"/>
                <w:sz w:val="20"/>
                <w:szCs w:val="20"/>
              </w:rPr>
              <w:t>S4</w:t>
            </w:r>
          </w:p>
        </w:tc>
        <w:tc>
          <w:tcPr>
            <w:tcW w:w="1004" w:type="dxa"/>
            <w:shd w:val="clear" w:color="auto" w:fill="auto"/>
            <w:noWrap/>
            <w:vAlign w:val="center"/>
          </w:tcPr>
          <w:p w14:paraId="3F956F40"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18.0</w:t>
            </w:r>
          </w:p>
        </w:tc>
        <w:tc>
          <w:tcPr>
            <w:tcW w:w="793" w:type="dxa"/>
            <w:shd w:val="clear" w:color="auto" w:fill="auto"/>
            <w:noWrap/>
            <w:vAlign w:val="center"/>
          </w:tcPr>
          <w:p w14:paraId="62D9CA75"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15.9</w:t>
            </w:r>
          </w:p>
        </w:tc>
        <w:tc>
          <w:tcPr>
            <w:tcW w:w="880" w:type="dxa"/>
            <w:shd w:val="clear" w:color="auto" w:fill="auto"/>
            <w:noWrap/>
            <w:vAlign w:val="center"/>
          </w:tcPr>
          <w:p w14:paraId="5838CD09"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18.1</w:t>
            </w:r>
          </w:p>
        </w:tc>
        <w:tc>
          <w:tcPr>
            <w:tcW w:w="968" w:type="dxa"/>
            <w:shd w:val="clear" w:color="auto" w:fill="auto"/>
            <w:noWrap/>
            <w:vAlign w:val="center"/>
          </w:tcPr>
          <w:p w14:paraId="161EA6A4"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18.0</w:t>
            </w:r>
          </w:p>
        </w:tc>
        <w:tc>
          <w:tcPr>
            <w:tcW w:w="968" w:type="dxa"/>
            <w:shd w:val="clear" w:color="auto" w:fill="auto"/>
            <w:noWrap/>
            <w:vAlign w:val="center"/>
          </w:tcPr>
          <w:p w14:paraId="30EBA949"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15.9</w:t>
            </w:r>
          </w:p>
        </w:tc>
        <w:tc>
          <w:tcPr>
            <w:tcW w:w="880" w:type="dxa"/>
            <w:shd w:val="clear" w:color="auto" w:fill="auto"/>
            <w:noWrap/>
            <w:vAlign w:val="center"/>
          </w:tcPr>
          <w:p w14:paraId="5BCA28D7"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18.1</w:t>
            </w:r>
          </w:p>
        </w:tc>
        <w:tc>
          <w:tcPr>
            <w:tcW w:w="897" w:type="dxa"/>
          </w:tcPr>
          <w:p w14:paraId="758D9958"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9.1</w:t>
            </w:r>
          </w:p>
        </w:tc>
        <w:tc>
          <w:tcPr>
            <w:tcW w:w="960" w:type="dxa"/>
          </w:tcPr>
          <w:p w14:paraId="5440AB9F"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8.8</w:t>
            </w:r>
          </w:p>
        </w:tc>
        <w:tc>
          <w:tcPr>
            <w:tcW w:w="985" w:type="dxa"/>
            <w:shd w:val="clear" w:color="auto" w:fill="auto"/>
            <w:noWrap/>
            <w:vAlign w:val="center"/>
          </w:tcPr>
          <w:p w14:paraId="5004C6E8" w14:textId="77777777" w:rsidR="00923081" w:rsidRPr="00401B79" w:rsidRDefault="00923081" w:rsidP="00650395">
            <w:pPr>
              <w:spacing w:line="276" w:lineRule="auto"/>
              <w:jc w:val="center"/>
              <w:rPr>
                <w:rFonts w:eastAsia="Times New Roman" w:cs="Times New Roman"/>
                <w:color w:val="000000"/>
                <w:sz w:val="20"/>
                <w:szCs w:val="20"/>
              </w:rPr>
            </w:pPr>
            <w:r w:rsidRPr="00401B79">
              <w:rPr>
                <w:rFonts w:eastAsia="Times New Roman" w:cs="Times New Roman"/>
                <w:color w:val="000000"/>
                <w:sz w:val="20"/>
                <w:szCs w:val="20"/>
              </w:rPr>
              <w:t>9.1</w:t>
            </w:r>
          </w:p>
        </w:tc>
      </w:tr>
    </w:tbl>
    <w:p w14:paraId="20A5741A" w14:textId="77777777" w:rsidR="00923081" w:rsidRPr="00401B79" w:rsidRDefault="00923081" w:rsidP="00923081">
      <w:pPr>
        <w:spacing w:line="360" w:lineRule="auto"/>
        <w:rPr>
          <w:rFonts w:cs="Times New Roman"/>
        </w:rPr>
      </w:pPr>
    </w:p>
    <w:p w14:paraId="561AE8E5" w14:textId="4011F6AB" w:rsidR="00D3277B" w:rsidRPr="007E3A5F" w:rsidRDefault="00A21167" w:rsidP="00A21167">
      <w:pPr>
        <w:pStyle w:val="Caption"/>
        <w:spacing w:line="480" w:lineRule="auto"/>
        <w:jc w:val="center"/>
        <w:rPr>
          <w:szCs w:val="24"/>
        </w:rPr>
      </w:pPr>
      <w:bookmarkStart w:id="63" w:name="_Toc71330986"/>
      <w:r>
        <w:t xml:space="preserve">Table </w:t>
      </w:r>
      <w:fldSimple w:instr=" STYLEREF 1 \s ">
        <w:r w:rsidR="005050F0">
          <w:rPr>
            <w:noProof/>
          </w:rPr>
          <w:t>2</w:t>
        </w:r>
      </w:fldSimple>
      <w:r w:rsidR="00700639">
        <w:t>.</w:t>
      </w:r>
      <w:fldSimple w:instr=" SEQ Table \* ARABIC \s 1 ">
        <w:r w:rsidR="005050F0">
          <w:rPr>
            <w:noProof/>
          </w:rPr>
          <w:t>15</w:t>
        </w:r>
      </w:fldSimple>
      <w:r w:rsidR="00D3277B">
        <w:rPr>
          <w:szCs w:val="24"/>
        </w:rPr>
        <w:t xml:space="preserve"> Susceptibility to Moisture-Induced Damage by Different SFE Method (Least = 1, Most = 4)</w:t>
      </w:r>
      <w:bookmarkEnd w:id="63"/>
    </w:p>
    <w:tbl>
      <w:tblPr>
        <w:tblW w:w="93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3"/>
        <w:gridCol w:w="897"/>
        <w:gridCol w:w="791"/>
        <w:gridCol w:w="756"/>
        <w:gridCol w:w="897"/>
        <w:gridCol w:w="787"/>
        <w:gridCol w:w="797"/>
        <w:gridCol w:w="897"/>
        <w:gridCol w:w="776"/>
        <w:gridCol w:w="756"/>
        <w:gridCol w:w="1158"/>
      </w:tblGrid>
      <w:tr w:rsidR="00D3277B" w:rsidRPr="00401B79" w14:paraId="27D09C40" w14:textId="77777777" w:rsidTr="006300FC">
        <w:trPr>
          <w:trHeight w:val="277"/>
          <w:jc w:val="center"/>
        </w:trPr>
        <w:tc>
          <w:tcPr>
            <w:tcW w:w="896" w:type="dxa"/>
            <w:vMerge w:val="restart"/>
            <w:shd w:val="clear" w:color="auto" w:fill="auto"/>
            <w:noWrap/>
            <w:vAlign w:val="center"/>
            <w:hideMark/>
          </w:tcPr>
          <w:p w14:paraId="61656FF5" w14:textId="77777777" w:rsidR="00D3277B" w:rsidRPr="00401B79" w:rsidRDefault="00D3277B" w:rsidP="006300FC">
            <w:pPr>
              <w:spacing w:line="276" w:lineRule="auto"/>
              <w:jc w:val="center"/>
              <w:rPr>
                <w:rFonts w:eastAsia="Times New Roman" w:cs="Times New Roman"/>
                <w:b/>
                <w:bCs/>
              </w:rPr>
            </w:pPr>
            <w:r w:rsidRPr="00401B79">
              <w:rPr>
                <w:rFonts w:eastAsia="Times New Roman" w:cs="Times New Roman"/>
                <w:b/>
                <w:bCs/>
                <w:color w:val="000000"/>
              </w:rPr>
              <w:t>Binder</w:t>
            </w:r>
          </w:p>
        </w:tc>
        <w:tc>
          <w:tcPr>
            <w:tcW w:w="2444" w:type="dxa"/>
            <w:gridSpan w:val="3"/>
            <w:shd w:val="clear" w:color="auto" w:fill="auto"/>
            <w:noWrap/>
            <w:vAlign w:val="center"/>
            <w:hideMark/>
          </w:tcPr>
          <w:p w14:paraId="0B84F0E2" w14:textId="77777777" w:rsidR="00D3277B" w:rsidRPr="00401B79" w:rsidRDefault="00D3277B" w:rsidP="006300FC">
            <w:pPr>
              <w:spacing w:line="276" w:lineRule="auto"/>
              <w:jc w:val="center"/>
              <w:rPr>
                <w:rFonts w:eastAsia="Times New Roman" w:cs="Times New Roman"/>
                <w:b/>
                <w:bCs/>
                <w:color w:val="000000"/>
              </w:rPr>
            </w:pPr>
            <w:r w:rsidRPr="00401B79">
              <w:rPr>
                <w:rFonts w:eastAsia="Times New Roman" w:cs="Times New Roman"/>
                <w:b/>
                <w:bCs/>
                <w:color w:val="000000"/>
              </w:rPr>
              <w:t>GvOC</w:t>
            </w:r>
          </w:p>
        </w:tc>
        <w:tc>
          <w:tcPr>
            <w:tcW w:w="2481" w:type="dxa"/>
            <w:gridSpan w:val="3"/>
            <w:shd w:val="clear" w:color="auto" w:fill="auto"/>
            <w:vAlign w:val="center"/>
          </w:tcPr>
          <w:p w14:paraId="0619D0A4" w14:textId="77777777" w:rsidR="00D3277B" w:rsidRPr="00401B79" w:rsidRDefault="00D3277B" w:rsidP="006300FC">
            <w:pPr>
              <w:spacing w:line="276" w:lineRule="auto"/>
              <w:jc w:val="center"/>
              <w:rPr>
                <w:rFonts w:eastAsia="Times New Roman" w:cs="Times New Roman"/>
                <w:b/>
                <w:bCs/>
                <w:color w:val="000000"/>
              </w:rPr>
            </w:pPr>
            <w:r w:rsidRPr="00401B79">
              <w:rPr>
                <w:rFonts w:eastAsia="Times New Roman" w:cs="Times New Roman"/>
                <w:b/>
                <w:bCs/>
                <w:color w:val="000000"/>
              </w:rPr>
              <w:t>OW</w:t>
            </w:r>
          </w:p>
        </w:tc>
        <w:tc>
          <w:tcPr>
            <w:tcW w:w="2455" w:type="dxa"/>
            <w:gridSpan w:val="3"/>
            <w:vAlign w:val="center"/>
          </w:tcPr>
          <w:p w14:paraId="2765E272" w14:textId="77777777" w:rsidR="00D3277B" w:rsidRPr="00401B79" w:rsidRDefault="00D3277B" w:rsidP="006300FC">
            <w:pPr>
              <w:spacing w:line="276" w:lineRule="auto"/>
              <w:jc w:val="center"/>
              <w:rPr>
                <w:rFonts w:eastAsia="Times New Roman" w:cs="Times New Roman"/>
                <w:b/>
                <w:bCs/>
                <w:color w:val="000000"/>
              </w:rPr>
            </w:pPr>
            <w:r w:rsidRPr="00401B79">
              <w:rPr>
                <w:rFonts w:eastAsia="Times New Roman" w:cs="Times New Roman"/>
                <w:b/>
                <w:bCs/>
                <w:color w:val="000000"/>
              </w:rPr>
              <w:t>Wu</w:t>
            </w:r>
          </w:p>
        </w:tc>
        <w:tc>
          <w:tcPr>
            <w:tcW w:w="1074" w:type="dxa"/>
            <w:shd w:val="clear" w:color="auto" w:fill="auto"/>
            <w:noWrap/>
            <w:vAlign w:val="center"/>
            <w:hideMark/>
          </w:tcPr>
          <w:p w14:paraId="0AACF21B" w14:textId="77777777" w:rsidR="00D3277B" w:rsidRPr="00401B79" w:rsidRDefault="00D3277B" w:rsidP="006300FC">
            <w:pPr>
              <w:spacing w:line="276" w:lineRule="auto"/>
              <w:ind w:left="-59"/>
              <w:jc w:val="center"/>
              <w:rPr>
                <w:rFonts w:eastAsia="Times New Roman" w:cs="Times New Roman"/>
                <w:b/>
                <w:bCs/>
                <w:color w:val="000000"/>
              </w:rPr>
            </w:pPr>
            <w:r w:rsidRPr="00401B79">
              <w:rPr>
                <w:rFonts w:eastAsia="Times New Roman" w:cs="Times New Roman"/>
                <w:b/>
                <w:bCs/>
                <w:color w:val="000000"/>
              </w:rPr>
              <w:t>Neumann</w:t>
            </w:r>
          </w:p>
        </w:tc>
      </w:tr>
      <w:tr w:rsidR="00D3277B" w:rsidRPr="00401B79" w14:paraId="78EC4055" w14:textId="77777777" w:rsidTr="006300FC">
        <w:trPr>
          <w:cantSplit/>
          <w:trHeight w:val="368"/>
          <w:jc w:val="center"/>
        </w:trPr>
        <w:tc>
          <w:tcPr>
            <w:tcW w:w="896" w:type="dxa"/>
            <w:vMerge/>
            <w:shd w:val="clear" w:color="auto" w:fill="auto"/>
            <w:noWrap/>
            <w:vAlign w:val="center"/>
            <w:hideMark/>
          </w:tcPr>
          <w:p w14:paraId="0906FDB3" w14:textId="77777777" w:rsidR="00D3277B" w:rsidRPr="00401B79" w:rsidRDefault="00D3277B" w:rsidP="006300FC">
            <w:pPr>
              <w:spacing w:line="276" w:lineRule="auto"/>
              <w:jc w:val="center"/>
              <w:rPr>
                <w:rFonts w:eastAsia="Times New Roman" w:cs="Times New Roman"/>
                <w:b/>
                <w:bCs/>
                <w:color w:val="000000"/>
              </w:rPr>
            </w:pPr>
          </w:p>
        </w:tc>
        <w:tc>
          <w:tcPr>
            <w:tcW w:w="897" w:type="dxa"/>
            <w:shd w:val="clear" w:color="auto" w:fill="auto"/>
            <w:noWrap/>
            <w:vAlign w:val="center"/>
            <w:hideMark/>
          </w:tcPr>
          <w:p w14:paraId="6C3F6336" w14:textId="77777777" w:rsidR="00D3277B" w:rsidRPr="00401B79" w:rsidRDefault="00D3277B" w:rsidP="006300FC">
            <w:pPr>
              <w:spacing w:line="276" w:lineRule="auto"/>
              <w:jc w:val="center"/>
              <w:rPr>
                <w:rFonts w:eastAsia="Times New Roman" w:cs="Times New Roman"/>
                <w:b/>
                <w:bCs/>
                <w:color w:val="000000"/>
                <w:sz w:val="18"/>
                <w:szCs w:val="18"/>
              </w:rPr>
            </w:pPr>
            <w:bookmarkStart w:id="64" w:name="_Hlk47362317"/>
            <w:r w:rsidRPr="00401B79">
              <w:rPr>
                <w:rFonts w:eastAsia="Times New Roman" w:cs="Times New Roman"/>
                <w:b/>
                <w:bCs/>
                <w:color w:val="000000"/>
                <w:sz w:val="18"/>
                <w:szCs w:val="18"/>
              </w:rPr>
              <w:t>WGFDE</w:t>
            </w:r>
            <w:bookmarkEnd w:id="64"/>
          </w:p>
        </w:tc>
        <w:tc>
          <w:tcPr>
            <w:tcW w:w="791" w:type="dxa"/>
            <w:shd w:val="clear" w:color="auto" w:fill="auto"/>
            <w:noWrap/>
            <w:vAlign w:val="center"/>
            <w:hideMark/>
          </w:tcPr>
          <w:p w14:paraId="56CE0EBE" w14:textId="77777777" w:rsidR="00D3277B" w:rsidRPr="00401B79" w:rsidRDefault="00D3277B" w:rsidP="006300FC">
            <w:pPr>
              <w:spacing w:line="276" w:lineRule="auto"/>
              <w:jc w:val="center"/>
              <w:rPr>
                <w:rFonts w:eastAsia="Times New Roman" w:cs="Times New Roman"/>
                <w:b/>
                <w:bCs/>
                <w:color w:val="000000"/>
                <w:sz w:val="18"/>
                <w:szCs w:val="18"/>
              </w:rPr>
            </w:pPr>
            <w:r w:rsidRPr="00401B79">
              <w:rPr>
                <w:rFonts w:eastAsia="Times New Roman" w:cs="Times New Roman"/>
                <w:b/>
                <w:bCs/>
                <w:color w:val="000000"/>
                <w:sz w:val="18"/>
                <w:szCs w:val="18"/>
              </w:rPr>
              <w:t>WGED</w:t>
            </w:r>
          </w:p>
        </w:tc>
        <w:tc>
          <w:tcPr>
            <w:tcW w:w="756" w:type="dxa"/>
            <w:shd w:val="clear" w:color="auto" w:fill="auto"/>
            <w:noWrap/>
            <w:vAlign w:val="center"/>
            <w:hideMark/>
          </w:tcPr>
          <w:p w14:paraId="3A18803E" w14:textId="77777777" w:rsidR="00D3277B" w:rsidRPr="00401B79" w:rsidRDefault="00D3277B" w:rsidP="006300FC">
            <w:pPr>
              <w:spacing w:line="276" w:lineRule="auto"/>
              <w:jc w:val="center"/>
              <w:rPr>
                <w:rFonts w:eastAsia="Times New Roman" w:cs="Times New Roman"/>
                <w:b/>
                <w:bCs/>
                <w:color w:val="000000"/>
                <w:sz w:val="18"/>
                <w:szCs w:val="18"/>
              </w:rPr>
            </w:pPr>
            <w:r w:rsidRPr="00401B79">
              <w:rPr>
                <w:rFonts w:eastAsia="Times New Roman" w:cs="Times New Roman"/>
                <w:b/>
                <w:bCs/>
                <w:color w:val="000000"/>
                <w:sz w:val="18"/>
                <w:szCs w:val="18"/>
              </w:rPr>
              <w:t>WFED</w:t>
            </w:r>
          </w:p>
        </w:tc>
        <w:tc>
          <w:tcPr>
            <w:tcW w:w="897" w:type="dxa"/>
            <w:shd w:val="clear" w:color="auto" w:fill="auto"/>
            <w:noWrap/>
            <w:vAlign w:val="center"/>
            <w:hideMark/>
          </w:tcPr>
          <w:p w14:paraId="58FC8F9B" w14:textId="77777777" w:rsidR="00D3277B" w:rsidRPr="00401B79" w:rsidRDefault="00D3277B" w:rsidP="006300FC">
            <w:pPr>
              <w:spacing w:line="276" w:lineRule="auto"/>
              <w:jc w:val="center"/>
              <w:rPr>
                <w:rFonts w:eastAsia="Times New Roman" w:cs="Times New Roman"/>
                <w:b/>
                <w:bCs/>
                <w:color w:val="000000"/>
                <w:sz w:val="18"/>
                <w:szCs w:val="18"/>
              </w:rPr>
            </w:pPr>
            <w:r w:rsidRPr="00401B79">
              <w:rPr>
                <w:rFonts w:cs="Times New Roman"/>
                <w:b/>
                <w:bCs/>
                <w:color w:val="000000"/>
                <w:sz w:val="18"/>
                <w:szCs w:val="18"/>
              </w:rPr>
              <w:t>WGFDE</w:t>
            </w:r>
          </w:p>
        </w:tc>
        <w:tc>
          <w:tcPr>
            <w:tcW w:w="787" w:type="dxa"/>
            <w:shd w:val="clear" w:color="auto" w:fill="auto"/>
            <w:noWrap/>
            <w:vAlign w:val="center"/>
            <w:hideMark/>
          </w:tcPr>
          <w:p w14:paraId="6C1E1947" w14:textId="77777777" w:rsidR="00D3277B" w:rsidRPr="00401B79" w:rsidRDefault="00D3277B" w:rsidP="006300FC">
            <w:pPr>
              <w:spacing w:line="276" w:lineRule="auto"/>
              <w:jc w:val="center"/>
              <w:rPr>
                <w:rFonts w:eastAsia="Times New Roman" w:cs="Times New Roman"/>
                <w:b/>
                <w:bCs/>
                <w:color w:val="000000"/>
                <w:sz w:val="18"/>
                <w:szCs w:val="18"/>
              </w:rPr>
            </w:pPr>
            <w:r w:rsidRPr="00401B79">
              <w:rPr>
                <w:rFonts w:cs="Times New Roman"/>
                <w:b/>
                <w:bCs/>
                <w:color w:val="000000"/>
                <w:sz w:val="18"/>
                <w:szCs w:val="18"/>
              </w:rPr>
              <w:t>WGED</w:t>
            </w:r>
          </w:p>
        </w:tc>
        <w:tc>
          <w:tcPr>
            <w:tcW w:w="797" w:type="dxa"/>
            <w:shd w:val="clear" w:color="auto" w:fill="auto"/>
            <w:noWrap/>
            <w:vAlign w:val="center"/>
            <w:hideMark/>
          </w:tcPr>
          <w:p w14:paraId="59BCAF2E" w14:textId="77777777" w:rsidR="00D3277B" w:rsidRPr="00401B79" w:rsidRDefault="00D3277B" w:rsidP="006300FC">
            <w:pPr>
              <w:spacing w:line="276" w:lineRule="auto"/>
              <w:jc w:val="center"/>
              <w:rPr>
                <w:rFonts w:eastAsia="Times New Roman" w:cs="Times New Roman"/>
                <w:b/>
                <w:bCs/>
                <w:color w:val="000000"/>
                <w:sz w:val="18"/>
                <w:szCs w:val="18"/>
              </w:rPr>
            </w:pPr>
            <w:r w:rsidRPr="00401B79">
              <w:rPr>
                <w:rFonts w:cs="Times New Roman"/>
                <w:b/>
                <w:bCs/>
                <w:color w:val="000000"/>
                <w:sz w:val="18"/>
                <w:szCs w:val="18"/>
              </w:rPr>
              <w:t>WFED</w:t>
            </w:r>
          </w:p>
        </w:tc>
        <w:tc>
          <w:tcPr>
            <w:tcW w:w="897" w:type="dxa"/>
            <w:vAlign w:val="center"/>
          </w:tcPr>
          <w:p w14:paraId="36995140" w14:textId="77777777" w:rsidR="00D3277B" w:rsidRPr="00401B79" w:rsidRDefault="00D3277B" w:rsidP="006300FC">
            <w:pPr>
              <w:spacing w:line="276" w:lineRule="auto"/>
              <w:jc w:val="center"/>
              <w:rPr>
                <w:rFonts w:eastAsia="Times New Roman" w:cs="Times New Roman"/>
                <w:b/>
                <w:bCs/>
                <w:color w:val="000000"/>
                <w:sz w:val="18"/>
                <w:szCs w:val="18"/>
              </w:rPr>
            </w:pPr>
            <w:r w:rsidRPr="00401B79">
              <w:rPr>
                <w:rFonts w:eastAsia="Times New Roman" w:cs="Times New Roman"/>
                <w:b/>
                <w:bCs/>
                <w:color w:val="000000"/>
                <w:sz w:val="18"/>
                <w:szCs w:val="18"/>
              </w:rPr>
              <w:t>WGFDE</w:t>
            </w:r>
          </w:p>
        </w:tc>
        <w:tc>
          <w:tcPr>
            <w:tcW w:w="776" w:type="dxa"/>
            <w:vAlign w:val="center"/>
          </w:tcPr>
          <w:p w14:paraId="32CEE06A" w14:textId="77777777" w:rsidR="00D3277B" w:rsidRPr="00401B79" w:rsidRDefault="00D3277B" w:rsidP="006300FC">
            <w:pPr>
              <w:spacing w:line="276" w:lineRule="auto"/>
              <w:jc w:val="center"/>
              <w:rPr>
                <w:rFonts w:eastAsia="Times New Roman" w:cs="Times New Roman"/>
                <w:b/>
                <w:bCs/>
                <w:color w:val="000000"/>
                <w:sz w:val="18"/>
                <w:szCs w:val="18"/>
              </w:rPr>
            </w:pPr>
            <w:r w:rsidRPr="00401B79">
              <w:rPr>
                <w:rFonts w:cs="Times New Roman"/>
                <w:b/>
                <w:bCs/>
                <w:sz w:val="18"/>
                <w:szCs w:val="18"/>
              </w:rPr>
              <w:t>WFGD</w:t>
            </w:r>
          </w:p>
        </w:tc>
        <w:tc>
          <w:tcPr>
            <w:tcW w:w="782" w:type="dxa"/>
            <w:vAlign w:val="center"/>
          </w:tcPr>
          <w:p w14:paraId="45840605" w14:textId="77777777" w:rsidR="00D3277B" w:rsidRPr="00401B79" w:rsidRDefault="00D3277B" w:rsidP="006300FC">
            <w:pPr>
              <w:spacing w:line="276" w:lineRule="auto"/>
              <w:jc w:val="center"/>
              <w:rPr>
                <w:rFonts w:eastAsia="Times New Roman" w:cs="Times New Roman"/>
                <w:b/>
                <w:bCs/>
                <w:color w:val="000000"/>
                <w:sz w:val="18"/>
                <w:szCs w:val="18"/>
              </w:rPr>
            </w:pPr>
            <w:r w:rsidRPr="00401B79">
              <w:rPr>
                <w:rFonts w:eastAsia="Times New Roman" w:cs="Times New Roman"/>
                <w:b/>
                <w:bCs/>
                <w:color w:val="000000"/>
                <w:sz w:val="18"/>
                <w:szCs w:val="18"/>
              </w:rPr>
              <w:t>WFED</w:t>
            </w:r>
          </w:p>
        </w:tc>
        <w:tc>
          <w:tcPr>
            <w:tcW w:w="1074" w:type="dxa"/>
            <w:shd w:val="clear" w:color="auto" w:fill="auto"/>
            <w:noWrap/>
            <w:vAlign w:val="center"/>
            <w:hideMark/>
          </w:tcPr>
          <w:p w14:paraId="74E7BA8A" w14:textId="77777777" w:rsidR="00D3277B" w:rsidRPr="00401B79" w:rsidRDefault="00D3277B" w:rsidP="006300FC">
            <w:pPr>
              <w:spacing w:line="276" w:lineRule="auto"/>
              <w:ind w:left="-104"/>
              <w:jc w:val="center"/>
              <w:rPr>
                <w:rFonts w:eastAsia="Times New Roman" w:cs="Times New Roman"/>
                <w:b/>
                <w:bCs/>
                <w:color w:val="000000"/>
                <w:sz w:val="18"/>
                <w:szCs w:val="18"/>
              </w:rPr>
            </w:pPr>
            <w:r w:rsidRPr="00401B79">
              <w:rPr>
                <w:rFonts w:eastAsia="Times New Roman" w:cs="Times New Roman"/>
                <w:b/>
                <w:bCs/>
                <w:color w:val="000000"/>
                <w:sz w:val="18"/>
                <w:szCs w:val="18"/>
              </w:rPr>
              <w:t>WGFDE</w:t>
            </w:r>
          </w:p>
        </w:tc>
      </w:tr>
      <w:tr w:rsidR="00D3277B" w:rsidRPr="00401B79" w14:paraId="6886B120" w14:textId="77777777" w:rsidTr="006300FC">
        <w:trPr>
          <w:trHeight w:val="277"/>
          <w:jc w:val="center"/>
        </w:trPr>
        <w:tc>
          <w:tcPr>
            <w:tcW w:w="896" w:type="dxa"/>
            <w:shd w:val="clear" w:color="auto" w:fill="auto"/>
            <w:noWrap/>
            <w:vAlign w:val="center"/>
            <w:hideMark/>
          </w:tcPr>
          <w:p w14:paraId="1A6CF4FE"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S1</w:t>
            </w:r>
          </w:p>
        </w:tc>
        <w:tc>
          <w:tcPr>
            <w:tcW w:w="897" w:type="dxa"/>
            <w:shd w:val="clear" w:color="auto" w:fill="auto"/>
            <w:noWrap/>
            <w:vAlign w:val="center"/>
            <w:hideMark/>
          </w:tcPr>
          <w:p w14:paraId="60FF6E57"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1</w:t>
            </w:r>
          </w:p>
        </w:tc>
        <w:tc>
          <w:tcPr>
            <w:tcW w:w="791" w:type="dxa"/>
            <w:shd w:val="clear" w:color="auto" w:fill="auto"/>
            <w:noWrap/>
            <w:vAlign w:val="center"/>
            <w:hideMark/>
          </w:tcPr>
          <w:p w14:paraId="4238F70B"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1</w:t>
            </w:r>
          </w:p>
        </w:tc>
        <w:tc>
          <w:tcPr>
            <w:tcW w:w="756" w:type="dxa"/>
            <w:shd w:val="clear" w:color="auto" w:fill="auto"/>
            <w:noWrap/>
            <w:vAlign w:val="center"/>
            <w:hideMark/>
          </w:tcPr>
          <w:p w14:paraId="1E6A2901"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1</w:t>
            </w:r>
          </w:p>
        </w:tc>
        <w:tc>
          <w:tcPr>
            <w:tcW w:w="897" w:type="dxa"/>
            <w:shd w:val="clear" w:color="auto" w:fill="auto"/>
            <w:noWrap/>
            <w:vAlign w:val="center"/>
            <w:hideMark/>
          </w:tcPr>
          <w:p w14:paraId="69B3D431"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1</w:t>
            </w:r>
          </w:p>
        </w:tc>
        <w:tc>
          <w:tcPr>
            <w:tcW w:w="787" w:type="dxa"/>
            <w:shd w:val="clear" w:color="auto" w:fill="auto"/>
            <w:noWrap/>
            <w:vAlign w:val="center"/>
            <w:hideMark/>
          </w:tcPr>
          <w:p w14:paraId="32E04AEC"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2</w:t>
            </w:r>
          </w:p>
        </w:tc>
        <w:tc>
          <w:tcPr>
            <w:tcW w:w="797" w:type="dxa"/>
            <w:shd w:val="clear" w:color="auto" w:fill="auto"/>
            <w:noWrap/>
            <w:vAlign w:val="center"/>
            <w:hideMark/>
          </w:tcPr>
          <w:p w14:paraId="61A70185"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1</w:t>
            </w:r>
          </w:p>
        </w:tc>
        <w:tc>
          <w:tcPr>
            <w:tcW w:w="897" w:type="dxa"/>
            <w:vAlign w:val="center"/>
          </w:tcPr>
          <w:p w14:paraId="5EF23796"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1</w:t>
            </w:r>
          </w:p>
        </w:tc>
        <w:tc>
          <w:tcPr>
            <w:tcW w:w="776" w:type="dxa"/>
            <w:vAlign w:val="center"/>
          </w:tcPr>
          <w:p w14:paraId="0D4B6164"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1</w:t>
            </w:r>
          </w:p>
        </w:tc>
        <w:tc>
          <w:tcPr>
            <w:tcW w:w="782" w:type="dxa"/>
            <w:vAlign w:val="center"/>
          </w:tcPr>
          <w:p w14:paraId="1FE40263"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1</w:t>
            </w:r>
          </w:p>
        </w:tc>
        <w:tc>
          <w:tcPr>
            <w:tcW w:w="1074" w:type="dxa"/>
            <w:shd w:val="clear" w:color="auto" w:fill="auto"/>
            <w:noWrap/>
            <w:vAlign w:val="center"/>
            <w:hideMark/>
          </w:tcPr>
          <w:p w14:paraId="093C4744"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1</w:t>
            </w:r>
          </w:p>
        </w:tc>
      </w:tr>
      <w:tr w:rsidR="00D3277B" w:rsidRPr="00401B79" w14:paraId="790E56DA" w14:textId="77777777" w:rsidTr="006300FC">
        <w:trPr>
          <w:trHeight w:val="277"/>
          <w:jc w:val="center"/>
        </w:trPr>
        <w:tc>
          <w:tcPr>
            <w:tcW w:w="896" w:type="dxa"/>
            <w:shd w:val="clear" w:color="auto" w:fill="auto"/>
            <w:noWrap/>
            <w:vAlign w:val="center"/>
            <w:hideMark/>
          </w:tcPr>
          <w:p w14:paraId="12460606"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S2</w:t>
            </w:r>
          </w:p>
        </w:tc>
        <w:tc>
          <w:tcPr>
            <w:tcW w:w="897" w:type="dxa"/>
            <w:shd w:val="clear" w:color="auto" w:fill="auto"/>
            <w:noWrap/>
            <w:vAlign w:val="center"/>
            <w:hideMark/>
          </w:tcPr>
          <w:p w14:paraId="2361CF26"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3</w:t>
            </w:r>
          </w:p>
        </w:tc>
        <w:tc>
          <w:tcPr>
            <w:tcW w:w="791" w:type="dxa"/>
            <w:shd w:val="clear" w:color="auto" w:fill="auto"/>
            <w:noWrap/>
            <w:vAlign w:val="center"/>
            <w:hideMark/>
          </w:tcPr>
          <w:p w14:paraId="7A54BCC4"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3</w:t>
            </w:r>
          </w:p>
        </w:tc>
        <w:tc>
          <w:tcPr>
            <w:tcW w:w="756" w:type="dxa"/>
            <w:shd w:val="clear" w:color="auto" w:fill="auto"/>
            <w:noWrap/>
            <w:vAlign w:val="center"/>
            <w:hideMark/>
          </w:tcPr>
          <w:p w14:paraId="1FDAB4D9"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3</w:t>
            </w:r>
          </w:p>
        </w:tc>
        <w:tc>
          <w:tcPr>
            <w:tcW w:w="897" w:type="dxa"/>
            <w:shd w:val="clear" w:color="auto" w:fill="auto"/>
            <w:noWrap/>
            <w:vAlign w:val="center"/>
            <w:hideMark/>
          </w:tcPr>
          <w:p w14:paraId="2458B63C"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2</w:t>
            </w:r>
          </w:p>
        </w:tc>
        <w:tc>
          <w:tcPr>
            <w:tcW w:w="787" w:type="dxa"/>
            <w:shd w:val="clear" w:color="auto" w:fill="auto"/>
            <w:noWrap/>
            <w:vAlign w:val="center"/>
            <w:hideMark/>
          </w:tcPr>
          <w:p w14:paraId="7A53E79F"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1</w:t>
            </w:r>
          </w:p>
        </w:tc>
        <w:tc>
          <w:tcPr>
            <w:tcW w:w="797" w:type="dxa"/>
            <w:shd w:val="clear" w:color="auto" w:fill="auto"/>
            <w:noWrap/>
            <w:vAlign w:val="center"/>
            <w:hideMark/>
          </w:tcPr>
          <w:p w14:paraId="7FE9B811"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2</w:t>
            </w:r>
          </w:p>
        </w:tc>
        <w:tc>
          <w:tcPr>
            <w:tcW w:w="897" w:type="dxa"/>
            <w:vAlign w:val="center"/>
          </w:tcPr>
          <w:p w14:paraId="44476760"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2</w:t>
            </w:r>
          </w:p>
        </w:tc>
        <w:tc>
          <w:tcPr>
            <w:tcW w:w="776" w:type="dxa"/>
            <w:vAlign w:val="center"/>
          </w:tcPr>
          <w:p w14:paraId="0255A9D1"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2</w:t>
            </w:r>
          </w:p>
        </w:tc>
        <w:tc>
          <w:tcPr>
            <w:tcW w:w="782" w:type="dxa"/>
            <w:vAlign w:val="center"/>
          </w:tcPr>
          <w:p w14:paraId="2B606588"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2</w:t>
            </w:r>
          </w:p>
        </w:tc>
        <w:tc>
          <w:tcPr>
            <w:tcW w:w="1074" w:type="dxa"/>
            <w:shd w:val="clear" w:color="auto" w:fill="auto"/>
            <w:noWrap/>
            <w:vAlign w:val="center"/>
            <w:hideMark/>
          </w:tcPr>
          <w:p w14:paraId="2C23EB80"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3</w:t>
            </w:r>
          </w:p>
        </w:tc>
      </w:tr>
      <w:tr w:rsidR="00D3277B" w:rsidRPr="00401B79" w14:paraId="47667C7A" w14:textId="77777777" w:rsidTr="006300FC">
        <w:trPr>
          <w:trHeight w:val="277"/>
          <w:jc w:val="center"/>
        </w:trPr>
        <w:tc>
          <w:tcPr>
            <w:tcW w:w="896" w:type="dxa"/>
            <w:shd w:val="clear" w:color="auto" w:fill="auto"/>
            <w:noWrap/>
            <w:vAlign w:val="center"/>
            <w:hideMark/>
          </w:tcPr>
          <w:p w14:paraId="3626E2BB"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S3</w:t>
            </w:r>
          </w:p>
        </w:tc>
        <w:tc>
          <w:tcPr>
            <w:tcW w:w="897" w:type="dxa"/>
            <w:shd w:val="clear" w:color="auto" w:fill="auto"/>
            <w:noWrap/>
            <w:vAlign w:val="center"/>
            <w:hideMark/>
          </w:tcPr>
          <w:p w14:paraId="0CD4EB64"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4</w:t>
            </w:r>
          </w:p>
        </w:tc>
        <w:tc>
          <w:tcPr>
            <w:tcW w:w="791" w:type="dxa"/>
            <w:shd w:val="clear" w:color="auto" w:fill="auto"/>
            <w:noWrap/>
            <w:vAlign w:val="center"/>
            <w:hideMark/>
          </w:tcPr>
          <w:p w14:paraId="5F570B6E"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4</w:t>
            </w:r>
          </w:p>
        </w:tc>
        <w:tc>
          <w:tcPr>
            <w:tcW w:w="756" w:type="dxa"/>
            <w:shd w:val="clear" w:color="auto" w:fill="auto"/>
            <w:noWrap/>
            <w:vAlign w:val="center"/>
            <w:hideMark/>
          </w:tcPr>
          <w:p w14:paraId="295E6C54"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4</w:t>
            </w:r>
          </w:p>
        </w:tc>
        <w:tc>
          <w:tcPr>
            <w:tcW w:w="897" w:type="dxa"/>
            <w:shd w:val="clear" w:color="auto" w:fill="auto"/>
            <w:noWrap/>
            <w:vAlign w:val="center"/>
            <w:hideMark/>
          </w:tcPr>
          <w:p w14:paraId="266EA58A"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4</w:t>
            </w:r>
          </w:p>
        </w:tc>
        <w:tc>
          <w:tcPr>
            <w:tcW w:w="787" w:type="dxa"/>
            <w:shd w:val="clear" w:color="auto" w:fill="auto"/>
            <w:noWrap/>
            <w:vAlign w:val="center"/>
            <w:hideMark/>
          </w:tcPr>
          <w:p w14:paraId="7DD15C7F"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4</w:t>
            </w:r>
          </w:p>
        </w:tc>
        <w:tc>
          <w:tcPr>
            <w:tcW w:w="797" w:type="dxa"/>
            <w:shd w:val="clear" w:color="auto" w:fill="auto"/>
            <w:noWrap/>
            <w:vAlign w:val="center"/>
            <w:hideMark/>
          </w:tcPr>
          <w:p w14:paraId="63D66B45"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4</w:t>
            </w:r>
          </w:p>
        </w:tc>
        <w:tc>
          <w:tcPr>
            <w:tcW w:w="897" w:type="dxa"/>
            <w:vAlign w:val="center"/>
          </w:tcPr>
          <w:p w14:paraId="33DE2F14"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4</w:t>
            </w:r>
          </w:p>
        </w:tc>
        <w:tc>
          <w:tcPr>
            <w:tcW w:w="776" w:type="dxa"/>
            <w:vAlign w:val="center"/>
          </w:tcPr>
          <w:p w14:paraId="6DC0D327"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4</w:t>
            </w:r>
          </w:p>
        </w:tc>
        <w:tc>
          <w:tcPr>
            <w:tcW w:w="782" w:type="dxa"/>
            <w:vAlign w:val="center"/>
          </w:tcPr>
          <w:p w14:paraId="1971648C"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4</w:t>
            </w:r>
          </w:p>
        </w:tc>
        <w:tc>
          <w:tcPr>
            <w:tcW w:w="1074" w:type="dxa"/>
            <w:shd w:val="clear" w:color="auto" w:fill="auto"/>
            <w:noWrap/>
            <w:vAlign w:val="center"/>
            <w:hideMark/>
          </w:tcPr>
          <w:p w14:paraId="2E2B1F8F"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4</w:t>
            </w:r>
          </w:p>
        </w:tc>
      </w:tr>
      <w:tr w:rsidR="00D3277B" w:rsidRPr="00401B79" w14:paraId="1F233982" w14:textId="77777777" w:rsidTr="006300FC">
        <w:trPr>
          <w:trHeight w:val="277"/>
          <w:jc w:val="center"/>
        </w:trPr>
        <w:tc>
          <w:tcPr>
            <w:tcW w:w="896" w:type="dxa"/>
            <w:shd w:val="clear" w:color="auto" w:fill="auto"/>
            <w:noWrap/>
            <w:vAlign w:val="center"/>
            <w:hideMark/>
          </w:tcPr>
          <w:p w14:paraId="41C231C2"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S4</w:t>
            </w:r>
          </w:p>
        </w:tc>
        <w:tc>
          <w:tcPr>
            <w:tcW w:w="897" w:type="dxa"/>
            <w:shd w:val="clear" w:color="auto" w:fill="auto"/>
            <w:noWrap/>
            <w:vAlign w:val="center"/>
            <w:hideMark/>
          </w:tcPr>
          <w:p w14:paraId="51FBA65C"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2</w:t>
            </w:r>
          </w:p>
        </w:tc>
        <w:tc>
          <w:tcPr>
            <w:tcW w:w="791" w:type="dxa"/>
            <w:shd w:val="clear" w:color="auto" w:fill="auto"/>
            <w:noWrap/>
            <w:vAlign w:val="center"/>
            <w:hideMark/>
          </w:tcPr>
          <w:p w14:paraId="3E29EAD1"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2</w:t>
            </w:r>
          </w:p>
        </w:tc>
        <w:tc>
          <w:tcPr>
            <w:tcW w:w="756" w:type="dxa"/>
            <w:shd w:val="clear" w:color="auto" w:fill="auto"/>
            <w:noWrap/>
            <w:vAlign w:val="center"/>
            <w:hideMark/>
          </w:tcPr>
          <w:p w14:paraId="69223422"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2</w:t>
            </w:r>
          </w:p>
        </w:tc>
        <w:tc>
          <w:tcPr>
            <w:tcW w:w="897" w:type="dxa"/>
            <w:shd w:val="clear" w:color="auto" w:fill="auto"/>
            <w:noWrap/>
            <w:vAlign w:val="center"/>
            <w:hideMark/>
          </w:tcPr>
          <w:p w14:paraId="6036DEE1"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3</w:t>
            </w:r>
          </w:p>
        </w:tc>
        <w:tc>
          <w:tcPr>
            <w:tcW w:w="787" w:type="dxa"/>
            <w:shd w:val="clear" w:color="auto" w:fill="auto"/>
            <w:noWrap/>
            <w:vAlign w:val="center"/>
            <w:hideMark/>
          </w:tcPr>
          <w:p w14:paraId="34115879"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3</w:t>
            </w:r>
          </w:p>
        </w:tc>
        <w:tc>
          <w:tcPr>
            <w:tcW w:w="797" w:type="dxa"/>
            <w:shd w:val="clear" w:color="auto" w:fill="auto"/>
            <w:noWrap/>
            <w:vAlign w:val="center"/>
            <w:hideMark/>
          </w:tcPr>
          <w:p w14:paraId="187BE1AB"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3</w:t>
            </w:r>
          </w:p>
        </w:tc>
        <w:tc>
          <w:tcPr>
            <w:tcW w:w="897" w:type="dxa"/>
            <w:vAlign w:val="center"/>
          </w:tcPr>
          <w:p w14:paraId="638D0A14"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3</w:t>
            </w:r>
          </w:p>
        </w:tc>
        <w:tc>
          <w:tcPr>
            <w:tcW w:w="776" w:type="dxa"/>
            <w:vAlign w:val="center"/>
          </w:tcPr>
          <w:p w14:paraId="34C87A82"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3</w:t>
            </w:r>
          </w:p>
        </w:tc>
        <w:tc>
          <w:tcPr>
            <w:tcW w:w="782" w:type="dxa"/>
            <w:vAlign w:val="center"/>
          </w:tcPr>
          <w:p w14:paraId="0A108D85"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3</w:t>
            </w:r>
          </w:p>
        </w:tc>
        <w:tc>
          <w:tcPr>
            <w:tcW w:w="1074" w:type="dxa"/>
            <w:shd w:val="clear" w:color="auto" w:fill="auto"/>
            <w:noWrap/>
            <w:vAlign w:val="center"/>
            <w:hideMark/>
          </w:tcPr>
          <w:p w14:paraId="3811D4F3" w14:textId="77777777" w:rsidR="00D3277B" w:rsidRPr="00401B79" w:rsidRDefault="00D3277B" w:rsidP="006300FC">
            <w:pPr>
              <w:spacing w:line="276" w:lineRule="auto"/>
              <w:jc w:val="center"/>
              <w:rPr>
                <w:rFonts w:eastAsia="Times New Roman" w:cs="Times New Roman"/>
                <w:color w:val="000000"/>
              </w:rPr>
            </w:pPr>
            <w:r w:rsidRPr="00401B79">
              <w:rPr>
                <w:rFonts w:eastAsia="Times New Roman" w:cs="Times New Roman"/>
                <w:color w:val="000000"/>
              </w:rPr>
              <w:t>2</w:t>
            </w:r>
          </w:p>
        </w:tc>
      </w:tr>
    </w:tbl>
    <w:p w14:paraId="5604F5BF" w14:textId="77777777" w:rsidR="00ED2C6D" w:rsidRDefault="00ED2C6D" w:rsidP="006E6FFE">
      <w:pPr>
        <w:jc w:val="center"/>
        <w:rPr>
          <w:rFonts w:cs="Times New Roman"/>
          <w:szCs w:val="24"/>
        </w:rPr>
      </w:pPr>
    </w:p>
    <w:p w14:paraId="4DF842E6" w14:textId="77777777" w:rsidR="00D66A8F" w:rsidRDefault="00D66A8F" w:rsidP="006E6FFE">
      <w:pPr>
        <w:jc w:val="center"/>
        <w:rPr>
          <w:rFonts w:cs="Times New Roman"/>
          <w:szCs w:val="24"/>
        </w:rPr>
      </w:pPr>
    </w:p>
    <w:p w14:paraId="4298D51A" w14:textId="77777777" w:rsidR="00D66A8F" w:rsidRDefault="00D66A8F" w:rsidP="006E6FFE">
      <w:pPr>
        <w:jc w:val="center"/>
        <w:rPr>
          <w:rFonts w:cs="Times New Roman"/>
          <w:szCs w:val="24"/>
        </w:rPr>
      </w:pPr>
    </w:p>
    <w:p w14:paraId="75ECEC04" w14:textId="77777777" w:rsidR="00D66A8F" w:rsidRDefault="00D66A8F" w:rsidP="006E6FFE">
      <w:pPr>
        <w:jc w:val="center"/>
        <w:rPr>
          <w:rFonts w:cs="Times New Roman"/>
          <w:szCs w:val="24"/>
        </w:rPr>
      </w:pPr>
    </w:p>
    <w:p w14:paraId="151E6E79" w14:textId="7C341A96" w:rsidR="00BD6215" w:rsidRDefault="00BD6215" w:rsidP="006E6FFE">
      <w:pPr>
        <w:jc w:val="center"/>
        <w:rPr>
          <w:rFonts w:cs="Times New Roman"/>
          <w:szCs w:val="24"/>
        </w:rPr>
      </w:pPr>
      <w:r>
        <w:rPr>
          <w:noProof/>
        </w:rPr>
        <w:drawing>
          <wp:inline distT="0" distB="0" distL="0" distR="0" wp14:anchorId="26B7FFD0" wp14:editId="7BDDA720">
            <wp:extent cx="5486400" cy="13716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486400" cy="1371600"/>
                    </a:xfrm>
                    <a:prstGeom prst="rect">
                      <a:avLst/>
                    </a:prstGeom>
                    <a:noFill/>
                    <a:ln>
                      <a:noFill/>
                    </a:ln>
                  </pic:spPr>
                </pic:pic>
              </a:graphicData>
            </a:graphic>
          </wp:inline>
        </w:drawing>
      </w:r>
    </w:p>
    <w:p w14:paraId="4B80D52C" w14:textId="77777777" w:rsidR="00BD6215" w:rsidRDefault="00BD6215" w:rsidP="006E6FFE">
      <w:pPr>
        <w:jc w:val="center"/>
        <w:rPr>
          <w:rFonts w:cs="Times New Roman"/>
          <w:szCs w:val="24"/>
        </w:rPr>
      </w:pPr>
      <w:r>
        <w:rPr>
          <w:rFonts w:cs="Times New Roman"/>
          <w:szCs w:val="24"/>
        </w:rPr>
        <w:t>(a)                                          (b)                                            (c)</w:t>
      </w:r>
    </w:p>
    <w:p w14:paraId="287EE22F" w14:textId="2BB81243" w:rsidR="00BD6215" w:rsidRDefault="006B00C7" w:rsidP="006B00C7">
      <w:pPr>
        <w:pStyle w:val="Caption"/>
        <w:spacing w:line="480" w:lineRule="auto"/>
        <w:jc w:val="center"/>
        <w:rPr>
          <w:szCs w:val="24"/>
        </w:rPr>
      </w:pPr>
      <w:bookmarkStart w:id="65" w:name="_Toc67960711"/>
      <w:bookmarkStart w:id="66" w:name="_Toc71334085"/>
      <w:r>
        <w:t xml:space="preserve">Figure </w:t>
      </w:r>
      <w:fldSimple w:instr=" STYLEREF 1 \s ">
        <w:r w:rsidR="005050F0">
          <w:rPr>
            <w:noProof/>
          </w:rPr>
          <w:t>2</w:t>
        </w:r>
      </w:fldSimple>
      <w:r w:rsidR="00F87F6B">
        <w:t>.</w:t>
      </w:r>
      <w:fldSimple w:instr=" SEQ Figure \* ARABIC \s 1 ">
        <w:r w:rsidR="005050F0">
          <w:rPr>
            <w:noProof/>
          </w:rPr>
          <w:t>1</w:t>
        </w:r>
      </w:fldSimple>
      <w:r>
        <w:rPr>
          <w:szCs w:val="24"/>
        </w:rPr>
        <w:t xml:space="preserve"> </w:t>
      </w:r>
      <w:r w:rsidR="00BD6215">
        <w:rPr>
          <w:szCs w:val="24"/>
        </w:rPr>
        <w:t>Contact angle measurement using DWP test: (a) asphalt binder used for testing; (b) binder coated glass plates; and (c) DWP test setup</w:t>
      </w:r>
      <w:bookmarkEnd w:id="65"/>
      <w:bookmarkEnd w:id="66"/>
    </w:p>
    <w:p w14:paraId="6D5E64BB" w14:textId="77777777" w:rsidR="006B6EFD" w:rsidRDefault="006B6EFD" w:rsidP="00ED2C6D">
      <w:pPr>
        <w:jc w:val="center"/>
        <w:rPr>
          <w:rFonts w:eastAsiaTheme="minorEastAsia" w:cs="Times New Roman"/>
          <w:szCs w:val="24"/>
        </w:rPr>
      </w:pPr>
    </w:p>
    <w:p w14:paraId="51C53127" w14:textId="6F06AF2E" w:rsidR="007F1255" w:rsidRDefault="007F1255" w:rsidP="00ED2C6D">
      <w:pPr>
        <w:jc w:val="center"/>
        <w:rPr>
          <w:rFonts w:eastAsiaTheme="minorEastAsia" w:cs="Times New Roman"/>
          <w:szCs w:val="24"/>
        </w:rPr>
      </w:pPr>
      <w:r>
        <w:rPr>
          <w:rFonts w:eastAsiaTheme="minorEastAsia" w:cs="Times New Roman"/>
          <w:noProof/>
          <w:szCs w:val="24"/>
        </w:rPr>
        <w:drawing>
          <wp:inline distT="0" distB="0" distL="0" distR="0" wp14:anchorId="1218A0D0" wp14:editId="55DDFBE4">
            <wp:extent cx="4578350" cy="2969260"/>
            <wp:effectExtent l="0" t="0" r="0" b="254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578350" cy="2969260"/>
                    </a:xfrm>
                    <a:prstGeom prst="rect">
                      <a:avLst/>
                    </a:prstGeom>
                    <a:noFill/>
                  </pic:spPr>
                </pic:pic>
              </a:graphicData>
            </a:graphic>
          </wp:inline>
        </w:drawing>
      </w:r>
    </w:p>
    <w:p w14:paraId="14FB91E4" w14:textId="65A19CAB" w:rsidR="007F1255" w:rsidRDefault="002438A2" w:rsidP="00537471">
      <w:pPr>
        <w:pStyle w:val="Caption"/>
        <w:spacing w:line="480" w:lineRule="auto"/>
        <w:jc w:val="center"/>
        <w:rPr>
          <w:rFonts w:eastAsiaTheme="minorEastAsia"/>
          <w:szCs w:val="24"/>
        </w:rPr>
      </w:pPr>
      <w:bookmarkStart w:id="67" w:name="_Toc67960713"/>
      <w:bookmarkStart w:id="68" w:name="_Toc71334086"/>
      <w:r>
        <w:t xml:space="preserve">Figure </w:t>
      </w:r>
      <w:fldSimple w:instr=" STYLEREF 1 \s ">
        <w:r w:rsidR="005050F0">
          <w:rPr>
            <w:noProof/>
          </w:rPr>
          <w:t>2</w:t>
        </w:r>
      </w:fldSimple>
      <w:r w:rsidR="00F87F6B">
        <w:t>.</w:t>
      </w:r>
      <w:fldSimple w:instr=" SEQ Figure \* ARABIC \s 1 ">
        <w:r w:rsidR="005050F0">
          <w:rPr>
            <w:noProof/>
          </w:rPr>
          <w:t>2</w:t>
        </w:r>
      </w:fldSimple>
      <w:r>
        <w:t xml:space="preserve"> </w:t>
      </w:r>
      <w:r w:rsidR="007F1255" w:rsidRPr="00ED2C6D">
        <w:rPr>
          <w:color w:val="000000"/>
          <w:szCs w:val="24"/>
        </w:rPr>
        <w:t xml:space="preserve">The </w:t>
      </w:r>
      <m:oMath>
        <m:sSub>
          <m:sSubPr>
            <m:ctrlPr>
              <w:rPr>
                <w:rFonts w:ascii="Cambria Math" w:eastAsiaTheme="minorEastAsia" w:hAnsi="Cambria Math"/>
                <w:i/>
                <w:szCs w:val="24"/>
              </w:rPr>
            </m:ctrlPr>
          </m:sSubPr>
          <m:e>
            <m:r>
              <m:rPr>
                <m:sty m:val="b"/>
              </m:rPr>
              <w:rPr>
                <w:rFonts w:ascii="Cambria Math" w:eastAsiaTheme="minorEastAsia" w:hAnsi="Cambria Math"/>
                <w:szCs w:val="24"/>
              </w:rPr>
              <m:t>Γ</m:t>
            </m:r>
          </m:e>
          <m:sub>
            <m:r>
              <m:rPr>
                <m:sty m:val="bi"/>
              </m:rPr>
              <w:rPr>
                <w:rFonts w:ascii="Cambria Math" w:eastAsiaTheme="minorEastAsia" w:hAnsi="Cambria Math"/>
                <w:szCs w:val="24"/>
              </w:rPr>
              <m:t>L</m:t>
            </m:r>
          </m:sub>
        </m:sSub>
      </m:oMath>
      <w:r w:rsidR="007F1255" w:rsidRPr="00ED2C6D">
        <w:rPr>
          <w:rFonts w:eastAsiaTheme="minorEastAsia"/>
          <w:szCs w:val="24"/>
        </w:rPr>
        <w:t xml:space="preserve"> versus </w:t>
      </w:r>
      <m:oMath>
        <m:sSub>
          <m:sSubPr>
            <m:ctrlPr>
              <w:rPr>
                <w:rFonts w:ascii="Cambria Math" w:eastAsiaTheme="minorEastAsia" w:hAnsi="Cambria Math"/>
                <w:i/>
                <w:szCs w:val="24"/>
              </w:rPr>
            </m:ctrlPr>
          </m:sSubPr>
          <m:e>
            <m:r>
              <m:rPr>
                <m:sty m:val="b"/>
              </m:rPr>
              <w:rPr>
                <w:rFonts w:ascii="Cambria Math" w:eastAsiaTheme="minorEastAsia" w:hAnsi="Cambria Math"/>
                <w:szCs w:val="24"/>
              </w:rPr>
              <m:t>Γ</m:t>
            </m:r>
          </m:e>
          <m:sub>
            <m:r>
              <m:rPr>
                <m:sty m:val="bi"/>
              </m:rPr>
              <w:rPr>
                <w:rFonts w:ascii="Cambria Math" w:eastAsiaTheme="minorEastAsia" w:hAnsi="Cambria Math"/>
                <w:szCs w:val="24"/>
              </w:rPr>
              <m:t>L</m:t>
            </m:r>
          </m:sub>
        </m:sSub>
        <m:r>
          <m:rPr>
            <m:sty m:val="bi"/>
          </m:rPr>
          <w:rPr>
            <w:rFonts w:ascii="Cambria Math" w:eastAsiaTheme="minorEastAsia" w:hAnsi="Cambria Math"/>
            <w:szCs w:val="24"/>
          </w:rPr>
          <m:t>cosθ</m:t>
        </m:r>
      </m:oMath>
      <w:r w:rsidR="007F1255" w:rsidRPr="00ED2C6D">
        <w:rPr>
          <w:rFonts w:eastAsiaTheme="minorEastAsia"/>
          <w:szCs w:val="24"/>
        </w:rPr>
        <w:t xml:space="preserve"> plot for</w:t>
      </w:r>
      <w:r w:rsidR="007F1255">
        <w:rPr>
          <w:rFonts w:eastAsiaTheme="minorEastAsia"/>
          <w:szCs w:val="24"/>
        </w:rPr>
        <w:t xml:space="preserve"> WGFDE probe liquid set</w:t>
      </w:r>
      <w:bookmarkEnd w:id="67"/>
      <w:bookmarkEnd w:id="68"/>
    </w:p>
    <w:p w14:paraId="1219D430" w14:textId="77777777" w:rsidR="00EC5B59" w:rsidRDefault="00EC5B59" w:rsidP="006E6FFE">
      <w:pPr>
        <w:jc w:val="center"/>
        <w:rPr>
          <w:rFonts w:cs="Times New Roman"/>
        </w:rPr>
      </w:pPr>
      <w:r w:rsidRPr="00401B79">
        <w:rPr>
          <w:rFonts w:cs="Times New Roman"/>
          <w:noProof/>
        </w:rPr>
        <w:drawing>
          <wp:inline distT="0" distB="0" distL="0" distR="0" wp14:anchorId="5BFB68ED" wp14:editId="56F52410">
            <wp:extent cx="4572000" cy="2743200"/>
            <wp:effectExtent l="0" t="0" r="0" b="0"/>
            <wp:docPr id="1" name="Chart 1">
              <a:extLst xmlns:a="http://schemas.openxmlformats.org/drawingml/2006/main">
                <a:ext uri="{FF2B5EF4-FFF2-40B4-BE49-F238E27FC236}">
                  <a16:creationId xmlns:a16="http://schemas.microsoft.com/office/drawing/2014/main" id="{A4CAE14A-11A7-4651-88CE-0AE85264380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03EDFC79" w14:textId="406A14CF" w:rsidR="00EC5B59" w:rsidRPr="00B46075" w:rsidRDefault="008075ED" w:rsidP="00537471">
      <w:pPr>
        <w:pStyle w:val="Caption"/>
        <w:spacing w:line="480" w:lineRule="auto"/>
        <w:jc w:val="center"/>
        <w:rPr>
          <w:szCs w:val="24"/>
        </w:rPr>
      </w:pPr>
      <w:bookmarkStart w:id="69" w:name="_Toc67960714"/>
      <w:bookmarkStart w:id="70" w:name="_Toc71334087"/>
      <w:r>
        <w:t xml:space="preserve">Figure </w:t>
      </w:r>
      <w:fldSimple w:instr=" STYLEREF 1 \s ">
        <w:r w:rsidR="005050F0">
          <w:rPr>
            <w:noProof/>
          </w:rPr>
          <w:t>2</w:t>
        </w:r>
      </w:fldSimple>
      <w:r w:rsidR="00F87F6B">
        <w:t>.</w:t>
      </w:r>
      <w:fldSimple w:instr=" SEQ Figure \* ARABIC \s 1 ">
        <w:r w:rsidR="005050F0">
          <w:rPr>
            <w:noProof/>
          </w:rPr>
          <w:t>3</w:t>
        </w:r>
      </w:fldSimple>
      <w:r>
        <w:t xml:space="preserve"> </w:t>
      </w:r>
      <w:r w:rsidR="00EC5B59" w:rsidRPr="00ED2C6D">
        <w:rPr>
          <w:color w:val="000000"/>
          <w:szCs w:val="24"/>
        </w:rPr>
        <w:t xml:space="preserve">The </w:t>
      </w:r>
      <m:oMath>
        <m:sSub>
          <m:sSubPr>
            <m:ctrlPr>
              <w:rPr>
                <w:rFonts w:ascii="Cambria Math" w:eastAsiaTheme="minorEastAsia" w:hAnsi="Cambria Math"/>
                <w:i/>
                <w:szCs w:val="24"/>
              </w:rPr>
            </m:ctrlPr>
          </m:sSubPr>
          <m:e>
            <m:r>
              <m:rPr>
                <m:sty m:val="b"/>
              </m:rPr>
              <w:rPr>
                <w:rFonts w:ascii="Cambria Math" w:eastAsiaTheme="minorEastAsia" w:hAnsi="Cambria Math"/>
                <w:szCs w:val="24"/>
              </w:rPr>
              <m:t>Γ</m:t>
            </m:r>
          </m:e>
          <m:sub>
            <m:r>
              <m:rPr>
                <m:sty m:val="bi"/>
              </m:rPr>
              <w:rPr>
                <w:rFonts w:ascii="Cambria Math" w:eastAsiaTheme="minorEastAsia" w:hAnsi="Cambria Math"/>
                <w:szCs w:val="24"/>
              </w:rPr>
              <m:t>L</m:t>
            </m:r>
          </m:sub>
        </m:sSub>
      </m:oMath>
      <w:r w:rsidR="00EC5B59" w:rsidRPr="00ED2C6D">
        <w:rPr>
          <w:rFonts w:eastAsiaTheme="minorEastAsia"/>
          <w:szCs w:val="24"/>
        </w:rPr>
        <w:t xml:space="preserve"> versus </w:t>
      </w:r>
      <m:oMath>
        <m:sSub>
          <m:sSubPr>
            <m:ctrlPr>
              <w:rPr>
                <w:rFonts w:ascii="Cambria Math" w:eastAsiaTheme="minorEastAsia" w:hAnsi="Cambria Math"/>
                <w:i/>
                <w:szCs w:val="24"/>
              </w:rPr>
            </m:ctrlPr>
          </m:sSubPr>
          <m:e>
            <m:r>
              <m:rPr>
                <m:sty m:val="b"/>
              </m:rPr>
              <w:rPr>
                <w:rFonts w:ascii="Cambria Math" w:eastAsiaTheme="minorEastAsia" w:hAnsi="Cambria Math"/>
                <w:szCs w:val="24"/>
              </w:rPr>
              <m:t>Γ</m:t>
            </m:r>
          </m:e>
          <m:sub>
            <m:r>
              <m:rPr>
                <m:sty m:val="bi"/>
              </m:rPr>
              <w:rPr>
                <w:rFonts w:ascii="Cambria Math" w:eastAsiaTheme="minorEastAsia" w:hAnsi="Cambria Math"/>
                <w:szCs w:val="24"/>
              </w:rPr>
              <m:t>L</m:t>
            </m:r>
          </m:sub>
        </m:sSub>
        <m:r>
          <m:rPr>
            <m:sty m:val="bi"/>
          </m:rPr>
          <w:rPr>
            <w:rFonts w:ascii="Cambria Math" w:eastAsiaTheme="minorEastAsia" w:hAnsi="Cambria Math"/>
            <w:szCs w:val="24"/>
          </w:rPr>
          <m:t>cosθ</m:t>
        </m:r>
      </m:oMath>
      <w:r w:rsidR="00EC5B59" w:rsidRPr="00ED2C6D">
        <w:rPr>
          <w:rFonts w:eastAsiaTheme="minorEastAsia"/>
          <w:szCs w:val="24"/>
        </w:rPr>
        <w:t xml:space="preserve"> plot of</w:t>
      </w:r>
      <w:r w:rsidR="00EC5B59" w:rsidRPr="00B46075">
        <w:rPr>
          <w:rFonts w:eastAsiaTheme="minorEastAsia"/>
          <w:szCs w:val="24"/>
        </w:rPr>
        <w:t xml:space="preserve"> binders using Neumann model</w:t>
      </w:r>
      <w:bookmarkEnd w:id="69"/>
      <w:bookmarkEnd w:id="70"/>
    </w:p>
    <w:p w14:paraId="057FC79F" w14:textId="77777777" w:rsidR="00EC5B59" w:rsidRPr="002C1D5F" w:rsidRDefault="00EC5B59" w:rsidP="007F1255">
      <w:pPr>
        <w:spacing w:line="360" w:lineRule="auto"/>
        <w:ind w:firstLine="720"/>
        <w:jc w:val="center"/>
        <w:rPr>
          <w:rFonts w:eastAsiaTheme="minorEastAsia" w:cs="Times New Roman"/>
          <w:szCs w:val="24"/>
        </w:rPr>
      </w:pPr>
    </w:p>
    <w:p w14:paraId="7EEC7EB0" w14:textId="0DFF886F" w:rsidR="007F1255" w:rsidRDefault="007F1255" w:rsidP="00BD6215">
      <w:pPr>
        <w:spacing w:line="360" w:lineRule="auto"/>
        <w:jc w:val="center"/>
        <w:rPr>
          <w:rFonts w:cs="Times New Roman"/>
          <w:szCs w:val="24"/>
        </w:rPr>
      </w:pPr>
    </w:p>
    <w:p w14:paraId="1F21D5A1" w14:textId="700D4A04" w:rsidR="006B6EFD" w:rsidRDefault="006B6EFD" w:rsidP="00BD6215">
      <w:pPr>
        <w:spacing w:line="360" w:lineRule="auto"/>
        <w:jc w:val="center"/>
        <w:rPr>
          <w:rFonts w:cs="Times New Roman"/>
          <w:szCs w:val="24"/>
        </w:rPr>
      </w:pPr>
    </w:p>
    <w:p w14:paraId="48DD7510" w14:textId="0496A6B9" w:rsidR="006B6EFD" w:rsidRDefault="006B6EFD" w:rsidP="00BD6215">
      <w:pPr>
        <w:spacing w:line="360" w:lineRule="auto"/>
        <w:jc w:val="center"/>
        <w:rPr>
          <w:rFonts w:cs="Times New Roman"/>
          <w:szCs w:val="24"/>
        </w:rPr>
      </w:pPr>
    </w:p>
    <w:p w14:paraId="2286A8DA" w14:textId="23087C07" w:rsidR="003A435D" w:rsidRDefault="003A435D" w:rsidP="00BD6215">
      <w:pPr>
        <w:spacing w:line="360" w:lineRule="auto"/>
        <w:jc w:val="center"/>
        <w:rPr>
          <w:rFonts w:cs="Times New Roman"/>
          <w:szCs w:val="24"/>
        </w:rPr>
      </w:pPr>
    </w:p>
    <w:p w14:paraId="178AE14D" w14:textId="45F208C2" w:rsidR="003A435D" w:rsidRDefault="003A435D" w:rsidP="00BD6215">
      <w:pPr>
        <w:spacing w:line="360" w:lineRule="auto"/>
        <w:jc w:val="center"/>
        <w:rPr>
          <w:rFonts w:cs="Times New Roman"/>
          <w:szCs w:val="24"/>
        </w:rPr>
      </w:pPr>
    </w:p>
    <w:p w14:paraId="7146E6BF" w14:textId="480F1949" w:rsidR="003A435D" w:rsidRDefault="003A435D" w:rsidP="00BD6215">
      <w:pPr>
        <w:spacing w:line="360" w:lineRule="auto"/>
        <w:jc w:val="center"/>
        <w:rPr>
          <w:rFonts w:cs="Times New Roman"/>
          <w:szCs w:val="24"/>
        </w:rPr>
      </w:pPr>
    </w:p>
    <w:p w14:paraId="0649CE94" w14:textId="5886BB10" w:rsidR="003A435D" w:rsidRDefault="003A435D" w:rsidP="00BD6215">
      <w:pPr>
        <w:spacing w:line="360" w:lineRule="auto"/>
        <w:jc w:val="center"/>
        <w:rPr>
          <w:rFonts w:cs="Times New Roman"/>
          <w:szCs w:val="24"/>
        </w:rPr>
      </w:pPr>
    </w:p>
    <w:p w14:paraId="43C3309A" w14:textId="322C4AFA" w:rsidR="003A435D" w:rsidRDefault="003A435D" w:rsidP="00BD6215">
      <w:pPr>
        <w:spacing w:line="360" w:lineRule="auto"/>
        <w:jc w:val="center"/>
        <w:rPr>
          <w:rFonts w:cs="Times New Roman"/>
          <w:szCs w:val="24"/>
        </w:rPr>
      </w:pPr>
    </w:p>
    <w:p w14:paraId="68453A26" w14:textId="42D4C222" w:rsidR="003A435D" w:rsidRDefault="003A435D" w:rsidP="00BD6215">
      <w:pPr>
        <w:spacing w:line="360" w:lineRule="auto"/>
        <w:jc w:val="center"/>
        <w:rPr>
          <w:rFonts w:cs="Times New Roman"/>
          <w:szCs w:val="24"/>
        </w:rPr>
      </w:pPr>
    </w:p>
    <w:p w14:paraId="772875A1" w14:textId="6635952D" w:rsidR="003A435D" w:rsidRDefault="003A435D" w:rsidP="00BD6215">
      <w:pPr>
        <w:spacing w:line="360" w:lineRule="auto"/>
        <w:jc w:val="center"/>
        <w:rPr>
          <w:rFonts w:cs="Times New Roman"/>
          <w:szCs w:val="24"/>
        </w:rPr>
      </w:pPr>
    </w:p>
    <w:p w14:paraId="30A8CA92" w14:textId="56701A1B" w:rsidR="003A435D" w:rsidRDefault="003A435D" w:rsidP="00BD6215">
      <w:pPr>
        <w:spacing w:line="360" w:lineRule="auto"/>
        <w:jc w:val="center"/>
        <w:rPr>
          <w:rFonts w:cs="Times New Roman"/>
          <w:szCs w:val="24"/>
        </w:rPr>
      </w:pPr>
    </w:p>
    <w:p w14:paraId="25A65A32" w14:textId="79DF0894" w:rsidR="003A435D" w:rsidRDefault="003A435D" w:rsidP="00BD6215">
      <w:pPr>
        <w:spacing w:line="360" w:lineRule="auto"/>
        <w:jc w:val="center"/>
        <w:rPr>
          <w:rFonts w:cs="Times New Roman"/>
          <w:szCs w:val="24"/>
        </w:rPr>
      </w:pPr>
    </w:p>
    <w:p w14:paraId="7C58FC7D" w14:textId="7CDB48CF" w:rsidR="003A435D" w:rsidRDefault="003A435D" w:rsidP="00BD6215">
      <w:pPr>
        <w:spacing w:line="360" w:lineRule="auto"/>
        <w:jc w:val="center"/>
        <w:rPr>
          <w:rFonts w:cs="Times New Roman"/>
          <w:szCs w:val="24"/>
        </w:rPr>
      </w:pPr>
    </w:p>
    <w:p w14:paraId="038521B7" w14:textId="256B2E57" w:rsidR="003A435D" w:rsidRDefault="003A435D" w:rsidP="00BD6215">
      <w:pPr>
        <w:spacing w:line="360" w:lineRule="auto"/>
        <w:jc w:val="center"/>
        <w:rPr>
          <w:rFonts w:cs="Times New Roman"/>
          <w:szCs w:val="24"/>
        </w:rPr>
      </w:pPr>
    </w:p>
    <w:p w14:paraId="1BDD96AD" w14:textId="1EEA20E0" w:rsidR="003A435D" w:rsidRDefault="003A435D" w:rsidP="00BD6215">
      <w:pPr>
        <w:spacing w:line="360" w:lineRule="auto"/>
        <w:jc w:val="center"/>
        <w:rPr>
          <w:rFonts w:cs="Times New Roman"/>
          <w:szCs w:val="24"/>
        </w:rPr>
      </w:pPr>
    </w:p>
    <w:p w14:paraId="16FBE36E" w14:textId="5850B353" w:rsidR="003A435D" w:rsidRDefault="003A435D" w:rsidP="00BD6215">
      <w:pPr>
        <w:spacing w:line="360" w:lineRule="auto"/>
        <w:jc w:val="center"/>
        <w:rPr>
          <w:rFonts w:cs="Times New Roman"/>
          <w:szCs w:val="24"/>
        </w:rPr>
      </w:pPr>
    </w:p>
    <w:p w14:paraId="2AFC521E" w14:textId="77777777" w:rsidR="003A435D" w:rsidRDefault="003A435D" w:rsidP="00BD6215">
      <w:pPr>
        <w:spacing w:line="360" w:lineRule="auto"/>
        <w:jc w:val="center"/>
        <w:rPr>
          <w:rFonts w:cs="Times New Roman"/>
          <w:szCs w:val="24"/>
        </w:rPr>
      </w:pPr>
    </w:p>
    <w:p w14:paraId="2A34A1E0" w14:textId="77777777" w:rsidR="003F0F93" w:rsidRPr="002C7331" w:rsidRDefault="003F0F93" w:rsidP="0044605A">
      <w:pPr>
        <w:spacing w:line="240" w:lineRule="auto"/>
        <w:rPr>
          <w:rFonts w:ascii="Mongolian Baiti" w:hAnsi="Mongolian Baiti" w:cs="Mongolian Baiti"/>
          <w:b/>
          <w:bCs/>
        </w:rPr>
      </w:pPr>
      <w:r w:rsidRPr="002C7331">
        <w:rPr>
          <w:rFonts w:ascii="Mongolian Baiti" w:hAnsi="Mongolian Baiti" w:cs="Mongolian Baiti"/>
          <w:b/>
          <w:bCs/>
        </w:rPr>
        <w:t>CHAPTER</w:t>
      </w:r>
    </w:p>
    <w:p w14:paraId="4032D3D5" w14:textId="7C75F8CB" w:rsidR="003F0F93" w:rsidRPr="002C7331" w:rsidRDefault="003F0F93" w:rsidP="0044605A">
      <w:pPr>
        <w:pBdr>
          <w:bottom w:val="double" w:sz="4" w:space="1" w:color="auto"/>
        </w:pBdr>
        <w:spacing w:line="240" w:lineRule="auto"/>
        <w:rPr>
          <w:rFonts w:ascii="Mongolian Baiti" w:hAnsi="Mongolian Baiti" w:cs="Mongolian Baiti"/>
          <w:b/>
          <w:bCs/>
          <w:i/>
          <w:iCs/>
          <w:sz w:val="110"/>
          <w:szCs w:val="108"/>
        </w:rPr>
      </w:pPr>
      <w:r>
        <w:rPr>
          <w:rFonts w:ascii="Mongolian Baiti" w:hAnsi="Mongolian Baiti" w:cs="Mongolian Baiti"/>
          <w:b/>
          <w:bCs/>
          <w:i/>
          <w:iCs/>
          <w:sz w:val="110"/>
          <w:szCs w:val="108"/>
        </w:rPr>
        <w:t>3</w:t>
      </w:r>
    </w:p>
    <w:p w14:paraId="12E4A082" w14:textId="50F87020" w:rsidR="00B555D8" w:rsidRPr="00EB5ABA" w:rsidRDefault="007501C8" w:rsidP="00E44786">
      <w:pPr>
        <w:pStyle w:val="Heading1"/>
      </w:pPr>
      <w:bookmarkStart w:id="71" w:name="_Toc71728422"/>
      <w:r w:rsidRPr="00947FA8">
        <w:t>MICRO-STRUCTURAL EVALUATION OF THE EFFECT</w:t>
      </w:r>
      <w:r>
        <w:t>S</w:t>
      </w:r>
      <w:r w:rsidRPr="00947FA8">
        <w:t xml:space="preserve"> OF AGGREGATE TYPE, AGING AND ADDITIVES ON THE MOISTURE SUSCEPTIBILITY OF BINDER-AGGREGATE SYSTEMS USING CHEMICAL AND THERMODYNAMIC APPROACHES</w:t>
      </w:r>
      <w:r w:rsidR="0093158A">
        <w:rPr>
          <w:rStyle w:val="FootnoteReference"/>
        </w:rPr>
        <w:footnoteReference w:id="3"/>
      </w:r>
      <w:bookmarkEnd w:id="71"/>
    </w:p>
    <w:p w14:paraId="74F058C5" w14:textId="77777777" w:rsidR="005E2A9D" w:rsidRPr="00C94B99" w:rsidRDefault="005E2A9D" w:rsidP="00C94B99">
      <w:pPr>
        <w:jc w:val="center"/>
        <w:rPr>
          <w:rFonts w:cs="Times New Roman"/>
          <w:b/>
          <w:bCs/>
          <w:szCs w:val="24"/>
        </w:rPr>
      </w:pPr>
      <w:r w:rsidRPr="00C94B99">
        <w:rPr>
          <w:rFonts w:cs="Times New Roman"/>
          <w:b/>
          <w:bCs/>
          <w:szCs w:val="24"/>
        </w:rPr>
        <w:t>ABSTACT</w:t>
      </w:r>
    </w:p>
    <w:p w14:paraId="1291AB18" w14:textId="1CE7576A" w:rsidR="00BF071C" w:rsidRPr="00C94B99" w:rsidRDefault="00BF071C" w:rsidP="008306FA">
      <w:pPr>
        <w:rPr>
          <w:rFonts w:eastAsia="Times New Roman" w:cs="Times New Roman"/>
          <w:b/>
          <w:bCs/>
          <w:iCs/>
          <w:szCs w:val="24"/>
          <w:lang w:bidi="en-US"/>
        </w:rPr>
      </w:pPr>
      <w:r w:rsidRPr="00C94B99">
        <w:rPr>
          <w:rFonts w:cs="Times New Roman"/>
          <w:szCs w:val="24"/>
        </w:rPr>
        <w:t xml:space="preserve">Selection of a proper binder-aggregate combination is an important step to ensure optimum </w:t>
      </w:r>
      <w:r w:rsidR="00693B25" w:rsidRPr="00C94B99">
        <w:rPr>
          <w:rFonts w:cs="Times New Roman"/>
          <w:szCs w:val="24"/>
        </w:rPr>
        <w:t xml:space="preserve">resistance </w:t>
      </w:r>
      <w:r w:rsidR="00693B25">
        <w:rPr>
          <w:rFonts w:cs="Times New Roman"/>
          <w:szCs w:val="24"/>
        </w:rPr>
        <w:t xml:space="preserve">to </w:t>
      </w:r>
      <w:r w:rsidRPr="00C94B99">
        <w:rPr>
          <w:rFonts w:cs="Times New Roman"/>
          <w:szCs w:val="24"/>
        </w:rPr>
        <w:t xml:space="preserve">moisture-induced damage </w:t>
      </w:r>
      <w:r w:rsidR="00693B25">
        <w:rPr>
          <w:rFonts w:cs="Times New Roman"/>
          <w:szCs w:val="24"/>
        </w:rPr>
        <w:t xml:space="preserve">in </w:t>
      </w:r>
      <w:r w:rsidRPr="00C94B99">
        <w:rPr>
          <w:rFonts w:cs="Times New Roman"/>
          <w:szCs w:val="24"/>
        </w:rPr>
        <w:t xml:space="preserve">asphalt mixes. In recent years, such selection has become more crucial as the asphalt industries are using various additives and modifiers in asphalt mixes that can substantially change bonding strength of a binder-aggregate system. Also, environmental factors such as oxidative aging can affect the chemical compositions of the binder and influence moisture-induced damage resistance of a mix. In order to understand the mechanisms of moisture-induced damage, it is important to determine the chemical and thermodynamic properties of constituent materials of a mix and identify their contributions to the bond strength. The present study was undertaken to explore the effects of aggregate types, additives and aging on the moisture susceptibility of asphalt mixes using chemical and thermodynamic approaches. For this purpose, a PG 64-22 and a PG 76-28 binder were blended with a warm mix asphalt (WMA) additive, an antistripping agent (ASA), a reclaimed asphalt pavement (RAP) binder and a polyphosphoric acid (PPA). The surface free energy components of these binder blends under unaged, short-term and long-term aged conditions were determined using a dynamic Wilhelmy plate (DWP) test. The chemical analyses of the binder blends were carried out using an X-ray fluorescence (XRF) analyzer and a Fourier transform infrared (FTIR) spectroscopy. The properties </w:t>
      </w:r>
      <w:r w:rsidR="005153D0">
        <w:rPr>
          <w:rFonts w:cs="Times New Roman"/>
          <w:szCs w:val="24"/>
        </w:rPr>
        <w:t xml:space="preserve">of </w:t>
      </w:r>
      <w:r w:rsidRPr="00C94B99">
        <w:rPr>
          <w:rFonts w:cs="Times New Roman"/>
          <w:szCs w:val="24"/>
        </w:rPr>
        <w:t>five commonly available local aggregates were determined using XRF and universal sorption device (USD) test. The SFE components of the binders and aggregates were used to quantify bonding characteristics of binder-aggregate systems under dry and wet conditions. The properties of aggregates exhibited significant influence on the moisture-induced damage potential of a mix. Also, an increase in carbonyl and sulfoxide functional groups were found responsible for increased moisture susceptibility with aging. The presence of amine group in both WMA and ASA is expected to enhance, whereas presence of PPA may reduce resistance to moisture-induced damage of a binder-aggregate system.</w:t>
      </w:r>
    </w:p>
    <w:p w14:paraId="2BB645D9" w14:textId="549C1463" w:rsidR="0038132E" w:rsidRPr="00C94B99" w:rsidRDefault="0038132E" w:rsidP="00E57694">
      <w:pPr>
        <w:pStyle w:val="Heading2"/>
      </w:pPr>
      <w:bookmarkStart w:id="72" w:name="_Toc71728423"/>
      <w:r w:rsidRPr="00C94B99">
        <w:t>INTRODUCTION</w:t>
      </w:r>
      <w:bookmarkEnd w:id="72"/>
    </w:p>
    <w:p w14:paraId="72D18A01" w14:textId="3CC70D79" w:rsidR="00E579D8" w:rsidRPr="00C94B99" w:rsidRDefault="00E579D8" w:rsidP="00C94B99">
      <w:pPr>
        <w:ind w:firstLine="720"/>
        <w:rPr>
          <w:rFonts w:cs="Times New Roman"/>
          <w:szCs w:val="24"/>
        </w:rPr>
      </w:pPr>
      <w:r w:rsidRPr="00C94B99">
        <w:rPr>
          <w:rFonts w:cs="Times New Roman"/>
          <w:szCs w:val="24"/>
        </w:rPr>
        <w:t xml:space="preserve">Intrusion of moisture and its interaction with the binder-aggregate system significantly influence the strength and durability of an asphalt pavement. Although, not a failure mode by itself, moisture plays a prominent role in increasing the severity of other distresses, such as rutting, fatigue cracking and raveling, and hence affect the performance of asphalt pavements </w:t>
      </w:r>
      <w:r w:rsidRPr="00C94B99">
        <w:rPr>
          <w:rFonts w:cs="Times New Roman"/>
          <w:szCs w:val="24"/>
        </w:rPr>
        <w:fldChar w:fldCharType="begin">
          <w:fldData xml:space="preserve">PEVuZE5vdGU+PENpdGU+PEF1dGhvcj5YaWFvPC9BdXRob3I+PFllYXI+MjAxMDwvWWVhcj48UmVj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</w:fldData>
        </w:fldChar>
      </w:r>
      <w:r w:rsidR="00282238">
        <w:rPr>
          <w:rFonts w:cs="Times New Roman"/>
          <w:szCs w:val="24"/>
        </w:rPr>
        <w:instrText xml:space="preserve"> ADDIN EN.CITE </w:instrText>
      </w:r>
      <w:r w:rsidR="00282238">
        <w:rPr>
          <w:rFonts w:cs="Times New Roman"/>
          <w:szCs w:val="24"/>
        </w:rPr>
        <w:fldChar w:fldCharType="begin">
          <w:fldData xml:space="preserve">PEVuZE5vdGU+PENpdGU+PEF1dGhvcj5YaWFvPC9BdXRob3I+PFllYXI+MjAxMDwvWWVhcj48UmVj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</w:fldData>
        </w:fldChar>
      </w:r>
      <w:r w:rsidR="00282238">
        <w:rPr>
          <w:rFonts w:cs="Times New Roman"/>
          <w:szCs w:val="24"/>
        </w:rPr>
        <w:instrText xml:space="preserve"> ADDIN EN.CITE.DATA </w:instrText>
      </w:r>
      <w:r w:rsidR="00282238">
        <w:rPr>
          <w:rFonts w:cs="Times New Roman"/>
          <w:szCs w:val="24"/>
        </w:rPr>
      </w:r>
      <w:r w:rsidR="00282238">
        <w:rPr>
          <w:rFonts w:cs="Times New Roman"/>
          <w:szCs w:val="24"/>
        </w:rPr>
        <w:fldChar w:fldCharType="end"/>
      </w:r>
      <w:r w:rsidRPr="00C94B99">
        <w:rPr>
          <w:rFonts w:cs="Times New Roman"/>
          <w:szCs w:val="24"/>
        </w:rPr>
      </w:r>
      <w:r w:rsidRPr="00C94B99">
        <w:rPr>
          <w:rFonts w:cs="Times New Roman"/>
          <w:szCs w:val="24"/>
        </w:rPr>
        <w:fldChar w:fldCharType="separate"/>
      </w:r>
      <w:r w:rsidR="00282238">
        <w:rPr>
          <w:rFonts w:cs="Times New Roman"/>
          <w:noProof/>
          <w:szCs w:val="24"/>
        </w:rPr>
        <w:t>(Al-Qadi et al., 2008; Kringos et al., 2008; Othman, 2009; Xiao et al., 2010a)</w:t>
      </w:r>
      <w:r w:rsidRPr="00C94B99">
        <w:rPr>
          <w:rFonts w:cs="Times New Roman"/>
          <w:szCs w:val="24"/>
        </w:rPr>
        <w:fldChar w:fldCharType="end"/>
      </w:r>
      <w:r w:rsidRPr="00C94B99">
        <w:rPr>
          <w:rFonts w:cs="Times New Roman"/>
          <w:szCs w:val="24"/>
        </w:rPr>
        <w:t xml:space="preserve">. A large portion of the state’s pavement maintenance cost and vehicle user cost is directly related to the pavement damage related to moisture damage </w:t>
      </w:r>
      <w:r w:rsidRPr="00C94B99">
        <w:rPr>
          <w:rFonts w:cs="Times New Roman"/>
          <w:szCs w:val="24"/>
        </w:rPr>
        <w:fldChar w:fldCharType="begin"/>
      </w:r>
      <w:r w:rsidR="00282238">
        <w:rPr>
          <w:rFonts w:cs="Times New Roman"/>
          <w:szCs w:val="24"/>
        </w:rPr>
        <w:instrText xml:space="preserve"> ADDIN EN.CITE &lt;EndNote&gt;&lt;Cite&gt;&lt;Author&gt;Caro&lt;/Author&gt;&lt;Year&gt;2008&lt;/Year&gt;&lt;RecNum&gt;81&lt;/RecNum&gt;&lt;DisplayText&gt;(Caro et al., 2008a)&lt;/DisplayText&gt;&lt;record&gt;&lt;rec-number&gt;81&lt;/rec-number&gt;&lt;foreign-keys&gt;&lt;key app="EN" db-id="d55vzfpwawdafteedfoxsf0lv0v0wp5va2aa" timestamp="1519484635"&gt;81&lt;/key&gt;&lt;/foreign-keys&gt;&lt;ref-type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1: Mechanisms&lt;/title&gt;&lt;secondary-title&gt;International Journal of Pavement Engineering&lt;/secondary-title&gt;&lt;/titles&gt;&lt;periodical&gt;&lt;full-title&gt;International Journal of Pavement Engineering&lt;/full-title&gt;&lt;/periodical&gt;&lt;pages&gt;81-98&lt;/pages&gt;&lt;volume&gt;9&lt;/volume&gt;&lt;number&gt;2&lt;/number&gt;&lt;dates&gt;&lt;year&gt;2008&lt;/year&gt;&lt;/dates&gt;&lt;isbn&gt;1029-8436&lt;/isbn&gt;&lt;urls&gt;&lt;/urls&gt;&lt;/record&gt;&lt;/Cite&gt;&lt;/EndNote&gt;</w:instrText>
      </w:r>
      <w:r w:rsidRPr="00C94B99">
        <w:rPr>
          <w:rFonts w:cs="Times New Roman"/>
          <w:szCs w:val="24"/>
        </w:rPr>
        <w:fldChar w:fldCharType="separate"/>
      </w:r>
      <w:r w:rsidR="00282238">
        <w:rPr>
          <w:rFonts w:cs="Times New Roman"/>
          <w:noProof/>
          <w:szCs w:val="24"/>
        </w:rPr>
        <w:t>(Caro et al., 2008a)</w:t>
      </w:r>
      <w:r w:rsidRPr="00C94B99">
        <w:rPr>
          <w:rFonts w:cs="Times New Roman"/>
          <w:szCs w:val="24"/>
        </w:rPr>
        <w:fldChar w:fldCharType="end"/>
      </w:r>
      <w:r w:rsidRPr="00C94B99">
        <w:rPr>
          <w:rFonts w:cs="Times New Roman"/>
          <w:szCs w:val="24"/>
        </w:rPr>
        <w:t xml:space="preserve">. Typically, two types of failure can be caused by moisture intrusion in asphalt pavements: adhesive failure between binder and aggregate, and cohesive failure within the binder and mastic </w:t>
      </w:r>
      <w:r w:rsidRPr="00C94B99">
        <w:rPr>
          <w:rFonts w:cs="Times New Roman"/>
          <w:szCs w:val="24"/>
        </w:rPr>
        <w:fldChar w:fldCharType="begin">
          <w:fldData xml:space="preserve">PEVuZE5vdGU+PENpdGU+PEF1dGhvcj5Db3BlbGFuZDwvQXV0aG9yPjxZZWFyPjIwMDc8L1llYXI+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</w:fldData>
        </w:fldChar>
      </w:r>
      <w:r w:rsidR="00282238">
        <w:rPr>
          <w:rFonts w:cs="Times New Roman"/>
          <w:szCs w:val="24"/>
        </w:rPr>
        <w:instrText xml:space="preserve"> ADDIN EN.CITE </w:instrText>
      </w:r>
      <w:r w:rsidR="00282238">
        <w:rPr>
          <w:rFonts w:cs="Times New Roman"/>
          <w:szCs w:val="24"/>
        </w:rPr>
        <w:fldChar w:fldCharType="begin">
          <w:fldData xml:space="preserve">PEVuZE5vdGU+PENpdGU+PEF1dGhvcj5Db3BlbGFuZDwvQXV0aG9yPjxZZWFyPjIwMDc8L1llYXI+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</w:fldData>
        </w:fldChar>
      </w:r>
      <w:r w:rsidR="00282238">
        <w:rPr>
          <w:rFonts w:cs="Times New Roman"/>
          <w:szCs w:val="24"/>
        </w:rPr>
        <w:instrText xml:space="preserve"> ADDIN EN.CITE.DATA </w:instrText>
      </w:r>
      <w:r w:rsidR="00282238">
        <w:rPr>
          <w:rFonts w:cs="Times New Roman"/>
          <w:szCs w:val="24"/>
        </w:rPr>
      </w:r>
      <w:r w:rsidR="00282238">
        <w:rPr>
          <w:rFonts w:cs="Times New Roman"/>
          <w:szCs w:val="24"/>
        </w:rPr>
        <w:fldChar w:fldCharType="end"/>
      </w:r>
      <w:r w:rsidRPr="00C94B99">
        <w:rPr>
          <w:rFonts w:cs="Times New Roman"/>
          <w:szCs w:val="24"/>
        </w:rPr>
      </w:r>
      <w:r w:rsidRPr="00C94B99">
        <w:rPr>
          <w:rFonts w:cs="Times New Roman"/>
          <w:szCs w:val="24"/>
        </w:rPr>
        <w:fldChar w:fldCharType="separate"/>
      </w:r>
      <w:r w:rsidR="00282238">
        <w:rPr>
          <w:rFonts w:cs="Times New Roman"/>
          <w:noProof/>
          <w:szCs w:val="24"/>
        </w:rPr>
        <w:t>(Bhasin, 2007; Copeland et al., 2007; Wasiuddin et al., 2007c)</w:t>
      </w:r>
      <w:r w:rsidRPr="00C94B99">
        <w:rPr>
          <w:rFonts w:cs="Times New Roman"/>
          <w:szCs w:val="24"/>
        </w:rPr>
        <w:fldChar w:fldCharType="end"/>
      </w:r>
      <w:r w:rsidRPr="00C94B99">
        <w:rPr>
          <w:rFonts w:cs="Times New Roman"/>
          <w:szCs w:val="24"/>
        </w:rPr>
        <w:t xml:space="preserve">. </w:t>
      </w:r>
      <w:r w:rsidRPr="00C94B99">
        <w:rPr>
          <w:rStyle w:val="fontstyle01"/>
          <w:sz w:val="24"/>
          <w:szCs w:val="24"/>
        </w:rPr>
        <w:t xml:space="preserve">Several factors can affect the moisture-induced damage of an asphalt mix. Some of these factors are directly related to the physical and chemical properties of the aggregate and binder used in the mix </w:t>
      </w:r>
      <w:r w:rsidRPr="00C94B99">
        <w:rPr>
          <w:rStyle w:val="fontstyle01"/>
          <w:sz w:val="24"/>
          <w:szCs w:val="24"/>
        </w:rPr>
        <w:fldChar w:fldCharType="begin">
          <w:fldData xml:space="preserve">PEVuZE5vdGU+PENpdGU+PEF1dGhvcj5Ub25nPC9BdXRob3I+PFllYXI+MjAxNTwvWWVhcj48UmVj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</w:fldData>
        </w:fldChar>
      </w:r>
      <w:r w:rsidR="00282238">
        <w:rPr>
          <w:rStyle w:val="fontstyle01"/>
          <w:sz w:val="24"/>
          <w:szCs w:val="24"/>
        </w:rPr>
        <w:instrText xml:space="preserve"> ADDIN EN.CITE </w:instrText>
      </w:r>
      <w:r w:rsidR="00282238">
        <w:rPr>
          <w:rStyle w:val="fontstyle01"/>
          <w:sz w:val="24"/>
          <w:szCs w:val="24"/>
        </w:rPr>
        <w:fldChar w:fldCharType="begin">
          <w:fldData xml:space="preserve">PEVuZE5vdGU+PENpdGU+PEF1dGhvcj5Ub25nPC9BdXRob3I+PFllYXI+MjAxNTwvWWVhcj48UmVj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</w:fldData>
        </w:fldChar>
      </w:r>
      <w:r w:rsidR="00282238">
        <w:rPr>
          <w:rStyle w:val="fontstyle01"/>
          <w:sz w:val="24"/>
          <w:szCs w:val="24"/>
        </w:rPr>
        <w:instrText xml:space="preserve"> ADDIN EN.CITE.DATA </w:instrText>
      </w:r>
      <w:r w:rsidR="00282238">
        <w:rPr>
          <w:rStyle w:val="fontstyle01"/>
          <w:sz w:val="24"/>
          <w:szCs w:val="24"/>
        </w:rPr>
      </w:r>
      <w:r w:rsidR="00282238">
        <w:rPr>
          <w:rStyle w:val="fontstyle01"/>
          <w:sz w:val="24"/>
          <w:szCs w:val="24"/>
        </w:rPr>
        <w:fldChar w:fldCharType="end"/>
      </w:r>
      <w:r w:rsidRPr="00C94B99">
        <w:rPr>
          <w:rStyle w:val="fontstyle01"/>
          <w:sz w:val="24"/>
          <w:szCs w:val="24"/>
        </w:rPr>
      </w:r>
      <w:r w:rsidRPr="00C94B99">
        <w:rPr>
          <w:rStyle w:val="fontstyle01"/>
          <w:sz w:val="24"/>
          <w:szCs w:val="24"/>
        </w:rPr>
        <w:fldChar w:fldCharType="separate"/>
      </w:r>
      <w:r w:rsidR="00282238">
        <w:rPr>
          <w:rStyle w:val="fontstyle01"/>
          <w:noProof/>
          <w:sz w:val="24"/>
          <w:szCs w:val="24"/>
        </w:rPr>
        <w:t>(Shu et al., 2012; Doyle and Howard, 2013; Tong et al., 2015)</w:t>
      </w:r>
      <w:r w:rsidRPr="00C94B99">
        <w:rPr>
          <w:rStyle w:val="fontstyle01"/>
          <w:sz w:val="24"/>
          <w:szCs w:val="24"/>
        </w:rPr>
        <w:fldChar w:fldCharType="end"/>
      </w:r>
      <w:r w:rsidRPr="00C94B99">
        <w:rPr>
          <w:rStyle w:val="fontstyle01"/>
          <w:sz w:val="24"/>
          <w:szCs w:val="24"/>
        </w:rPr>
        <w:t xml:space="preserve">. Other factors, such as traffic conditions, type and properties of additives/modifiers, drainage, air void level, permeability and film thickness were found important to realize asphalt mix’s response to moisture. Also, environmental factors, such as pavement aging, temperature and freeze-thaw cycles can significantly influence the performance of an asphalt mix related to moisture-induced damage </w:t>
      </w:r>
      <w:r w:rsidRPr="00C94B99">
        <w:rPr>
          <w:rStyle w:val="fontstyle01"/>
          <w:sz w:val="24"/>
          <w:szCs w:val="24"/>
        </w:rPr>
        <w:fldChar w:fldCharType="begin"/>
      </w:r>
      <w:r w:rsidR="00282238">
        <w:rPr>
          <w:rStyle w:val="fontstyle01"/>
          <w:sz w:val="24"/>
          <w:szCs w:val="24"/>
        </w:rPr>
        <w:instrText xml:space="preserve"> ADDIN EN.CITE &lt;EndNote&gt;&lt;Cite&gt;&lt;Author&gt;Gorkem&lt;/Author&gt;&lt;Year&gt;2009&lt;/Year&gt;&lt;RecNum&gt;84&lt;/RecNum&gt;&lt;DisplayText&gt;(Stuart, 1990; Gorkem and Sengoz, 2009)&lt;/DisplayText&gt;&lt;record&gt;&lt;rec-number&gt;84&lt;/rec-number&gt;&lt;foreign-keys&gt;&lt;key app="EN" db-id="d55vzfpwawdafteedfoxsf0lv0v0wp5va2aa" timestamp="1519495442"&gt;84&lt;/key&gt;&lt;/foreign-keys&gt;&lt;ref-type name="Journal Article"&gt;17&lt;/ref-type&gt;&lt;contributors&gt;&lt;authors&gt;&lt;author&gt;Gorkem, Cagri&lt;/author&gt;&lt;author&gt;Sengoz, Burak&lt;/author&gt;&lt;/authors&gt;&lt;/contributors&gt;&lt;titles&gt;&lt;title&gt;Predicting Stripping and Moisture Induced Damage of Asphalt Concrete Prepared with Polymer Modified Bitumen and Hydrated Lime&lt;/title&gt;&lt;secondary-title&gt;Construction and Building Materials&lt;/secondary-title&gt;&lt;/titles&gt;&lt;periodical&gt;&lt;full-title&gt;Construction and Building Materials&lt;/full-title&gt;&lt;/periodical&gt;&lt;pages&gt;2227-2236&lt;/pages&gt;&lt;volume&gt;23&lt;/volume&gt;&lt;number&gt;6&lt;/number&gt;&lt;dates&gt;&lt;year&gt;2009&lt;/year&gt;&lt;/dates&gt;&lt;isbn&gt;0950-0618&lt;/isbn&gt;&lt;urls&gt;&lt;/urls&gt;&lt;/record&gt;&lt;/Cite&gt;&lt;Cite&gt;&lt;Author&gt;Stuart&lt;/Author&gt;&lt;Year&gt;1990&lt;/Year&gt;&lt;RecNum&gt;356&lt;/RecNum&gt;&lt;record&gt;&lt;rec-number&gt;356&lt;/rec-number&gt;&lt;foreign-keys&gt;&lt;key app="EN" db-id="tfx2va9ropw5p7evdr2pf5rw2vszzx9t0xzs" timestamp="1617037554"&gt;356&lt;/key&gt;&lt;/foreign-keys&gt;&lt;ref-type name="Report"&gt;27&lt;/ref-type&gt;&lt;contributors&gt;&lt;authors&gt;&lt;author&gt;Stuart, Kevin D&lt;/author&gt;&lt;/authors&gt;&lt;tertiary-authors&gt;&lt;author&gt;Research Development and Technology, Turner-Fairbank Highway Research Center&lt;/author&gt;&lt;/tertiary-authors&gt;&lt;/contributors&gt;&lt;titles&gt;&lt;title&gt;Moisture damage in asphalt mixtures-a state-of-the-art report&lt;/title&gt;&lt;/titles&gt;&lt;dates&gt;&lt;year&gt;1990&lt;/year&gt;&lt;/dates&gt;&lt;urls&gt;&lt;/urls&gt;&lt;/record&gt;&lt;/Cite&gt;&lt;/EndNote&gt;</w:instrText>
      </w:r>
      <w:r w:rsidRPr="00C94B99">
        <w:rPr>
          <w:rStyle w:val="fontstyle01"/>
          <w:sz w:val="24"/>
          <w:szCs w:val="24"/>
        </w:rPr>
        <w:fldChar w:fldCharType="separate"/>
      </w:r>
      <w:r w:rsidR="00282238">
        <w:rPr>
          <w:rStyle w:val="fontstyle01"/>
          <w:noProof/>
          <w:sz w:val="24"/>
          <w:szCs w:val="24"/>
        </w:rPr>
        <w:t>(Stuart, 1990; Gorkem and Sengoz, 2009)</w:t>
      </w:r>
      <w:r w:rsidRPr="00C94B99">
        <w:rPr>
          <w:rStyle w:val="fontstyle01"/>
          <w:sz w:val="24"/>
          <w:szCs w:val="24"/>
        </w:rPr>
        <w:fldChar w:fldCharType="end"/>
      </w:r>
      <w:r w:rsidRPr="00C94B99">
        <w:rPr>
          <w:rStyle w:val="fontstyle01"/>
          <w:sz w:val="24"/>
          <w:szCs w:val="24"/>
        </w:rPr>
        <w:t>.</w:t>
      </w:r>
    </w:p>
    <w:p w14:paraId="6BA84557" w14:textId="4CCEF009" w:rsidR="00E579D8" w:rsidRPr="00C94B99" w:rsidRDefault="00E579D8" w:rsidP="00C94B99">
      <w:pPr>
        <w:tabs>
          <w:tab w:val="left" w:pos="720"/>
        </w:tabs>
        <w:rPr>
          <w:rFonts w:cs="Times New Roman"/>
          <w:szCs w:val="24"/>
          <w:lang w:val="en-CA"/>
        </w:rPr>
      </w:pPr>
      <w:r w:rsidRPr="00C94B99">
        <w:rPr>
          <w:rFonts w:cs="Times New Roman"/>
          <w:szCs w:val="24"/>
        </w:rPr>
        <w:tab/>
        <w:t>Understanding properties</w:t>
      </w:r>
      <w:r w:rsidRPr="00C94B99">
        <w:rPr>
          <w:rStyle w:val="fontstyle01"/>
          <w:sz w:val="24"/>
          <w:szCs w:val="24"/>
        </w:rPr>
        <w:t xml:space="preserve"> of binder and aggregate is important for the evaluation of moisture-induced damage as their interactions significantly affect the bonding strength of an asphalt mix </w:t>
      </w:r>
      <w:r w:rsidRPr="00C94B99">
        <w:rPr>
          <w:rStyle w:val="fontstyle01"/>
          <w:sz w:val="24"/>
          <w:szCs w:val="24"/>
        </w:rPr>
        <w:fldChar w:fldCharType="begin">
          <w:fldData xml:space="preserve">PEVuZE5vdGU+PENpdGU+PEF1dGhvcj5Ub25nPC9BdXRob3I+PFllYXI+MjAxNTwvWWVhcj48UmVj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</w:fldData>
        </w:fldChar>
      </w:r>
      <w:r w:rsidR="00282238">
        <w:rPr>
          <w:rStyle w:val="fontstyle01"/>
          <w:sz w:val="24"/>
          <w:szCs w:val="24"/>
        </w:rPr>
        <w:instrText xml:space="preserve"> ADDIN EN.CITE </w:instrText>
      </w:r>
      <w:r w:rsidR="00282238">
        <w:rPr>
          <w:rStyle w:val="fontstyle01"/>
          <w:sz w:val="24"/>
          <w:szCs w:val="24"/>
        </w:rPr>
        <w:fldChar w:fldCharType="begin">
          <w:fldData xml:space="preserve">PEVuZE5vdGU+PENpdGU+PEF1dGhvcj5Ub25nPC9BdXRob3I+PFllYXI+MjAxNTwvWWVhcj48UmVj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</w:fldData>
        </w:fldChar>
      </w:r>
      <w:r w:rsidR="00282238">
        <w:rPr>
          <w:rStyle w:val="fontstyle01"/>
          <w:sz w:val="24"/>
          <w:szCs w:val="24"/>
        </w:rPr>
        <w:instrText xml:space="preserve"> ADDIN EN.CITE.DATA </w:instrText>
      </w:r>
      <w:r w:rsidR="00282238">
        <w:rPr>
          <w:rStyle w:val="fontstyle01"/>
          <w:sz w:val="24"/>
          <w:szCs w:val="24"/>
        </w:rPr>
      </w:r>
      <w:r w:rsidR="00282238">
        <w:rPr>
          <w:rStyle w:val="fontstyle01"/>
          <w:sz w:val="24"/>
          <w:szCs w:val="24"/>
        </w:rPr>
        <w:fldChar w:fldCharType="end"/>
      </w:r>
      <w:r w:rsidRPr="00C94B99">
        <w:rPr>
          <w:rStyle w:val="fontstyle01"/>
          <w:sz w:val="24"/>
          <w:szCs w:val="24"/>
        </w:rPr>
      </w:r>
      <w:r w:rsidRPr="00C94B99">
        <w:rPr>
          <w:rStyle w:val="fontstyle01"/>
          <w:sz w:val="24"/>
          <w:szCs w:val="24"/>
        </w:rPr>
        <w:fldChar w:fldCharType="separate"/>
      </w:r>
      <w:r w:rsidR="00282238">
        <w:rPr>
          <w:rStyle w:val="fontstyle01"/>
          <w:noProof/>
          <w:sz w:val="24"/>
          <w:szCs w:val="24"/>
        </w:rPr>
        <w:t>(Abo-Qudais and Al-Shweily, 2007; Shu et al., 2012; Doyle and Howard, 2013; Tong et al., 2015; Baldi-Sevilla et al., 2017)</w:t>
      </w:r>
      <w:r w:rsidRPr="00C94B99">
        <w:rPr>
          <w:rStyle w:val="fontstyle01"/>
          <w:sz w:val="24"/>
          <w:szCs w:val="24"/>
        </w:rPr>
        <w:fldChar w:fldCharType="end"/>
      </w:r>
      <w:r w:rsidRPr="00C94B99">
        <w:rPr>
          <w:rStyle w:val="fontstyle01"/>
          <w:sz w:val="24"/>
          <w:szCs w:val="24"/>
        </w:rPr>
        <w:t xml:space="preserve">. Typically, asphalt binder is a mixture of hydrocarbons with some polar functionalities. Also, organometallic constituents that contain metals such as nickel, vanadium, and iron may be present in binder </w:t>
      </w:r>
      <w:r w:rsidRPr="00C94B99">
        <w:rPr>
          <w:rStyle w:val="fontstyle01"/>
          <w:sz w:val="24"/>
          <w:szCs w:val="24"/>
        </w:rPr>
        <w:fldChar w:fldCharType="begin">
          <w:fldData xml:space="preserve">PEVuZE5vdGU+PENpdGU+PEF1dGhvcj5DdXJ0aXM8L0F1dGhvcj48WWVhcj4xOTkzPC9ZZWFyPjxS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</w:fldData>
        </w:fldChar>
      </w:r>
      <w:r w:rsidR="00282238">
        <w:rPr>
          <w:rStyle w:val="fontstyle01"/>
          <w:sz w:val="24"/>
          <w:szCs w:val="24"/>
        </w:rPr>
        <w:instrText xml:space="preserve"> ADDIN EN.CITE </w:instrText>
      </w:r>
      <w:r w:rsidR="00282238">
        <w:rPr>
          <w:rStyle w:val="fontstyle01"/>
          <w:sz w:val="24"/>
          <w:szCs w:val="24"/>
        </w:rPr>
        <w:fldChar w:fldCharType="begin">
          <w:fldData xml:space="preserve">PEVuZE5vdGU+PENpdGU+PEF1dGhvcj5DdXJ0aXM8L0F1dGhvcj48WWVhcj4xOTkzPC9ZZWFyPjxS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</w:fldData>
        </w:fldChar>
      </w:r>
      <w:r w:rsidR="00282238">
        <w:rPr>
          <w:rStyle w:val="fontstyle01"/>
          <w:sz w:val="24"/>
          <w:szCs w:val="24"/>
        </w:rPr>
        <w:instrText xml:space="preserve"> ADDIN EN.CITE.DATA </w:instrText>
      </w:r>
      <w:r w:rsidR="00282238">
        <w:rPr>
          <w:rStyle w:val="fontstyle01"/>
          <w:sz w:val="24"/>
          <w:szCs w:val="24"/>
        </w:rPr>
      </w:r>
      <w:r w:rsidR="00282238">
        <w:rPr>
          <w:rStyle w:val="fontstyle01"/>
          <w:sz w:val="24"/>
          <w:szCs w:val="24"/>
        </w:rPr>
        <w:fldChar w:fldCharType="end"/>
      </w:r>
      <w:r w:rsidRPr="00C94B99">
        <w:rPr>
          <w:rStyle w:val="fontstyle01"/>
          <w:sz w:val="24"/>
          <w:szCs w:val="24"/>
        </w:rPr>
      </w:r>
      <w:r w:rsidRPr="00C94B99">
        <w:rPr>
          <w:rStyle w:val="fontstyle01"/>
          <w:sz w:val="24"/>
          <w:szCs w:val="24"/>
        </w:rPr>
        <w:fldChar w:fldCharType="separate"/>
      </w:r>
      <w:r w:rsidR="00282238">
        <w:rPr>
          <w:rStyle w:val="fontstyle01"/>
          <w:noProof/>
          <w:sz w:val="24"/>
          <w:szCs w:val="24"/>
        </w:rPr>
        <w:t>(Curtis et al., 1993; Jahromi, 2009; Hofko et al., 2018)</w:t>
      </w:r>
      <w:r w:rsidRPr="00C94B99">
        <w:rPr>
          <w:rStyle w:val="fontstyle01"/>
          <w:sz w:val="24"/>
          <w:szCs w:val="24"/>
        </w:rPr>
        <w:fldChar w:fldCharType="end"/>
      </w:r>
      <w:r w:rsidRPr="00C94B99">
        <w:rPr>
          <w:rStyle w:val="fontstyle01"/>
          <w:sz w:val="24"/>
          <w:szCs w:val="24"/>
        </w:rPr>
        <w:t xml:space="preserve">. Aggregate constitutes approximately 95% of an asphalt mix by weight. Aggregate characteristics such as cleanliness, surface texture, minerology, porosity, surface charge and energy, and polarity can significantly influence the moisture susceptibility of a mix </w:t>
      </w:r>
      <w:r w:rsidRPr="00C94B99">
        <w:rPr>
          <w:rStyle w:val="fontstyle01"/>
          <w:sz w:val="24"/>
          <w:szCs w:val="24"/>
        </w:rPr>
        <w:fldChar w:fldCharType="begin"/>
      </w:r>
      <w:r w:rsidR="00282238">
        <w:rPr>
          <w:rStyle w:val="fontstyle01"/>
          <w:sz w:val="24"/>
          <w:szCs w:val="24"/>
        </w:rPr>
        <w:instrText xml:space="preserve"> ADDIN EN.CITE &lt;EndNote&gt;&lt;Cite&gt;&lt;Author&gt;Cui&lt;/Author&gt;&lt;Year&gt;2014&lt;/Year&gt;&lt;RecNum&gt;355&lt;/RecNum&gt;&lt;DisplayText&gt;(Johnson and Freeman, 2002; Cui et al., 2014)&lt;/DisplayText&gt;&lt;record&gt;&lt;rec-number&gt;355&lt;/rec-number&gt;&lt;foreign-keys&gt;&lt;key app="EN" db-id="tfx2va9ropw5p7evdr2pf5rw2vszzx9t0xzs" timestamp="1617037421"&gt;355&lt;/key&gt;&lt;/foreign-keys&gt;&lt;ref-type name="Journal Article"&gt;17&lt;/ref-type&gt;&lt;contributors&gt;&lt;authors&gt;&lt;author&gt;Cui, Shuang&lt;/author&gt;&lt;author&gt;Blackman, Bamber RK&lt;/author&gt;&lt;author&gt;Kinloch, Anthony J&lt;/author&gt;&lt;author&gt;Taylor, Ambrose C&lt;/author&gt;&lt;/authors&gt;&lt;/contributors&gt;&lt;titles&gt;&lt;title&gt;Durability of asphalt mixtures: Effect of aggregate type and adhesion promoters&lt;/title&gt;&lt;secondary-title&gt;International Journal of Adhesion and Adhesives&lt;/secondary-title&gt;&lt;/titles&gt;&lt;periodical&gt;&lt;full-title&gt;International Journal of Adhesion and Adhesives&lt;/full-title&gt;&lt;/periodical&gt;&lt;pages&gt;100-111&lt;/pages&gt;&lt;volume&gt;54&lt;/volume&gt;&lt;dates&gt;&lt;year&gt;2014&lt;/year&gt;&lt;/dates&gt;&lt;isbn&gt;0143-7496&lt;/isbn&gt;&lt;urls&gt;&lt;/urls&gt;&lt;/record&gt;&lt;/Cite&gt;&lt;Cite&gt;&lt;Author&gt;Johnson&lt;/Author&gt;&lt;Year&gt;2002&lt;/Year&gt;&lt;RecNum&gt;360&lt;/RecNum&gt;&lt;record&gt;&lt;rec-number&gt;360&lt;/rec-number&gt;&lt;foreign-keys&gt;&lt;key app="EN" db-id="tfx2va9ropw5p7evdr2pf5rw2vszzx9t0xzs" timestamp="1617039342"&gt;360&lt;/key&gt;&lt;/foreign-keys&gt;&lt;ref-type name="Report"&gt;27&lt;/ref-type&gt;&lt;contributors&gt;&lt;authors&gt;&lt;author&gt;Johnson, David R&lt;/author&gt;&lt;author&gt;Freeman, Reed B&lt;/author&gt;&lt;/authors&gt;&lt;/contributors&gt;&lt;titles&gt;&lt;title&gt;Rehabilitation techniques for stripped asphalt pavements&lt;/title&gt;&lt;/titles&gt;&lt;dates&gt;&lt;year&gt;2002&lt;/year&gt;&lt;/dates&gt;&lt;publisher&gt;Montana. Department of Transportation&lt;/publisher&gt;&lt;urls&gt;&lt;/urls&gt;&lt;/record&gt;&lt;/Cite&gt;&lt;/EndNote&gt;</w:instrText>
      </w:r>
      <w:r w:rsidRPr="00C94B99">
        <w:rPr>
          <w:rStyle w:val="fontstyle01"/>
          <w:sz w:val="24"/>
          <w:szCs w:val="24"/>
        </w:rPr>
        <w:fldChar w:fldCharType="separate"/>
      </w:r>
      <w:r w:rsidR="00282238">
        <w:rPr>
          <w:rStyle w:val="fontstyle01"/>
          <w:noProof/>
          <w:sz w:val="24"/>
          <w:szCs w:val="24"/>
        </w:rPr>
        <w:t>(Johnson and Freeman, 2002; Cui et al., 2014)</w:t>
      </w:r>
      <w:r w:rsidRPr="00C94B99">
        <w:rPr>
          <w:rStyle w:val="fontstyle01"/>
          <w:sz w:val="24"/>
          <w:szCs w:val="24"/>
        </w:rPr>
        <w:fldChar w:fldCharType="end"/>
      </w:r>
      <w:r w:rsidRPr="00C94B99">
        <w:rPr>
          <w:rStyle w:val="fontstyle01"/>
          <w:sz w:val="24"/>
          <w:szCs w:val="24"/>
        </w:rPr>
        <w:t xml:space="preserve">. According to </w:t>
      </w:r>
      <w:r w:rsidRPr="00C94B99">
        <w:rPr>
          <w:rStyle w:val="fontstyle01"/>
          <w:sz w:val="24"/>
          <w:szCs w:val="24"/>
        </w:rPr>
        <w:fldChar w:fldCharType="begin"/>
      </w:r>
      <w:r w:rsidRPr="00C94B99">
        <w:rPr>
          <w:rStyle w:val="fontstyle01"/>
          <w:sz w:val="24"/>
          <w:szCs w:val="24"/>
        </w:rPr>
        <w:instrText xml:space="preserve"> ADDIN EN.CITE &lt;EndNote&gt;&lt;Cite AuthorYear="1"&gt;&lt;Author&gt;Curtis&lt;/Author&gt;&lt;Year&gt;1992&lt;/Year&gt;&lt;RecNum&gt;59&lt;/RecNum&gt;&lt;DisplayText&gt;Curtis et al. (1992)&lt;/DisplayText&gt;&lt;record&gt;&lt;rec-number&gt;59&lt;/rec-number&gt;&lt;foreign-keys&gt;&lt;key app="EN" db-id="d55vzfpwawdafteedfoxsf0lv0v0wp5va2aa" timestamp="1514343929"&gt;59&lt;/key&gt;&lt;/foreign-keys&gt;&lt;ref-type name="Journal Article"&gt;17&lt;/ref-type&gt;&lt;contributors&gt;&lt;authors&gt;&lt;author&gt;Curtis, CW&lt;/author&gt;&lt;author&gt;Lytton, RL&lt;/author&gt;&lt;author&gt;Brannan, CJ&lt;/author&gt;&lt;/authors&gt;&lt;/contributors&gt;&lt;titles&gt;&lt;title&gt;Influence of aggregate chemistry on the adsorption and desorption of asphalt&lt;/title&gt;&lt;secondary-title&gt;Transportation Research Record&lt;/secondary-title&gt;&lt;/titles&gt;&lt;periodical&gt;&lt;full-title&gt;Transportation Research Record&lt;/full-title&gt;&lt;/periodical&gt;&lt;number&gt;1362&lt;/number&gt;&lt;dates&gt;&lt;year&gt;1992&lt;/year&gt;&lt;/dates&gt;&lt;isbn&gt;0309054028&lt;/isbn&gt;&lt;urls&gt;&lt;/urls&gt;&lt;/record&gt;&lt;/Cite&gt;&lt;/EndNote&gt;</w:instrText>
      </w:r>
      <w:r w:rsidRPr="00C94B99">
        <w:rPr>
          <w:rStyle w:val="fontstyle01"/>
          <w:sz w:val="24"/>
          <w:szCs w:val="24"/>
        </w:rPr>
        <w:fldChar w:fldCharType="separate"/>
      </w:r>
      <w:r w:rsidRPr="00C94B99">
        <w:rPr>
          <w:rStyle w:val="fontstyle01"/>
          <w:noProof/>
          <w:sz w:val="24"/>
          <w:szCs w:val="24"/>
        </w:rPr>
        <w:t>Curtis et al. (1992)</w:t>
      </w:r>
      <w:r w:rsidRPr="00C94B99">
        <w:rPr>
          <w:rStyle w:val="fontstyle01"/>
          <w:sz w:val="24"/>
          <w:szCs w:val="24"/>
        </w:rPr>
        <w:fldChar w:fldCharType="end"/>
      </w:r>
      <w:r w:rsidRPr="00C94B99">
        <w:rPr>
          <w:rStyle w:val="fontstyle01"/>
          <w:sz w:val="24"/>
          <w:szCs w:val="24"/>
        </w:rPr>
        <w:t>, aggregate surface contains a variety of active sites of different compositions and levels of activity. W</w:t>
      </w:r>
      <w:r w:rsidRPr="00C94B99">
        <w:rPr>
          <w:rFonts w:cs="Times New Roman"/>
          <w:szCs w:val="24"/>
          <w:lang w:val="en-CA"/>
        </w:rPr>
        <w:t xml:space="preserve">hen an aggregate is coated with binder, selective adsorption of some components of binder, such as the polar functionalities of the binder takes place on the aggregate surface and hydrogen bonds or salt links are formed </w:t>
      </w:r>
      <w:r w:rsidRPr="00C94B99">
        <w:rPr>
          <w:rFonts w:cs="Times New Roman"/>
          <w:szCs w:val="24"/>
          <w:lang w:val="en-CA"/>
        </w:rPr>
        <w:fldChar w:fldCharType="begin"/>
      </w:r>
      <w:r w:rsidR="00282238">
        <w:rPr>
          <w:rFonts w:cs="Times New Roman"/>
          <w:szCs w:val="24"/>
          <w:lang w:val="en-CA"/>
        </w:rPr>
        <w:instrText xml:space="preserve"> ADDIN EN.CITE &lt;EndNote&gt;&lt;Cite&gt;&lt;Author&gt;Tarrer&lt;/Author&gt;&lt;Year&gt;1991&lt;/Year&gt;&lt;RecNum&gt;178&lt;/RecNum&gt;&lt;DisplayText&gt;(Tarrer and Wagh, 1991)&lt;/DisplayText&gt;&lt;record&gt;&lt;rec-number&gt;178&lt;/rec-number&gt;&lt;foreign-keys&gt;&lt;key app="EN" db-id="d55vzfpwawdafteedfoxsf0lv0v0wp5va2aa" timestamp="1533882349"&gt;178&lt;/key&gt;&lt;/foreign-keys&gt;&lt;ref-type name="Report"&gt;27&lt;/ref-type&gt;&lt;contributors&gt;&lt;authors&gt;&lt;author&gt;Tarrer, AR&lt;/author&gt;&lt;author&gt;Wagh, Vinay&lt;/author&gt;&lt;/authors&gt;&lt;/contributors&gt;&lt;titles&gt;&lt;title&gt;The effect of the physical and chemical characteristics of the aggregate on bonding&lt;/title&gt;&lt;/titles&gt;&lt;dates&gt;&lt;year&gt;1991&lt;/year&gt;&lt;/dates&gt;&lt;publisher&gt;Strategic Highway Research Program, National Research Council Washington, DC, USA&lt;/publisher&gt;&lt;urls&gt;&lt;/urls&gt;&lt;/record&gt;&lt;/Cite&gt;&lt;/EndNote&gt;</w:instrText>
      </w:r>
      <w:r w:rsidRPr="00C94B99">
        <w:rPr>
          <w:rFonts w:cs="Times New Roman"/>
          <w:szCs w:val="24"/>
          <w:lang w:val="en-CA"/>
        </w:rPr>
        <w:fldChar w:fldCharType="separate"/>
      </w:r>
      <w:r w:rsidR="00282238">
        <w:rPr>
          <w:rFonts w:cs="Times New Roman"/>
          <w:noProof/>
          <w:szCs w:val="24"/>
          <w:lang w:val="en-CA"/>
        </w:rPr>
        <w:t>(Tarrer and Wagh, 1991)</w:t>
      </w:r>
      <w:r w:rsidRPr="00C94B99">
        <w:rPr>
          <w:rFonts w:cs="Times New Roman"/>
          <w:szCs w:val="24"/>
          <w:lang w:val="en-CA"/>
        </w:rPr>
        <w:fldChar w:fldCharType="end"/>
      </w:r>
      <w:r w:rsidRPr="00C94B99">
        <w:rPr>
          <w:rFonts w:cs="Times New Roman"/>
          <w:szCs w:val="24"/>
          <w:lang w:val="en-CA"/>
        </w:rPr>
        <w:t xml:space="preserve">. Association of </w:t>
      </w:r>
      <w:r w:rsidRPr="00C94B99">
        <w:rPr>
          <w:rStyle w:val="fontstyle01"/>
          <w:sz w:val="24"/>
          <w:szCs w:val="24"/>
        </w:rPr>
        <w:t xml:space="preserve">aggregate and binder with different polarities is needed </w:t>
      </w:r>
      <w:r w:rsidRPr="00C94B99">
        <w:rPr>
          <w:rFonts w:cs="Times New Roman"/>
          <w:szCs w:val="24"/>
          <w:lang w:val="en-CA"/>
        </w:rPr>
        <w:t xml:space="preserve">to ensure strong bonding </w:t>
      </w:r>
      <w:r w:rsidRPr="00C94B99">
        <w:rPr>
          <w:rFonts w:cs="Times New Roman"/>
          <w:szCs w:val="24"/>
          <w:lang w:val="en-CA"/>
        </w:rPr>
        <w:fldChar w:fldCharType="begin"/>
      </w:r>
      <w:r w:rsidR="00282238">
        <w:rPr>
          <w:rFonts w:cs="Times New Roman"/>
          <w:szCs w:val="24"/>
          <w:lang w:val="en-CA"/>
        </w:rPr>
        <w:instrText xml:space="preserve"> ADDIN EN.CITE &lt;EndNote&gt;&lt;Cite&gt;&lt;Author&gt;Haider&lt;/Author&gt;&lt;Year&gt;2020&lt;/Year&gt;&lt;RecNum&gt;357&lt;/RecNum&gt;&lt;DisplayText&gt;(Curtis et al., 1993; Haider et al., 2020)&lt;/DisplayText&gt;&lt;record&gt;&lt;rec-number&gt;357&lt;/rec-number&gt;&lt;foreign-keys&gt;&lt;key app="EN" db-id="tfx2va9ropw5p7evdr2pf5rw2vszzx9t0xzs" timestamp="1617038065"&gt;357&lt;/key&gt;&lt;/foreign-keys&gt;&lt;ref-type name="Journal Article"&gt;17&lt;/ref-type&gt;&lt;contributors&gt;&lt;authors&gt;&lt;author&gt;Haider, Safeer&lt;/author&gt;&lt;author&gt;Hafeez, Imran&lt;/author&gt;&lt;author&gt;Ullah, Rafi&lt;/author&gt;&lt;/authors&gt;&lt;/contributors&gt;&lt;titles&gt;&lt;title&gt;Sustainable use of waste plastic modifiers to strengthen the adhesion properties of asphalt mixtures&lt;/title&gt;&lt;secondary-title&gt;Construction and Building Materials&lt;/secondary-title&gt;&lt;/titles&gt;&lt;periodical&gt;&lt;full-title&gt;Construction and Building Materials&lt;/full-title&gt;&lt;/periodical&gt;&lt;pages&gt;117496&lt;/pages&gt;&lt;volume&gt;235&lt;/volume&gt;&lt;dates&gt;&lt;year&gt;2020&lt;/year&gt;&lt;/dates&gt;&lt;isbn&gt;0950-0618&lt;/isbn&gt;&lt;urls&gt;&lt;/urls&gt;&lt;/record&gt;&lt;/Cite&gt;&lt;Cite&gt;&lt;Author&gt;Curtis&lt;/Author&gt;&lt;Year&gt;1993&lt;/Year&gt;&lt;RecNum&gt;354&lt;/RecNum&gt;&lt;record&gt;&lt;rec-number&gt;354&lt;/rec-number&gt;&lt;foreign-keys&gt;&lt;key app="EN" db-id="tfx2va9ropw5p7evdr2pf5rw2vszzx9t0xzs" timestamp="1617036956"&gt;354&lt;/key&gt;&lt;/foreign-keys&gt;&lt;ref-type name="Report"&gt;27&lt;/ref-type&gt;&lt;contributors&gt;&lt;authors&gt;&lt;author&gt;Curtis, Christine W&lt;/author&gt;&lt;author&gt;Ensley, Keith&lt;/author&gt;&lt;author&gt;Epps, Jon&lt;/author&gt;&lt;/authors&gt;&lt;tertiary-authors&gt;&lt;author&gt;Strategic Highway Research Program, National Research Council&lt;/author&gt;&lt;/tertiary-authors&gt;&lt;/contributors&gt;&lt;titles&gt;&lt;title&gt;Fundamental properties of asphalt-aggregate interactions including adhesion and absorption (SHRP-A-341)&lt;/title&gt;&lt;/titles&gt;&lt;dates&gt;&lt;year&gt;1993&lt;/year&gt;&lt;/dates&gt;&lt;pub-location&gt;Washington, DC.&lt;/pub-location&gt;&lt;urls&gt;&lt;/urls&gt;&lt;/record&gt;&lt;/Cite&gt;&lt;/EndNote&gt;</w:instrText>
      </w:r>
      <w:r w:rsidRPr="00C94B99">
        <w:rPr>
          <w:rFonts w:cs="Times New Roman"/>
          <w:szCs w:val="24"/>
          <w:lang w:val="en-CA"/>
        </w:rPr>
        <w:fldChar w:fldCharType="separate"/>
      </w:r>
      <w:r w:rsidR="00282238">
        <w:rPr>
          <w:rFonts w:cs="Times New Roman"/>
          <w:noProof/>
          <w:szCs w:val="24"/>
          <w:lang w:val="en-CA"/>
        </w:rPr>
        <w:t>(Curtis et al., 1993; Haider et al., 2020)</w:t>
      </w:r>
      <w:r w:rsidRPr="00C94B99">
        <w:rPr>
          <w:rFonts w:cs="Times New Roman"/>
          <w:szCs w:val="24"/>
          <w:lang w:val="en-CA"/>
        </w:rPr>
        <w:fldChar w:fldCharType="end"/>
      </w:r>
      <w:r w:rsidRPr="00C94B99">
        <w:rPr>
          <w:rStyle w:val="fontstyle01"/>
          <w:sz w:val="24"/>
          <w:szCs w:val="24"/>
        </w:rPr>
        <w:t xml:space="preserve">. In reality, aggregates for an asphalt pavement are selected based on their local availability. Therefore, a wide variation in aggregate composition, surface chemistry and morphology are possible which can affect the moisture-induced damage performance of a mix. Several studies have reported that asphalt mixes with </w:t>
      </w:r>
      <w:r w:rsidR="00EF36E5" w:rsidRPr="00C94B99">
        <w:rPr>
          <w:rStyle w:val="fontstyle01"/>
          <w:sz w:val="24"/>
          <w:szCs w:val="24"/>
        </w:rPr>
        <w:t xml:space="preserve">aggregates </w:t>
      </w:r>
      <w:r w:rsidR="00EF36E5">
        <w:rPr>
          <w:rStyle w:val="fontstyle01"/>
          <w:sz w:val="24"/>
          <w:szCs w:val="24"/>
        </w:rPr>
        <w:t xml:space="preserve">of an </w:t>
      </w:r>
      <w:r w:rsidRPr="00C94B99">
        <w:rPr>
          <w:rStyle w:val="fontstyle01"/>
          <w:sz w:val="24"/>
          <w:szCs w:val="24"/>
        </w:rPr>
        <w:t xml:space="preserve">acidic nature have less adhesion properties than basic aggregates </w:t>
      </w:r>
      <w:r w:rsidRPr="00C94B99">
        <w:rPr>
          <w:rStyle w:val="fontstyle01"/>
          <w:sz w:val="24"/>
          <w:szCs w:val="24"/>
        </w:rPr>
        <w:fldChar w:fldCharType="begin">
          <w:fldData xml:space="preserve">PEVuZE5vdGU+PENpdGU+PEF1dGhvcj5Ub25nPC9BdXRob3I+PFllYXI+MjAxNTwvWWVhcj48UmVj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</w:fldData>
        </w:fldChar>
      </w:r>
      <w:r w:rsidR="00282238">
        <w:rPr>
          <w:rStyle w:val="fontstyle01"/>
          <w:sz w:val="24"/>
          <w:szCs w:val="24"/>
        </w:rPr>
        <w:instrText xml:space="preserve"> ADDIN EN.CITE </w:instrText>
      </w:r>
      <w:r w:rsidR="00282238">
        <w:rPr>
          <w:rStyle w:val="fontstyle01"/>
          <w:sz w:val="24"/>
          <w:szCs w:val="24"/>
        </w:rPr>
        <w:fldChar w:fldCharType="begin">
          <w:fldData xml:space="preserve">PEVuZE5vdGU+PENpdGU+PEF1dGhvcj5Ub25nPC9BdXRob3I+PFllYXI+MjAxNTwvWWVhcj48UmVj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</w:fldData>
        </w:fldChar>
      </w:r>
      <w:r w:rsidR="00282238">
        <w:rPr>
          <w:rStyle w:val="fontstyle01"/>
          <w:sz w:val="24"/>
          <w:szCs w:val="24"/>
        </w:rPr>
        <w:instrText xml:space="preserve"> ADDIN EN.CITE.DATA </w:instrText>
      </w:r>
      <w:r w:rsidR="00282238">
        <w:rPr>
          <w:rStyle w:val="fontstyle01"/>
          <w:sz w:val="24"/>
          <w:szCs w:val="24"/>
        </w:rPr>
      </w:r>
      <w:r w:rsidR="00282238">
        <w:rPr>
          <w:rStyle w:val="fontstyle01"/>
          <w:sz w:val="24"/>
          <w:szCs w:val="24"/>
        </w:rPr>
        <w:fldChar w:fldCharType="end"/>
      </w:r>
      <w:r w:rsidRPr="00C94B99">
        <w:rPr>
          <w:rStyle w:val="fontstyle01"/>
          <w:sz w:val="24"/>
          <w:szCs w:val="24"/>
        </w:rPr>
      </w:r>
      <w:r w:rsidRPr="00C94B99">
        <w:rPr>
          <w:rStyle w:val="fontstyle01"/>
          <w:sz w:val="24"/>
          <w:szCs w:val="24"/>
        </w:rPr>
        <w:fldChar w:fldCharType="separate"/>
      </w:r>
      <w:r w:rsidR="00282238">
        <w:rPr>
          <w:rStyle w:val="fontstyle01"/>
          <w:noProof/>
          <w:sz w:val="24"/>
          <w:szCs w:val="24"/>
        </w:rPr>
        <w:t>(Kalantar et al., 2012; Tong et al., 2015; Behnood and Gharehveran, 2019; Haider et al., 2020)</w:t>
      </w:r>
      <w:r w:rsidRPr="00C94B99">
        <w:rPr>
          <w:rStyle w:val="fontstyle01"/>
          <w:sz w:val="24"/>
          <w:szCs w:val="24"/>
        </w:rPr>
        <w:fldChar w:fldCharType="end"/>
      </w:r>
      <w:r w:rsidRPr="00C94B99">
        <w:rPr>
          <w:rStyle w:val="fontstyle01"/>
          <w:sz w:val="24"/>
          <w:szCs w:val="24"/>
        </w:rPr>
        <w:t>. Generally, aggregate rich in silica (SiO</w:t>
      </w:r>
      <w:r w:rsidRPr="00C94B99">
        <w:rPr>
          <w:rStyle w:val="fontstyle01"/>
          <w:sz w:val="24"/>
          <w:szCs w:val="24"/>
          <w:vertAlign w:val="subscript"/>
        </w:rPr>
        <w:t>2</w:t>
      </w:r>
      <w:r w:rsidRPr="00C94B99">
        <w:rPr>
          <w:rStyle w:val="fontstyle01"/>
          <w:sz w:val="24"/>
          <w:szCs w:val="24"/>
        </w:rPr>
        <w:t xml:space="preserve">) exhibits acidic behavior. </w:t>
      </w:r>
      <w:r w:rsidRPr="00C94B99">
        <w:rPr>
          <w:rFonts w:cs="Times New Roman"/>
          <w:szCs w:val="24"/>
          <w:lang w:val="en-CA"/>
        </w:rPr>
        <w:t xml:space="preserve">Also, aggregates with high silica content exhibit hydrophilic or water loving behavior </w:t>
      </w:r>
      <w:r w:rsidRPr="00C94B99">
        <w:rPr>
          <w:rFonts w:cs="Times New Roman"/>
          <w:szCs w:val="24"/>
          <w:lang w:val="en-CA"/>
        </w:rPr>
        <w:fldChar w:fldCharType="begin"/>
      </w:r>
      <w:r w:rsidR="00282238">
        <w:rPr>
          <w:rFonts w:cs="Times New Roman"/>
          <w:szCs w:val="24"/>
          <w:lang w:val="en-CA"/>
        </w:rPr>
        <w:instrText xml:space="preserve"> ADDIN EN.CITE &lt;EndNote&gt;&lt;Cite&gt;&lt;Author&gt;Tarrer&lt;/Author&gt;&lt;Year&gt;1991&lt;/Year&gt;&lt;RecNum&gt;178&lt;/RecNum&gt;&lt;DisplayText&gt;(Tarrer and Wagh, 1991)&lt;/DisplayText&gt;&lt;record&gt;&lt;rec-number&gt;178&lt;/rec-number&gt;&lt;foreign-keys&gt;&lt;key app="EN" db-id="d55vzfpwawdafteedfoxsf0lv0v0wp5va2aa" timestamp="1533882349"&gt;178&lt;/key&gt;&lt;/foreign-keys&gt;&lt;ref-type name="Report"&gt;27&lt;/ref-type&gt;&lt;contributors&gt;&lt;authors&gt;&lt;author&gt;Tarrer, AR&lt;/author&gt;&lt;author&gt;Wagh, Vinay&lt;/author&gt;&lt;/authors&gt;&lt;/contributors&gt;&lt;titles&gt;&lt;title&gt;The effect of the physical and chemical characteristics of the aggregate on bonding&lt;/title&gt;&lt;/titles&gt;&lt;dates&gt;&lt;year&gt;1991&lt;/year&gt;&lt;/dates&gt;&lt;publisher&gt;Strategic Highway Research Program, National Research Council Washington, DC, USA&lt;/publisher&gt;&lt;urls&gt;&lt;/urls&gt;&lt;/record&gt;&lt;/Cite&gt;&lt;/EndNote&gt;</w:instrText>
      </w:r>
      <w:r w:rsidRPr="00C94B99">
        <w:rPr>
          <w:rFonts w:cs="Times New Roman"/>
          <w:szCs w:val="24"/>
          <w:lang w:val="en-CA"/>
        </w:rPr>
        <w:fldChar w:fldCharType="separate"/>
      </w:r>
      <w:r w:rsidR="00282238">
        <w:rPr>
          <w:rFonts w:cs="Times New Roman"/>
          <w:noProof/>
          <w:szCs w:val="24"/>
          <w:lang w:val="en-CA"/>
        </w:rPr>
        <w:t>(Tarrer and Wagh, 1991)</w:t>
      </w:r>
      <w:r w:rsidRPr="00C94B99">
        <w:rPr>
          <w:rFonts w:cs="Times New Roman"/>
          <w:szCs w:val="24"/>
          <w:lang w:val="en-CA"/>
        </w:rPr>
        <w:fldChar w:fldCharType="end"/>
      </w:r>
      <w:r w:rsidRPr="00C94B99">
        <w:rPr>
          <w:rFonts w:cs="Times New Roman"/>
          <w:szCs w:val="24"/>
          <w:lang w:val="en-CA"/>
        </w:rPr>
        <w:t xml:space="preserve">. The high hydrophilicity of an aggregate may increase moisture-induced damage potential, if the adhesion bonding between binder and aggregate is not strong enough in both dry and wet states. On the other hand, calcareous aggregates, such as limestone generally show good bonding quality </w:t>
      </w:r>
      <w:r w:rsidRPr="00C94B99">
        <w:rPr>
          <w:rFonts w:cs="Times New Roman"/>
          <w:szCs w:val="24"/>
          <w:lang w:val="en-CA"/>
        </w:rPr>
        <w:fldChar w:fldCharType="begin"/>
      </w:r>
      <w:r w:rsidR="00282238">
        <w:rPr>
          <w:rFonts w:cs="Times New Roman"/>
          <w:szCs w:val="24"/>
          <w:lang w:val="en-CA"/>
        </w:rPr>
        <w:instrText xml:space="preserve"> ADDIN EN.CITE &lt;EndNote&gt;&lt;Cite&gt;&lt;Author&gt;Curtis&lt;/Author&gt;&lt;Year&gt;1993&lt;/Year&gt;&lt;RecNum&gt;354&lt;/RecNum&gt;&lt;DisplayText&gt;(Curtis et al., 1993)&lt;/DisplayText&gt;&lt;record&gt;&lt;rec-number&gt;354&lt;/rec-number&gt;&lt;foreign-keys&gt;&lt;key app="EN" db-id="tfx2va9ropw5p7evdr2pf5rw2vszzx9t0xzs" timestamp="1617036956"&gt;354&lt;/key&gt;&lt;/foreign-keys&gt;&lt;ref-type name="Report"&gt;27&lt;/ref-type&gt;&lt;contributors&gt;&lt;authors&gt;&lt;author&gt;Curtis, Christine W&lt;/author&gt;&lt;author&gt;Ensley, Keith&lt;/author&gt;&lt;author&gt;Epps, Jon&lt;/author&gt;&lt;/authors&gt;&lt;tertiary-authors&gt;&lt;author&gt;Strategic Highway Research Program, National Research Council&lt;/author&gt;&lt;/tertiary-authors&gt;&lt;/contributors&gt;&lt;titles&gt;&lt;title&gt;Fundamental properties of asphalt-aggregate interactions including adhesion and absorption (SHRP-A-341)&lt;/title&gt;&lt;/titles&gt;&lt;dates&gt;&lt;year&gt;1993&lt;/year&gt;&lt;/dates&gt;&lt;pub-location&gt;Washington, DC.&lt;/pub-location&gt;&lt;urls&gt;&lt;/urls&gt;&lt;/record&gt;&lt;/Cite&gt;&lt;/EndNote&gt;</w:instrText>
      </w:r>
      <w:r w:rsidRPr="00C94B99">
        <w:rPr>
          <w:rFonts w:cs="Times New Roman"/>
          <w:szCs w:val="24"/>
          <w:lang w:val="en-CA"/>
        </w:rPr>
        <w:fldChar w:fldCharType="separate"/>
      </w:r>
      <w:r w:rsidR="00282238">
        <w:rPr>
          <w:rFonts w:cs="Times New Roman"/>
          <w:noProof/>
          <w:szCs w:val="24"/>
          <w:lang w:val="en-CA"/>
        </w:rPr>
        <w:t>(Curtis et al., 1993)</w:t>
      </w:r>
      <w:r w:rsidRPr="00C94B99">
        <w:rPr>
          <w:rFonts w:cs="Times New Roman"/>
          <w:szCs w:val="24"/>
          <w:lang w:val="en-CA"/>
        </w:rPr>
        <w:fldChar w:fldCharType="end"/>
      </w:r>
      <w:r w:rsidRPr="00C94B99">
        <w:rPr>
          <w:rFonts w:cs="Times New Roman"/>
          <w:szCs w:val="24"/>
          <w:lang w:val="en-CA"/>
        </w:rPr>
        <w:t>. However, variation in performance is possible due to the variation in surface chemistry and chemical compositions. In this study, the chemical and thermodynamic properties of locally available aggregates were determined and their influence on the bonding strength of binder-aggregate system were investigated.</w:t>
      </w:r>
    </w:p>
    <w:p w14:paraId="317919E9" w14:textId="0CDB82F6" w:rsidR="00E579D8" w:rsidRPr="00C94B99" w:rsidRDefault="00E579D8" w:rsidP="00985A4A">
      <w:pPr>
        <w:pStyle w:val="Heading3"/>
        <w:rPr>
          <w:rStyle w:val="fontstyle01"/>
          <w:b w:val="0"/>
          <w:bCs w:val="0"/>
          <w:sz w:val="24"/>
          <w:szCs w:val="24"/>
        </w:rPr>
      </w:pPr>
      <w:bookmarkStart w:id="73" w:name="_Toc71728424"/>
      <w:r w:rsidRPr="00C94B99">
        <w:rPr>
          <w:lang w:val="en-CA"/>
        </w:rPr>
        <w:t>Effect of Aging</w:t>
      </w:r>
      <w:bookmarkEnd w:id="73"/>
    </w:p>
    <w:p w14:paraId="0DE3CA80" w14:textId="3C94BB57" w:rsidR="00E579D8" w:rsidRPr="00C94B99" w:rsidRDefault="00E579D8" w:rsidP="00C94B99">
      <w:pPr>
        <w:rPr>
          <w:rStyle w:val="fontstyle01"/>
          <w:sz w:val="24"/>
          <w:szCs w:val="24"/>
        </w:rPr>
      </w:pPr>
      <w:r w:rsidRPr="00C94B99">
        <w:rPr>
          <w:rStyle w:val="fontstyle01"/>
          <w:sz w:val="24"/>
          <w:szCs w:val="24"/>
        </w:rPr>
        <w:tab/>
        <w:t xml:space="preserve">Environmental factors such as aging can alter the chemical and physical properties of a binder leading to a modification of the rheological and chemical properties of the binder </w:t>
      </w:r>
      <w:r w:rsidRPr="00C94B99">
        <w:rPr>
          <w:rStyle w:val="fontstyle01"/>
          <w:sz w:val="24"/>
          <w:szCs w:val="24"/>
        </w:rPr>
        <w:fldChar w:fldCharType="begin">
          <w:fldData xml:space="preserve">PEVuZE5vdGU+PENpdGU+PEF1dGhvcj5NYXJ0aW48L0F1dGhvcj48WWVhcj4xOTkwPC9ZZWFyPjxS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</w:fldData>
        </w:fldChar>
      </w:r>
      <w:r w:rsidR="00282238">
        <w:rPr>
          <w:rStyle w:val="fontstyle01"/>
          <w:sz w:val="24"/>
          <w:szCs w:val="24"/>
        </w:rPr>
        <w:instrText xml:space="preserve"> ADDIN EN.CITE </w:instrText>
      </w:r>
      <w:r w:rsidR="00282238">
        <w:rPr>
          <w:rStyle w:val="fontstyle01"/>
          <w:sz w:val="24"/>
          <w:szCs w:val="24"/>
        </w:rPr>
        <w:fldChar w:fldCharType="begin">
          <w:fldData xml:space="preserve">PEVuZE5vdGU+PENpdGU+PEF1dGhvcj5NYXJ0aW48L0F1dGhvcj48WWVhcj4xOTkwPC9ZZWFyPjxS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</w:fldData>
        </w:fldChar>
      </w:r>
      <w:r w:rsidR="00282238">
        <w:rPr>
          <w:rStyle w:val="fontstyle01"/>
          <w:sz w:val="24"/>
          <w:szCs w:val="24"/>
        </w:rPr>
        <w:instrText xml:space="preserve"> ADDIN EN.CITE.DATA </w:instrText>
      </w:r>
      <w:r w:rsidR="00282238">
        <w:rPr>
          <w:rStyle w:val="fontstyle01"/>
          <w:sz w:val="24"/>
          <w:szCs w:val="24"/>
        </w:rPr>
      </w:r>
      <w:r w:rsidR="00282238">
        <w:rPr>
          <w:rStyle w:val="fontstyle01"/>
          <w:sz w:val="24"/>
          <w:szCs w:val="24"/>
        </w:rPr>
        <w:fldChar w:fldCharType="end"/>
      </w:r>
      <w:r w:rsidRPr="00C94B99">
        <w:rPr>
          <w:rStyle w:val="fontstyle01"/>
          <w:sz w:val="24"/>
          <w:szCs w:val="24"/>
        </w:rPr>
      </w:r>
      <w:r w:rsidRPr="00C94B99">
        <w:rPr>
          <w:rStyle w:val="fontstyle01"/>
          <w:sz w:val="24"/>
          <w:szCs w:val="24"/>
        </w:rPr>
        <w:fldChar w:fldCharType="separate"/>
      </w:r>
      <w:r w:rsidR="00282238">
        <w:rPr>
          <w:rStyle w:val="fontstyle01"/>
          <w:noProof/>
          <w:sz w:val="24"/>
          <w:szCs w:val="24"/>
        </w:rPr>
        <w:t>(Martin et al., 1990; Zhang et al., 2018; Liu et al., 2019)</w:t>
      </w:r>
      <w:r w:rsidRPr="00C94B99">
        <w:rPr>
          <w:rStyle w:val="fontstyle01"/>
          <w:sz w:val="24"/>
          <w:szCs w:val="24"/>
        </w:rPr>
        <w:fldChar w:fldCharType="end"/>
      </w:r>
      <w:r w:rsidRPr="00C94B99">
        <w:rPr>
          <w:rStyle w:val="fontstyle01"/>
          <w:sz w:val="24"/>
          <w:szCs w:val="24"/>
        </w:rPr>
        <w:t xml:space="preserve">. Binder reacts with atmospheric oxygen during the aging process, and leads to the creation of several oxidized chemical species, such as carbonyl (C=O) (e.g. </w:t>
      </w:r>
      <w:r w:rsidRPr="00C94B99">
        <w:rPr>
          <w:rFonts w:cs="Times New Roman"/>
          <w:szCs w:val="24"/>
          <w:lang w:val="en-CA"/>
        </w:rPr>
        <w:t>carboxylic acid (COOH)</w:t>
      </w:r>
      <w:r w:rsidR="00806EE9">
        <w:rPr>
          <w:rFonts w:cs="Times New Roman"/>
          <w:szCs w:val="24"/>
          <w:lang w:val="en-CA"/>
        </w:rPr>
        <w:t xml:space="preserve"> and ketone</w:t>
      </w:r>
      <w:r w:rsidRPr="00C94B99">
        <w:rPr>
          <w:rFonts w:cs="Times New Roman"/>
          <w:szCs w:val="24"/>
          <w:lang w:val="en-CA"/>
        </w:rPr>
        <w:t xml:space="preserve">) </w:t>
      </w:r>
      <w:r w:rsidRPr="00C94B99">
        <w:rPr>
          <w:rStyle w:val="fontstyle01"/>
          <w:sz w:val="24"/>
          <w:szCs w:val="24"/>
        </w:rPr>
        <w:t xml:space="preserve">and sulfoxide </w:t>
      </w:r>
      <w:r w:rsidRPr="00C94B99">
        <w:rPr>
          <w:rFonts w:cs="Times New Roman"/>
          <w:szCs w:val="24"/>
          <w:lang w:val="en-CA"/>
        </w:rPr>
        <w:t xml:space="preserve">(S=O) </w:t>
      </w:r>
      <w:r w:rsidRPr="00C94B99">
        <w:rPr>
          <w:rStyle w:val="fontstyle01"/>
          <w:sz w:val="24"/>
          <w:szCs w:val="24"/>
        </w:rPr>
        <w:t xml:space="preserve">functional groups </w:t>
      </w:r>
      <w:r w:rsidRPr="00C94B99">
        <w:rPr>
          <w:rStyle w:val="fontstyle01"/>
          <w:sz w:val="24"/>
          <w:szCs w:val="24"/>
        </w:rPr>
        <w:fldChar w:fldCharType="begin"/>
      </w:r>
      <w:r w:rsidR="00282238">
        <w:rPr>
          <w:rStyle w:val="fontstyle01"/>
          <w:sz w:val="24"/>
          <w:szCs w:val="24"/>
        </w:rPr>
        <w:instrText xml:space="preserve"> ADDIN EN.CITE &lt;EndNote&gt;&lt;Cite&gt;&lt;Author&gt;Curtis&lt;/Author&gt;&lt;Year&gt;1993&lt;/Year&gt;&lt;RecNum&gt;354&lt;/RecNum&gt;&lt;DisplayText&gt;(Curtis et al., 1993; Lu et al., 2008)&lt;/DisplayText&gt;&lt;record&gt;&lt;rec-number&gt;354&lt;/rec-number&gt;&lt;foreign-keys&gt;&lt;key app="EN" db-id="tfx2va9ropw5p7evdr2pf5rw2vszzx9t0xzs" timestamp="1617036956"&gt;354&lt;/key&gt;&lt;/foreign-keys&gt;&lt;ref-type name="Report"&gt;27&lt;/ref-type&gt;&lt;contributors&gt;&lt;authors&gt;&lt;author&gt;Curtis, Christine W&lt;/author&gt;&lt;author&gt;Ensley, Keith&lt;/author&gt;&lt;author&gt;Epps, Jon&lt;/author&gt;&lt;/authors&gt;&lt;tertiary-authors&gt;&lt;author&gt;Strategic Highway Research Program, National Research Council&lt;/author&gt;&lt;/tertiary-authors&gt;&lt;/contributors&gt;&lt;titles&gt;&lt;title&gt;Fundamental properties of asphalt-aggregate interactions including adhesion and absorption (SHRP-A-341)&lt;/title&gt;&lt;/titles&gt;&lt;dates&gt;&lt;year&gt;1993&lt;/year&gt;&lt;/dates&gt;&lt;pub-location&gt;Washington, DC.&lt;/pub-location&gt;&lt;urls&gt;&lt;/urls&gt;&lt;/record&gt;&lt;/Cite&gt;&lt;Cite&gt;&lt;Author&gt;Lu&lt;/Author&gt;&lt;Year&gt;2008&lt;/Year&gt;&lt;RecNum&gt;365&lt;/RecNum&gt;&lt;record&gt;&lt;rec-number&gt;365&lt;/rec-number&gt;&lt;foreign-keys&gt;&lt;key app="EN" db-id="tfx2va9ropw5p7evdr2pf5rw2vszzx9t0xzs" timestamp="1617041230"&gt;365&lt;/key&gt;&lt;/foreign-keys&gt;&lt;ref-type name="Conference Proceedings"&gt;10&lt;/ref-type&gt;&lt;contributors&gt;&lt;authors&gt;&lt;author&gt;Lu, Xiaohu&lt;/author&gt;&lt;author&gt;Talon, Yohann&lt;/author&gt;&lt;author&gt;Redelius, Per&lt;/author&gt;&lt;/authors&gt;&lt;/contributors&gt;&lt;titles&gt;&lt;title&gt;406-001 Aging of Bituminous Binders–Laboratory Tests and Field Data&lt;/title&gt;&lt;secondary-title&gt;4th Eurasphalt Eurobitume Congress&lt;/secondary-title&gt;&lt;/titles&gt;&lt;pages&gt;1-12&lt;/pages&gt;&lt;dates&gt;&lt;year&gt;2008&lt;/year&gt;&lt;/dates&gt;&lt;urls&gt;&lt;/urls&gt;&lt;/record&gt;&lt;/Cite&gt;&lt;/EndNote&gt;</w:instrText>
      </w:r>
      <w:r w:rsidRPr="00C94B99">
        <w:rPr>
          <w:rStyle w:val="fontstyle01"/>
          <w:sz w:val="24"/>
          <w:szCs w:val="24"/>
        </w:rPr>
        <w:fldChar w:fldCharType="separate"/>
      </w:r>
      <w:r w:rsidR="00282238">
        <w:rPr>
          <w:rStyle w:val="fontstyle01"/>
          <w:noProof/>
          <w:sz w:val="24"/>
          <w:szCs w:val="24"/>
        </w:rPr>
        <w:t>(Curtis et al., 1993; Lu et al., 2008)</w:t>
      </w:r>
      <w:r w:rsidRPr="00C94B99">
        <w:rPr>
          <w:rStyle w:val="fontstyle01"/>
          <w:sz w:val="24"/>
          <w:szCs w:val="24"/>
        </w:rPr>
        <w:fldChar w:fldCharType="end"/>
      </w:r>
      <w:r w:rsidRPr="00C94B99">
        <w:rPr>
          <w:rStyle w:val="fontstyle01"/>
          <w:sz w:val="24"/>
          <w:szCs w:val="24"/>
        </w:rPr>
        <w:t xml:space="preserve">. These modifications can lead to changes in the performance properties of the asphalt mix. </w:t>
      </w:r>
      <w:r w:rsidRPr="00E64D15">
        <w:rPr>
          <w:rStyle w:val="fontstyle01"/>
          <w:sz w:val="24"/>
          <w:szCs w:val="24"/>
        </w:rPr>
        <w:fldChar w:fldCharType="begin"/>
      </w:r>
      <w:r w:rsidRPr="00E64D15">
        <w:rPr>
          <w:rStyle w:val="fontstyle01"/>
          <w:sz w:val="24"/>
          <w:szCs w:val="24"/>
        </w:rPr>
        <w:instrText xml:space="preserve"> ADDIN EN.CITE &lt;EndNote&gt;&lt;Cite AuthorYear="1"&gt;&lt;Author&gt;Curtis&lt;/Author&gt;&lt;Year&gt;1993&lt;/Year&gt;&lt;RecNum&gt;354&lt;/RecNum&gt;&lt;DisplayText&gt;Curtis et al. (1993)&lt;/DisplayText&gt;&lt;record&gt;&lt;rec-number&gt;354&lt;/rec-number&gt;&lt;foreign-keys&gt;&lt;key app="EN" db-id="tfx2va9ropw5p7evdr2pf5rw2vszzx9t0xzs" timestamp="1617036956"&gt;354&lt;/key&gt;&lt;/foreign-keys&gt;&lt;ref-type name="Report"&gt;27&lt;/ref-type&gt;&lt;contributors&gt;&lt;authors&gt;&lt;author&gt;Curtis, Christine W&lt;/author&gt;&lt;author&gt;Ensley, Keith&lt;/author&gt;&lt;author&gt;Epps, Jon&lt;/author&gt;&lt;/authors&gt;&lt;tertiary-authors&gt;&lt;author&gt;Strategic Highway Research Program, National Research Council&lt;/author&gt;&lt;/tertiary-authors&gt;&lt;/contributors&gt;&lt;titles&gt;&lt;title&gt;Fundamental properties of asphalt-aggregate interactions including adhesion and absorption (SHRP-A-341)&lt;/title&gt;&lt;/titles&gt;&lt;dates&gt;&lt;year&gt;1993&lt;/year&gt;&lt;/dates&gt;&lt;pub-location&gt;Washington, DC.&lt;/pub-location&gt;&lt;urls&gt;&lt;/urls&gt;&lt;/record&gt;&lt;/Cite&gt;&lt;/EndNote&gt;</w:instrText>
      </w:r>
      <w:r w:rsidRPr="00E64D15">
        <w:rPr>
          <w:rStyle w:val="fontstyle01"/>
          <w:sz w:val="24"/>
          <w:szCs w:val="24"/>
        </w:rPr>
        <w:fldChar w:fldCharType="separate"/>
      </w:r>
      <w:r w:rsidRPr="00E64D15">
        <w:rPr>
          <w:rStyle w:val="fontstyle01"/>
          <w:noProof/>
          <w:sz w:val="24"/>
          <w:szCs w:val="24"/>
        </w:rPr>
        <w:t>Curtis et al. (1993)</w:t>
      </w:r>
      <w:r w:rsidRPr="00E64D15">
        <w:rPr>
          <w:rStyle w:val="fontstyle01"/>
          <w:sz w:val="24"/>
          <w:szCs w:val="24"/>
        </w:rPr>
        <w:fldChar w:fldCharType="end"/>
      </w:r>
      <w:r w:rsidRPr="00E64D15">
        <w:rPr>
          <w:rStyle w:val="fontstyle01"/>
          <w:sz w:val="24"/>
          <w:szCs w:val="24"/>
        </w:rPr>
        <w:t xml:space="preserve"> </w:t>
      </w:r>
      <w:r w:rsidRPr="00E64D15">
        <w:rPr>
          <w:rFonts w:cs="Times New Roman"/>
          <w:szCs w:val="24"/>
          <w:lang w:val="en-CA"/>
        </w:rPr>
        <w:t xml:space="preserve">reported that the sulfoxides and carboxylic acids functional group exhibited high affinity for the aggregate surface. However, as both sulfoxides and carboxylic acids form </w:t>
      </w:r>
      <w:r w:rsidR="00127CF3" w:rsidRPr="00E64D15">
        <w:rPr>
          <w:rFonts w:cs="Times New Roman"/>
          <w:szCs w:val="24"/>
          <w:lang w:val="en-CA"/>
        </w:rPr>
        <w:t>moieties</w:t>
      </w:r>
      <w:r w:rsidRPr="00E64D15">
        <w:rPr>
          <w:rFonts w:cs="Times New Roman"/>
          <w:szCs w:val="24"/>
          <w:lang w:val="en-CA"/>
        </w:rPr>
        <w:t xml:space="preserve"> on the aggregate surface which are highly soluble in water, the presence of these functional groups may increase moisture susceptibility as well. </w:t>
      </w:r>
      <w:r w:rsidRPr="00E64D15">
        <w:rPr>
          <w:rStyle w:val="fontstyle01"/>
          <w:sz w:val="24"/>
          <w:szCs w:val="24"/>
        </w:rPr>
        <w:t>Therefore, characterization of the effects of aging on the binder composition is important to predict pavement performance</w:t>
      </w:r>
      <w:r w:rsidRPr="00C94B99">
        <w:rPr>
          <w:rStyle w:val="fontstyle01"/>
          <w:sz w:val="24"/>
          <w:szCs w:val="24"/>
        </w:rPr>
        <w:t xml:space="preserve">, </w:t>
      </w:r>
      <w:r w:rsidR="00A925A1">
        <w:rPr>
          <w:rStyle w:val="fontstyle01"/>
          <w:sz w:val="24"/>
          <w:szCs w:val="24"/>
        </w:rPr>
        <w:t>e</w:t>
      </w:r>
      <w:r w:rsidRPr="00C94B99">
        <w:rPr>
          <w:rStyle w:val="fontstyle01"/>
          <w:sz w:val="24"/>
          <w:szCs w:val="24"/>
        </w:rPr>
        <w:t xml:space="preserve">specially resistance to moisture-induced damage. Several methods are available to determine the chemical compositions of binders. However, the use of Fourier transform infrared (FTIR) spectroscopy is gaining attention for chemical analysis of asphalt binders due to its simplicity in sample preparation and testing </w:t>
      </w:r>
      <w:r w:rsidRPr="00C94B99">
        <w:rPr>
          <w:rStyle w:val="fontstyle01"/>
          <w:sz w:val="24"/>
          <w:szCs w:val="24"/>
        </w:rPr>
        <w:fldChar w:fldCharType="begin">
          <w:fldData xml:space="preserve">PEVuZE5vdGU+PENpdGU+PEF1dGhvcj5Ib2ZrbzwvQXV0aG9yPjxZZWFyPjIwMTg8L1llYXI+PFJl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</w:fldData>
        </w:fldChar>
      </w:r>
      <w:r w:rsidR="00282238">
        <w:rPr>
          <w:rStyle w:val="fontstyle01"/>
          <w:sz w:val="24"/>
          <w:szCs w:val="24"/>
        </w:rPr>
        <w:instrText xml:space="preserve"> ADDIN EN.CITE </w:instrText>
      </w:r>
      <w:r w:rsidR="00282238">
        <w:rPr>
          <w:rStyle w:val="fontstyle01"/>
          <w:sz w:val="24"/>
          <w:szCs w:val="24"/>
        </w:rPr>
        <w:fldChar w:fldCharType="begin">
          <w:fldData xml:space="preserve">PEVuZE5vdGU+PENpdGU+PEF1dGhvcj5Ib2ZrbzwvQXV0aG9yPjxZZWFyPjIwMTg8L1llYXI+PFJl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</w:fldData>
        </w:fldChar>
      </w:r>
      <w:r w:rsidR="00282238">
        <w:rPr>
          <w:rStyle w:val="fontstyle01"/>
          <w:sz w:val="24"/>
          <w:szCs w:val="24"/>
        </w:rPr>
        <w:instrText xml:space="preserve"> ADDIN EN.CITE.DATA </w:instrText>
      </w:r>
      <w:r w:rsidR="00282238">
        <w:rPr>
          <w:rStyle w:val="fontstyle01"/>
          <w:sz w:val="24"/>
          <w:szCs w:val="24"/>
        </w:rPr>
      </w:r>
      <w:r w:rsidR="00282238">
        <w:rPr>
          <w:rStyle w:val="fontstyle01"/>
          <w:sz w:val="24"/>
          <w:szCs w:val="24"/>
        </w:rPr>
        <w:fldChar w:fldCharType="end"/>
      </w:r>
      <w:r w:rsidRPr="00C94B99">
        <w:rPr>
          <w:rStyle w:val="fontstyle01"/>
          <w:sz w:val="24"/>
          <w:szCs w:val="24"/>
        </w:rPr>
      </w:r>
      <w:r w:rsidRPr="00C94B99">
        <w:rPr>
          <w:rStyle w:val="fontstyle01"/>
          <w:sz w:val="24"/>
          <w:szCs w:val="24"/>
        </w:rPr>
        <w:fldChar w:fldCharType="separate"/>
      </w:r>
      <w:r w:rsidR="00282238">
        <w:rPr>
          <w:rStyle w:val="fontstyle01"/>
          <w:noProof/>
          <w:sz w:val="24"/>
          <w:szCs w:val="24"/>
        </w:rPr>
        <w:t>(Mothé et al., 2008; Hofko et al., 2018; Arafat et al., 2020)</w:t>
      </w:r>
      <w:r w:rsidRPr="00C94B99">
        <w:rPr>
          <w:rStyle w:val="fontstyle01"/>
          <w:sz w:val="24"/>
          <w:szCs w:val="24"/>
        </w:rPr>
        <w:fldChar w:fldCharType="end"/>
      </w:r>
      <w:r w:rsidRPr="00C94B99">
        <w:rPr>
          <w:rStyle w:val="fontstyle01"/>
          <w:sz w:val="24"/>
          <w:szCs w:val="24"/>
        </w:rPr>
        <w:t xml:space="preserve">. A number of studies have shown that the absorbance values from FTIR can be used to indicate the aging extent of different functional groups, such as </w:t>
      </w:r>
      <w:r w:rsidRPr="00C94B99">
        <w:rPr>
          <w:rFonts w:cs="Times New Roman"/>
          <w:szCs w:val="24"/>
          <w:lang w:val="en-CA"/>
        </w:rPr>
        <w:t xml:space="preserve">sulfoxides and carbonyl </w:t>
      </w:r>
      <w:r w:rsidRPr="00C94B99">
        <w:rPr>
          <w:rStyle w:val="fontstyle01"/>
          <w:sz w:val="24"/>
          <w:szCs w:val="24"/>
        </w:rPr>
        <w:t xml:space="preserve">groups </w:t>
      </w:r>
      <w:r w:rsidRPr="00C94B99">
        <w:rPr>
          <w:rStyle w:val="fontstyle01"/>
          <w:sz w:val="24"/>
          <w:szCs w:val="24"/>
        </w:rPr>
        <w:fldChar w:fldCharType="begin">
          <w:fldData xml:space="preserve">PEVuZE5vdGU+PENpdGU+PEF1dGhvcj5IdWFuZzwvQXV0aG9yPjxZZWFyPjIwMTA8L1llYXI+PFJl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</w:fldData>
        </w:fldChar>
      </w:r>
      <w:r w:rsidR="00282238">
        <w:rPr>
          <w:rStyle w:val="fontstyle01"/>
          <w:sz w:val="24"/>
          <w:szCs w:val="24"/>
        </w:rPr>
        <w:instrText xml:space="preserve"> ADDIN EN.CITE </w:instrText>
      </w:r>
      <w:r w:rsidR="00282238">
        <w:rPr>
          <w:rStyle w:val="fontstyle01"/>
          <w:sz w:val="24"/>
          <w:szCs w:val="24"/>
        </w:rPr>
        <w:fldChar w:fldCharType="begin">
          <w:fldData xml:space="preserve">PEVuZE5vdGU+PENpdGU+PEF1dGhvcj5IdWFuZzwvQXV0aG9yPjxZZWFyPjIwMTA8L1llYXI+PFJl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</w:fldData>
        </w:fldChar>
      </w:r>
      <w:r w:rsidR="00282238">
        <w:rPr>
          <w:rStyle w:val="fontstyle01"/>
          <w:sz w:val="24"/>
          <w:szCs w:val="24"/>
        </w:rPr>
        <w:instrText xml:space="preserve"> ADDIN EN.CITE.DATA </w:instrText>
      </w:r>
      <w:r w:rsidR="00282238">
        <w:rPr>
          <w:rStyle w:val="fontstyle01"/>
          <w:sz w:val="24"/>
          <w:szCs w:val="24"/>
        </w:rPr>
      </w:r>
      <w:r w:rsidR="00282238">
        <w:rPr>
          <w:rStyle w:val="fontstyle01"/>
          <w:sz w:val="24"/>
          <w:szCs w:val="24"/>
        </w:rPr>
        <w:fldChar w:fldCharType="end"/>
      </w:r>
      <w:r w:rsidRPr="00C94B99">
        <w:rPr>
          <w:rStyle w:val="fontstyle01"/>
          <w:sz w:val="24"/>
          <w:szCs w:val="24"/>
        </w:rPr>
      </w:r>
      <w:r w:rsidRPr="00C94B99">
        <w:rPr>
          <w:rStyle w:val="fontstyle01"/>
          <w:sz w:val="24"/>
          <w:szCs w:val="24"/>
        </w:rPr>
        <w:fldChar w:fldCharType="separate"/>
      </w:r>
      <w:r w:rsidR="00282238">
        <w:rPr>
          <w:rStyle w:val="fontstyle01"/>
          <w:noProof/>
          <w:sz w:val="24"/>
          <w:szCs w:val="24"/>
        </w:rPr>
        <w:t>(Huang and Grimes, 2010; Qin et al., 2014; Hofko et al., 2018; Ge et al., 2019; Arafat et al., 2020)</w:t>
      </w:r>
      <w:r w:rsidRPr="00C94B99">
        <w:rPr>
          <w:rStyle w:val="fontstyle01"/>
          <w:sz w:val="24"/>
          <w:szCs w:val="24"/>
        </w:rPr>
        <w:fldChar w:fldCharType="end"/>
      </w:r>
      <w:r w:rsidRPr="00C94B99">
        <w:rPr>
          <w:rStyle w:val="fontstyle01"/>
          <w:sz w:val="24"/>
          <w:szCs w:val="24"/>
        </w:rPr>
        <w:t>. In this study, FTIR spectroscopic analyses were performed to evaluate the effect of aging on chemical composition of binder. The results were used to understand the effect of these changes on the moisture susceptibility of asphalt mixes.</w:t>
      </w:r>
    </w:p>
    <w:p w14:paraId="76DC5595" w14:textId="081C7A8F" w:rsidR="00E579D8" w:rsidRPr="00C94B99" w:rsidRDefault="00E579D8" w:rsidP="00985A4A">
      <w:pPr>
        <w:pStyle w:val="Heading3"/>
        <w:rPr>
          <w:rStyle w:val="fontstyle01"/>
          <w:b w:val="0"/>
          <w:bCs w:val="0"/>
          <w:sz w:val="24"/>
          <w:szCs w:val="24"/>
        </w:rPr>
      </w:pPr>
      <w:bookmarkStart w:id="74" w:name="_Toc71728425"/>
      <w:r w:rsidRPr="00C94B99">
        <w:rPr>
          <w:rStyle w:val="fontstyle01"/>
          <w:sz w:val="24"/>
          <w:szCs w:val="24"/>
        </w:rPr>
        <w:t>Effect of Additives and Modifiers</w:t>
      </w:r>
      <w:bookmarkEnd w:id="74"/>
    </w:p>
    <w:p w14:paraId="7DCC2119" w14:textId="711C12CB" w:rsidR="00E579D8" w:rsidRPr="00E64D15" w:rsidRDefault="00E579D8" w:rsidP="00C94B99">
      <w:pPr>
        <w:tabs>
          <w:tab w:val="left" w:pos="720"/>
        </w:tabs>
        <w:rPr>
          <w:rFonts w:cs="Times New Roman"/>
          <w:szCs w:val="24"/>
        </w:rPr>
      </w:pPr>
      <w:r w:rsidRPr="00C94B99">
        <w:rPr>
          <w:rFonts w:cs="Times New Roman"/>
          <w:szCs w:val="24"/>
        </w:rPr>
        <w:tab/>
        <w:t xml:space="preserve">In recent years, increased traffic volume, heavier truck traffic, new axle designs and higher tire pressures have accelerated the need for enhanced performance of asphalt pavements </w:t>
      </w:r>
      <w:r w:rsidRPr="00C94B99">
        <w:rPr>
          <w:rFonts w:cs="Times New Roman"/>
          <w:szCs w:val="24"/>
        </w:rPr>
        <w:fldChar w:fldCharType="begin"/>
      </w:r>
      <w:r w:rsidR="00282238">
        <w:rPr>
          <w:rFonts w:cs="Times New Roman"/>
          <w:szCs w:val="24"/>
        </w:rPr>
        <w:instrText xml:space="preserve"> ADDIN EN.CITE &lt;EndNote&gt;&lt;Cite&gt;&lt;Author&gt;Isacsson&lt;/Author&gt;&lt;Year&gt;1995&lt;/Year&gt;&lt;RecNum&gt;372&lt;/RecNum&gt;&lt;DisplayText&gt;(Isacsson and Lu, 1995; Airey, 2003)&lt;/DisplayText&gt;&lt;record&gt;&lt;rec-number&gt;372&lt;/rec-number&gt;&lt;foreign-keys&gt;&lt;key app="EN" db-id="tfx2va9ropw5p7evdr2pf5rw2vszzx9t0xzs" timestamp="1617043289"&gt;372&lt;/key&gt;&lt;/foreign-keys&gt;&lt;ref-type name="Journal Article"&gt;17&lt;/ref-type&gt;&lt;contributors&gt;&lt;authors&gt;&lt;author&gt;Isacsson, U&lt;/author&gt;&lt;author&gt;Lu, X&lt;/author&gt;&lt;/authors&gt;&lt;/contributors&gt;&lt;titles&gt;&lt;title&gt;Testing and appraisal of polymer modified road bitumens—state of the art&lt;/title&gt;&lt;secondary-title&gt;Materials and Structures&lt;/secondary-title&gt;&lt;/titles&gt;&lt;periodical&gt;&lt;full-title&gt;Materials and Structures&lt;/full-title&gt;&lt;/periodical&gt;&lt;pages&gt;139-159&lt;/pages&gt;&lt;volume&gt;28&lt;/volume&gt;&lt;number&gt;3&lt;/number&gt;&lt;dates&gt;&lt;year&gt;1995&lt;/year&gt;&lt;/dates&gt;&lt;isbn&gt;1871-6873&lt;/isbn&gt;&lt;urls&gt;&lt;/urls&gt;&lt;/record&gt;&lt;/Cite&gt;&lt;Cite&gt;&lt;Author&gt;Airey&lt;/Author&gt;&lt;Year&gt;2003&lt;/Year&gt;&lt;RecNum&gt;373&lt;/RecNum&gt;&lt;record&gt;&lt;rec-number&gt;373&lt;/rec-number&gt;&lt;foreign-keys&gt;&lt;key app="EN" db-id="tfx2va9ropw5p7evdr2pf5rw2vszzx9t0xzs" timestamp="1617043321"&gt;373&lt;/key&gt;&lt;/foreign-keys&gt;&lt;ref-type name="Journal Article"&gt;17&lt;/ref-type&gt;&lt;contributors&gt;&lt;authors&gt;&lt;author&gt;Airey, Gordon D&lt;/author&gt;&lt;/authors&gt;&lt;/contributors&gt;&lt;titles&gt;&lt;title&gt;Rheological properties of styrene butadiene styrene polymer modified road bitumens</w:instrText>
      </w:r>
      <w:r w:rsidR="00282238">
        <w:rPr>
          <w:rFonts w:ascii="Segoe UI Symbol" w:hAnsi="Segoe UI Symbol" w:cs="Segoe UI Symbol"/>
          <w:szCs w:val="24"/>
        </w:rPr>
        <w:instrText>☆</w:instrText>
      </w:r>
      <w:r w:rsidR="00282238">
        <w:rPr>
          <w:rFonts w:cs="Times New Roman"/>
          <w:szCs w:val="24"/>
        </w:rPr>
        <w:instrText>&lt;/title&gt;&lt;secondary-title&gt;Fuel&lt;/secondary-title&gt;&lt;/titles&gt;&lt;periodical&gt;&lt;full-title&gt;Fuel&lt;/full-title&gt;&lt;/periodical&gt;&lt;pages&gt;1709-1719&lt;/pages&gt;&lt;volume&gt;82&lt;/volume&gt;&lt;number&gt;14&lt;/number&gt;&lt;dates&gt;&lt;year&gt;2003&lt;/year&gt;&lt;/dates&gt;&lt;isbn&gt;0016-2361&lt;/isbn&gt;&lt;urls&gt;&lt;/urls&gt;&lt;/record&gt;&lt;/Cite&gt;&lt;/EndNote&gt;</w:instrText>
      </w:r>
      <w:r w:rsidRPr="00C94B99">
        <w:rPr>
          <w:rFonts w:cs="Times New Roman"/>
          <w:szCs w:val="24"/>
        </w:rPr>
        <w:fldChar w:fldCharType="separate"/>
      </w:r>
      <w:r w:rsidR="00282238">
        <w:rPr>
          <w:rFonts w:cs="Times New Roman"/>
          <w:noProof/>
          <w:szCs w:val="24"/>
        </w:rPr>
        <w:t>(Isacsson and Lu, 1995; Airey, 2003)</w:t>
      </w:r>
      <w:r w:rsidRPr="00C94B99">
        <w:rPr>
          <w:rFonts w:cs="Times New Roman"/>
          <w:szCs w:val="24"/>
        </w:rPr>
        <w:fldChar w:fldCharType="end"/>
      </w:r>
      <w:r w:rsidRPr="00C94B99">
        <w:rPr>
          <w:rFonts w:cs="Times New Roman"/>
          <w:szCs w:val="24"/>
        </w:rPr>
        <w:t xml:space="preserve">. Also, the demand for sustainable and durable pavement have encouraged researchers to explore new additives and modifiers for asphalt mixes. One of the popular methods of improving mechanical and performance properties of </w:t>
      </w:r>
      <w:r w:rsidRPr="00E64D15">
        <w:rPr>
          <w:rFonts w:cs="Times New Roman"/>
          <w:szCs w:val="24"/>
        </w:rPr>
        <w:t xml:space="preserve">asphalt mixes is the polymer modification of asphalt binder. Benefits associated with polymer modification include improved resistance to rutting, fatigue cracking, aging and better flexibility at low temperature </w:t>
      </w:r>
      <w:r w:rsidRPr="00E64D15">
        <w:rPr>
          <w:rFonts w:cs="Times New Roman"/>
          <w:szCs w:val="24"/>
        </w:rPr>
        <w:fldChar w:fldCharType="begin">
          <w:fldData xml:space="preserve">PEVuZE5vdGU+PENpdGU+PEF1dGhvcj5Cb25lbWF6emk8L0F1dGhvcj48WWVhcj4xOTk2PC9ZZWFy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</w:fldData>
        </w:fldChar>
      </w:r>
      <w:r w:rsidR="00282238" w:rsidRPr="00E64D15">
        <w:rPr>
          <w:rFonts w:cs="Times New Roman"/>
          <w:szCs w:val="24"/>
        </w:rPr>
        <w:instrText xml:space="preserve"> ADDIN EN.CITE </w:instrText>
      </w:r>
      <w:r w:rsidR="00282238" w:rsidRPr="00E64D15">
        <w:rPr>
          <w:rFonts w:cs="Times New Roman"/>
          <w:szCs w:val="24"/>
        </w:rPr>
        <w:fldChar w:fldCharType="begin">
          <w:fldData xml:space="preserve">PEVuZE5vdGU+PENpdGU+PEF1dGhvcj5Cb25lbWF6emk8L0F1dGhvcj48WWVhcj4xOTk2PC9ZZWFy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</w:fldData>
        </w:fldChar>
      </w:r>
      <w:r w:rsidR="00282238" w:rsidRPr="00E64D15">
        <w:rPr>
          <w:rFonts w:cs="Times New Roman"/>
          <w:szCs w:val="24"/>
        </w:rPr>
        <w:instrText xml:space="preserve"> ADDIN EN.CITE.DATA </w:instrText>
      </w:r>
      <w:r w:rsidR="00282238" w:rsidRPr="00E64D15">
        <w:rPr>
          <w:rFonts w:cs="Times New Roman"/>
          <w:szCs w:val="24"/>
        </w:rPr>
      </w:r>
      <w:r w:rsidR="00282238" w:rsidRPr="00E64D15">
        <w:rPr>
          <w:rFonts w:cs="Times New Roman"/>
          <w:szCs w:val="24"/>
        </w:rPr>
        <w:fldChar w:fldCharType="end"/>
      </w:r>
      <w:r w:rsidRPr="00E64D15">
        <w:rPr>
          <w:rFonts w:cs="Times New Roman"/>
          <w:szCs w:val="24"/>
        </w:rPr>
      </w:r>
      <w:r w:rsidRPr="00E64D15">
        <w:rPr>
          <w:rFonts w:cs="Times New Roman"/>
          <w:szCs w:val="24"/>
        </w:rPr>
        <w:fldChar w:fldCharType="separate"/>
      </w:r>
      <w:r w:rsidR="00282238" w:rsidRPr="00E64D15">
        <w:rPr>
          <w:rFonts w:cs="Times New Roman"/>
          <w:noProof/>
          <w:szCs w:val="24"/>
        </w:rPr>
        <w:t>(Bonemazzi et al., 1996; Airey, 2003; Kim et al., 2009)</w:t>
      </w:r>
      <w:r w:rsidRPr="00E64D15">
        <w:rPr>
          <w:rFonts w:cs="Times New Roman"/>
          <w:szCs w:val="24"/>
        </w:rPr>
        <w:fldChar w:fldCharType="end"/>
      </w:r>
      <w:r w:rsidRPr="00E64D15">
        <w:rPr>
          <w:rFonts w:cs="Times New Roman"/>
          <w:szCs w:val="24"/>
        </w:rPr>
        <w:t xml:space="preserve">. A number of commercially available elastomeric and plastomeric polymers are now being successfully used for modifying binders </w:t>
      </w:r>
      <w:r w:rsidRPr="00E64D15">
        <w:rPr>
          <w:rFonts w:cs="Times New Roman"/>
          <w:szCs w:val="24"/>
        </w:rPr>
        <w:fldChar w:fldCharType="begin"/>
      </w:r>
      <w:r w:rsidR="00282238" w:rsidRPr="00E64D15">
        <w:rPr>
          <w:rFonts w:cs="Times New Roman"/>
          <w:szCs w:val="24"/>
        </w:rPr>
        <w:instrText xml:space="preserve"> ADDIN EN.CITE &lt;EndNote&gt;&lt;Cite&gt;&lt;Author&gt;Airey&lt;/Author&gt;&lt;Year&gt;2003&lt;/Year&gt;&lt;RecNum&gt;373&lt;/RecNum&gt;&lt;DisplayText&gt;(Airey, 2003)&lt;/DisplayText&gt;&lt;record&gt;&lt;rec-number&gt;373&lt;/rec-number&gt;&lt;foreign-keys&gt;&lt;key app="EN" db-id="tfx2va9ropw5p7evdr2pf5rw2vszzx9t0xzs" timestamp="1617043321"&gt;373&lt;/key&gt;&lt;/foreign-keys&gt;&lt;ref-type name="Journal Article"&gt;17&lt;/ref-type&gt;&lt;contributors&gt;&lt;authors&gt;&lt;author&gt;Airey, Gordon D&lt;/author&gt;&lt;/authors&gt;&lt;/contributors&gt;&lt;titles&gt;&lt;title&gt;Rheological properties of styrene butadiene styrene polymer modified road bitumens</w:instrText>
      </w:r>
      <w:r w:rsidR="00282238" w:rsidRPr="00E64D15">
        <w:rPr>
          <w:rFonts w:ascii="Segoe UI Symbol" w:hAnsi="Segoe UI Symbol" w:cs="Segoe UI Symbol"/>
          <w:szCs w:val="24"/>
        </w:rPr>
        <w:instrText>☆</w:instrText>
      </w:r>
      <w:r w:rsidR="00282238" w:rsidRPr="00E64D15">
        <w:rPr>
          <w:rFonts w:cs="Times New Roman"/>
          <w:szCs w:val="24"/>
        </w:rPr>
        <w:instrText>&lt;/title&gt;&lt;secondary-title&gt;Fuel&lt;/secondary-title&gt;&lt;/titles&gt;&lt;periodical&gt;&lt;full-title&gt;Fuel&lt;/full-title&gt;&lt;/periodical&gt;&lt;pages&gt;1709-1719&lt;/pages&gt;&lt;volume&gt;82&lt;/volume&gt;&lt;number&gt;14&lt;/number&gt;&lt;dates&gt;&lt;year&gt;2003&lt;/year&gt;&lt;/dates&gt;&lt;isbn&gt;0016-2361&lt;/isbn&gt;&lt;urls&gt;&lt;/urls&gt;&lt;/record&gt;&lt;/Cite&gt;&lt;/EndNote&gt;</w:instrText>
      </w:r>
      <w:r w:rsidRPr="00E64D15">
        <w:rPr>
          <w:rFonts w:cs="Times New Roman"/>
          <w:szCs w:val="24"/>
        </w:rPr>
        <w:fldChar w:fldCharType="separate"/>
      </w:r>
      <w:r w:rsidR="00282238" w:rsidRPr="00E64D15">
        <w:rPr>
          <w:rFonts w:cs="Times New Roman"/>
          <w:noProof/>
          <w:szCs w:val="24"/>
        </w:rPr>
        <w:t>(Airey, 2003)</w:t>
      </w:r>
      <w:r w:rsidRPr="00E64D15">
        <w:rPr>
          <w:rFonts w:cs="Times New Roman"/>
          <w:szCs w:val="24"/>
        </w:rPr>
        <w:fldChar w:fldCharType="end"/>
      </w:r>
      <w:r w:rsidRPr="00E64D15">
        <w:rPr>
          <w:rFonts w:cs="Times New Roman"/>
          <w:szCs w:val="24"/>
        </w:rPr>
        <w:t xml:space="preserve">. However, the moisture-induced damage performance of these polymer-modified binders with different types of aggregate and aging conditions needs further evaluation. Recently, an increase in the use of polyphosphoric acid (PPA) for binder modification has been observed due to the associated reduction in manufacturing cost than polymer modification </w:t>
      </w:r>
      <w:r w:rsidRPr="00E64D15">
        <w:rPr>
          <w:rFonts w:cs="Times New Roman"/>
          <w:szCs w:val="24"/>
        </w:rPr>
        <w:fldChar w:fldCharType="begin"/>
      </w:r>
      <w:r w:rsidR="00282238" w:rsidRPr="00E64D15">
        <w:rPr>
          <w:rFonts w:cs="Times New Roman"/>
          <w:szCs w:val="24"/>
        </w:rPr>
        <w:instrText xml:space="preserve"> ADDIN EN.CITE &lt;EndNote&gt;&lt;Cite&gt;&lt;Author&gt;Ge&lt;/Author&gt;&lt;Year&gt;2017&lt;/Year&gt;&lt;RecNum&gt;376&lt;/RecNum&gt;&lt;DisplayText&gt;(Ge et al., 2017)&lt;/DisplayText&gt;&lt;record&gt;&lt;rec-number&gt;376&lt;/rec-number&gt;&lt;foreign-keys&gt;&lt;key app="EN" db-id="tfx2va9ropw5p7evdr2pf5rw2vszzx9t0xzs" timestamp="1617043904"&gt;376&lt;/key&gt;&lt;/foreign-keys&gt;&lt;ref-type name="Journal Article"&gt;17&lt;/ref-type&gt;&lt;contributors&gt;&lt;authors&gt;&lt;author&gt;Ge, Dongdong&lt;/author&gt;&lt;author&gt;Yan, Kezhen&lt;/author&gt;&lt;author&gt;You, Lingyun&lt;/author&gt;&lt;author&gt;Wang, Zexing&lt;/author&gt;&lt;/authors&gt;&lt;/contributors&gt;&lt;titles&gt;&lt;title&gt;Modification mechanism of asphalt modified with Sasobit and Polyphosphoric acid (PPA)&lt;/title&gt;&lt;secondary-title&gt;Construction and Building Materials&lt;/secondary-title&gt;&lt;/titles&gt;&lt;periodical&gt;&lt;full-title&gt;Construction and Building Materials&lt;/full-title&gt;&lt;/periodical&gt;&lt;pages&gt;419-428&lt;/pages&gt;&lt;volume&gt;143&lt;/volume&gt;&lt;dates&gt;&lt;year&gt;2017&lt;/year&gt;&lt;/dates&gt;&lt;isbn&gt;0950-0618&lt;/isbn&gt;&lt;urls&gt;&lt;/urls&gt;&lt;/record&gt;&lt;/Cite&gt;&lt;/EndNote&gt;</w:instrText>
      </w:r>
      <w:r w:rsidRPr="00E64D15">
        <w:rPr>
          <w:rFonts w:cs="Times New Roman"/>
          <w:szCs w:val="24"/>
        </w:rPr>
        <w:fldChar w:fldCharType="separate"/>
      </w:r>
      <w:r w:rsidR="00282238" w:rsidRPr="00E64D15">
        <w:rPr>
          <w:rFonts w:cs="Times New Roman"/>
          <w:noProof/>
          <w:szCs w:val="24"/>
        </w:rPr>
        <w:t>(Ge et al., 2017)</w:t>
      </w:r>
      <w:r w:rsidRPr="00E64D15">
        <w:rPr>
          <w:rFonts w:cs="Times New Roman"/>
          <w:szCs w:val="24"/>
        </w:rPr>
        <w:fldChar w:fldCharType="end"/>
      </w:r>
      <w:r w:rsidRPr="00E64D15">
        <w:rPr>
          <w:rFonts w:cs="Times New Roman"/>
          <w:szCs w:val="24"/>
        </w:rPr>
        <w:t xml:space="preserve">. The addition of PPA has been found to increase the high-temperature performance grade (PG) of the binder, improve stiffness of the mix and reduce early rutting potential of the pavement </w:t>
      </w:r>
      <w:r w:rsidRPr="00E64D15">
        <w:rPr>
          <w:rFonts w:cs="Times New Roman"/>
          <w:szCs w:val="24"/>
        </w:rPr>
        <w:fldChar w:fldCharType="begin"/>
      </w:r>
      <w:r w:rsidR="00282238" w:rsidRPr="00E64D15">
        <w:rPr>
          <w:rFonts w:cs="Times New Roman"/>
          <w:szCs w:val="24"/>
        </w:rPr>
        <w:instrText xml:space="preserve"> ADDIN EN.CITE &lt;EndNote&gt;&lt;Cite&gt;&lt;Author&gt;Huang&lt;/Author&gt;&lt;Year&gt;2008&lt;/Year&gt;&lt;RecNum&gt;377&lt;/RecNum&gt;&lt;DisplayText&gt;(Huang et al., 2008; Liu et al., 2016)&lt;/DisplayText&gt;&lt;record&gt;&lt;rec-number&gt;377&lt;/rec-number&gt;&lt;foreign-keys&gt;&lt;key app="EN" db-id="tfx2va9ropw5p7evdr2pf5rw2vszzx9t0xzs" timestamp="1617043978"&gt;377&lt;/key&gt;&lt;/foreign-keys&gt;&lt;ref-type name="Journal Article"&gt;17&lt;/ref-type&gt;&lt;contributors&gt;&lt;authors&gt;&lt;author&gt;Huang, Shin-Che&lt;/author&gt;&lt;author&gt;Turner, Thomas F&lt;/author&gt;&lt;author&gt;Miknis, Francis P&lt;/author&gt;&lt;author&gt;Thomas, Kenneth P&lt;/author&gt;&lt;/authors&gt;&lt;/contributors&gt;&lt;titles&gt;&lt;title&gt;Long-term aging characteristics of polyphosphoric acid-modified asphalts&lt;/title&gt;&lt;secondary-title&gt;Transportation Research Record&lt;/secondary-title&gt;&lt;/titles&gt;&lt;periodical&gt;&lt;full-title&gt;Transportation Research Record&lt;/full-title&gt;&lt;/periodical&gt;&lt;pages&gt;1-7&lt;/pages&gt;&lt;volume&gt;2051&lt;/volume&gt;&lt;number&gt;1&lt;/number&gt;&lt;dates&gt;&lt;year&gt;2008&lt;/year&gt;&lt;/dates&gt;&lt;isbn&gt;0361-1981&lt;/isbn&gt;&lt;urls&gt;&lt;/urls&gt;&lt;/record&gt;&lt;/Cite&gt;&lt;Cite&gt;&lt;Author&gt;Liu&lt;/Author&gt;&lt;Year&gt;2016&lt;/Year&gt;&lt;RecNum&gt;378&lt;/RecNum&gt;&lt;record&gt;&lt;rec-number&gt;378&lt;/rec-number&gt;&lt;foreign-keys&gt;&lt;key app="EN" db-id="tfx2va9ropw5p7evdr2pf5rw2vszzx9t0xzs" timestamp="1617044001"&gt;378&lt;/key&gt;&lt;/foreign-keys&gt;&lt;ref-type name="Journal Article"&gt;17&lt;/ref-type&gt;&lt;contributors&gt;&lt;authors&gt;&lt;author&gt;Liu, Jun&lt;/author&gt;&lt;author&gt;Yan, Kezhen&lt;/author&gt;&lt;author&gt;You, Lingyun&lt;/author&gt;&lt;author&gt;Ge, Dongdong&lt;/author&gt;&lt;author&gt;Wang, Zexing&lt;/author&gt;&lt;/authors&gt;&lt;/contributors&gt;&lt;titles&gt;&lt;title&gt;Laboratory performance of warm mix asphalt binder containing polyphosphoric acid&lt;/title&gt;&lt;secondary-title&gt;Construction and Building Materials&lt;/secondary-title&gt;&lt;/titles&gt;&lt;periodical&gt;&lt;full-title&gt;Construction and Building Materials&lt;/full-title&gt;&lt;/periodical&gt;&lt;pages&gt;218-227&lt;/pages&gt;&lt;volume&gt;106&lt;/volume&gt;&lt;dates&gt;&lt;year&gt;2016&lt;/year&gt;&lt;/dates&gt;&lt;isbn&gt;0950-0618&lt;/isbn&gt;&lt;urls&gt;&lt;/urls&gt;&lt;/record&gt;&lt;/Cite&gt;&lt;/EndNote&gt;</w:instrText>
      </w:r>
      <w:r w:rsidRPr="00E64D15">
        <w:rPr>
          <w:rFonts w:cs="Times New Roman"/>
          <w:szCs w:val="24"/>
        </w:rPr>
        <w:fldChar w:fldCharType="separate"/>
      </w:r>
      <w:r w:rsidR="00282238" w:rsidRPr="00E64D15">
        <w:rPr>
          <w:rFonts w:cs="Times New Roman"/>
          <w:noProof/>
          <w:szCs w:val="24"/>
        </w:rPr>
        <w:t>(Huang et al., 2008; Liu et al., 2016)</w:t>
      </w:r>
      <w:r w:rsidRPr="00E64D15">
        <w:rPr>
          <w:rFonts w:cs="Times New Roman"/>
          <w:szCs w:val="24"/>
        </w:rPr>
        <w:fldChar w:fldCharType="end"/>
      </w:r>
      <w:r w:rsidRPr="00E64D15">
        <w:rPr>
          <w:rFonts w:cs="Times New Roman"/>
          <w:szCs w:val="24"/>
        </w:rPr>
        <w:t xml:space="preserve">. </w:t>
      </w:r>
      <w:r w:rsidR="008A0C66" w:rsidRPr="00E64D15">
        <w:rPr>
          <w:rFonts w:cs="Times New Roman"/>
          <w:szCs w:val="24"/>
        </w:rPr>
        <w:t>Also, i</w:t>
      </w:r>
      <w:r w:rsidR="00B06745" w:rsidRPr="00E64D15">
        <w:rPr>
          <w:rFonts w:cs="Times New Roman"/>
          <w:szCs w:val="24"/>
        </w:rPr>
        <w:t xml:space="preserve">mprovement in the fatigue </w:t>
      </w:r>
      <w:r w:rsidR="00A76216" w:rsidRPr="00E64D15">
        <w:rPr>
          <w:rFonts w:cs="Times New Roman"/>
          <w:szCs w:val="24"/>
        </w:rPr>
        <w:t xml:space="preserve">cracking </w:t>
      </w:r>
      <w:r w:rsidR="00B06745" w:rsidRPr="00E64D15">
        <w:rPr>
          <w:rFonts w:cs="Times New Roman"/>
          <w:szCs w:val="24"/>
        </w:rPr>
        <w:t xml:space="preserve">performance </w:t>
      </w:r>
      <w:r w:rsidR="008A0C66" w:rsidRPr="00E64D15">
        <w:rPr>
          <w:rFonts w:cs="Times New Roman"/>
          <w:szCs w:val="24"/>
        </w:rPr>
        <w:t xml:space="preserve">of asphalt mixes </w:t>
      </w:r>
      <w:r w:rsidR="00B06745" w:rsidRPr="00E64D15">
        <w:rPr>
          <w:rFonts w:cs="Times New Roman"/>
          <w:szCs w:val="24"/>
        </w:rPr>
        <w:t xml:space="preserve">was </w:t>
      </w:r>
      <w:r w:rsidR="00A76216" w:rsidRPr="00E64D15">
        <w:rPr>
          <w:rFonts w:cs="Times New Roman"/>
          <w:szCs w:val="24"/>
        </w:rPr>
        <w:t>reported</w:t>
      </w:r>
      <w:r w:rsidR="00F36B36" w:rsidRPr="00E64D15">
        <w:rPr>
          <w:rFonts w:cs="Times New Roman"/>
          <w:szCs w:val="24"/>
        </w:rPr>
        <w:t xml:space="preserve"> with the addition of PPA </w:t>
      </w:r>
      <w:r w:rsidR="00E87876" w:rsidRPr="00E64D15">
        <w:rPr>
          <w:rFonts w:cs="Times New Roman"/>
          <w:szCs w:val="24"/>
        </w:rPr>
        <w:fldChar w:fldCharType="begin"/>
      </w:r>
      <w:r w:rsidR="00282238" w:rsidRPr="00E64D15">
        <w:rPr>
          <w:rFonts w:cs="Times New Roman"/>
          <w:szCs w:val="24"/>
        </w:rPr>
        <w:instrText xml:space="preserve"> ADDIN EN.CITE &lt;EndNote&gt;&lt;Cite&gt;&lt;Author&gt;Nuñez&lt;/Author&gt;&lt;Year&gt;2014&lt;/Year&gt;&lt;RecNum&gt;408&lt;/RecNum&gt;&lt;DisplayText&gt;(Martin et al., 2006; Nuñez et al., 2014)&lt;/DisplayText&gt;&lt;record&gt;&lt;rec-number&gt;408&lt;/rec-number&gt;&lt;foreign-keys&gt;&lt;key app="EN" db-id="tfx2va9ropw5p7evdr2pf5rw2vszzx9t0xzs" timestamp="1620337733"&gt;408&lt;/key&gt;&lt;/foreign-keys&gt;&lt;ref-type name="Journal Article"&gt;17&lt;/ref-type&gt;&lt;contributors&gt;&lt;authors&gt;&lt;author&gt;Nuñez, Javier Yesid Mahecha&lt;/author&gt;&lt;author&gt;Domingos, Matheus David Inocente&lt;/author&gt;&lt;author&gt;Faxina, Adalberto Leandro&lt;/author&gt;&lt;/authors&gt;&lt;/contributors&gt;&lt;titles&gt;&lt;title&gt;Susceptibility of low-density polyethylene and polyphosphoric acid-modified asphalt binders to rutting and fatigue cracking&lt;/title&gt;&lt;secondary-title&gt;Construction and Building Materials&lt;/secondary-title&gt;&lt;/titles&gt;&lt;periodical&gt;&lt;full-title&gt;Construction and Building Materials&lt;/full-title&gt;&lt;/periodical&gt;&lt;pages&gt;509-514&lt;/pages&gt;&lt;volume&gt;73&lt;/volume&gt;&lt;dates&gt;&lt;year&gt;2014&lt;/year&gt;&lt;/dates&gt;&lt;isbn&gt;0950-0618&lt;/isbn&gt;&lt;urls&gt;&lt;/urls&gt;&lt;/record&gt;&lt;/Cite&gt;&lt;Cite&gt;&lt;Author&gt;Martin&lt;/Author&gt;&lt;Year&gt;2006&lt;/Year&gt;&lt;RecNum&gt;409&lt;/RecNum&gt;&lt;record&gt;&lt;rec-number&gt;409&lt;/rec-number&gt;&lt;foreign-keys&gt;&lt;key app="EN" db-id="tfx2va9ropw5p7evdr2pf5rw2vszzx9t0xzs" timestamp="1620337954"&gt;409&lt;/key&gt;&lt;/foreign-keys&gt;&lt;ref-type name="Journal Article"&gt;17&lt;/ref-type&gt;&lt;contributors&gt;&lt;authors&gt;&lt;author&gt;Martin, JV&lt;/author&gt;&lt;author&gt;Baumgardner, Gaylon L&lt;/author&gt;&lt;author&gt;Hanrahan, J&lt;/author&gt;&lt;/authors&gt;&lt;/contributors&gt;&lt;titles&gt;&lt;title&gt;Polyphosphoric acid use in asphalt&lt;/title&gt;&lt;secondary-title&gt;Asphalt&lt;/secondary-title&gt;&lt;/titles&gt;&lt;periodical&gt;&lt;full-title&gt;Asphalt&lt;/full-title&gt;&lt;/periodical&gt;&lt;volume&gt;21&lt;/volume&gt;&lt;number&gt;2&lt;/number&gt;&lt;dates&gt;&lt;year&gt;2006&lt;/year&gt;&lt;/dates&gt;&lt;isbn&gt;0004-4954&lt;/isbn&gt;&lt;urls&gt;&lt;/urls&gt;&lt;/record&gt;&lt;/Cite&gt;&lt;/EndNote&gt;</w:instrText>
      </w:r>
      <w:r w:rsidR="00E87876" w:rsidRPr="00E64D15">
        <w:rPr>
          <w:rFonts w:cs="Times New Roman"/>
          <w:szCs w:val="24"/>
        </w:rPr>
        <w:fldChar w:fldCharType="separate"/>
      </w:r>
      <w:r w:rsidR="00282238" w:rsidRPr="00E64D15">
        <w:rPr>
          <w:rFonts w:cs="Times New Roman"/>
          <w:noProof/>
          <w:szCs w:val="24"/>
        </w:rPr>
        <w:t>(Martin et al., 2006; Nuñez et al., 2014)</w:t>
      </w:r>
      <w:r w:rsidR="00E87876" w:rsidRPr="00E64D15">
        <w:rPr>
          <w:rFonts w:cs="Times New Roman"/>
          <w:szCs w:val="24"/>
        </w:rPr>
        <w:fldChar w:fldCharType="end"/>
      </w:r>
      <w:r w:rsidR="00F36B36" w:rsidRPr="00E64D15">
        <w:rPr>
          <w:rFonts w:cs="Times New Roman"/>
          <w:szCs w:val="24"/>
        </w:rPr>
        <w:t xml:space="preserve">. </w:t>
      </w:r>
      <w:r w:rsidRPr="00E64D15">
        <w:rPr>
          <w:rFonts w:cs="Times New Roman"/>
          <w:szCs w:val="24"/>
        </w:rPr>
        <w:t xml:space="preserve">However, the performance of the PPA-modified binder in presence of moisture is a concern for the highway agencies. An increased moisture-induced damage potential has been reported by several studies for asphalt mixes with PPA-modified binder </w:t>
      </w:r>
      <w:r w:rsidRPr="00E64D15">
        <w:rPr>
          <w:rFonts w:cs="Times New Roman"/>
          <w:szCs w:val="24"/>
        </w:rPr>
        <w:fldChar w:fldCharType="begin">
          <w:fldData xml:space="preserve">PEVuZE5vdGU+PENpdGU+PEF1dGhvcj5GZWU8L0F1dGhvcj48WWVhcj4yMDEwPC9ZZWFyPjxSZWNO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</w:fldData>
        </w:fldChar>
      </w:r>
      <w:r w:rsidR="00282238" w:rsidRPr="00E64D15">
        <w:rPr>
          <w:rFonts w:cs="Times New Roman"/>
          <w:szCs w:val="24"/>
        </w:rPr>
        <w:instrText xml:space="preserve"> ADDIN EN.CITE </w:instrText>
      </w:r>
      <w:r w:rsidR="00282238" w:rsidRPr="00E64D15">
        <w:rPr>
          <w:rFonts w:cs="Times New Roman"/>
          <w:szCs w:val="24"/>
        </w:rPr>
        <w:fldChar w:fldCharType="begin">
          <w:fldData xml:space="preserve">PEVuZE5vdGU+PENpdGU+PEF1dGhvcj5GZWU8L0F1dGhvcj48WWVhcj4yMDEwPC9ZZWFyPjxSZWNO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</w:fldData>
        </w:fldChar>
      </w:r>
      <w:r w:rsidR="00282238" w:rsidRPr="00E64D15">
        <w:rPr>
          <w:rFonts w:cs="Times New Roman"/>
          <w:szCs w:val="24"/>
        </w:rPr>
        <w:instrText xml:space="preserve"> ADDIN EN.CITE.DATA </w:instrText>
      </w:r>
      <w:r w:rsidR="00282238" w:rsidRPr="00E64D15">
        <w:rPr>
          <w:rFonts w:cs="Times New Roman"/>
          <w:szCs w:val="24"/>
        </w:rPr>
      </w:r>
      <w:r w:rsidR="00282238" w:rsidRPr="00E64D15">
        <w:rPr>
          <w:rFonts w:cs="Times New Roman"/>
          <w:szCs w:val="24"/>
        </w:rPr>
        <w:fldChar w:fldCharType="end"/>
      </w:r>
      <w:r w:rsidRPr="00E64D15">
        <w:rPr>
          <w:rFonts w:cs="Times New Roman"/>
          <w:szCs w:val="24"/>
        </w:rPr>
      </w:r>
      <w:r w:rsidRPr="00E64D15">
        <w:rPr>
          <w:rFonts w:cs="Times New Roman"/>
          <w:szCs w:val="24"/>
        </w:rPr>
        <w:fldChar w:fldCharType="separate"/>
      </w:r>
      <w:r w:rsidR="00282238" w:rsidRPr="00E64D15">
        <w:rPr>
          <w:rFonts w:cs="Times New Roman"/>
          <w:noProof/>
          <w:szCs w:val="24"/>
        </w:rPr>
        <w:t>(Orange et al., 2004; Fee et al., 2010; Al-Qadi et al., 2014)</w:t>
      </w:r>
      <w:r w:rsidRPr="00E64D15">
        <w:rPr>
          <w:rFonts w:cs="Times New Roman"/>
          <w:szCs w:val="24"/>
        </w:rPr>
        <w:fldChar w:fldCharType="end"/>
      </w:r>
      <w:r w:rsidRPr="00E64D15">
        <w:rPr>
          <w:rFonts w:cs="Times New Roman"/>
          <w:szCs w:val="24"/>
        </w:rPr>
        <w:t xml:space="preserve">. </w:t>
      </w:r>
    </w:p>
    <w:p w14:paraId="1B1EB28C" w14:textId="1A1648E0" w:rsidR="00E579D8" w:rsidRPr="00E64D15" w:rsidRDefault="00E579D8" w:rsidP="00C94B99">
      <w:pPr>
        <w:tabs>
          <w:tab w:val="left" w:pos="720"/>
        </w:tabs>
        <w:rPr>
          <w:rFonts w:cs="Times New Roman"/>
          <w:szCs w:val="24"/>
        </w:rPr>
      </w:pPr>
      <w:r w:rsidRPr="00E64D15">
        <w:rPr>
          <w:rFonts w:cs="Times New Roman"/>
          <w:szCs w:val="24"/>
        </w:rPr>
        <w:tab/>
        <w:t xml:space="preserve">In recent years, the warm mix asphalt (WMA) technologies are gaining popularity as </w:t>
      </w:r>
      <w:r w:rsidR="00356C3C" w:rsidRPr="00E64D15">
        <w:rPr>
          <w:rFonts w:cs="Times New Roman"/>
          <w:szCs w:val="24"/>
        </w:rPr>
        <w:t>they</w:t>
      </w:r>
      <w:r w:rsidRPr="00E64D15">
        <w:rPr>
          <w:rFonts w:cs="Times New Roman"/>
          <w:szCs w:val="24"/>
        </w:rPr>
        <w:t xml:space="preserve"> promotes sustainable and environment</w:t>
      </w:r>
      <w:r w:rsidR="00774120" w:rsidRPr="00E64D15">
        <w:rPr>
          <w:rFonts w:cs="Times New Roman"/>
          <w:szCs w:val="24"/>
        </w:rPr>
        <w:t>ally</w:t>
      </w:r>
      <w:r w:rsidRPr="00E64D15">
        <w:rPr>
          <w:rFonts w:cs="Times New Roman"/>
          <w:szCs w:val="24"/>
        </w:rPr>
        <w:t xml:space="preserve">-friendly construction by reducing energy consumption and green-house gas emissions </w:t>
      </w:r>
      <w:r w:rsidRPr="00E64D15">
        <w:rPr>
          <w:rFonts w:cs="Times New Roman"/>
          <w:szCs w:val="24"/>
        </w:rPr>
        <w:fldChar w:fldCharType="begin"/>
      </w:r>
      <w:r w:rsidR="00282238" w:rsidRPr="00E64D15">
        <w:rPr>
          <w:rFonts w:cs="Times New Roman"/>
          <w:szCs w:val="24"/>
        </w:rPr>
        <w:instrText xml:space="preserve"> ADDIN EN.CITE &lt;EndNote&gt;&lt;Cite&gt;&lt;Author&gt;Nazzal&lt;/Author&gt;&lt;Year&gt;2011&lt;/Year&gt;&lt;RecNum&gt;379&lt;/RecNum&gt;&lt;DisplayText&gt;(Hurley and Prowell, 2006; Nazzal et al., 2011)&lt;/DisplayText&gt;&lt;record&gt;&lt;rec-number&gt;379&lt;/rec-number&gt;&lt;foreign-keys&gt;&lt;key app="EN" db-id="tfx2va9ropw5p7evdr2pf5rw2vszzx9t0xzs" timestamp="1617044392"&gt;379&lt;/key&gt;&lt;/foreign-keys&gt;&lt;ref-type name="Journal Article"&gt;17&lt;/ref-type&gt;&lt;contributors&gt;&lt;authors&gt;&lt;author&gt;Nazzal, Munir D&lt;/author&gt;&lt;author&gt;Sargand, Shad&lt;/author&gt;&lt;author&gt;Al-Rawashdeh, Abdalla&lt;/author&gt;&lt;/authors&gt;&lt;/contributors&gt;&lt;titles&gt;&lt;title&gt;Evaluation of warm mix asphalt mixtures containing RAP using accelerated loading tests&lt;/title&gt;&lt;secondary-title&gt;Journal of Testing and Evaluation&lt;/secondary-title&gt;&lt;/titles&gt;&lt;periodical&gt;&lt;full-title&gt;Journal of Testing and Evaluation&lt;/full-title&gt;&lt;/periodical&gt;&lt;pages&gt;305-312&lt;/pages&gt;&lt;volume&gt;39&lt;/volume&gt;&lt;number&gt;3&lt;/number&gt;&lt;dates&gt;&lt;year&gt;2011&lt;/year&gt;&lt;/dates&gt;&lt;isbn&gt;0090-3973&lt;/isbn&gt;&lt;urls&gt;&lt;/urls&gt;&lt;/record&gt;&lt;/Cite&gt;&lt;Cite&gt;&lt;Author&gt;Hurley&lt;/Author&gt;&lt;Year&gt;2006&lt;/Year&gt;&lt;RecNum&gt;380&lt;/RecNum&gt;&lt;record&gt;&lt;rec-number&gt;380&lt;/rec-number&gt;&lt;foreign-keys&gt;&lt;key app="EN" db-id="tfx2va9ropw5p7evdr2pf5rw2vszzx9t0xzs" timestamp="1617044423"&gt;380&lt;/key&gt;&lt;/foreign-keys&gt;&lt;ref-type name="Journal Article"&gt;17&lt;/ref-type&gt;&lt;contributors&gt;&lt;authors&gt;&lt;author&gt;Hurley, Graham C&lt;/author&gt;&lt;author&gt;Prowell, Brian D&lt;/author&gt;&lt;/authors&gt;&lt;/contributors&gt;&lt;titles&gt;&lt;title&gt;Evaluation of potential processes for use in warm mix asphalt&lt;/title&gt;&lt;secondary-title&gt;Journal of the Association of Asphalt Paving Technologists&lt;/secondary-title&gt;&lt;/titles&gt;&lt;periodical&gt;&lt;full-title&gt;Journal of the Association of Asphalt Paving Technologists&lt;/full-title&gt;&lt;/periodical&gt;&lt;volume&gt;75&lt;/volume&gt;&lt;number&gt;4&lt;/number&gt;&lt;dates&gt;&lt;year&gt;2006&lt;/year&gt;&lt;/dates&gt;&lt;urls&gt;&lt;/urls&gt;&lt;/record&gt;&lt;/Cite&gt;&lt;/EndNote&gt;</w:instrText>
      </w:r>
      <w:r w:rsidRPr="00E64D15">
        <w:rPr>
          <w:rFonts w:cs="Times New Roman"/>
          <w:szCs w:val="24"/>
        </w:rPr>
        <w:fldChar w:fldCharType="separate"/>
      </w:r>
      <w:r w:rsidR="00282238" w:rsidRPr="00E64D15">
        <w:rPr>
          <w:rFonts w:cs="Times New Roman"/>
          <w:noProof/>
          <w:szCs w:val="24"/>
        </w:rPr>
        <w:t>(Hurley and Prowell, 2006; Nazzal et al., 2011)</w:t>
      </w:r>
      <w:r w:rsidRPr="00E64D15">
        <w:rPr>
          <w:rFonts w:cs="Times New Roman"/>
          <w:szCs w:val="24"/>
        </w:rPr>
        <w:fldChar w:fldCharType="end"/>
      </w:r>
      <w:r w:rsidRPr="00E64D15">
        <w:rPr>
          <w:rFonts w:cs="Times New Roman"/>
          <w:szCs w:val="24"/>
        </w:rPr>
        <w:t xml:space="preserve">. The WMA technologies are capable of significantly reducing the mixing and compaction temperatures of asphalt mixes </w:t>
      </w:r>
      <w:r w:rsidRPr="00E64D15">
        <w:rPr>
          <w:rFonts w:cs="Times New Roman"/>
          <w:szCs w:val="24"/>
        </w:rPr>
        <w:fldChar w:fldCharType="begin"/>
      </w:r>
      <w:r w:rsidR="00282238" w:rsidRPr="00E64D15">
        <w:rPr>
          <w:rFonts w:cs="Times New Roman"/>
          <w:szCs w:val="24"/>
        </w:rPr>
        <w:instrText xml:space="preserve"> ADDIN EN.CITE &lt;EndNote&gt;&lt;Cite&gt;&lt;Author&gt;Hurley&lt;/Author&gt;&lt;Year&gt;2005&lt;/Year&gt;&lt;RecNum&gt;381&lt;/RecNum&gt;&lt;DisplayText&gt;(Hurley and Prowell, 2005; Fakhri et al., 2013)&lt;/DisplayText&gt;&lt;record&gt;&lt;rec-number&gt;381&lt;/rec-number&gt;&lt;foreign-keys&gt;&lt;key app="EN" db-id="tfx2va9ropw5p7evdr2pf5rw2vszzx9t0xzs" timestamp="1617044484"&gt;381&lt;/key&gt;&lt;/foreign-keys&gt;&lt;ref-type name="Journal Article"&gt;17&lt;/ref-type&gt;&lt;contributors&gt;&lt;authors&gt;&lt;author&gt;Hurley, Graham C&lt;/author&gt;&lt;author&gt;Prowell, Brian D&lt;/author&gt;&lt;/authors&gt;&lt;/contributors&gt;&lt;titles&gt;&lt;title&gt;Evaluation of Sasobit for use in warm mix asphalt&lt;/title&gt;&lt;secondary-title&gt;NCAT report&lt;/secondary-title&gt;&lt;/titles&gt;&lt;periodical&gt;&lt;full-title&gt;NCAT report&lt;/full-title&gt;&lt;/periodical&gt;&lt;pages&gt;1-27&lt;/pages&gt;&lt;volume&gt;5&lt;/volume&gt;&lt;number&gt;6&lt;/number&gt;&lt;dates&gt;&lt;year&gt;2005&lt;/year&gt;&lt;/dates&gt;&lt;urls&gt;&lt;/urls&gt;&lt;/record&gt;&lt;/Cite&gt;&lt;Cite&gt;&lt;Author&gt;Fakhri&lt;/Author&gt;&lt;Year&gt;2013&lt;/Year&gt;&lt;RecNum&gt;382&lt;/RecNum&gt;&lt;record&gt;&lt;rec-number&gt;382&lt;/rec-number&gt;&lt;foreign-keys&gt;&lt;key app="EN" db-id="tfx2va9ropw5p7evdr2pf5rw2vszzx9t0xzs" timestamp="1617044554"&gt;382&lt;/key&gt;&lt;/foreign-keys&gt;&lt;ref-type name="Journal Article"&gt;17&lt;/ref-type&gt;&lt;contributors&gt;&lt;authors&gt;&lt;author&gt;Fakhri, Mansour&lt;/author&gt;&lt;author&gt;Ghanizadeh, Ali Reza&lt;/author&gt;&lt;author&gt;Omrani, Hamed&lt;/author&gt;&lt;/authors&gt;&lt;/contributors&gt;&lt;titles&gt;&lt;title&gt;Comparison of fatigue resistance of HMA and WMA mixtures modified by SBS&lt;/title&gt;&lt;secondary-title&gt;Procedia-Social and Behavioral Sciences&lt;/secondary-title&gt;&lt;/titles&gt;&lt;periodical&gt;&lt;full-title&gt;Procedia-Social and Behavioral Sciences&lt;/full-title&gt;&lt;/periodical&gt;&lt;pages&gt;168-177&lt;/pages&gt;&lt;volume&gt;104&lt;/volume&gt;&lt;dates&gt;&lt;year&gt;2013&lt;/year&gt;&lt;/dates&gt;&lt;isbn&gt;1877-0428&lt;/isbn&gt;&lt;urls&gt;&lt;/urls&gt;&lt;/record&gt;&lt;/Cite&gt;&lt;/EndNote&gt;</w:instrText>
      </w:r>
      <w:r w:rsidRPr="00E64D15">
        <w:rPr>
          <w:rFonts w:cs="Times New Roman"/>
          <w:szCs w:val="24"/>
        </w:rPr>
        <w:fldChar w:fldCharType="separate"/>
      </w:r>
      <w:r w:rsidR="00282238" w:rsidRPr="00E64D15">
        <w:rPr>
          <w:rFonts w:cs="Times New Roman"/>
          <w:noProof/>
          <w:szCs w:val="24"/>
        </w:rPr>
        <w:t>(Hurley and Prowell, 2005; Fakhri et al., 2013)</w:t>
      </w:r>
      <w:r w:rsidRPr="00E64D15">
        <w:rPr>
          <w:rFonts w:cs="Times New Roman"/>
          <w:szCs w:val="24"/>
        </w:rPr>
        <w:fldChar w:fldCharType="end"/>
      </w:r>
      <w:r w:rsidRPr="00E64D15">
        <w:rPr>
          <w:rFonts w:cs="Times New Roman"/>
          <w:szCs w:val="24"/>
        </w:rPr>
        <w:t xml:space="preserve">. Three categories of WMA technologies, namely organic additives, chemical additives, and asphalt foaming are currently available to the asphalt industries </w:t>
      </w:r>
      <w:r w:rsidRPr="00E64D15">
        <w:rPr>
          <w:rFonts w:cs="Times New Roman"/>
          <w:szCs w:val="24"/>
        </w:rPr>
        <w:fldChar w:fldCharType="begin"/>
      </w:r>
      <w:r w:rsidR="00282238" w:rsidRPr="00E64D15">
        <w:rPr>
          <w:rFonts w:cs="Times New Roman"/>
          <w:szCs w:val="24"/>
        </w:rPr>
        <w:instrText xml:space="preserve"> ADDIN EN.CITE &lt;EndNote&gt;&lt;Cite&gt;&lt;Author&gt;West&lt;/Author&gt;&lt;Year&gt;2014&lt;/Year&gt;&lt;RecNum&gt;104&lt;/RecNum&gt;&lt;DisplayText&gt;(West et al., 2014)&lt;/DisplayText&gt;&lt;record&gt;&lt;rec-number&gt;104&lt;/rec-number&gt;&lt;foreign-keys&gt;&lt;key app="EN" db-id="d55vzfpwawdafteedfoxsf0lv0v0wp5va2aa" timestamp="1521322337"&gt;104&lt;/key&gt;&lt;/foreign-keys&gt;&lt;ref-type name="Journal Article"&gt;17&lt;/ref-type&gt;&lt;contributors&gt;&lt;authors&gt;&lt;author&gt;West, R&lt;/author&gt;&lt;author&gt;Rodezno, C&lt;/author&gt;&lt;author&gt;Julian, G&lt;/author&gt;&lt;author&gt;Prowell, B&lt;/author&gt;&lt;author&gt;Frank, B&lt;/author&gt;&lt;author&gt;Osborn, LV&lt;/author&gt;&lt;author&gt;Kriech, T&lt;/author&gt;&lt;/authors&gt;&lt;/contributors&gt;&lt;titles&gt;&lt;title&gt;NCHRP Report 779: Field Performance of Warm Mix Asphalt Technologies&lt;/title&gt;&lt;secondary-title&gt;Transportation Research Board of the National Academies, Washington, DC&lt;/secondary-title&gt;&lt;/titles&gt;&lt;periodical&gt;&lt;full-title&gt;Transportation Research Board of the National Academies, Washington, DC&lt;/full-title&gt;&lt;/periodical&gt;&lt;dates&gt;&lt;year&gt;2014&lt;/year&gt;&lt;/dates&gt;&lt;urls&gt;&lt;/urls&gt;&lt;/record&gt;&lt;/Cite&gt;&lt;/EndNote&gt;</w:instrText>
      </w:r>
      <w:r w:rsidRPr="00E64D15">
        <w:rPr>
          <w:rFonts w:cs="Times New Roman"/>
          <w:szCs w:val="24"/>
        </w:rPr>
        <w:fldChar w:fldCharType="separate"/>
      </w:r>
      <w:r w:rsidR="00282238" w:rsidRPr="00E64D15">
        <w:rPr>
          <w:rFonts w:cs="Times New Roman"/>
          <w:noProof/>
          <w:szCs w:val="24"/>
        </w:rPr>
        <w:t>(West et al., 2014)</w:t>
      </w:r>
      <w:r w:rsidRPr="00E64D15">
        <w:rPr>
          <w:rFonts w:cs="Times New Roman"/>
          <w:szCs w:val="24"/>
        </w:rPr>
        <w:fldChar w:fldCharType="end"/>
      </w:r>
      <w:r w:rsidRPr="00E64D15">
        <w:rPr>
          <w:rFonts w:cs="Times New Roman"/>
          <w:szCs w:val="24"/>
        </w:rPr>
        <w:t xml:space="preserve">. Several studies have reported rutting and moisture-induced damage as major concerns for WMA </w:t>
      </w:r>
      <w:r w:rsidRPr="00E64D15">
        <w:rPr>
          <w:rFonts w:cs="Times New Roman"/>
          <w:szCs w:val="24"/>
        </w:rPr>
        <w:fldChar w:fldCharType="begin">
          <w:fldData xml:space="preserve">PEVuZE5vdGU+PENpdGU+PEF1dGhvcj5LaW08L0F1dGhvcj48WWVhcj4yMDE0PC9ZZWFyPjxSZWNO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</w:fldData>
        </w:fldChar>
      </w:r>
      <w:r w:rsidR="00282238" w:rsidRPr="00E64D15">
        <w:rPr>
          <w:rFonts w:cs="Times New Roman"/>
          <w:szCs w:val="24"/>
        </w:rPr>
        <w:instrText xml:space="preserve"> ADDIN EN.CITE </w:instrText>
      </w:r>
      <w:r w:rsidR="00282238" w:rsidRPr="00E64D15">
        <w:rPr>
          <w:rFonts w:cs="Times New Roman"/>
          <w:szCs w:val="24"/>
        </w:rPr>
        <w:fldChar w:fldCharType="begin">
          <w:fldData xml:space="preserve">PEVuZE5vdGU+PENpdGU+PEF1dGhvcj5LaW08L0F1dGhvcj48WWVhcj4yMDE0PC9ZZWFyPjxSZWNO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</w:fldData>
        </w:fldChar>
      </w:r>
      <w:r w:rsidR="00282238" w:rsidRPr="00E64D15">
        <w:rPr>
          <w:rFonts w:cs="Times New Roman"/>
          <w:szCs w:val="24"/>
        </w:rPr>
        <w:instrText xml:space="preserve"> ADDIN EN.CITE.DATA </w:instrText>
      </w:r>
      <w:r w:rsidR="00282238" w:rsidRPr="00E64D15">
        <w:rPr>
          <w:rFonts w:cs="Times New Roman"/>
          <w:szCs w:val="24"/>
        </w:rPr>
      </w:r>
      <w:r w:rsidR="00282238" w:rsidRPr="00E64D15">
        <w:rPr>
          <w:rFonts w:cs="Times New Roman"/>
          <w:szCs w:val="24"/>
        </w:rPr>
        <w:fldChar w:fldCharType="end"/>
      </w:r>
      <w:r w:rsidRPr="00E64D15">
        <w:rPr>
          <w:rFonts w:cs="Times New Roman"/>
          <w:szCs w:val="24"/>
        </w:rPr>
      </w:r>
      <w:r w:rsidRPr="00E64D15">
        <w:rPr>
          <w:rFonts w:cs="Times New Roman"/>
          <w:szCs w:val="24"/>
        </w:rPr>
        <w:fldChar w:fldCharType="separate"/>
      </w:r>
      <w:r w:rsidR="00282238" w:rsidRPr="00E64D15">
        <w:rPr>
          <w:rFonts w:cs="Times New Roman"/>
          <w:noProof/>
          <w:szCs w:val="24"/>
        </w:rPr>
        <w:t>(Xiao et al., 2010b; Mehrara and Khodaii, 2013; Kim et al., 2014)</w:t>
      </w:r>
      <w:r w:rsidRPr="00E64D15">
        <w:rPr>
          <w:rFonts w:cs="Times New Roman"/>
          <w:szCs w:val="24"/>
        </w:rPr>
        <w:fldChar w:fldCharType="end"/>
      </w:r>
      <w:r w:rsidRPr="00E64D15">
        <w:rPr>
          <w:rFonts w:cs="Times New Roman"/>
          <w:szCs w:val="24"/>
        </w:rPr>
        <w:t xml:space="preserve">. </w:t>
      </w:r>
    </w:p>
    <w:p w14:paraId="1400FA83" w14:textId="78F705FD" w:rsidR="00140876" w:rsidRPr="00E64D15" w:rsidRDefault="00E579D8" w:rsidP="00C94B99">
      <w:pPr>
        <w:tabs>
          <w:tab w:val="left" w:pos="720"/>
        </w:tabs>
        <w:rPr>
          <w:rFonts w:cs="Times New Roman"/>
          <w:szCs w:val="24"/>
        </w:rPr>
      </w:pPr>
      <w:r w:rsidRPr="00E64D15">
        <w:rPr>
          <w:rFonts w:cs="Times New Roman"/>
          <w:szCs w:val="24"/>
        </w:rPr>
        <w:tab/>
        <w:t xml:space="preserve">The use of reclaimed asphalt pavement (RAP) in asphalt pavement has been found beneficial for the economy and environment as it saves construction costs by preserving natural resources </w:t>
      </w:r>
      <w:r w:rsidRPr="00E64D15">
        <w:rPr>
          <w:rFonts w:cs="Times New Roman"/>
          <w:szCs w:val="24"/>
        </w:rPr>
        <w:fldChar w:fldCharType="begin">
          <w:fldData xml:space="preserve">PEVuZE5vdGU+PENpdGU+PEF1dGhvcj5BbC1RYWRpPC9BdXRob3I+PFllYXI+MjAxMjwvWWVhcj48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</w:fldData>
        </w:fldChar>
      </w:r>
      <w:r w:rsidR="00282238" w:rsidRPr="00E64D15">
        <w:rPr>
          <w:rFonts w:cs="Times New Roman"/>
          <w:szCs w:val="24"/>
        </w:rPr>
        <w:instrText xml:space="preserve"> ADDIN EN.CITE </w:instrText>
      </w:r>
      <w:r w:rsidR="00282238" w:rsidRPr="00E64D15">
        <w:rPr>
          <w:rFonts w:cs="Times New Roman"/>
          <w:szCs w:val="24"/>
        </w:rPr>
        <w:fldChar w:fldCharType="begin">
          <w:fldData xml:space="preserve">PEVuZE5vdGU+PENpdGU+PEF1dGhvcj5BbC1RYWRpPC9BdXRob3I+PFllYXI+MjAxMjwvWWVhcj48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</w:fldData>
        </w:fldChar>
      </w:r>
      <w:r w:rsidR="00282238" w:rsidRPr="00E64D15">
        <w:rPr>
          <w:rFonts w:cs="Times New Roman"/>
          <w:szCs w:val="24"/>
        </w:rPr>
        <w:instrText xml:space="preserve"> ADDIN EN.CITE.DATA </w:instrText>
      </w:r>
      <w:r w:rsidR="00282238" w:rsidRPr="00E64D15">
        <w:rPr>
          <w:rFonts w:cs="Times New Roman"/>
          <w:szCs w:val="24"/>
        </w:rPr>
      </w:r>
      <w:r w:rsidR="00282238" w:rsidRPr="00E64D15">
        <w:rPr>
          <w:rFonts w:cs="Times New Roman"/>
          <w:szCs w:val="24"/>
        </w:rPr>
        <w:fldChar w:fldCharType="end"/>
      </w:r>
      <w:r w:rsidRPr="00E64D15">
        <w:rPr>
          <w:rFonts w:cs="Times New Roman"/>
          <w:szCs w:val="24"/>
        </w:rPr>
      </w:r>
      <w:r w:rsidRPr="00E64D15">
        <w:rPr>
          <w:rFonts w:cs="Times New Roman"/>
          <w:szCs w:val="24"/>
        </w:rPr>
        <w:fldChar w:fldCharType="separate"/>
      </w:r>
      <w:r w:rsidR="00282238" w:rsidRPr="00E64D15">
        <w:rPr>
          <w:rFonts w:cs="Times New Roman"/>
          <w:noProof/>
          <w:szCs w:val="24"/>
        </w:rPr>
        <w:t>(McDaniel et al., 2002; Mohammad et al., 2003; Al-Qadi et al., 2012)</w:t>
      </w:r>
      <w:r w:rsidRPr="00E64D15">
        <w:rPr>
          <w:rFonts w:cs="Times New Roman"/>
          <w:szCs w:val="24"/>
        </w:rPr>
        <w:fldChar w:fldCharType="end"/>
      </w:r>
      <w:r w:rsidRPr="00E64D15">
        <w:rPr>
          <w:rFonts w:cs="Times New Roman"/>
          <w:szCs w:val="24"/>
        </w:rPr>
        <w:t xml:space="preserve">. Improved rutting resistance of the asphalt pavement has been reported with the use of RAP </w:t>
      </w:r>
      <w:r w:rsidRPr="00E64D15">
        <w:rPr>
          <w:rFonts w:cs="Times New Roman"/>
          <w:szCs w:val="24"/>
        </w:rPr>
        <w:fldChar w:fldCharType="begin">
          <w:fldData xml:space="preserve">PEVuZE5vdGU+PENpdGU+PEF1dGhvcj5BbC1RYWRpPC9BdXRob3I+PFllYXI+MjAxMjwvWWVhcj48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</w:fldData>
        </w:fldChar>
      </w:r>
      <w:r w:rsidR="00282238" w:rsidRPr="00E64D15">
        <w:rPr>
          <w:rFonts w:cs="Times New Roman"/>
          <w:szCs w:val="24"/>
        </w:rPr>
        <w:instrText xml:space="preserve"> ADDIN EN.CITE </w:instrText>
      </w:r>
      <w:r w:rsidR="00282238" w:rsidRPr="00E64D15">
        <w:rPr>
          <w:rFonts w:cs="Times New Roman"/>
          <w:szCs w:val="24"/>
        </w:rPr>
        <w:fldChar w:fldCharType="begin">
          <w:fldData xml:space="preserve">PEVuZE5vdGU+PENpdGU+PEF1dGhvcj5BbC1RYWRpPC9BdXRob3I+PFllYXI+MjAxMjwvWWVhcj48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</w:fldData>
        </w:fldChar>
      </w:r>
      <w:r w:rsidR="00282238" w:rsidRPr="00E64D15">
        <w:rPr>
          <w:rFonts w:cs="Times New Roman"/>
          <w:szCs w:val="24"/>
        </w:rPr>
        <w:instrText xml:space="preserve"> ADDIN EN.CITE.DATA </w:instrText>
      </w:r>
      <w:r w:rsidR="00282238" w:rsidRPr="00E64D15">
        <w:rPr>
          <w:rFonts w:cs="Times New Roman"/>
          <w:szCs w:val="24"/>
        </w:rPr>
      </w:r>
      <w:r w:rsidR="00282238" w:rsidRPr="00E64D15">
        <w:rPr>
          <w:rFonts w:cs="Times New Roman"/>
          <w:szCs w:val="24"/>
        </w:rPr>
        <w:fldChar w:fldCharType="end"/>
      </w:r>
      <w:r w:rsidRPr="00E64D15">
        <w:rPr>
          <w:rFonts w:cs="Times New Roman"/>
          <w:szCs w:val="24"/>
        </w:rPr>
      </w:r>
      <w:r w:rsidRPr="00E64D15">
        <w:rPr>
          <w:rFonts w:cs="Times New Roman"/>
          <w:szCs w:val="24"/>
        </w:rPr>
        <w:fldChar w:fldCharType="separate"/>
      </w:r>
      <w:r w:rsidR="00282238" w:rsidRPr="00E64D15">
        <w:rPr>
          <w:rFonts w:cs="Times New Roman"/>
          <w:noProof/>
          <w:szCs w:val="24"/>
        </w:rPr>
        <w:t>(McDaniel et al., 2002; Mohammad et al., 2003; Al-Qadi et al., 2012; Ghabchi et al., 2014)</w:t>
      </w:r>
      <w:r w:rsidRPr="00E64D15">
        <w:rPr>
          <w:rFonts w:cs="Times New Roman"/>
          <w:szCs w:val="24"/>
        </w:rPr>
        <w:fldChar w:fldCharType="end"/>
      </w:r>
      <w:r w:rsidRPr="00E64D15">
        <w:rPr>
          <w:rFonts w:cs="Times New Roman"/>
          <w:szCs w:val="24"/>
        </w:rPr>
        <w:t xml:space="preserve">. However, the effect of RAP on the moisture-induced damage of asphalt pavement is not yet fully understood. </w:t>
      </w:r>
    </w:p>
    <w:p w14:paraId="03B45F15" w14:textId="700EFDC1" w:rsidR="00E579D8" w:rsidRPr="00E64D15" w:rsidRDefault="00140876" w:rsidP="00C94B99">
      <w:pPr>
        <w:tabs>
          <w:tab w:val="left" w:pos="720"/>
        </w:tabs>
        <w:rPr>
          <w:rFonts w:cs="Times New Roman"/>
          <w:szCs w:val="24"/>
        </w:rPr>
      </w:pPr>
      <w:r w:rsidRPr="00E64D15">
        <w:rPr>
          <w:rFonts w:cs="Times New Roman"/>
          <w:szCs w:val="24"/>
        </w:rPr>
        <w:tab/>
      </w:r>
      <w:r w:rsidR="00E579D8" w:rsidRPr="00E64D15">
        <w:rPr>
          <w:rFonts w:cs="Times New Roman"/>
          <w:szCs w:val="24"/>
        </w:rPr>
        <w:t xml:space="preserve">Also, several anti-stripping agents (ASA) are available commercially </w:t>
      </w:r>
      <w:r w:rsidR="00356C3C" w:rsidRPr="00E64D15">
        <w:rPr>
          <w:rFonts w:cs="Times New Roman"/>
          <w:szCs w:val="24"/>
        </w:rPr>
        <w:t>that</w:t>
      </w:r>
      <w:r w:rsidR="00E579D8" w:rsidRPr="00E64D15">
        <w:rPr>
          <w:rFonts w:cs="Times New Roman"/>
          <w:szCs w:val="24"/>
        </w:rPr>
        <w:t xml:space="preserve"> may be used to improve the moisture-induced damage resistance of asphalt mixes </w:t>
      </w:r>
      <w:r w:rsidR="00E579D8" w:rsidRPr="00E64D15">
        <w:rPr>
          <w:rFonts w:cs="Times New Roman"/>
          <w:szCs w:val="24"/>
        </w:rPr>
        <w:fldChar w:fldCharType="begin">
          <w:fldData xml:space="preserve">PEVuZE5vdGU+PENpdGU+PEF1dGhvcj5XYXNpdWRkaW48L0F1dGhvcj48WWVhcj4yMDA3PC9ZZWFy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</w:fldData>
        </w:fldChar>
      </w:r>
      <w:r w:rsidR="00282238" w:rsidRPr="00E64D15">
        <w:rPr>
          <w:rFonts w:cs="Times New Roman"/>
          <w:szCs w:val="24"/>
        </w:rPr>
        <w:instrText xml:space="preserve"> ADDIN EN.CITE </w:instrText>
      </w:r>
      <w:r w:rsidR="00282238" w:rsidRPr="00E64D15">
        <w:rPr>
          <w:rFonts w:cs="Times New Roman"/>
          <w:szCs w:val="24"/>
        </w:rPr>
        <w:fldChar w:fldCharType="begin">
          <w:fldData xml:space="preserve">PEVuZE5vdGU+PENpdGU+PEF1dGhvcj5XYXNpdWRkaW48L0F1dGhvcj48WWVhcj4yMDA3PC9ZZWFy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</w:fldData>
        </w:fldChar>
      </w:r>
      <w:r w:rsidR="00282238" w:rsidRPr="00E64D15">
        <w:rPr>
          <w:rFonts w:cs="Times New Roman"/>
          <w:szCs w:val="24"/>
        </w:rPr>
        <w:instrText xml:space="preserve"> ADDIN EN.CITE.DATA </w:instrText>
      </w:r>
      <w:r w:rsidR="00282238" w:rsidRPr="00E64D15">
        <w:rPr>
          <w:rFonts w:cs="Times New Roman"/>
          <w:szCs w:val="24"/>
        </w:rPr>
      </w:r>
      <w:r w:rsidR="00282238" w:rsidRPr="00E64D15">
        <w:rPr>
          <w:rFonts w:cs="Times New Roman"/>
          <w:szCs w:val="24"/>
        </w:rPr>
        <w:fldChar w:fldCharType="end"/>
      </w:r>
      <w:r w:rsidR="00E579D8" w:rsidRPr="00E64D15">
        <w:rPr>
          <w:rFonts w:cs="Times New Roman"/>
          <w:szCs w:val="24"/>
        </w:rPr>
      </w:r>
      <w:r w:rsidR="00E579D8" w:rsidRPr="00E64D15">
        <w:rPr>
          <w:rFonts w:cs="Times New Roman"/>
          <w:szCs w:val="24"/>
        </w:rPr>
        <w:fldChar w:fldCharType="separate"/>
      </w:r>
      <w:r w:rsidR="00282238" w:rsidRPr="00E64D15">
        <w:rPr>
          <w:rFonts w:cs="Times New Roman"/>
          <w:noProof/>
          <w:szCs w:val="24"/>
        </w:rPr>
        <w:t>(Wasiuddin et al., 2007a; Wasiuddin et al., 2007c; Xiao et al., 2010b; Abuawad et al., 2015; Park et al., 2017)</w:t>
      </w:r>
      <w:r w:rsidR="00E579D8" w:rsidRPr="00E64D15">
        <w:rPr>
          <w:rFonts w:cs="Times New Roman"/>
          <w:szCs w:val="24"/>
        </w:rPr>
        <w:fldChar w:fldCharType="end"/>
      </w:r>
      <w:r w:rsidR="00E579D8" w:rsidRPr="00E64D15">
        <w:rPr>
          <w:rFonts w:cs="Times New Roman"/>
          <w:szCs w:val="24"/>
        </w:rPr>
        <w:t xml:space="preserve">. However, their effectiveness with respect to aggregate types and aging needs further investigation. </w:t>
      </w:r>
    </w:p>
    <w:p w14:paraId="39B06147" w14:textId="4AECB8C8" w:rsidR="00E579D8" w:rsidRPr="00E64D15" w:rsidRDefault="00E579D8" w:rsidP="00985A4A">
      <w:pPr>
        <w:pStyle w:val="Heading3"/>
        <w:rPr>
          <w:color w:val="FF0000"/>
        </w:rPr>
      </w:pPr>
      <w:bookmarkStart w:id="75" w:name="_Toc71728426"/>
      <w:r w:rsidRPr="00E64D15">
        <w:t>Surface Free Energy Technique</w:t>
      </w:r>
      <w:bookmarkEnd w:id="75"/>
    </w:p>
    <w:p w14:paraId="3E90A08F" w14:textId="7181DC5E" w:rsidR="00E579D8" w:rsidRPr="00C94B99" w:rsidRDefault="00E579D8" w:rsidP="00C94B99">
      <w:pPr>
        <w:tabs>
          <w:tab w:val="left" w:pos="720"/>
        </w:tabs>
        <w:rPr>
          <w:rStyle w:val="fontstyle01"/>
          <w:sz w:val="24"/>
          <w:szCs w:val="24"/>
        </w:rPr>
      </w:pPr>
      <w:r w:rsidRPr="00E64D15">
        <w:rPr>
          <w:rStyle w:val="fontstyle01"/>
          <w:color w:val="FF0000"/>
          <w:sz w:val="24"/>
          <w:szCs w:val="24"/>
        </w:rPr>
        <w:tab/>
      </w:r>
      <w:r w:rsidRPr="00E64D15">
        <w:rPr>
          <w:rStyle w:val="fontstyle01"/>
          <w:sz w:val="24"/>
          <w:szCs w:val="24"/>
        </w:rPr>
        <w:t xml:space="preserve">Till now, most of the evaluation procedures of moisture-induced damage have been focused on the performance of macro-structure (asphalt mix) not on the micro-structure such as binder-aggregate interface </w:t>
      </w:r>
      <w:r w:rsidRPr="00E64D15">
        <w:rPr>
          <w:rStyle w:val="fontstyle01"/>
          <w:sz w:val="24"/>
          <w:szCs w:val="24"/>
        </w:rPr>
        <w:fldChar w:fldCharType="begin"/>
      </w:r>
      <w:r w:rsidR="00282238" w:rsidRPr="00E64D15">
        <w:rPr>
          <w:rStyle w:val="fontstyle01"/>
          <w:sz w:val="24"/>
          <w:szCs w:val="24"/>
        </w:rPr>
        <w:instrText xml:space="preserve"> ADDIN EN.CITE &lt;EndNote&gt;&lt;Cite&gt;&lt;Author&gt;Kanitpong&lt;/Author&gt;&lt;Year&gt;2005&lt;/Year&gt;&lt;RecNum&gt;389&lt;/RecNum&gt;&lt;DisplayText&gt;(Kanitpong and Bahia, 2005)&lt;/DisplayText&gt;&lt;record&gt;&lt;rec-number&gt;389&lt;/rec-number&gt;&lt;foreign-keys&gt;&lt;key app="EN" db-id="tfx2va9ropw5p7evdr2pf5rw2vszzx9t0xzs" timestamp="1617046208"&gt;389&lt;/key&gt;&lt;/foreign-keys&gt;&lt;ref-type name="Journal Article"&gt;17&lt;/ref-type&gt;&lt;contributors&gt;&lt;authors&gt;&lt;author&gt;Kanitpong, Kunnawee&lt;/author&gt;&lt;author&gt;Bahia, Hussain&lt;/author&gt;&lt;/authors&gt;&lt;/contributors&gt;&lt;titles&gt;&lt;title&gt;Relating adhesion and cohesion of asphalts to the effect of moisture on laboratory performance of asphalt mixtures&lt;/title&gt;&lt;secondary-title&gt;Transportation Research Record&lt;/secondary-title&gt;&lt;/titles&gt;&lt;periodical&gt;&lt;full-title&gt;Transportation Research Record&lt;/full-title&gt;&lt;/periodical&gt;&lt;pages&gt;33-43&lt;/pages&gt;&lt;volume&gt;1901&lt;/volume&gt;&lt;number&gt;1&lt;/number&gt;&lt;dates&gt;&lt;year&gt;2005&lt;/year&gt;&lt;/dates&gt;&lt;isbn&gt;0361-1981&lt;/isbn&gt;&lt;urls&gt;&lt;/urls&gt;&lt;/record&gt;&lt;/Cite&gt;&lt;/EndNote&gt;</w:instrText>
      </w:r>
      <w:r w:rsidRPr="00E64D15">
        <w:rPr>
          <w:rStyle w:val="fontstyle01"/>
          <w:sz w:val="24"/>
          <w:szCs w:val="24"/>
        </w:rPr>
        <w:fldChar w:fldCharType="separate"/>
      </w:r>
      <w:r w:rsidR="00282238" w:rsidRPr="00E64D15">
        <w:rPr>
          <w:rStyle w:val="fontstyle01"/>
          <w:noProof/>
          <w:sz w:val="24"/>
          <w:szCs w:val="24"/>
        </w:rPr>
        <w:t>(Kanitpong and Bahia, 2005)</w:t>
      </w:r>
      <w:r w:rsidRPr="00E64D15">
        <w:rPr>
          <w:rStyle w:val="fontstyle01"/>
          <w:sz w:val="24"/>
          <w:szCs w:val="24"/>
        </w:rPr>
        <w:fldChar w:fldCharType="end"/>
      </w:r>
      <w:r w:rsidRPr="00E64D15">
        <w:rPr>
          <w:rStyle w:val="fontstyle01"/>
          <w:sz w:val="24"/>
          <w:szCs w:val="24"/>
        </w:rPr>
        <w:t xml:space="preserve">. Quantification of the bonding strength at the binder-aggregate interface under both dry state and in presence of moisture is expected to provide a better understanding of the moisture susceptibility of an asphalt mix. A number of studies have used the fundamental thermodynamic properties, such as surface free energy (SFE) to quantify the effect of moisture at the binder-aggregate-water interface </w:t>
      </w:r>
      <w:r w:rsidRPr="00E64D15">
        <w:rPr>
          <w:rStyle w:val="fontstyle01"/>
          <w:sz w:val="24"/>
          <w:szCs w:val="24"/>
        </w:rPr>
        <w:fldChar w:fldCharType="begin">
          <w:fldData xml:space="preserve">PEVuZE5vdGU+PENpdGU+PEF1dGhvcj5XYXNpdWRkaW48L0F1dGhvcj48WWVhcj4yMDA4PC9ZZWFy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</w:fldData>
        </w:fldChar>
      </w:r>
      <w:r w:rsidR="00282238" w:rsidRPr="00E64D15">
        <w:rPr>
          <w:rStyle w:val="fontstyle01"/>
          <w:sz w:val="24"/>
          <w:szCs w:val="24"/>
        </w:rPr>
        <w:instrText xml:space="preserve"> ADDIN EN.CITE </w:instrText>
      </w:r>
      <w:r w:rsidR="00282238" w:rsidRPr="00E64D15">
        <w:rPr>
          <w:rStyle w:val="fontstyle01"/>
          <w:sz w:val="24"/>
          <w:szCs w:val="24"/>
        </w:rPr>
        <w:fldChar w:fldCharType="begin">
          <w:fldData xml:space="preserve">PEVuZE5vdGU+PENpdGU+PEF1dGhvcj5XYXNpdWRkaW48L0F1dGhvcj48WWVhcj4yMDA4PC9ZZWFy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</w:fldData>
        </w:fldChar>
      </w:r>
      <w:r w:rsidR="00282238" w:rsidRPr="00E64D15">
        <w:rPr>
          <w:rStyle w:val="fontstyle01"/>
          <w:sz w:val="24"/>
          <w:szCs w:val="24"/>
        </w:rPr>
        <w:instrText xml:space="preserve"> ADDIN EN.CITE.DATA </w:instrText>
      </w:r>
      <w:r w:rsidR="00282238" w:rsidRPr="00E64D15">
        <w:rPr>
          <w:rStyle w:val="fontstyle01"/>
          <w:sz w:val="24"/>
          <w:szCs w:val="24"/>
        </w:rPr>
      </w:r>
      <w:r w:rsidR="00282238" w:rsidRPr="00E64D15">
        <w:rPr>
          <w:rStyle w:val="fontstyle01"/>
          <w:sz w:val="24"/>
          <w:szCs w:val="24"/>
        </w:rPr>
        <w:fldChar w:fldCharType="end"/>
      </w:r>
      <w:r w:rsidRPr="00E64D15">
        <w:rPr>
          <w:rStyle w:val="fontstyle01"/>
          <w:sz w:val="24"/>
          <w:szCs w:val="24"/>
        </w:rPr>
      </w:r>
      <w:r w:rsidRPr="00E64D15">
        <w:rPr>
          <w:rStyle w:val="fontstyle01"/>
          <w:sz w:val="24"/>
          <w:szCs w:val="24"/>
        </w:rPr>
        <w:fldChar w:fldCharType="separate"/>
      </w:r>
      <w:r w:rsidR="00282238" w:rsidRPr="00E64D15">
        <w:rPr>
          <w:rStyle w:val="fontstyle01"/>
          <w:noProof/>
          <w:sz w:val="24"/>
          <w:szCs w:val="24"/>
        </w:rPr>
        <w:t>(Bhasin et al., 2006; Bhasin, 2007; Bhasin et al., 2007a; Howson et al., 2007; Wasiuddin et al., 2007a; Wasiuddin et al., 2007c; Wasiuddin et al., 2008; Buddhala et al., 2011; Khodaii et al., 2013; Arabani and Hamedi, 2014; Moraes et al., 2017; Zhang and Luo, 2019)</w:t>
      </w:r>
      <w:r w:rsidRPr="00E64D15">
        <w:rPr>
          <w:rStyle w:val="fontstyle01"/>
          <w:sz w:val="24"/>
          <w:szCs w:val="24"/>
        </w:rPr>
        <w:fldChar w:fldCharType="end"/>
      </w:r>
      <w:r w:rsidRPr="00E64D15">
        <w:rPr>
          <w:rStyle w:val="fontstyle01"/>
          <w:sz w:val="24"/>
          <w:szCs w:val="24"/>
        </w:rPr>
        <w:t xml:space="preserve">. The SFE is the measure of the work done to form a unit area of new surface at the interface. Theories related to component-based and equation of state-based methods are available to define surface free energy of a material </w:t>
      </w:r>
      <w:r w:rsidRPr="00E64D15">
        <w:rPr>
          <w:rStyle w:val="fontstyle01"/>
          <w:sz w:val="24"/>
          <w:szCs w:val="24"/>
        </w:rPr>
        <w:fldChar w:fldCharType="begin">
          <w:fldData xml:space="preserve">PEVuZE5vdGU+PENpdGU+PEF1dGhvcj5Gb3drZXM8L0F1dGhvcj48WWVhcj4xOTY0PC9ZZWFyPjxS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</w:fldData>
        </w:fldChar>
      </w:r>
      <w:r w:rsidR="00282238" w:rsidRPr="00E64D15">
        <w:rPr>
          <w:rStyle w:val="fontstyle01"/>
          <w:sz w:val="24"/>
          <w:szCs w:val="24"/>
        </w:rPr>
        <w:instrText xml:space="preserve"> ADDIN EN.CITE </w:instrText>
      </w:r>
      <w:r w:rsidR="00282238" w:rsidRPr="00E64D15">
        <w:rPr>
          <w:rStyle w:val="fontstyle01"/>
          <w:sz w:val="24"/>
          <w:szCs w:val="24"/>
        </w:rPr>
        <w:fldChar w:fldCharType="begin">
          <w:fldData xml:space="preserve">PEVuZE5vdGU+PENpdGU+PEF1dGhvcj5Gb3drZXM8L0F1dGhvcj48WWVhcj4xOTY0PC9ZZWFyPjxS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</w:fldData>
        </w:fldChar>
      </w:r>
      <w:r w:rsidR="00282238" w:rsidRPr="00E64D15">
        <w:rPr>
          <w:rStyle w:val="fontstyle01"/>
          <w:sz w:val="24"/>
          <w:szCs w:val="24"/>
        </w:rPr>
        <w:instrText xml:space="preserve"> ADDIN EN.CITE.DATA </w:instrText>
      </w:r>
      <w:r w:rsidR="00282238" w:rsidRPr="00E64D15">
        <w:rPr>
          <w:rStyle w:val="fontstyle01"/>
          <w:sz w:val="24"/>
          <w:szCs w:val="24"/>
        </w:rPr>
      </w:r>
      <w:r w:rsidR="00282238" w:rsidRPr="00E64D15">
        <w:rPr>
          <w:rStyle w:val="fontstyle01"/>
          <w:sz w:val="24"/>
          <w:szCs w:val="24"/>
        </w:rPr>
        <w:fldChar w:fldCharType="end"/>
      </w:r>
      <w:r w:rsidRPr="00E64D15">
        <w:rPr>
          <w:rStyle w:val="fontstyle01"/>
          <w:sz w:val="24"/>
          <w:szCs w:val="24"/>
        </w:rPr>
      </w:r>
      <w:r w:rsidRPr="00E64D15">
        <w:rPr>
          <w:rStyle w:val="fontstyle01"/>
          <w:sz w:val="24"/>
          <w:szCs w:val="24"/>
        </w:rPr>
        <w:fldChar w:fldCharType="separate"/>
      </w:r>
      <w:r w:rsidR="00282238" w:rsidRPr="00E64D15">
        <w:rPr>
          <w:rStyle w:val="fontstyle01"/>
          <w:noProof/>
          <w:sz w:val="24"/>
          <w:szCs w:val="24"/>
        </w:rPr>
        <w:t>(Fowkes, 1964; Wu, 1971; Neumann et al., 1974; Van Oss et al., 1988; Li and Neumann, 1992)</w:t>
      </w:r>
      <w:r w:rsidRPr="00E64D15">
        <w:rPr>
          <w:rStyle w:val="fontstyle01"/>
          <w:sz w:val="24"/>
          <w:szCs w:val="24"/>
        </w:rPr>
        <w:fldChar w:fldCharType="end"/>
      </w:r>
      <w:r w:rsidRPr="00E64D15">
        <w:rPr>
          <w:rStyle w:val="fontstyle01"/>
          <w:sz w:val="24"/>
          <w:szCs w:val="24"/>
        </w:rPr>
        <w:t xml:space="preserve">. Among those, the acid-base theory proposed by </w:t>
      </w:r>
      <w:r w:rsidRPr="00E64D15">
        <w:rPr>
          <w:rStyle w:val="fontstyle01"/>
          <w:sz w:val="24"/>
          <w:szCs w:val="24"/>
        </w:rPr>
        <w:fldChar w:fldCharType="begin"/>
      </w:r>
      <w:r w:rsidRPr="00E64D15">
        <w:rPr>
          <w:rStyle w:val="fontstyle01"/>
          <w:sz w:val="24"/>
          <w:szCs w:val="24"/>
        </w:rPr>
        <w:instrText xml:space="preserve"> ADDIN EN.CITE &lt;EndNote&gt;&lt;Cite AuthorYear="1"&gt;&lt;Author&gt;Van Oss&lt;/Author&gt;&lt;Year&gt;1988&lt;/Year&gt;&lt;RecNum&gt;31&lt;/RecNum&gt;&lt;DisplayText&gt;Van Oss et al. (1988)&lt;/DisplayText&gt;&lt;record&gt;&lt;rec-number&gt;31&lt;/rec-number&gt;&lt;foreign-keys&gt;&lt;key app="EN" db-id="d55vzfpwawdafteedfoxsf0lv0v0wp5va2aa" timestamp="1509901250"&gt;31&lt;/key&gt;&lt;/foreign-keys&gt;&lt;ref-type name="Journal Article"&gt;17&lt;/ref-type&gt;&lt;contributors&gt;&lt;authors&gt;&lt;author&gt;Van Oss, Carel J&lt;/author&gt;&lt;author&gt;Chaudhury, Manoj K&lt;/author&gt;&lt;author&gt;Good, Robert J&lt;/author&gt;&lt;/authors&gt;&lt;/contributors&gt;&lt;titles&gt;&lt;title&gt;Interfacial Lifshitz-Van Der Waals and Polar Interactions in Macroscopic Systems&lt;/title&gt;&lt;secondary-title&gt;Chemical Reviews&lt;/secondary-title&gt;&lt;/titles&gt;&lt;periodical&gt;&lt;full-title&gt;Chemical Reviews&lt;/full-title&gt;&lt;/periodical&gt;&lt;pages&gt;927-941&lt;/pages&gt;&lt;volume&gt;88&lt;/volume&gt;&lt;number&gt;6&lt;/number&gt;&lt;dates&gt;&lt;year&gt;1988&lt;/year&gt;&lt;/dates&gt;&lt;isbn&gt;0009-2665&lt;/isbn&gt;&lt;urls&gt;&lt;/urls&gt;&lt;/record&gt;&lt;/Cite&gt;&lt;/EndNote&gt;</w:instrText>
      </w:r>
      <w:r w:rsidRPr="00E64D15">
        <w:rPr>
          <w:rStyle w:val="fontstyle01"/>
          <w:sz w:val="24"/>
          <w:szCs w:val="24"/>
        </w:rPr>
        <w:fldChar w:fldCharType="separate"/>
      </w:r>
      <w:r w:rsidRPr="00E64D15">
        <w:rPr>
          <w:rStyle w:val="fontstyle01"/>
          <w:noProof/>
          <w:sz w:val="24"/>
          <w:szCs w:val="24"/>
        </w:rPr>
        <w:t>Van Oss et al. (1988)</w:t>
      </w:r>
      <w:r w:rsidRPr="00E64D15">
        <w:rPr>
          <w:rStyle w:val="fontstyle01"/>
          <w:sz w:val="24"/>
          <w:szCs w:val="24"/>
        </w:rPr>
        <w:fldChar w:fldCharType="end"/>
      </w:r>
      <w:r w:rsidRPr="00E64D15">
        <w:rPr>
          <w:rStyle w:val="fontstyle01"/>
          <w:sz w:val="24"/>
          <w:szCs w:val="24"/>
        </w:rPr>
        <w:t xml:space="preserve"> is commonly used for asphaltic materials. According to the Good-van Oss-Chaudhury (GvOC) </w:t>
      </w:r>
      <w:r w:rsidRPr="00E64D15">
        <w:rPr>
          <w:rStyle w:val="fontstyle01"/>
          <w:sz w:val="24"/>
          <w:szCs w:val="24"/>
        </w:rPr>
        <w:fldChar w:fldCharType="begin"/>
      </w:r>
      <w:r w:rsidR="00282238" w:rsidRPr="00E64D15">
        <w:rPr>
          <w:rStyle w:val="fontstyle01"/>
          <w:sz w:val="24"/>
          <w:szCs w:val="24"/>
        </w:rPr>
        <w:instrText xml:space="preserve"> ADDIN EN.CITE &lt;EndNote&gt;&lt;Cite&gt;&lt;Author&gt;Van Oss&lt;/Author&gt;&lt;Year&gt;1988&lt;/Year&gt;&lt;RecNum&gt;31&lt;/RecNum&gt;&lt;DisplayText&gt;(Van Oss et al., 1988)&lt;/DisplayText&gt;&lt;record&gt;&lt;rec-number&gt;31&lt;/rec-number&gt;&lt;foreign-keys&gt;&lt;key app="EN" db-id="d55vzfpwawdafteedfoxsf0lv0v0wp5va2aa" timestamp="1509901250"&gt;31&lt;/key&gt;&lt;/foreign-keys&gt;&lt;ref-type name="Journal Article"&gt;17&lt;/ref-type&gt;&lt;contributors&gt;&lt;authors&gt;&lt;author&gt;Van Oss, Carel J&lt;/author&gt;&lt;author&gt;Chaudhury, Manoj K&lt;/author&gt;&lt;author&gt;Good, Robert J&lt;/author&gt;&lt;/authors&gt;&lt;/contributors&gt;&lt;titles&gt;&lt;title&gt;Interfacial Lifshitz-Van Der Waals and Polar Interactions in Macroscopic Systems&lt;/title&gt;&lt;secondary-title&gt;Chemical Reviews&lt;/secondary-title&gt;&lt;/titles&gt;&lt;periodical&gt;&lt;full-title&gt;Chemical Reviews&lt;/full-title&gt;&lt;/periodical&gt;&lt;pages&gt;927-941&lt;/pages&gt;&lt;volume&gt;88&lt;/volume&gt;&lt;number&gt;6&lt;/number&gt;&lt;dates&gt;&lt;year&gt;1988&lt;/year&gt;&lt;/dates&gt;&lt;isbn&gt;0009-2665&lt;/isbn&gt;&lt;urls&gt;&lt;/urls&gt;&lt;/record&gt;&lt;/Cite&gt;&lt;/EndNote&gt;</w:instrText>
      </w:r>
      <w:r w:rsidRPr="00E64D15">
        <w:rPr>
          <w:rStyle w:val="fontstyle01"/>
          <w:sz w:val="24"/>
          <w:szCs w:val="24"/>
        </w:rPr>
        <w:fldChar w:fldCharType="separate"/>
      </w:r>
      <w:r w:rsidR="00282238" w:rsidRPr="00E64D15">
        <w:rPr>
          <w:rStyle w:val="fontstyle01"/>
          <w:noProof/>
          <w:sz w:val="24"/>
          <w:szCs w:val="24"/>
        </w:rPr>
        <w:t>(Van Oss et al., 1988)</w:t>
      </w:r>
      <w:r w:rsidRPr="00E64D15">
        <w:rPr>
          <w:rStyle w:val="fontstyle01"/>
          <w:sz w:val="24"/>
          <w:szCs w:val="24"/>
        </w:rPr>
        <w:fldChar w:fldCharType="end"/>
      </w:r>
      <w:r w:rsidRPr="00E64D15">
        <w:rPr>
          <w:rStyle w:val="fontstyle01"/>
          <w:sz w:val="24"/>
          <w:szCs w:val="24"/>
        </w:rPr>
        <w:t xml:space="preserve"> theory, the surface free energy (</w:t>
      </w: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S</m:t>
            </m:r>
          </m:sub>
        </m:sSub>
        <m:r>
          <w:rPr>
            <w:rFonts w:ascii="Cambria Math" w:eastAsiaTheme="minorEastAsia" w:hAnsi="Cambria Math" w:cs="Times New Roman"/>
            <w:szCs w:val="24"/>
          </w:rPr>
          <m:t xml:space="preserve">) </m:t>
        </m:r>
      </m:oMath>
      <w:r w:rsidRPr="00E64D15">
        <w:rPr>
          <w:rStyle w:val="fontstyle01"/>
          <w:sz w:val="24"/>
          <w:szCs w:val="24"/>
        </w:rPr>
        <w:t>of a material consists of two components, an apolar Lifshitz-van der Waals component (</w:t>
      </w:r>
      <m:oMath>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S</m:t>
            </m:r>
          </m:sub>
          <m:sup>
            <m:r>
              <w:rPr>
                <w:rFonts w:ascii="Cambria Math" w:hAnsi="Cambria Math" w:cs="Times New Roman"/>
                <w:szCs w:val="24"/>
              </w:rPr>
              <m:t>LW</m:t>
            </m:r>
          </m:sup>
        </m:sSubSup>
      </m:oMath>
      <w:r w:rsidRPr="00E64D15">
        <w:rPr>
          <w:rStyle w:val="fontstyle01"/>
          <w:sz w:val="24"/>
          <w:szCs w:val="24"/>
        </w:rPr>
        <w:t>) of electrodynamics’ origin and a polar component from Lewis acid-base interactions (</w:t>
      </w:r>
      <m:oMath>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S</m:t>
            </m:r>
          </m:sub>
          <m:sup>
            <m:r>
              <w:rPr>
                <w:rFonts w:ascii="Cambria Math" w:hAnsi="Cambria Math" w:cs="Times New Roman"/>
                <w:szCs w:val="24"/>
              </w:rPr>
              <m:t>AB</m:t>
            </m:r>
          </m:sup>
        </m:sSubSup>
      </m:oMath>
      <w:r w:rsidRPr="00E64D15">
        <w:rPr>
          <w:rStyle w:val="fontstyle01"/>
          <w:sz w:val="24"/>
          <w:szCs w:val="24"/>
        </w:rPr>
        <w:t>), as presented in Equation (</w:t>
      </w:r>
      <w:r w:rsidR="000F75AD" w:rsidRPr="00E64D15">
        <w:rPr>
          <w:rStyle w:val="fontstyle01"/>
          <w:sz w:val="24"/>
          <w:szCs w:val="24"/>
        </w:rPr>
        <w:t>3.</w:t>
      </w:r>
      <w:r w:rsidRPr="00E64D15">
        <w:rPr>
          <w:rStyle w:val="fontstyle01"/>
          <w:sz w:val="24"/>
          <w:szCs w:val="24"/>
        </w:rPr>
        <w:t xml:space="preserve">1). According to this theory </w:t>
      </w:r>
      <w:r w:rsidRPr="00E64D15">
        <w:rPr>
          <w:rStyle w:val="fontstyle01"/>
          <w:sz w:val="24"/>
          <w:szCs w:val="24"/>
        </w:rPr>
        <w:fldChar w:fldCharType="begin"/>
      </w:r>
      <w:r w:rsidR="00282238" w:rsidRPr="00E64D15">
        <w:rPr>
          <w:rStyle w:val="fontstyle01"/>
          <w:sz w:val="24"/>
          <w:szCs w:val="24"/>
        </w:rPr>
        <w:instrText xml:space="preserve"> ADDIN EN.CITE &lt;EndNote&gt;&lt;Cite&gt;&lt;Author&gt;Van Oss&lt;/Author&gt;&lt;Year&gt;1988&lt;/Year&gt;&lt;RecNum&gt;31&lt;/RecNum&gt;&lt;DisplayText&gt;(Van Oss et al., 1988)&lt;/DisplayText&gt;&lt;record&gt;&lt;rec-number&gt;31&lt;/rec-number&gt;&lt;foreign-keys&gt;&lt;key app="EN" db-id="d55vzfpwawdafteedfoxsf0lv0v0wp5va2aa" timestamp="1509901250"&gt;31&lt;/key&gt;&lt;/foreign-keys&gt;&lt;ref-type name="Journal Article"&gt;17&lt;/ref-type&gt;&lt;contributors&gt;&lt;authors&gt;&lt;author&gt;Van Oss, Carel J&lt;/author&gt;&lt;author&gt;Chaudhury, Manoj K&lt;/author&gt;&lt;author&gt;Good, Robert J&lt;/author&gt;&lt;/authors&gt;&lt;/contributors&gt;&lt;titles&gt;&lt;title&gt;Interfacial Lifshitz-Van Der Waals and Polar Interactions in Macroscopic Systems&lt;/title&gt;&lt;secondary-title&gt;Chemical Reviews&lt;/secondary-title&gt;&lt;/titles&gt;&lt;periodical&gt;&lt;full-title&gt;Chemical Reviews&lt;/full-title&gt;&lt;/periodical&gt;&lt;pages&gt;927-941&lt;/pages&gt;&lt;volume&gt;88&lt;/volume&gt;&lt;number&gt;6&lt;/number&gt;&lt;dates&gt;&lt;year&gt;1988&lt;/year&gt;&lt;/dates&gt;&lt;isbn&gt;0009-2665&lt;/isbn&gt;&lt;urls&gt;&lt;/urls&gt;&lt;/record&gt;&lt;/Cite&gt;&lt;/EndNote&gt;</w:instrText>
      </w:r>
      <w:r w:rsidRPr="00E64D15">
        <w:rPr>
          <w:rStyle w:val="fontstyle01"/>
          <w:sz w:val="24"/>
          <w:szCs w:val="24"/>
        </w:rPr>
        <w:fldChar w:fldCharType="separate"/>
      </w:r>
      <w:r w:rsidR="00282238" w:rsidRPr="00E64D15">
        <w:rPr>
          <w:rStyle w:val="fontstyle01"/>
          <w:noProof/>
          <w:sz w:val="24"/>
          <w:szCs w:val="24"/>
        </w:rPr>
        <w:t>(Van Oss et al., 1988)</w:t>
      </w:r>
      <w:r w:rsidRPr="00E64D15">
        <w:rPr>
          <w:rStyle w:val="fontstyle01"/>
          <w:sz w:val="24"/>
          <w:szCs w:val="24"/>
        </w:rPr>
        <w:fldChar w:fldCharType="end"/>
      </w:r>
      <w:r w:rsidRPr="00E64D15">
        <w:rPr>
          <w:rStyle w:val="fontstyle01"/>
          <w:sz w:val="24"/>
          <w:szCs w:val="24"/>
        </w:rPr>
        <w:t>, the acid-base surface free energy (</w:t>
      </w:r>
      <m:oMath>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S</m:t>
            </m:r>
          </m:sub>
          <m:sup>
            <m:r>
              <w:rPr>
                <w:rFonts w:ascii="Cambria Math" w:hAnsi="Cambria Math" w:cs="Times New Roman"/>
                <w:szCs w:val="24"/>
              </w:rPr>
              <m:t>AB</m:t>
            </m:r>
          </m:sup>
        </m:sSubSup>
      </m:oMath>
      <w:r w:rsidRPr="00C94B99">
        <w:rPr>
          <w:rStyle w:val="fontstyle01"/>
          <w:sz w:val="24"/>
          <w:szCs w:val="24"/>
        </w:rPr>
        <w:t xml:space="preserve">) component can be divided to an electron-acceptor or Lewis acid </w:t>
      </w:r>
      <m:oMath>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S</m:t>
            </m:r>
          </m:sub>
          <m:sup>
            <m:r>
              <w:rPr>
                <w:rFonts w:ascii="Cambria Math" w:hAnsi="Cambria Math" w:cs="Times New Roman"/>
                <w:szCs w:val="24"/>
              </w:rPr>
              <m:t>+</m:t>
            </m:r>
          </m:sup>
        </m:sSubSup>
        <m:r>
          <w:rPr>
            <w:rFonts w:ascii="Cambria Math" w:hAnsi="Cambria Math" w:cs="Times New Roman"/>
            <w:szCs w:val="24"/>
          </w:rPr>
          <m:t>)</m:t>
        </m:r>
      </m:oMath>
      <w:r w:rsidRPr="00C94B99">
        <w:rPr>
          <w:rFonts w:eastAsiaTheme="minorEastAsia" w:cs="Times New Roman"/>
          <w:szCs w:val="24"/>
        </w:rPr>
        <w:t xml:space="preserve"> component </w:t>
      </w:r>
      <w:r w:rsidRPr="00C94B99">
        <w:rPr>
          <w:rStyle w:val="fontstyle01"/>
          <w:sz w:val="24"/>
          <w:szCs w:val="24"/>
        </w:rPr>
        <w:t xml:space="preserve">and an electron-donor or Lewis base </w:t>
      </w:r>
      <m:oMath>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S</m:t>
            </m:r>
          </m:sub>
          <m:sup>
            <m:r>
              <w:rPr>
                <w:rFonts w:ascii="Cambria Math" w:hAnsi="Cambria Math" w:cs="Times New Roman"/>
                <w:szCs w:val="24"/>
              </w:rPr>
              <m:t>-</m:t>
            </m:r>
          </m:sup>
        </m:sSubSup>
        <m:r>
          <w:rPr>
            <w:rFonts w:ascii="Cambria Math" w:hAnsi="Cambria Math" w:cs="Times New Roman"/>
            <w:szCs w:val="24"/>
          </w:rPr>
          <m:t>)</m:t>
        </m:r>
      </m:oMath>
      <w:r w:rsidRPr="00C94B99">
        <w:rPr>
          <w:rFonts w:eastAsiaTheme="minorEastAsia" w:cs="Times New Roman"/>
          <w:szCs w:val="24"/>
        </w:rPr>
        <w:t xml:space="preserve"> component </w:t>
      </w:r>
      <w:r w:rsidRPr="00C94B99">
        <w:rPr>
          <w:rStyle w:val="fontstyle01"/>
          <w:sz w:val="24"/>
          <w:szCs w:val="24"/>
        </w:rPr>
        <w:t>using Equation (</w:t>
      </w:r>
      <w:r w:rsidR="000F75AD">
        <w:rPr>
          <w:rStyle w:val="fontstyle01"/>
          <w:sz w:val="24"/>
          <w:szCs w:val="24"/>
        </w:rPr>
        <w:t>3.</w:t>
      </w:r>
      <w:r w:rsidRPr="00C94B99">
        <w:rPr>
          <w:rStyle w:val="fontstyle01"/>
          <w:sz w:val="24"/>
          <w:szCs w:val="24"/>
        </w:rPr>
        <w:t>2).</w:t>
      </w:r>
    </w:p>
    <w:p w14:paraId="4D6C5787" w14:textId="180D5714" w:rsidR="00E579D8" w:rsidRPr="00C94B99" w:rsidRDefault="007F7885" w:rsidP="00C94B99">
      <w:pPr>
        <w:tabs>
          <w:tab w:val="left" w:pos="720"/>
        </w:tabs>
        <w:jc w:val="center"/>
        <w:rPr>
          <w:rFonts w:eastAsiaTheme="minorEastAsia" w:cs="Times New Roman"/>
          <w:szCs w:val="24"/>
        </w:rPr>
      </w:pPr>
      <m:oMath>
        <m:sSub>
          <m:sSubPr>
            <m:ctrlPr>
              <w:rPr>
                <w:rFonts w:ascii="Cambria Math" w:eastAsiaTheme="minorEastAsia" w:hAnsi="Cambria Math" w:cs="Times New Roman"/>
                <w:i/>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S</m:t>
            </m:r>
          </m:sub>
        </m:sSub>
        <m:r>
          <w:rPr>
            <w:rFonts w:ascii="Cambria Math" w:eastAsiaTheme="minorEastAsia" w:hAnsi="Cambria Math" w:cs="Times New Roman"/>
            <w:szCs w:val="24"/>
          </w:rPr>
          <m:t>=</m:t>
        </m:r>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S</m:t>
            </m:r>
          </m:sub>
          <m:sup>
            <m:r>
              <w:rPr>
                <w:rFonts w:ascii="Cambria Math" w:hAnsi="Cambria Math" w:cs="Times New Roman"/>
                <w:szCs w:val="24"/>
              </w:rPr>
              <m:t>LW</m:t>
            </m:r>
          </m:sup>
        </m:sSubSup>
        <m:r>
          <w:rPr>
            <w:rFonts w:ascii="Cambria Math" w:hAnsi="Cambria Math" w:cs="Times New Roman"/>
            <w:szCs w:val="24"/>
          </w:rPr>
          <m:t>+</m:t>
        </m:r>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S</m:t>
            </m:r>
          </m:sub>
          <m:sup>
            <m:r>
              <w:rPr>
                <w:rFonts w:ascii="Cambria Math" w:hAnsi="Cambria Math" w:cs="Times New Roman"/>
                <w:szCs w:val="24"/>
              </w:rPr>
              <m:t>AB</m:t>
            </m:r>
          </m:sup>
        </m:sSubSup>
      </m:oMath>
      <w:r w:rsidR="00E579D8" w:rsidRPr="00C94B99">
        <w:rPr>
          <w:rFonts w:eastAsiaTheme="minorEastAsia" w:cs="Times New Roman"/>
          <w:szCs w:val="24"/>
        </w:rPr>
        <w:t xml:space="preserve">                          (</w:t>
      </w:r>
      <w:r w:rsidR="000F75AD">
        <w:rPr>
          <w:rStyle w:val="fontstyle01"/>
          <w:sz w:val="24"/>
          <w:szCs w:val="24"/>
        </w:rPr>
        <w:t>3.</w:t>
      </w:r>
      <w:r w:rsidR="00E579D8" w:rsidRPr="00C94B99">
        <w:rPr>
          <w:rFonts w:eastAsiaTheme="minorEastAsia" w:cs="Times New Roman"/>
          <w:szCs w:val="24"/>
        </w:rPr>
        <w:t>1)</w:t>
      </w:r>
    </w:p>
    <w:p w14:paraId="5066BE1E" w14:textId="52D24F64" w:rsidR="00E579D8" w:rsidRPr="00C94B99" w:rsidRDefault="007F7885" w:rsidP="00C94B99">
      <w:pPr>
        <w:tabs>
          <w:tab w:val="left" w:pos="720"/>
        </w:tabs>
        <w:jc w:val="center"/>
        <w:rPr>
          <w:rStyle w:val="fontstyle01"/>
          <w:sz w:val="24"/>
          <w:szCs w:val="24"/>
        </w:rPr>
      </w:pPr>
      <m:oMath>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S</m:t>
            </m:r>
          </m:sub>
          <m:sup>
            <m:r>
              <w:rPr>
                <w:rFonts w:ascii="Cambria Math" w:hAnsi="Cambria Math" w:cs="Times New Roman"/>
                <w:szCs w:val="24"/>
              </w:rPr>
              <m:t>AB</m:t>
            </m:r>
          </m:sup>
        </m:sSubSup>
        <m:r>
          <w:rPr>
            <w:rFonts w:ascii="Cambria Math" w:hAnsi="Cambria Math" w:cs="Times New Roman"/>
            <w:szCs w:val="24"/>
          </w:rPr>
          <m:t>=2</m:t>
        </m:r>
        <m:sSup>
          <m:sSupPr>
            <m:ctrlPr>
              <w:rPr>
                <w:rFonts w:ascii="Cambria Math" w:hAnsi="Cambria Math" w:cs="Times New Roman"/>
                <w:i/>
                <w:szCs w:val="24"/>
              </w:rPr>
            </m:ctrlPr>
          </m:sSupPr>
          <m:e>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S</m:t>
                </m:r>
              </m:sub>
              <m:sup>
                <m:r>
                  <w:rPr>
                    <w:rFonts w:ascii="Cambria Math" w:hAnsi="Cambria Math" w:cs="Times New Roman"/>
                    <w:szCs w:val="24"/>
                  </w:rPr>
                  <m:t>+</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S</m:t>
                </m:r>
              </m:sub>
              <m:sup>
                <m:r>
                  <w:rPr>
                    <w:rFonts w:ascii="Cambria Math" w:hAnsi="Cambria Math" w:cs="Times New Roman"/>
                    <w:szCs w:val="24"/>
                  </w:rPr>
                  <m:t>-</m:t>
                </m:r>
              </m:sup>
            </m:sSubSup>
            <m:r>
              <w:rPr>
                <w:rFonts w:ascii="Cambria Math" w:hAnsi="Cambria Math" w:cs="Times New Roman"/>
                <w:szCs w:val="24"/>
              </w:rPr>
              <m:t>)</m:t>
            </m:r>
          </m:e>
          <m:sup>
            <m:r>
              <w:rPr>
                <w:rFonts w:ascii="Cambria Math" w:hAnsi="Cambria Math" w:cs="Times New Roman"/>
                <w:szCs w:val="24"/>
              </w:rPr>
              <m:t>0.5</m:t>
            </m:r>
          </m:sup>
        </m:sSup>
      </m:oMath>
      <w:r w:rsidR="00E579D8" w:rsidRPr="00C94B99">
        <w:rPr>
          <w:rFonts w:eastAsiaTheme="minorEastAsia" w:cs="Times New Roman"/>
          <w:szCs w:val="24"/>
        </w:rPr>
        <w:t xml:space="preserve">                       (</w:t>
      </w:r>
      <w:r w:rsidR="000F75AD">
        <w:rPr>
          <w:rStyle w:val="fontstyle01"/>
          <w:sz w:val="24"/>
          <w:szCs w:val="24"/>
        </w:rPr>
        <w:t>3.</w:t>
      </w:r>
      <w:r w:rsidR="00E579D8" w:rsidRPr="00C94B99">
        <w:rPr>
          <w:rFonts w:eastAsiaTheme="minorEastAsia" w:cs="Times New Roman"/>
          <w:szCs w:val="24"/>
        </w:rPr>
        <w:t>2)</w:t>
      </w:r>
    </w:p>
    <w:p w14:paraId="10986A34" w14:textId="12CC7EEB" w:rsidR="00E579D8" w:rsidRPr="00DF6721" w:rsidRDefault="00E579D8" w:rsidP="00C94B99">
      <w:pPr>
        <w:tabs>
          <w:tab w:val="left" w:pos="720"/>
        </w:tabs>
        <w:rPr>
          <w:rStyle w:val="fontstyle01"/>
          <w:sz w:val="24"/>
          <w:szCs w:val="24"/>
        </w:rPr>
      </w:pPr>
      <w:r w:rsidRPr="00C94B99">
        <w:rPr>
          <w:rStyle w:val="fontstyle01"/>
          <w:sz w:val="24"/>
          <w:szCs w:val="24"/>
        </w:rPr>
        <w:tab/>
        <w:t xml:space="preserve">The work of adhesion represents the degree of intermolecular interaction in a two-phase solid-liquid system and is defined as the work required to separate the liquid from the solid surface </w:t>
      </w:r>
      <w:r w:rsidRPr="00C94B99">
        <w:rPr>
          <w:rStyle w:val="fontstyle01"/>
          <w:sz w:val="24"/>
          <w:szCs w:val="24"/>
        </w:rPr>
        <w:fldChar w:fldCharType="begin"/>
      </w:r>
      <w:r w:rsidR="00282238">
        <w:rPr>
          <w:rStyle w:val="fontstyle01"/>
          <w:sz w:val="24"/>
          <w:szCs w:val="24"/>
        </w:rPr>
        <w:instrText xml:space="preserve"> ADDIN EN.CITE &lt;EndNote&gt;&lt;Cite&gt;&lt;Author&gt;Luner&lt;/Author&gt;&lt;Year&gt;2014&lt;/Year&gt;&lt;RecNum&gt;234&lt;/RecNum&gt;&lt;DisplayText&gt;(Luner and Ohf, 2014)&lt;/DisplayText&gt;&lt;record&gt;&lt;rec-number&gt;234&lt;/rec-number&gt;&lt;foreign-keys&gt;&lt;key app="EN" db-id="d55vzfpwawdafteedfoxsf0lv0v0wp5va2aa" timestamp="1617049863"&gt;234&lt;/key&gt;&lt;/foreign-keys&gt;&lt;ref-type name="Journal Article"&gt;17&lt;/ref-type&gt;&lt;contributors&gt;&lt;authors&gt;&lt;author&gt;Luner, Paul E&lt;/author&gt;&lt;author&gt;Ohf, Euichaul&lt;/author&gt;&lt;/authors&gt;&lt;/contributors&gt;&lt;titles&gt;&lt;title&gt;Surface free energies of cellulose ether films&lt;/title&gt;&lt;secondary-title&gt;Contact Angle, Wettability and Adhesion, Volume 2&lt;/secondary-title&gt;&lt;/titles&gt;&lt;periodical&gt;&lt;full-title&gt;Contact Angle, Wettability and Adhesion, Volume 2&lt;/full-title&gt;&lt;/periodical&gt;&lt;pages&gt;299&lt;/pages&gt;&lt;volume&gt;2&lt;/volume&gt;&lt;dates&gt;&lt;year&gt;2014&lt;/year&gt;&lt;/dates&gt;&lt;isbn&gt;1466562382&lt;/isbn&gt;&lt;urls&gt;&lt;/urls&gt;&lt;/record&gt;&lt;/Cite&gt;&lt;/EndNote&gt;</w:instrText>
      </w:r>
      <w:r w:rsidRPr="00C94B99">
        <w:rPr>
          <w:rStyle w:val="fontstyle01"/>
          <w:sz w:val="24"/>
          <w:szCs w:val="24"/>
        </w:rPr>
        <w:fldChar w:fldCharType="separate"/>
      </w:r>
      <w:r w:rsidR="00282238">
        <w:rPr>
          <w:rStyle w:val="fontstyle01"/>
          <w:noProof/>
          <w:sz w:val="24"/>
          <w:szCs w:val="24"/>
        </w:rPr>
        <w:t>(Luner and Ohf, 2014)</w:t>
      </w:r>
      <w:r w:rsidRPr="00C94B99">
        <w:rPr>
          <w:rStyle w:val="fontstyle01"/>
          <w:sz w:val="24"/>
          <w:szCs w:val="24"/>
        </w:rPr>
        <w:fldChar w:fldCharType="end"/>
      </w:r>
      <w:r w:rsidRPr="00C94B99">
        <w:rPr>
          <w:rStyle w:val="fontstyle01"/>
          <w:sz w:val="24"/>
          <w:szCs w:val="24"/>
        </w:rPr>
        <w:t xml:space="preserve">. In </w:t>
      </w:r>
      <w:r w:rsidR="00EF36E5">
        <w:rPr>
          <w:rStyle w:val="fontstyle01"/>
          <w:sz w:val="24"/>
          <w:szCs w:val="24"/>
        </w:rPr>
        <w:t xml:space="preserve">the </w:t>
      </w:r>
      <w:r w:rsidRPr="00C94B99">
        <w:rPr>
          <w:rStyle w:val="fontstyle01"/>
          <w:sz w:val="24"/>
          <w:szCs w:val="24"/>
        </w:rPr>
        <w:t xml:space="preserve">case of an asphalt mix, the work of </w:t>
      </w:r>
      <w:r w:rsidRPr="00DF6721">
        <w:rPr>
          <w:rStyle w:val="fontstyle01"/>
          <w:sz w:val="24"/>
          <w:szCs w:val="24"/>
        </w:rPr>
        <w:t>adhesion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DF6721">
        <w:rPr>
          <w:rStyle w:val="fontstyle01"/>
          <w:sz w:val="24"/>
          <w:szCs w:val="24"/>
        </w:rPr>
        <w:t xml:space="preserve">) is related to the work done to separate binder from aggregate surface. The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DF6721">
        <w:rPr>
          <w:rStyle w:val="fontstyle01"/>
          <w:sz w:val="24"/>
          <w:szCs w:val="24"/>
        </w:rPr>
        <w:t xml:space="preserve"> follows the definition of interfacial free energy and can be expressed using </w:t>
      </w:r>
      <w:r w:rsidR="00356C3C" w:rsidRPr="00DF6721">
        <w:rPr>
          <w:rStyle w:val="fontstyle01"/>
          <w:sz w:val="24"/>
          <w:szCs w:val="24"/>
        </w:rPr>
        <w:t xml:space="preserve">the </w:t>
      </w:r>
      <w:r w:rsidRPr="00DF6721">
        <w:rPr>
          <w:rStyle w:val="fontstyle01"/>
          <w:sz w:val="24"/>
          <w:szCs w:val="24"/>
        </w:rPr>
        <w:t xml:space="preserve">Young-Dupré’s equation </w:t>
      </w:r>
      <w:r w:rsidRPr="00DF6721">
        <w:rPr>
          <w:rStyle w:val="fontstyle01"/>
          <w:sz w:val="24"/>
          <w:szCs w:val="24"/>
        </w:rPr>
        <w:fldChar w:fldCharType="begin"/>
      </w:r>
      <w:r w:rsidR="00282238" w:rsidRPr="00DF6721">
        <w:rPr>
          <w:rStyle w:val="fontstyle01"/>
          <w:sz w:val="24"/>
          <w:szCs w:val="24"/>
        </w:rPr>
        <w:instrText xml:space="preserve"> ADDIN EN.CITE &lt;EndNote&gt;&lt;Cite&gt;&lt;Author&gt;Dupré&lt;/Author&gt;&lt;Year&gt;1869&lt;/Year&gt;&lt;RecNum&gt;235&lt;/RecNum&gt;&lt;DisplayText&gt;(Dupré and Dupré, 1869)&lt;/DisplayText&gt;&lt;record&gt;&lt;rec-number&gt;235&lt;/rec-number&gt;&lt;foreign-keys&gt;&lt;key app="EN" db-id="d55vzfpwawdafteedfoxsf0lv0v0wp5va2aa" timestamp="1617050083"&gt;235&lt;/key&gt;&lt;/foreign-keys&gt;&lt;ref-type name="Book"&gt;6&lt;/ref-type&gt;&lt;contributors&gt;&lt;authors&gt;&lt;author&gt;Dupré, Athanase&lt;/author&gt;&lt;author&gt;Dupré, Paul&lt;/author&gt;&lt;/authors&gt;&lt;/contributors&gt;&lt;titles&gt;&lt;title&gt;Théorie mécanique de la chaleur&lt;/title&gt;&lt;/titles&gt;&lt;dates&gt;&lt;year&gt;1869&lt;/year&gt;&lt;/dates&gt;&lt;publisher&gt;Gauthier-Villars&lt;/publisher&gt;&lt;urls&gt;&lt;/urls&gt;&lt;/record&gt;&lt;/Cite&gt;&lt;/EndNote&gt;</w:instrText>
      </w:r>
      <w:r w:rsidRPr="00DF6721">
        <w:rPr>
          <w:rStyle w:val="fontstyle01"/>
          <w:sz w:val="24"/>
          <w:szCs w:val="24"/>
        </w:rPr>
        <w:fldChar w:fldCharType="separate"/>
      </w:r>
      <w:r w:rsidR="00282238" w:rsidRPr="00DF6721">
        <w:rPr>
          <w:rStyle w:val="fontstyle01"/>
          <w:noProof/>
          <w:sz w:val="24"/>
          <w:szCs w:val="24"/>
        </w:rPr>
        <w:t>(Dupré and Dupré, 1869)</w:t>
      </w:r>
      <w:r w:rsidRPr="00DF6721">
        <w:rPr>
          <w:rStyle w:val="fontstyle01"/>
          <w:sz w:val="24"/>
          <w:szCs w:val="24"/>
        </w:rPr>
        <w:fldChar w:fldCharType="end"/>
      </w:r>
      <w:r w:rsidRPr="00DF6721">
        <w:rPr>
          <w:rStyle w:val="fontstyle01"/>
          <w:sz w:val="24"/>
          <w:szCs w:val="24"/>
        </w:rPr>
        <w:t xml:space="preserve"> by Equation (</w:t>
      </w:r>
      <w:r w:rsidR="000F75AD" w:rsidRPr="00DF6721">
        <w:rPr>
          <w:rStyle w:val="fontstyle01"/>
          <w:sz w:val="24"/>
          <w:szCs w:val="24"/>
        </w:rPr>
        <w:t>3.</w:t>
      </w:r>
      <w:r w:rsidRPr="00DF6721">
        <w:rPr>
          <w:rStyle w:val="fontstyle01"/>
          <w:sz w:val="24"/>
          <w:szCs w:val="24"/>
        </w:rPr>
        <w:t xml:space="preserve">3). It should be noted that the subscripts ‘A’ and ‘R’ in Equation (3) represent asphalt and aggregate, respectively. Also, the subscript ‘W’ is used to represent water throughout this </w:t>
      </w:r>
      <w:r w:rsidR="00102A22" w:rsidRPr="00DF6721">
        <w:rPr>
          <w:rStyle w:val="fontstyle01"/>
          <w:sz w:val="24"/>
          <w:szCs w:val="24"/>
        </w:rPr>
        <w:t>dissertation</w:t>
      </w:r>
      <w:r w:rsidRPr="00DF6721">
        <w:rPr>
          <w:rStyle w:val="fontstyle01"/>
          <w:sz w:val="24"/>
          <w:szCs w:val="24"/>
        </w:rPr>
        <w:t>.</w:t>
      </w:r>
    </w:p>
    <w:p w14:paraId="422F168C" w14:textId="5127F6A6" w:rsidR="00E579D8" w:rsidRPr="00DF6721" w:rsidRDefault="007F7885" w:rsidP="00C94B99">
      <w:pPr>
        <w:tabs>
          <w:tab w:val="left" w:pos="1460"/>
        </w:tabs>
        <w:jc w:val="center"/>
        <w:rPr>
          <w:rFonts w:eastAsiaTheme="minorEastAsia" w:cs="Times New Roman"/>
          <w:szCs w:val="24"/>
          <w:lang w:val="en-GB" w:eastAsia="en-GB"/>
        </w:rPr>
      </w:pP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r>
          <w:rPr>
            <w:rFonts w:ascii="Cambria Math" w:hAnsi="Cambria Math" w:cs="Times New Roman"/>
            <w:szCs w:val="24"/>
            <w:lang w:val="en-GB" w:eastAsia="en-GB"/>
          </w:rPr>
          <m:t>=2</m:t>
        </m:r>
        <m:d>
          <m:dPr>
            <m:ctrlPr>
              <w:rPr>
                <w:rFonts w:ascii="Cambria Math" w:hAnsi="Cambria Math" w:cs="Times New Roman"/>
                <w:i/>
                <w:szCs w:val="24"/>
                <w:lang w:val="en-GB" w:eastAsia="en-GB"/>
              </w:rPr>
            </m:ctrlPr>
          </m:dPr>
          <m:e>
            <m:rad>
              <m:radPr>
                <m:degHide m:val="1"/>
                <m:ctrlPr>
                  <w:rPr>
                    <w:rFonts w:ascii="Cambria Math" w:hAnsi="Cambria Math" w:cs="Times New Roman"/>
                    <w:i/>
                    <w:szCs w:val="24"/>
                    <w:lang w:val="en-GB" w:eastAsia="en-GB"/>
                  </w:rPr>
                </m:ctrlPr>
              </m:radPr>
              <m:deg/>
              <m:e>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LW</m:t>
                    </m:r>
                  </m:sup>
                </m:sSubSup>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LW</m:t>
                    </m:r>
                  </m:sup>
                </m:sSubSup>
                <m:r>
                  <w:rPr>
                    <w:rFonts w:ascii="Cambria Math" w:hAnsi="Cambria Math" w:cs="Times New Roman"/>
                    <w:szCs w:val="24"/>
                  </w:rPr>
                  <m:t>)</m:t>
                </m:r>
              </m:e>
            </m:rad>
            <m:r>
              <w:rPr>
                <w:rFonts w:ascii="Cambria Math" w:hAnsi="Cambria Math" w:cs="Times New Roman"/>
                <w:szCs w:val="24"/>
              </w:rPr>
              <m:t>+</m:t>
            </m:r>
            <m:rad>
              <m:radPr>
                <m:degHide m:val="1"/>
                <m:ctrlPr>
                  <w:rPr>
                    <w:rFonts w:ascii="Cambria Math" w:hAnsi="Cambria Math" w:cs="Times New Roman"/>
                    <w:i/>
                    <w:szCs w:val="24"/>
                    <w:lang w:val="en-GB" w:eastAsia="en-GB"/>
                  </w:rPr>
                </m:ctrlPr>
              </m:radPr>
              <m:deg/>
              <m:e>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m:t>
                    </m:r>
                  </m:sup>
                </m:sSubSup>
                <m:r>
                  <w:rPr>
                    <w:rFonts w:ascii="Cambria Math" w:hAnsi="Cambria Math" w:cs="Times New Roman"/>
                    <w:szCs w:val="24"/>
                  </w:rPr>
                  <m:t>)</m:t>
                </m:r>
              </m:e>
            </m:rad>
            <m:r>
              <w:rPr>
                <w:rFonts w:ascii="Cambria Math" w:hAnsi="Cambria Math" w:cs="Times New Roman"/>
                <w:szCs w:val="24"/>
              </w:rPr>
              <m:t>+</m:t>
            </m:r>
            <m:rad>
              <m:radPr>
                <m:degHide m:val="1"/>
                <m:ctrlPr>
                  <w:rPr>
                    <w:rFonts w:ascii="Cambria Math" w:hAnsi="Cambria Math" w:cs="Times New Roman"/>
                    <w:i/>
                    <w:szCs w:val="24"/>
                    <w:lang w:val="en-GB" w:eastAsia="en-GB"/>
                  </w:rPr>
                </m:ctrlPr>
              </m:radPr>
              <m:deg/>
              <m:e>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m:t>
                    </m:r>
                  </m:sup>
                </m:sSubSup>
                <m:r>
                  <w:rPr>
                    <w:rFonts w:ascii="Cambria Math" w:hAnsi="Cambria Math" w:cs="Times New Roman"/>
                    <w:szCs w:val="24"/>
                  </w:rPr>
                  <m:t>)</m:t>
                </m:r>
              </m:e>
            </m:rad>
          </m:e>
        </m:d>
      </m:oMath>
      <w:r w:rsidR="00E579D8" w:rsidRPr="00DF6721">
        <w:rPr>
          <w:rFonts w:eastAsiaTheme="minorEastAsia" w:cs="Times New Roman"/>
          <w:szCs w:val="24"/>
          <w:lang w:val="en-GB" w:eastAsia="en-GB"/>
        </w:rPr>
        <w:t xml:space="preserve">        (</w:t>
      </w:r>
      <w:r w:rsidR="000F75AD" w:rsidRPr="00DF6721">
        <w:rPr>
          <w:rStyle w:val="fontstyle01"/>
          <w:sz w:val="24"/>
          <w:szCs w:val="24"/>
        </w:rPr>
        <w:t>3.</w:t>
      </w:r>
      <w:r w:rsidR="00E579D8" w:rsidRPr="00DF6721">
        <w:rPr>
          <w:rFonts w:eastAsiaTheme="minorEastAsia" w:cs="Times New Roman"/>
          <w:szCs w:val="24"/>
          <w:lang w:val="en-GB" w:eastAsia="en-GB"/>
        </w:rPr>
        <w:t>3)</w:t>
      </w:r>
    </w:p>
    <w:p w14:paraId="2380C18B" w14:textId="665990FF" w:rsidR="00E579D8" w:rsidRPr="00C94B99" w:rsidRDefault="00E579D8" w:rsidP="00C94B99">
      <w:pPr>
        <w:rPr>
          <w:rStyle w:val="fontstyle01"/>
          <w:sz w:val="24"/>
          <w:szCs w:val="24"/>
        </w:rPr>
      </w:pPr>
      <w:r w:rsidRPr="00DF6721">
        <w:rPr>
          <w:rStyle w:val="fontstyle01"/>
          <w:sz w:val="24"/>
          <w:szCs w:val="24"/>
        </w:rPr>
        <w:tab/>
        <w:t>The Young-Dupr</w:t>
      </w:r>
      <w:r w:rsidR="00DF6721" w:rsidRPr="00DF6721">
        <w:rPr>
          <w:rStyle w:val="fontstyle01"/>
          <w:sz w:val="24"/>
          <w:szCs w:val="24"/>
        </w:rPr>
        <w:t>é</w:t>
      </w:r>
      <w:r w:rsidRPr="00DF6721">
        <w:rPr>
          <w:rStyle w:val="fontstyle01"/>
          <w:sz w:val="24"/>
          <w:szCs w:val="24"/>
        </w:rPr>
        <w:t xml:space="preserve">’s equation </w:t>
      </w:r>
      <w:r w:rsidRPr="00DF6721">
        <w:rPr>
          <w:rStyle w:val="fontstyle01"/>
          <w:sz w:val="24"/>
          <w:szCs w:val="24"/>
        </w:rPr>
        <w:fldChar w:fldCharType="begin"/>
      </w:r>
      <w:r w:rsidR="00282238" w:rsidRPr="00DF6721">
        <w:rPr>
          <w:rStyle w:val="fontstyle01"/>
          <w:sz w:val="24"/>
          <w:szCs w:val="24"/>
        </w:rPr>
        <w:instrText xml:space="preserve"> ADDIN EN.CITE &lt;EndNote&gt;&lt;Cite&gt;&lt;Author&gt;Dupré&lt;/Author&gt;&lt;Year&gt;1869&lt;/Year&gt;&lt;RecNum&gt;235&lt;/RecNum&gt;&lt;DisplayText&gt;(Dupré and Dupré, 1869)&lt;/DisplayText&gt;&lt;record&gt;&lt;rec-number&gt;235&lt;/rec-number&gt;&lt;foreign-keys&gt;&lt;key app="EN" db-id="d55vzfpwawdafteedfoxsf0lv0v0wp5va2aa" timestamp="1617050083"&gt;235&lt;/key&gt;&lt;/foreign-keys&gt;&lt;ref-type name="Book"&gt;6&lt;/ref-type&gt;&lt;contributors&gt;&lt;authors&gt;&lt;author&gt;Dupré, Athanase&lt;/author&gt;&lt;author&gt;Dupré, Paul&lt;/author&gt;&lt;/authors&gt;&lt;/contributors&gt;&lt;titles&gt;&lt;title&gt;Théorie mécanique de la chaleur&lt;/title&gt;&lt;/titles&gt;&lt;dates&gt;&lt;year&gt;1869&lt;/year&gt;&lt;/dates&gt;&lt;publisher&gt;Gauthier-Villars&lt;/publisher&gt;&lt;urls&gt;&lt;/urls&gt;&lt;/record&gt;&lt;/Cite&gt;&lt;/EndNote&gt;</w:instrText>
      </w:r>
      <w:r w:rsidRPr="00DF6721">
        <w:rPr>
          <w:rStyle w:val="fontstyle01"/>
          <w:sz w:val="24"/>
          <w:szCs w:val="24"/>
        </w:rPr>
        <w:fldChar w:fldCharType="separate"/>
      </w:r>
      <w:r w:rsidR="00282238" w:rsidRPr="00DF6721">
        <w:rPr>
          <w:rStyle w:val="fontstyle01"/>
          <w:noProof/>
          <w:sz w:val="24"/>
          <w:szCs w:val="24"/>
        </w:rPr>
        <w:t>(Dupré and Dupré, 1869)</w:t>
      </w:r>
      <w:r w:rsidRPr="00DF6721">
        <w:rPr>
          <w:rStyle w:val="fontstyle01"/>
          <w:sz w:val="24"/>
          <w:szCs w:val="24"/>
        </w:rPr>
        <w:fldChar w:fldCharType="end"/>
      </w:r>
      <w:r w:rsidRPr="00DF6721">
        <w:rPr>
          <w:rStyle w:val="fontstyle01"/>
          <w:sz w:val="24"/>
          <w:szCs w:val="24"/>
        </w:rPr>
        <w:t xml:space="preserve"> can be extended</w:t>
      </w:r>
      <w:r w:rsidRPr="00C94B99">
        <w:rPr>
          <w:rStyle w:val="fontstyle01"/>
          <w:sz w:val="24"/>
          <w:szCs w:val="24"/>
        </w:rPr>
        <w:t xml:space="preserve"> from a two-phase system to a three-phase system to incorporate the effect of moisture in a binder-aggregate system. The work of adhesion</w:t>
      </w:r>
      <w:r w:rsidRPr="00C94B99">
        <w:rPr>
          <w:rFonts w:eastAsiaTheme="minorEastAsia" w:cs="Times New Roman"/>
          <w:szCs w:val="24"/>
          <w:lang w:val="en-GB" w:eastAsia="en-GB"/>
        </w:rPr>
        <w:t xml:space="preserve"> </w:t>
      </w:r>
      <w:r w:rsidRPr="00C94B99">
        <w:rPr>
          <w:rStyle w:val="fontstyle01"/>
          <w:sz w:val="24"/>
          <w:szCs w:val="24"/>
        </w:rPr>
        <w:t>between a binder and aggregate in the presence of moisture (i.e., work of debonding (</w:t>
      </w:r>
      <m:oMath>
        <m:sSubSup>
          <m:sSubSupPr>
            <m:ctrlPr>
              <w:rPr>
                <w:rFonts w:ascii="Cambria Math" w:hAnsi="Cambria Math" w:cs="Times New Roman"/>
                <w:i/>
                <w:szCs w:val="24"/>
              </w:rPr>
            </m:ctrlPr>
          </m:sSubSupPr>
          <m:e>
            <m:r>
              <w:rPr>
                <w:rFonts w:ascii="Cambria Math" w:hAnsi="Cambria Math" w:cs="Times New Roman"/>
                <w:szCs w:val="24"/>
              </w:rPr>
              <m:t>W</m:t>
            </m:r>
          </m:e>
          <m:sub>
            <m:r>
              <w:rPr>
                <w:rFonts w:ascii="Cambria Math" w:hAnsi="Cambria Math" w:cs="Times New Roman"/>
                <w:szCs w:val="24"/>
              </w:rPr>
              <m:t>ARW</m:t>
            </m:r>
          </m:sub>
          <m:sup>
            <m:r>
              <w:rPr>
                <w:rFonts w:ascii="Cambria Math" w:hAnsi="Cambria Math" w:cs="Times New Roman"/>
                <w:szCs w:val="24"/>
              </w:rPr>
              <m:t>wet</m:t>
            </m:r>
          </m:sup>
        </m:sSubSup>
      </m:oMath>
      <w:r w:rsidRPr="00C94B99">
        <w:rPr>
          <w:rStyle w:val="fontstyle01"/>
          <w:sz w:val="24"/>
          <w:szCs w:val="24"/>
        </w:rPr>
        <w:t>)) can be expressed using Equation (</w:t>
      </w:r>
      <w:r w:rsidR="000F75AD">
        <w:rPr>
          <w:rStyle w:val="fontstyle01"/>
          <w:sz w:val="24"/>
          <w:szCs w:val="24"/>
        </w:rPr>
        <w:t>3.</w:t>
      </w:r>
      <w:r w:rsidRPr="00C94B99">
        <w:rPr>
          <w:rStyle w:val="fontstyle01"/>
          <w:sz w:val="24"/>
          <w:szCs w:val="24"/>
        </w:rPr>
        <w:t xml:space="preserve">4). The work of debonding represents the work done to displace binder by moisture from the binder-aggregate interface. The magnitude of </w:t>
      </w:r>
      <m:oMath>
        <m:sSubSup>
          <m:sSubSupPr>
            <m:ctrlPr>
              <w:rPr>
                <w:rFonts w:ascii="Cambria Math" w:hAnsi="Cambria Math" w:cs="Times New Roman"/>
                <w:i/>
                <w:szCs w:val="24"/>
              </w:rPr>
            </m:ctrlPr>
          </m:sSubSupPr>
          <m:e>
            <m:r>
              <w:rPr>
                <w:rFonts w:ascii="Cambria Math" w:hAnsi="Cambria Math" w:cs="Times New Roman"/>
                <w:szCs w:val="24"/>
              </w:rPr>
              <m:t>W</m:t>
            </m:r>
          </m:e>
          <m:sub>
            <m:r>
              <w:rPr>
                <w:rFonts w:ascii="Cambria Math" w:hAnsi="Cambria Math" w:cs="Times New Roman"/>
                <w:szCs w:val="24"/>
              </w:rPr>
              <m:t>ARW</m:t>
            </m:r>
          </m:sub>
          <m:sup>
            <m:r>
              <w:rPr>
                <w:rFonts w:ascii="Cambria Math" w:hAnsi="Cambria Math" w:cs="Times New Roman"/>
                <w:szCs w:val="24"/>
              </w:rPr>
              <m:t>wet</m:t>
            </m:r>
          </m:sup>
        </m:sSubSup>
      </m:oMath>
      <w:r w:rsidRPr="00C94B99">
        <w:rPr>
          <w:rFonts w:eastAsiaTheme="minorEastAsia" w:cs="Times New Roman"/>
          <w:szCs w:val="24"/>
        </w:rPr>
        <w:t xml:space="preserve"> </w:t>
      </w:r>
      <w:r w:rsidRPr="00C94B99">
        <w:rPr>
          <w:rStyle w:val="fontstyle01"/>
          <w:sz w:val="24"/>
          <w:szCs w:val="24"/>
        </w:rPr>
        <w:t xml:space="preserve">is a characteristic of the binder-aggregate system. A higher magnitude of </w:t>
      </w:r>
      <m:oMath>
        <m:sSubSup>
          <m:sSubSupPr>
            <m:ctrlPr>
              <w:rPr>
                <w:rFonts w:ascii="Cambria Math" w:hAnsi="Cambria Math" w:cs="Times New Roman"/>
                <w:i/>
                <w:szCs w:val="24"/>
              </w:rPr>
            </m:ctrlPr>
          </m:sSubSupPr>
          <m:e>
            <m:r>
              <w:rPr>
                <w:rFonts w:ascii="Cambria Math" w:hAnsi="Cambria Math" w:cs="Times New Roman"/>
                <w:szCs w:val="24"/>
              </w:rPr>
              <m:t>W</m:t>
            </m:r>
          </m:e>
          <m:sub>
            <m:r>
              <w:rPr>
                <w:rFonts w:ascii="Cambria Math" w:hAnsi="Cambria Math" w:cs="Times New Roman"/>
                <w:szCs w:val="24"/>
              </w:rPr>
              <m:t>ARW</m:t>
            </m:r>
          </m:sub>
          <m:sup>
            <m:r>
              <w:rPr>
                <w:rFonts w:ascii="Cambria Math" w:hAnsi="Cambria Math" w:cs="Times New Roman"/>
                <w:szCs w:val="24"/>
              </w:rPr>
              <m:t>wet</m:t>
            </m:r>
          </m:sup>
        </m:sSubSup>
      </m:oMath>
      <w:r w:rsidRPr="00C94B99">
        <w:rPr>
          <w:rFonts w:eastAsiaTheme="minorEastAsia" w:cs="Times New Roman"/>
          <w:szCs w:val="24"/>
        </w:rPr>
        <w:t xml:space="preserve"> </w:t>
      </w:r>
      <w:r w:rsidRPr="00C94B99">
        <w:rPr>
          <w:rStyle w:val="fontstyle01"/>
          <w:sz w:val="24"/>
          <w:szCs w:val="24"/>
        </w:rPr>
        <w:t xml:space="preserve">represents a higher amount of free energy liberated when moisture displaces binder at the binder-aggregate interface </w:t>
      </w:r>
      <w:r w:rsidRPr="00C94B99">
        <w:rPr>
          <w:rStyle w:val="fontstyle01"/>
          <w:sz w:val="24"/>
          <w:szCs w:val="24"/>
        </w:rPr>
        <w:fldChar w:fldCharType="begin"/>
      </w:r>
      <w:r w:rsidR="00282238">
        <w:rPr>
          <w:rStyle w:val="fontstyle01"/>
          <w:sz w:val="24"/>
          <w:szCs w:val="24"/>
        </w:rPr>
        <w:instrText xml:space="preserve"> ADDIN EN.CITE &lt;EndNote&gt;&lt;Cite&gt;&lt;Author&gt;Bhasin&lt;/Author&gt;&lt;Year&gt;2006&lt;/Year&gt;&lt;RecNum&gt;23&lt;/RecNum&gt;&lt;DisplayText&gt;(Bhasin et al., 2006)&lt;/DisplayText&gt;&lt;record&gt;&lt;rec-number&gt;23&lt;/rec-number&gt;&lt;foreign-keys&gt;&lt;key app="EN" db-id="d55vzfpwawdafteedfoxsf0lv0v0wp5va2aa" timestamp="1509901106"&gt;23&lt;/key&gt;&lt;/foreign-keys&gt;&lt;ref-type name="Journal Article"&gt;17&lt;/ref-type&gt;&lt;contributors&gt;&lt;authors&gt;&lt;author&gt;Bhasin, Amit&lt;/author&gt;&lt;author&gt;Masad, Eyad&lt;/author&gt;&lt;author&gt;Little, Dallas&lt;/author&gt;&lt;author&gt;Lytton, Robert&lt;/author&gt;&lt;/authors&gt;&lt;/contributors&gt;&lt;titles&gt;&lt;title&gt;Limits on Adhesive Bond Energy for Improved Resistance of Hot-Mix Asphalt to Moisture Damage&lt;/title&gt;&lt;secondary-title&gt;Transportation research record: journal of the transportation research board&lt;/secondary-title&gt;&lt;/titles&gt;&lt;periodical&gt;&lt;full-title&gt;Transportation Research Record: Journal of the Transportation Research Board&lt;/full-title&gt;&lt;/periodical&gt;&lt;pages&gt;3-13&lt;/pages&gt;&lt;number&gt;1970&lt;/number&gt;&lt;dates&gt;&lt;year&gt;2006&lt;/year&gt;&lt;/dates&gt;&lt;isbn&gt;0361-1981&lt;/isbn&gt;&lt;urls&gt;&lt;/urls&gt;&lt;/record&gt;&lt;/Cite&gt;&lt;/EndNote&gt;</w:instrText>
      </w:r>
      <w:r w:rsidRPr="00C94B99">
        <w:rPr>
          <w:rStyle w:val="fontstyle01"/>
          <w:sz w:val="24"/>
          <w:szCs w:val="24"/>
        </w:rPr>
        <w:fldChar w:fldCharType="separate"/>
      </w:r>
      <w:r w:rsidR="00282238">
        <w:rPr>
          <w:rStyle w:val="fontstyle01"/>
          <w:noProof/>
          <w:sz w:val="24"/>
          <w:szCs w:val="24"/>
        </w:rPr>
        <w:t>(Bhasin et al., 2006)</w:t>
      </w:r>
      <w:r w:rsidRPr="00C94B99">
        <w:rPr>
          <w:rStyle w:val="fontstyle01"/>
          <w:sz w:val="24"/>
          <w:szCs w:val="24"/>
        </w:rPr>
        <w:fldChar w:fldCharType="end"/>
      </w:r>
      <w:r w:rsidRPr="00C94B99">
        <w:rPr>
          <w:rStyle w:val="fontstyle01"/>
          <w:sz w:val="24"/>
          <w:szCs w:val="24"/>
        </w:rPr>
        <w:t xml:space="preserve">. Hence, a higher tendency for displacement of binder by moisture may be observed which may lead to lower resistance to moisture-induced damage. The combined effect of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C94B99">
        <w:rPr>
          <w:rFonts w:eastAsiaTheme="minorEastAsia" w:cs="Times New Roman"/>
          <w:szCs w:val="24"/>
          <w:lang w:val="en-GB" w:eastAsia="en-GB"/>
        </w:rPr>
        <w:t xml:space="preserve"> and </w:t>
      </w:r>
      <m:oMath>
        <m:sSubSup>
          <m:sSubSupPr>
            <m:ctrlPr>
              <w:rPr>
                <w:rFonts w:ascii="Cambria Math" w:hAnsi="Cambria Math" w:cs="Times New Roman"/>
                <w:i/>
                <w:szCs w:val="24"/>
              </w:rPr>
            </m:ctrlPr>
          </m:sSubSupPr>
          <m:e>
            <m:r>
              <w:rPr>
                <w:rFonts w:ascii="Cambria Math" w:hAnsi="Cambria Math" w:cs="Times New Roman"/>
                <w:szCs w:val="24"/>
              </w:rPr>
              <m:t>W</m:t>
            </m:r>
          </m:e>
          <m:sub>
            <m:r>
              <w:rPr>
                <w:rFonts w:ascii="Cambria Math" w:hAnsi="Cambria Math" w:cs="Times New Roman"/>
                <w:szCs w:val="24"/>
              </w:rPr>
              <m:t>ARW</m:t>
            </m:r>
          </m:sub>
          <m:sup>
            <m:r>
              <w:rPr>
                <w:rFonts w:ascii="Cambria Math" w:hAnsi="Cambria Math" w:cs="Times New Roman"/>
                <w:szCs w:val="24"/>
              </w:rPr>
              <m:t>wet</m:t>
            </m:r>
          </m:sup>
        </m:sSubSup>
      </m:oMath>
      <w:r w:rsidRPr="00C94B99">
        <w:rPr>
          <w:rFonts w:eastAsiaTheme="minorEastAsia" w:cs="Times New Roman"/>
          <w:szCs w:val="24"/>
        </w:rPr>
        <w:t xml:space="preserve"> can be obtained using energy ratios, such as </w:t>
      </w:r>
      <w:r w:rsidRPr="00C94B99">
        <w:rPr>
          <w:rFonts w:eastAsiaTheme="minorEastAsia" w:cs="Times New Roman"/>
          <w:i/>
          <w:iCs/>
          <w:szCs w:val="24"/>
        </w:rPr>
        <w:t>ER</w:t>
      </w:r>
      <w:r w:rsidRPr="00C94B99">
        <w:rPr>
          <w:rFonts w:eastAsiaTheme="minorEastAsia" w:cs="Times New Roman"/>
          <w:i/>
          <w:iCs/>
          <w:szCs w:val="24"/>
          <w:vertAlign w:val="subscript"/>
        </w:rPr>
        <w:t>1</w:t>
      </w:r>
      <w:r w:rsidRPr="00C94B99">
        <w:rPr>
          <w:rFonts w:eastAsiaTheme="minorEastAsia" w:cs="Times New Roman"/>
          <w:szCs w:val="24"/>
        </w:rPr>
        <w:t xml:space="preserve"> and </w:t>
      </w:r>
      <w:r w:rsidRPr="00C94B99">
        <w:rPr>
          <w:rFonts w:eastAsiaTheme="minorEastAsia" w:cs="Times New Roman"/>
          <w:i/>
          <w:iCs/>
          <w:szCs w:val="24"/>
        </w:rPr>
        <w:t>ER</w:t>
      </w:r>
      <w:r w:rsidRPr="00C94B99">
        <w:rPr>
          <w:rFonts w:eastAsiaTheme="minorEastAsia" w:cs="Times New Roman"/>
          <w:i/>
          <w:iCs/>
          <w:szCs w:val="24"/>
          <w:vertAlign w:val="subscript"/>
        </w:rPr>
        <w:t>2</w:t>
      </w:r>
      <w:r w:rsidRPr="00C94B99">
        <w:rPr>
          <w:rFonts w:eastAsiaTheme="minorEastAsia" w:cs="Times New Roman"/>
          <w:szCs w:val="24"/>
        </w:rPr>
        <w:t xml:space="preserve"> parameters. The </w:t>
      </w:r>
      <w:r w:rsidRPr="00C94B99">
        <w:rPr>
          <w:rFonts w:eastAsiaTheme="minorEastAsia" w:cs="Times New Roman"/>
          <w:i/>
          <w:iCs/>
          <w:szCs w:val="24"/>
        </w:rPr>
        <w:t>ER</w:t>
      </w:r>
      <w:r w:rsidRPr="00C94B99">
        <w:rPr>
          <w:rFonts w:eastAsiaTheme="minorEastAsia" w:cs="Times New Roman"/>
          <w:i/>
          <w:iCs/>
          <w:szCs w:val="24"/>
          <w:vertAlign w:val="subscript"/>
        </w:rPr>
        <w:t>1</w:t>
      </w:r>
      <w:r w:rsidRPr="00C94B99">
        <w:rPr>
          <w:rFonts w:eastAsiaTheme="minorEastAsia" w:cs="Times New Roman"/>
          <w:szCs w:val="24"/>
        </w:rPr>
        <w:t xml:space="preserve"> and </w:t>
      </w:r>
      <w:r w:rsidRPr="00C94B99">
        <w:rPr>
          <w:rFonts w:eastAsiaTheme="minorEastAsia" w:cs="Times New Roman"/>
          <w:i/>
          <w:iCs/>
          <w:szCs w:val="24"/>
        </w:rPr>
        <w:t>ER</w:t>
      </w:r>
      <w:r w:rsidRPr="00C94B99">
        <w:rPr>
          <w:rFonts w:eastAsiaTheme="minorEastAsia" w:cs="Times New Roman"/>
          <w:i/>
          <w:iCs/>
          <w:szCs w:val="24"/>
          <w:vertAlign w:val="subscript"/>
        </w:rPr>
        <w:t>2</w:t>
      </w:r>
      <w:r w:rsidRPr="00C94B99">
        <w:rPr>
          <w:rFonts w:eastAsiaTheme="minorEastAsia" w:cs="Times New Roman"/>
          <w:szCs w:val="24"/>
        </w:rPr>
        <w:t xml:space="preserve"> can be calculated using Equations (</w:t>
      </w:r>
      <w:r w:rsidR="00D41ED9">
        <w:rPr>
          <w:rStyle w:val="fontstyle01"/>
          <w:sz w:val="24"/>
          <w:szCs w:val="24"/>
        </w:rPr>
        <w:t>3.</w:t>
      </w:r>
      <w:r w:rsidRPr="00C94B99">
        <w:rPr>
          <w:rFonts w:eastAsiaTheme="minorEastAsia" w:cs="Times New Roman"/>
          <w:szCs w:val="24"/>
        </w:rPr>
        <w:t>5) and (</w:t>
      </w:r>
      <w:r w:rsidR="00D41ED9">
        <w:rPr>
          <w:rStyle w:val="fontstyle01"/>
          <w:sz w:val="24"/>
          <w:szCs w:val="24"/>
        </w:rPr>
        <w:t>3.</w:t>
      </w:r>
      <w:r w:rsidRPr="00C94B99">
        <w:rPr>
          <w:rFonts w:eastAsiaTheme="minorEastAsia" w:cs="Times New Roman"/>
          <w:szCs w:val="24"/>
        </w:rPr>
        <w:t xml:space="preserve">6), as proposed by </w:t>
      </w:r>
      <w:r w:rsidRPr="00C94B99">
        <w:rPr>
          <w:rFonts w:eastAsiaTheme="minorEastAsia" w:cs="Times New Roman"/>
          <w:szCs w:val="24"/>
        </w:rPr>
        <w:fldChar w:fldCharType="begin"/>
      </w:r>
      <w:r w:rsidR="00282238">
        <w:rPr>
          <w:rFonts w:eastAsiaTheme="minorEastAsia" w:cs="Times New Roman"/>
          <w:szCs w:val="24"/>
        </w:rPr>
        <w:instrText xml:space="preserve"> ADDIN EN.CITE &lt;EndNote&gt;&lt;Cite&gt;&lt;Author&gt;Bhasin&lt;/Author&gt;&lt;Year&gt;2006&lt;/Year&gt;&lt;RecNum&gt;23&lt;/RecNum&gt;&lt;DisplayText&gt;(Bhasin et al., 2006; Bhasin et al., 2007b)&lt;/DisplayText&gt;&lt;record&gt;&lt;rec-number&gt;23&lt;/rec-number&gt;&lt;foreign-keys&gt;&lt;key app="EN" db-id="d55vzfpwawdafteedfoxsf0lv0v0wp5va2aa" timestamp="1509901106"&gt;23&lt;/key&gt;&lt;/foreign-keys&gt;&lt;ref-type name="Journal Article"&gt;17&lt;/ref-type&gt;&lt;contributors&gt;&lt;authors&gt;&lt;author&gt;Bhasin, Amit&lt;/author&gt;&lt;author&gt;Masad, Eyad&lt;/author&gt;&lt;author&gt;Little, Dallas&lt;/author&gt;&lt;author&gt;Lytton, Robert&lt;/author&gt;&lt;/authors&gt;&lt;/contributors&gt;&lt;titles&gt;&lt;title&gt;Limits on Adhesive Bond Energy for Improved Resistance of Hot-Mix Asphalt to Moisture Damage&lt;/title&gt;&lt;secondary-title&gt;Transportation research record: journal of the transportation research board&lt;/secondary-title&gt;&lt;/titles&gt;&lt;periodical&gt;&lt;full-title&gt;Transportation Research Record: Journal of the Transportation Research Board&lt;/full-title&gt;&lt;/periodical&gt;&lt;pages&gt;3-13&lt;/pages&gt;&lt;number&gt;1970&lt;/number&gt;&lt;dates&gt;&lt;year&gt;2006&lt;/year&gt;&lt;/dates&gt;&lt;isbn&gt;0361-1981&lt;/isbn&gt;&lt;urls&gt;&lt;/urls&gt;&lt;/record&gt;&lt;/Cite&gt;&lt;Cite&gt;&lt;Author&gt;Bhasin&lt;/Author&gt;&lt;Year&gt;2007&lt;/Year&gt;&lt;RecNum&gt;26&lt;/RecNum&gt;&lt;record&gt;&lt;rec-number&gt;26&lt;/rec-number&gt;&lt;foreign-keys&gt;&lt;key app="EN" db-id="d55vzfpwawdafteedfoxsf0lv0v0wp5va2aa" timestamp="1509901161"&gt;26&lt;/key&gt;&lt;/foreign-keys&gt;&lt;ref-type name="Journal Article"&gt;17&lt;/ref-type&gt;&lt;contributors&gt;&lt;authors&gt;&lt;author&gt;Bhasin, Amit&lt;/author&gt;&lt;author&gt;Little, Dallas&lt;/author&gt;&lt;author&gt;Vasconcelos, Kamilla&lt;/author&gt;&lt;author&gt;Masad, Eyad&lt;/author&gt;&lt;/authors&gt;&lt;/contributors&gt;&lt;titles&gt;&lt;title&gt;Surface Free Energy to Identify Moisture Sensitivity of Materials for Asphalt Mixes&lt;/title&gt;&lt;secondary-title&gt;Transportation Research Record: Journal of the Transportation Research Board&lt;/secondary-title&gt;&lt;/titles&gt;&lt;periodical&gt;&lt;full-title&gt;Transportation Research Record: Journal of the Transportation Research Board&lt;/full-title&gt;&lt;/periodical&gt;&lt;pages&gt;37-45&lt;/pages&gt;&lt;number&gt;2001&lt;/number&gt;&lt;dates&gt;&lt;year&gt;2007&lt;/year&gt;&lt;/dates&gt;&lt;isbn&gt;0361-1981&lt;/isbn&gt;&lt;urls&gt;&lt;/urls&gt;&lt;/record&gt;&lt;/Cite&gt;&lt;/EndNote&gt;</w:instrText>
      </w:r>
      <w:r w:rsidRPr="00C94B99">
        <w:rPr>
          <w:rFonts w:eastAsiaTheme="minorEastAsia" w:cs="Times New Roman"/>
          <w:szCs w:val="24"/>
        </w:rPr>
        <w:fldChar w:fldCharType="separate"/>
      </w:r>
      <w:r w:rsidR="00282238">
        <w:rPr>
          <w:rFonts w:eastAsiaTheme="minorEastAsia" w:cs="Times New Roman"/>
          <w:noProof/>
          <w:szCs w:val="24"/>
        </w:rPr>
        <w:t>(Bhasin et al., 2006; Bhasin et al., 2007b)</w:t>
      </w:r>
      <w:r w:rsidRPr="00C94B99">
        <w:rPr>
          <w:rFonts w:eastAsiaTheme="minorEastAsia" w:cs="Times New Roman"/>
          <w:szCs w:val="24"/>
        </w:rPr>
        <w:fldChar w:fldCharType="end"/>
      </w:r>
      <w:r w:rsidRPr="00C94B99">
        <w:rPr>
          <w:rFonts w:eastAsiaTheme="minorEastAsia" w:cs="Times New Roman"/>
          <w:szCs w:val="24"/>
        </w:rPr>
        <w:t>. The</w:t>
      </w:r>
      <w:r w:rsidRPr="00C94B99">
        <w:rPr>
          <w:rFonts w:cs="Times New Roman"/>
          <w:szCs w:val="24"/>
        </w:rPr>
        <w:t xml:space="preserve"> </w:t>
      </w:r>
      <w:r w:rsidRPr="00C94B99">
        <w:rPr>
          <w:rFonts w:cs="Times New Roman"/>
          <w:i/>
          <w:szCs w:val="24"/>
        </w:rPr>
        <w:t>W</w:t>
      </w:r>
      <w:r w:rsidRPr="00C94B99">
        <w:rPr>
          <w:rFonts w:cs="Times New Roman"/>
          <w:i/>
          <w:szCs w:val="24"/>
          <w:vertAlign w:val="subscript"/>
        </w:rPr>
        <w:t>AA</w:t>
      </w:r>
      <w:r w:rsidRPr="00C94B99">
        <w:rPr>
          <w:rFonts w:cs="Times New Roman"/>
          <w:szCs w:val="24"/>
          <w:vertAlign w:val="subscript"/>
        </w:rPr>
        <w:t xml:space="preserve"> </w:t>
      </w:r>
      <w:r w:rsidRPr="00C94B99">
        <w:rPr>
          <w:rFonts w:cs="Times New Roman"/>
          <w:szCs w:val="24"/>
        </w:rPr>
        <w:t>in Equation (</w:t>
      </w:r>
      <w:r w:rsidR="00D41ED9">
        <w:rPr>
          <w:rStyle w:val="fontstyle01"/>
          <w:sz w:val="24"/>
          <w:szCs w:val="24"/>
        </w:rPr>
        <w:t>3.</w:t>
      </w:r>
      <w:r w:rsidRPr="00C94B99">
        <w:rPr>
          <w:rFonts w:cs="Times New Roman"/>
          <w:szCs w:val="24"/>
        </w:rPr>
        <w:t>6) represents the cohesive bond energy of a binder. The Equation (</w:t>
      </w:r>
      <w:r w:rsidR="00D41ED9">
        <w:rPr>
          <w:rStyle w:val="fontstyle01"/>
          <w:sz w:val="24"/>
          <w:szCs w:val="24"/>
        </w:rPr>
        <w:t>3.</w:t>
      </w:r>
      <w:r w:rsidRPr="00C94B99">
        <w:rPr>
          <w:rFonts w:cs="Times New Roman"/>
          <w:szCs w:val="24"/>
        </w:rPr>
        <w:t xml:space="preserve">7) can be used to calculate the </w:t>
      </w:r>
      <w:r w:rsidRPr="00C94B99">
        <w:rPr>
          <w:rFonts w:cs="Times New Roman"/>
          <w:i/>
          <w:szCs w:val="24"/>
        </w:rPr>
        <w:t>W</w:t>
      </w:r>
      <w:r w:rsidRPr="00C94B99">
        <w:rPr>
          <w:rFonts w:cs="Times New Roman"/>
          <w:i/>
          <w:szCs w:val="24"/>
          <w:vertAlign w:val="subscript"/>
        </w:rPr>
        <w:t>AA</w:t>
      </w:r>
      <w:r w:rsidRPr="00C94B99">
        <w:rPr>
          <w:rFonts w:cs="Times New Roman"/>
          <w:szCs w:val="24"/>
        </w:rPr>
        <w:t xml:space="preserve">. </w:t>
      </w:r>
      <w:r w:rsidRPr="00C94B99">
        <w:rPr>
          <w:rFonts w:eastAsiaTheme="minorEastAsia" w:cs="Times New Roman"/>
          <w:szCs w:val="24"/>
        </w:rPr>
        <w:t>A higher value of energy ratio parameters will indicate a better resistant to moisture-induced damage.</w:t>
      </w:r>
    </w:p>
    <w:p w14:paraId="1D8DAC51" w14:textId="495C3637" w:rsidR="00E579D8" w:rsidRPr="00C94B99" w:rsidRDefault="007F7885" w:rsidP="00C94B99">
      <w:pPr>
        <w:tabs>
          <w:tab w:val="left" w:pos="1460"/>
        </w:tabs>
        <w:jc w:val="center"/>
        <w:rPr>
          <w:rStyle w:val="fontstyle01"/>
          <w:sz w:val="24"/>
          <w:szCs w:val="24"/>
        </w:rPr>
      </w:pPr>
      <m:oMath>
        <m:sSubSup>
          <m:sSubSupPr>
            <m:ctrlPr>
              <w:rPr>
                <w:rFonts w:ascii="Cambria Math" w:hAnsi="Cambria Math" w:cs="Times New Roman"/>
                <w:i/>
                <w:sz w:val="18"/>
                <w:szCs w:val="18"/>
              </w:rPr>
            </m:ctrlPr>
          </m:sSubSupPr>
          <m:e>
            <m:r>
              <w:rPr>
                <w:rFonts w:ascii="Cambria Math" w:hAnsi="Cambria Math" w:cs="Times New Roman"/>
                <w:sz w:val="18"/>
                <w:szCs w:val="18"/>
              </w:rPr>
              <m:t>W</m:t>
            </m:r>
          </m:e>
          <m:sub>
            <m:r>
              <w:rPr>
                <w:rFonts w:ascii="Cambria Math" w:hAnsi="Cambria Math" w:cs="Times New Roman"/>
                <w:sz w:val="18"/>
                <w:szCs w:val="18"/>
              </w:rPr>
              <m:t>ARW</m:t>
            </m:r>
          </m:sub>
          <m:sup>
            <m:r>
              <w:rPr>
                <w:rFonts w:ascii="Cambria Math" w:hAnsi="Cambria Math" w:cs="Times New Roman"/>
                <w:sz w:val="18"/>
                <w:szCs w:val="18"/>
              </w:rPr>
              <m:t>wet</m:t>
            </m:r>
          </m:sup>
        </m:sSubSup>
        <m:r>
          <w:rPr>
            <w:rFonts w:ascii="Cambria Math" w:hAnsi="Cambria Math" w:cs="Times New Roman"/>
            <w:sz w:val="18"/>
            <w:szCs w:val="18"/>
          </w:rPr>
          <m:t>=2</m:t>
        </m:r>
        <m:d>
          <m:dPr>
            <m:begChr m:val="{"/>
            <m:endChr m:val="}"/>
            <m:ctrlPr>
              <w:rPr>
                <w:rFonts w:ascii="Cambria Math" w:hAnsi="Cambria Math" w:cs="Times New Roman"/>
                <w:i/>
                <w:sz w:val="18"/>
                <w:szCs w:val="18"/>
              </w:rPr>
            </m:ctrlPr>
          </m:dPr>
          <m:e>
            <m:eqArr>
              <m:eqArrPr>
                <m:ctrlPr>
                  <w:rPr>
                    <w:rFonts w:ascii="Cambria Math" w:hAnsi="Cambria Math" w:cs="Times New Roman"/>
                    <w:i/>
                    <w:sz w:val="18"/>
                    <w:szCs w:val="18"/>
                  </w:rPr>
                </m:ctrlPr>
              </m:eqArrPr>
              <m:e>
                <m:rad>
                  <m:radPr>
                    <m:degHide m:val="1"/>
                    <m:ctrlPr>
                      <w:rPr>
                        <w:rFonts w:ascii="Cambria Math" w:hAnsi="Cambria Math" w:cs="Times New Roman"/>
                        <w:i/>
                        <w:sz w:val="18"/>
                        <w:szCs w:val="18"/>
                        <w:lang w:val="en-GB" w:eastAsia="en-GB"/>
                      </w:rPr>
                    </m:ctrlPr>
                  </m:radPr>
                  <m:deg/>
                  <m:e>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A</m:t>
                        </m:r>
                      </m:sub>
                      <m:sup>
                        <m:r>
                          <w:rPr>
                            <w:rFonts w:ascii="Cambria Math" w:hAnsi="Cambria Math" w:cs="Times New Roman"/>
                            <w:sz w:val="18"/>
                            <w:szCs w:val="18"/>
                          </w:rPr>
                          <m:t>LW</m:t>
                        </m:r>
                      </m:sup>
                    </m:sSubSup>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R</m:t>
                        </m:r>
                      </m:sub>
                      <m:sup>
                        <m:r>
                          <w:rPr>
                            <w:rFonts w:ascii="Cambria Math" w:hAnsi="Cambria Math" w:cs="Times New Roman"/>
                            <w:sz w:val="18"/>
                            <w:szCs w:val="18"/>
                          </w:rPr>
                          <m:t>LW</m:t>
                        </m:r>
                      </m:sup>
                    </m:sSubSup>
                    <m:r>
                      <w:rPr>
                        <w:rFonts w:ascii="Cambria Math" w:hAnsi="Cambria Math" w:cs="Times New Roman"/>
                        <w:sz w:val="18"/>
                        <w:szCs w:val="18"/>
                      </w:rPr>
                      <m:t>)</m:t>
                    </m:r>
                  </m:e>
                </m:rad>
                <m:r>
                  <w:rPr>
                    <w:rFonts w:ascii="Cambria Math" w:hAnsi="Cambria Math" w:cs="Times New Roman"/>
                    <w:sz w:val="18"/>
                    <w:szCs w:val="18"/>
                  </w:rPr>
                  <m:t>-</m:t>
                </m:r>
                <m:rad>
                  <m:radPr>
                    <m:degHide m:val="1"/>
                    <m:ctrlPr>
                      <w:rPr>
                        <w:rFonts w:ascii="Cambria Math" w:hAnsi="Cambria Math" w:cs="Times New Roman"/>
                        <w:i/>
                        <w:sz w:val="18"/>
                        <w:szCs w:val="18"/>
                        <w:lang w:val="en-GB" w:eastAsia="en-GB"/>
                      </w:rPr>
                    </m:ctrlPr>
                  </m:radPr>
                  <m:deg/>
                  <m:e>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W</m:t>
                        </m:r>
                      </m:sub>
                      <m:sup>
                        <m:r>
                          <w:rPr>
                            <w:rFonts w:ascii="Cambria Math" w:hAnsi="Cambria Math" w:cs="Times New Roman"/>
                            <w:sz w:val="18"/>
                            <w:szCs w:val="18"/>
                          </w:rPr>
                          <m:t>LW</m:t>
                        </m:r>
                      </m:sup>
                    </m:sSubSup>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R</m:t>
                        </m:r>
                      </m:sub>
                      <m:sup>
                        <m:r>
                          <w:rPr>
                            <w:rFonts w:ascii="Cambria Math" w:hAnsi="Cambria Math" w:cs="Times New Roman"/>
                            <w:sz w:val="18"/>
                            <w:szCs w:val="18"/>
                          </w:rPr>
                          <m:t>LW</m:t>
                        </m:r>
                      </m:sup>
                    </m:sSubSup>
                    <m:r>
                      <w:rPr>
                        <w:rFonts w:ascii="Cambria Math" w:hAnsi="Cambria Math" w:cs="Times New Roman"/>
                        <w:sz w:val="18"/>
                        <w:szCs w:val="18"/>
                      </w:rPr>
                      <m:t>)</m:t>
                    </m:r>
                  </m:e>
                </m:rad>
                <m:r>
                  <w:rPr>
                    <w:rFonts w:ascii="Cambria Math" w:hAnsi="Cambria Math" w:cs="Times New Roman"/>
                    <w:sz w:val="18"/>
                    <w:szCs w:val="18"/>
                  </w:rPr>
                  <m:t>-</m:t>
                </m:r>
                <m:rad>
                  <m:radPr>
                    <m:degHide m:val="1"/>
                    <m:ctrlPr>
                      <w:rPr>
                        <w:rFonts w:ascii="Cambria Math" w:hAnsi="Cambria Math" w:cs="Times New Roman"/>
                        <w:i/>
                        <w:sz w:val="18"/>
                        <w:szCs w:val="18"/>
                        <w:lang w:val="en-GB" w:eastAsia="en-GB"/>
                      </w:rPr>
                    </m:ctrlPr>
                  </m:radPr>
                  <m:deg/>
                  <m:e>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A</m:t>
                        </m:r>
                      </m:sub>
                      <m:sup>
                        <m:r>
                          <w:rPr>
                            <w:rFonts w:ascii="Cambria Math" w:hAnsi="Cambria Math" w:cs="Times New Roman"/>
                            <w:sz w:val="18"/>
                            <w:szCs w:val="18"/>
                          </w:rPr>
                          <m:t>LW</m:t>
                        </m:r>
                      </m:sup>
                    </m:sSubSup>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W</m:t>
                        </m:r>
                      </m:sub>
                      <m:sup>
                        <m:r>
                          <w:rPr>
                            <w:rFonts w:ascii="Cambria Math" w:hAnsi="Cambria Math" w:cs="Times New Roman"/>
                            <w:sz w:val="18"/>
                            <w:szCs w:val="18"/>
                          </w:rPr>
                          <m:t>LW</m:t>
                        </m:r>
                      </m:sup>
                    </m:sSubSup>
                    <m:r>
                      <w:rPr>
                        <w:rFonts w:ascii="Cambria Math" w:hAnsi="Cambria Math" w:cs="Times New Roman"/>
                        <w:sz w:val="18"/>
                        <w:szCs w:val="18"/>
                      </w:rPr>
                      <m:t>)</m:t>
                    </m:r>
                  </m:e>
                </m:rad>
                <m:r>
                  <w:rPr>
                    <w:rFonts w:ascii="Cambria Math" w:hAnsi="Cambria Math" w:cs="Times New Roman"/>
                    <w:sz w:val="18"/>
                    <w:szCs w:val="18"/>
                  </w:rPr>
                  <m:t>+</m:t>
                </m:r>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W</m:t>
                    </m:r>
                  </m:sub>
                  <m:sup>
                    <m:r>
                      <w:rPr>
                        <w:rFonts w:ascii="Cambria Math" w:hAnsi="Cambria Math" w:cs="Times New Roman"/>
                        <w:sz w:val="18"/>
                        <w:szCs w:val="18"/>
                      </w:rPr>
                      <m:t>LW</m:t>
                    </m:r>
                  </m:sup>
                </m:sSubSup>
                <m:r>
                  <w:rPr>
                    <w:rFonts w:ascii="Cambria Math" w:hAnsi="Cambria Math" w:cs="Times New Roman"/>
                    <w:sz w:val="18"/>
                    <w:szCs w:val="18"/>
                  </w:rPr>
                  <m:t>-</m:t>
                </m:r>
                <m:rad>
                  <m:radPr>
                    <m:degHide m:val="1"/>
                    <m:ctrlPr>
                      <w:rPr>
                        <w:rFonts w:ascii="Cambria Math" w:hAnsi="Cambria Math" w:cs="Times New Roman"/>
                        <w:i/>
                        <w:sz w:val="18"/>
                        <w:szCs w:val="18"/>
                        <w:lang w:val="en-GB" w:eastAsia="en-GB"/>
                      </w:rPr>
                    </m:ctrlPr>
                  </m:radPr>
                  <m:deg/>
                  <m:e>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W</m:t>
                        </m:r>
                      </m:sub>
                      <m:sup>
                        <m:r>
                          <w:rPr>
                            <w:rFonts w:ascii="Cambria Math" w:hAnsi="Cambria Math" w:cs="Times New Roman"/>
                            <w:sz w:val="18"/>
                            <w:szCs w:val="18"/>
                          </w:rPr>
                          <m:t>+</m:t>
                        </m:r>
                      </m:sup>
                    </m:sSubSup>
                  </m:e>
                </m:rad>
                <m:d>
                  <m:dPr>
                    <m:ctrlPr>
                      <w:rPr>
                        <w:rFonts w:ascii="Cambria Math" w:hAnsi="Cambria Math" w:cs="Times New Roman"/>
                        <w:i/>
                        <w:sz w:val="18"/>
                        <w:szCs w:val="18"/>
                      </w:rPr>
                    </m:ctrlPr>
                  </m:dPr>
                  <m:e>
                    <m:rad>
                      <m:radPr>
                        <m:degHide m:val="1"/>
                        <m:ctrlPr>
                          <w:rPr>
                            <w:rFonts w:ascii="Cambria Math" w:hAnsi="Cambria Math" w:cs="Times New Roman"/>
                            <w:i/>
                            <w:sz w:val="18"/>
                            <w:szCs w:val="18"/>
                            <w:lang w:val="en-GB" w:eastAsia="en-GB"/>
                          </w:rPr>
                        </m:ctrlPr>
                      </m:radPr>
                      <m:deg/>
                      <m:e>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R</m:t>
                            </m:r>
                          </m:sub>
                          <m:sup>
                            <m:r>
                              <w:rPr>
                                <w:rFonts w:ascii="Cambria Math" w:hAnsi="Cambria Math" w:cs="Times New Roman"/>
                                <w:sz w:val="18"/>
                                <w:szCs w:val="18"/>
                              </w:rPr>
                              <m:t>-</m:t>
                            </m:r>
                          </m:sup>
                        </m:sSubSup>
                      </m:e>
                    </m:rad>
                    <m:r>
                      <w:rPr>
                        <w:rFonts w:ascii="Cambria Math" w:hAnsi="Cambria Math" w:cs="Times New Roman"/>
                        <w:sz w:val="18"/>
                        <w:szCs w:val="18"/>
                        <w:lang w:val="en-GB" w:eastAsia="en-GB"/>
                      </w:rPr>
                      <m:t>+</m:t>
                    </m:r>
                    <m:rad>
                      <m:radPr>
                        <m:degHide m:val="1"/>
                        <m:ctrlPr>
                          <w:rPr>
                            <w:rFonts w:ascii="Cambria Math" w:hAnsi="Cambria Math" w:cs="Times New Roman"/>
                            <w:i/>
                            <w:sz w:val="18"/>
                            <w:szCs w:val="18"/>
                            <w:lang w:val="en-GB" w:eastAsia="en-GB"/>
                          </w:rPr>
                        </m:ctrlPr>
                      </m:radPr>
                      <m:deg/>
                      <m:e>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A</m:t>
                            </m:r>
                          </m:sub>
                          <m:sup>
                            <m:r>
                              <w:rPr>
                                <w:rFonts w:ascii="Cambria Math" w:hAnsi="Cambria Math" w:cs="Times New Roman"/>
                                <w:sz w:val="18"/>
                                <w:szCs w:val="18"/>
                              </w:rPr>
                              <m:t>-</m:t>
                            </m:r>
                          </m:sup>
                        </m:sSubSup>
                      </m:e>
                    </m:rad>
                    <m:r>
                      <w:rPr>
                        <w:rFonts w:ascii="Cambria Math" w:hAnsi="Cambria Math" w:cs="Times New Roman"/>
                        <w:sz w:val="18"/>
                        <w:szCs w:val="18"/>
                        <w:lang w:val="en-GB" w:eastAsia="en-GB"/>
                      </w:rPr>
                      <m:t>-</m:t>
                    </m:r>
                    <m:rad>
                      <m:radPr>
                        <m:degHide m:val="1"/>
                        <m:ctrlPr>
                          <w:rPr>
                            <w:rFonts w:ascii="Cambria Math" w:hAnsi="Cambria Math" w:cs="Times New Roman"/>
                            <w:i/>
                            <w:sz w:val="18"/>
                            <w:szCs w:val="18"/>
                            <w:lang w:val="en-GB" w:eastAsia="en-GB"/>
                          </w:rPr>
                        </m:ctrlPr>
                      </m:radPr>
                      <m:deg/>
                      <m:e>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W</m:t>
                            </m:r>
                          </m:sub>
                          <m:sup>
                            <m:r>
                              <w:rPr>
                                <w:rFonts w:ascii="Cambria Math" w:hAnsi="Cambria Math" w:cs="Times New Roman"/>
                                <w:sz w:val="18"/>
                                <w:szCs w:val="18"/>
                              </w:rPr>
                              <m:t>-</m:t>
                            </m:r>
                          </m:sup>
                        </m:sSubSup>
                      </m:e>
                    </m:rad>
                  </m:e>
                </m:d>
                <m:r>
                  <w:rPr>
                    <w:rFonts w:ascii="Cambria Math" w:hAnsi="Cambria Math" w:cs="Times New Roman"/>
                    <w:sz w:val="18"/>
                    <w:szCs w:val="18"/>
                  </w:rPr>
                  <m:t>-</m:t>
                </m:r>
              </m:e>
              <m:e>
                <m:rad>
                  <m:radPr>
                    <m:degHide m:val="1"/>
                    <m:ctrlPr>
                      <w:rPr>
                        <w:rFonts w:ascii="Cambria Math" w:hAnsi="Cambria Math" w:cs="Times New Roman"/>
                        <w:i/>
                        <w:sz w:val="18"/>
                        <w:szCs w:val="18"/>
                        <w:lang w:val="en-GB" w:eastAsia="en-GB"/>
                      </w:rPr>
                    </m:ctrlPr>
                  </m:radPr>
                  <m:deg/>
                  <m:e>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W</m:t>
                        </m:r>
                      </m:sub>
                      <m:sup>
                        <m:r>
                          <w:rPr>
                            <w:rFonts w:ascii="Cambria Math" w:hAnsi="Cambria Math" w:cs="Times New Roman"/>
                            <w:sz w:val="18"/>
                            <w:szCs w:val="18"/>
                          </w:rPr>
                          <m:t>-</m:t>
                        </m:r>
                      </m:sup>
                    </m:sSubSup>
                  </m:e>
                </m:rad>
                <m:d>
                  <m:dPr>
                    <m:ctrlPr>
                      <w:rPr>
                        <w:rFonts w:ascii="Cambria Math" w:hAnsi="Cambria Math" w:cs="Times New Roman"/>
                        <w:i/>
                        <w:sz w:val="18"/>
                        <w:szCs w:val="18"/>
                      </w:rPr>
                    </m:ctrlPr>
                  </m:dPr>
                  <m:e>
                    <m:rad>
                      <m:radPr>
                        <m:degHide m:val="1"/>
                        <m:ctrlPr>
                          <w:rPr>
                            <w:rFonts w:ascii="Cambria Math" w:hAnsi="Cambria Math" w:cs="Times New Roman"/>
                            <w:i/>
                            <w:sz w:val="18"/>
                            <w:szCs w:val="18"/>
                            <w:lang w:val="en-GB" w:eastAsia="en-GB"/>
                          </w:rPr>
                        </m:ctrlPr>
                      </m:radPr>
                      <m:deg/>
                      <m:e>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R</m:t>
                            </m:r>
                          </m:sub>
                          <m:sup>
                            <m:r>
                              <w:rPr>
                                <w:rFonts w:ascii="Cambria Math" w:hAnsi="Cambria Math" w:cs="Times New Roman"/>
                                <w:sz w:val="18"/>
                                <w:szCs w:val="18"/>
                              </w:rPr>
                              <m:t>+</m:t>
                            </m:r>
                          </m:sup>
                        </m:sSubSup>
                      </m:e>
                    </m:rad>
                    <m:r>
                      <w:rPr>
                        <w:rFonts w:ascii="Cambria Math" w:hAnsi="Cambria Math" w:cs="Times New Roman"/>
                        <w:sz w:val="18"/>
                        <w:szCs w:val="18"/>
                        <w:lang w:val="en-GB" w:eastAsia="en-GB"/>
                      </w:rPr>
                      <m:t>+</m:t>
                    </m:r>
                    <m:rad>
                      <m:radPr>
                        <m:degHide m:val="1"/>
                        <m:ctrlPr>
                          <w:rPr>
                            <w:rFonts w:ascii="Cambria Math" w:hAnsi="Cambria Math" w:cs="Times New Roman"/>
                            <w:i/>
                            <w:sz w:val="18"/>
                            <w:szCs w:val="18"/>
                            <w:lang w:val="en-GB" w:eastAsia="en-GB"/>
                          </w:rPr>
                        </m:ctrlPr>
                      </m:radPr>
                      <m:deg/>
                      <m:e>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A</m:t>
                            </m:r>
                          </m:sub>
                          <m:sup>
                            <m:r>
                              <w:rPr>
                                <w:rFonts w:ascii="Cambria Math" w:hAnsi="Cambria Math" w:cs="Times New Roman"/>
                                <w:sz w:val="18"/>
                                <w:szCs w:val="18"/>
                              </w:rPr>
                              <m:t>+</m:t>
                            </m:r>
                          </m:sup>
                        </m:sSubSup>
                      </m:e>
                    </m:rad>
                    <m:r>
                      <w:rPr>
                        <w:rFonts w:ascii="Cambria Math" w:hAnsi="Cambria Math" w:cs="Times New Roman"/>
                        <w:sz w:val="18"/>
                        <w:szCs w:val="18"/>
                        <w:lang w:val="en-GB" w:eastAsia="en-GB"/>
                      </w:rPr>
                      <m:t>-</m:t>
                    </m:r>
                    <m:rad>
                      <m:radPr>
                        <m:degHide m:val="1"/>
                        <m:ctrlPr>
                          <w:rPr>
                            <w:rFonts w:ascii="Cambria Math" w:hAnsi="Cambria Math" w:cs="Times New Roman"/>
                            <w:i/>
                            <w:sz w:val="18"/>
                            <w:szCs w:val="18"/>
                            <w:lang w:val="en-GB" w:eastAsia="en-GB"/>
                          </w:rPr>
                        </m:ctrlPr>
                      </m:radPr>
                      <m:deg/>
                      <m:e>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W</m:t>
                            </m:r>
                          </m:sub>
                          <m:sup>
                            <m:r>
                              <w:rPr>
                                <w:rFonts w:ascii="Cambria Math" w:hAnsi="Cambria Math" w:cs="Times New Roman"/>
                                <w:sz w:val="18"/>
                                <w:szCs w:val="18"/>
                              </w:rPr>
                              <m:t>+</m:t>
                            </m:r>
                          </m:sup>
                        </m:sSubSup>
                      </m:e>
                    </m:rad>
                  </m:e>
                </m:d>
                <m:r>
                  <w:rPr>
                    <w:rFonts w:ascii="Cambria Math" w:hAnsi="Cambria Math" w:cs="Times New Roman"/>
                    <w:sz w:val="18"/>
                    <w:szCs w:val="18"/>
                  </w:rPr>
                  <m:t>+</m:t>
                </m:r>
                <m:rad>
                  <m:radPr>
                    <m:degHide m:val="1"/>
                    <m:ctrlPr>
                      <w:rPr>
                        <w:rFonts w:ascii="Cambria Math" w:hAnsi="Cambria Math" w:cs="Times New Roman"/>
                        <w:i/>
                        <w:sz w:val="18"/>
                        <w:szCs w:val="18"/>
                        <w:lang w:val="en-GB" w:eastAsia="en-GB"/>
                      </w:rPr>
                    </m:ctrlPr>
                  </m:radPr>
                  <m:deg/>
                  <m:e>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A</m:t>
                        </m:r>
                      </m:sub>
                      <m:sup>
                        <m:r>
                          <w:rPr>
                            <w:rFonts w:ascii="Cambria Math" w:hAnsi="Cambria Math" w:cs="Times New Roman"/>
                            <w:sz w:val="18"/>
                            <w:szCs w:val="18"/>
                          </w:rPr>
                          <m:t>+</m:t>
                        </m:r>
                      </m:sup>
                    </m:sSubSup>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R</m:t>
                        </m:r>
                      </m:sub>
                      <m:sup>
                        <m:r>
                          <w:rPr>
                            <w:rFonts w:ascii="Cambria Math" w:hAnsi="Cambria Math" w:cs="Times New Roman"/>
                            <w:sz w:val="18"/>
                            <w:szCs w:val="18"/>
                          </w:rPr>
                          <m:t>-</m:t>
                        </m:r>
                      </m:sup>
                    </m:sSubSup>
                    <m:r>
                      <w:rPr>
                        <w:rFonts w:ascii="Cambria Math" w:hAnsi="Cambria Math" w:cs="Times New Roman"/>
                        <w:sz w:val="18"/>
                        <w:szCs w:val="18"/>
                      </w:rPr>
                      <m:t>)</m:t>
                    </m:r>
                  </m:e>
                </m:rad>
                <m:r>
                  <w:rPr>
                    <w:rFonts w:ascii="Cambria Math" w:hAnsi="Cambria Math" w:cs="Times New Roman"/>
                    <w:sz w:val="18"/>
                    <w:szCs w:val="18"/>
                  </w:rPr>
                  <m:t>+</m:t>
                </m:r>
                <m:rad>
                  <m:radPr>
                    <m:degHide m:val="1"/>
                    <m:ctrlPr>
                      <w:rPr>
                        <w:rFonts w:ascii="Cambria Math" w:hAnsi="Cambria Math" w:cs="Times New Roman"/>
                        <w:i/>
                        <w:sz w:val="18"/>
                        <w:szCs w:val="18"/>
                        <w:lang w:val="en-GB" w:eastAsia="en-GB"/>
                      </w:rPr>
                    </m:ctrlPr>
                  </m:radPr>
                  <m:deg/>
                  <m:e>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A</m:t>
                        </m:r>
                      </m:sub>
                      <m:sup>
                        <m:r>
                          <w:rPr>
                            <w:rFonts w:ascii="Cambria Math" w:hAnsi="Cambria Math" w:cs="Times New Roman"/>
                            <w:sz w:val="18"/>
                            <w:szCs w:val="18"/>
                          </w:rPr>
                          <m:t>-</m:t>
                        </m:r>
                      </m:sup>
                    </m:sSubSup>
                    <m:sSubSup>
                      <m:sSubSupPr>
                        <m:ctrlPr>
                          <w:rPr>
                            <w:rFonts w:ascii="Cambria Math" w:hAnsi="Cambria Math" w:cs="Times New Roman"/>
                            <w:i/>
                            <w:sz w:val="18"/>
                            <w:szCs w:val="18"/>
                            <w:lang w:val="en-GB" w:eastAsia="en-GB"/>
                          </w:rPr>
                        </m:ctrlPr>
                      </m:sSubSupPr>
                      <m:e>
                        <m:r>
                          <m:rPr>
                            <m:sty m:val="p"/>
                          </m:rPr>
                          <w:rPr>
                            <w:rFonts w:ascii="Cambria Math" w:hAnsi="Cambria Math" w:cs="Times New Roman"/>
                            <w:sz w:val="18"/>
                            <w:szCs w:val="18"/>
                          </w:rPr>
                          <m:t>Γ</m:t>
                        </m:r>
                      </m:e>
                      <m:sub>
                        <m:r>
                          <w:rPr>
                            <w:rFonts w:ascii="Cambria Math" w:hAnsi="Cambria Math" w:cs="Times New Roman"/>
                            <w:sz w:val="18"/>
                            <w:szCs w:val="18"/>
                          </w:rPr>
                          <m:t>R</m:t>
                        </m:r>
                      </m:sub>
                      <m:sup>
                        <m:r>
                          <w:rPr>
                            <w:rFonts w:ascii="Cambria Math" w:hAnsi="Cambria Math" w:cs="Times New Roman"/>
                            <w:sz w:val="18"/>
                            <w:szCs w:val="18"/>
                          </w:rPr>
                          <m:t>+</m:t>
                        </m:r>
                      </m:sup>
                    </m:sSubSup>
                    <m:r>
                      <w:rPr>
                        <w:rFonts w:ascii="Cambria Math" w:hAnsi="Cambria Math" w:cs="Times New Roman"/>
                        <w:sz w:val="18"/>
                        <w:szCs w:val="18"/>
                      </w:rPr>
                      <m:t>)</m:t>
                    </m:r>
                  </m:e>
                </m:rad>
                <m:ctrlPr>
                  <w:rPr>
                    <w:rFonts w:ascii="Cambria Math" w:hAnsi="Cambria Math" w:cs="Times New Roman"/>
                    <w:i/>
                    <w:sz w:val="18"/>
                    <w:szCs w:val="18"/>
                    <w:lang w:val="en-GB" w:eastAsia="en-GB"/>
                  </w:rPr>
                </m:ctrlPr>
              </m:e>
            </m:eqArr>
          </m:e>
        </m:d>
      </m:oMath>
      <w:r w:rsidR="00E579D8" w:rsidRPr="00C94B99">
        <w:rPr>
          <w:rFonts w:eastAsiaTheme="minorEastAsia" w:cs="Times New Roman"/>
          <w:szCs w:val="24"/>
        </w:rPr>
        <w:t xml:space="preserve">      (</w:t>
      </w:r>
      <w:r w:rsidR="00D41ED9">
        <w:rPr>
          <w:rStyle w:val="fontstyle01"/>
          <w:sz w:val="24"/>
          <w:szCs w:val="24"/>
        </w:rPr>
        <w:t>3.</w:t>
      </w:r>
      <w:r w:rsidR="00E579D8" w:rsidRPr="00C94B99">
        <w:rPr>
          <w:rFonts w:eastAsiaTheme="minorEastAsia" w:cs="Times New Roman"/>
          <w:szCs w:val="24"/>
        </w:rPr>
        <w:t>4)</w:t>
      </w:r>
    </w:p>
    <w:p w14:paraId="5F186974" w14:textId="7198BDD6" w:rsidR="00E579D8" w:rsidRPr="00C94B99" w:rsidRDefault="007F7885" w:rsidP="00C94B99">
      <w:pPr>
        <w:jc w:val="center"/>
        <w:rPr>
          <w:rFonts w:cs="Times New Roman"/>
          <w:szCs w:val="24"/>
        </w:rPr>
      </w:pPr>
      <m:oMath>
        <m:sSub>
          <m:sSubPr>
            <m:ctrlPr>
              <w:rPr>
                <w:rFonts w:ascii="Cambria Math" w:hAnsi="Cambria Math" w:cs="Times New Roman"/>
                <w:i/>
                <w:szCs w:val="24"/>
                <w:lang w:val="en-GB" w:eastAsia="en-GB"/>
              </w:rPr>
            </m:ctrlPr>
          </m:sSubPr>
          <m:e>
            <m:r>
              <w:rPr>
                <w:rFonts w:ascii="Cambria Math" w:hAnsi="Cambria Math" w:cs="Times New Roman"/>
                <w:szCs w:val="24"/>
              </w:rPr>
              <m:t>ER</m:t>
            </m:r>
          </m:e>
          <m:sub>
            <m:r>
              <w:rPr>
                <w:rFonts w:ascii="Cambria Math" w:hAnsi="Cambria Math" w:cs="Times New Roman"/>
                <w:szCs w:val="24"/>
              </w:rPr>
              <m:t>1</m:t>
            </m:r>
          </m:sub>
        </m:sSub>
        <m:r>
          <w:rPr>
            <w:rFonts w:ascii="Cambria Math" w:hAnsi="Cambria Math" w:cs="Times New Roman"/>
            <w:szCs w:val="24"/>
          </w:rPr>
          <m:t>=</m:t>
        </m:r>
        <m:d>
          <m:dPr>
            <m:begChr m:val="|"/>
            <m:endChr m:val="|"/>
            <m:ctrlPr>
              <w:rPr>
                <w:rFonts w:ascii="Cambria Math" w:hAnsi="Cambria Math" w:cs="Times New Roman"/>
                <w:i/>
                <w:szCs w:val="24"/>
                <w:lang w:val="en-GB" w:eastAsia="en-GB"/>
              </w:rPr>
            </m:ctrlPr>
          </m:dPr>
          <m:e>
            <m:f>
              <m:fPr>
                <m:ctrlPr>
                  <w:rPr>
                    <w:rFonts w:ascii="Cambria Math" w:hAnsi="Cambria Math" w:cs="Times New Roman"/>
                    <w:i/>
                    <w:szCs w:val="24"/>
                    <w:lang w:val="en-GB" w:eastAsia="en-GB"/>
                  </w:rPr>
                </m:ctrlPr>
              </m:fPr>
              <m:num>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num>
              <m:den>
                <m:sSubSup>
                  <m:sSubSupPr>
                    <m:ctrlPr>
                      <w:rPr>
                        <w:rFonts w:ascii="Cambria Math" w:hAnsi="Cambria Math" w:cs="Times New Roman"/>
                        <w:i/>
                        <w:szCs w:val="24"/>
                      </w:rPr>
                    </m:ctrlPr>
                  </m:sSubSupPr>
                  <m:e>
                    <m:r>
                      <w:rPr>
                        <w:rFonts w:ascii="Cambria Math" w:hAnsi="Cambria Math" w:cs="Times New Roman"/>
                        <w:szCs w:val="24"/>
                      </w:rPr>
                      <m:t>W</m:t>
                    </m:r>
                  </m:e>
                  <m:sub>
                    <m:r>
                      <w:rPr>
                        <w:rFonts w:ascii="Cambria Math" w:hAnsi="Cambria Math" w:cs="Times New Roman"/>
                        <w:szCs w:val="24"/>
                      </w:rPr>
                      <m:t>ARW</m:t>
                    </m:r>
                  </m:sub>
                  <m:sup>
                    <m:r>
                      <w:rPr>
                        <w:rFonts w:ascii="Cambria Math" w:hAnsi="Cambria Math" w:cs="Times New Roman"/>
                        <w:szCs w:val="24"/>
                      </w:rPr>
                      <m:t>wet</m:t>
                    </m:r>
                  </m:sup>
                </m:sSubSup>
              </m:den>
            </m:f>
          </m:e>
        </m:d>
      </m:oMath>
      <w:r w:rsidR="00E579D8" w:rsidRPr="00C94B99">
        <w:rPr>
          <w:rFonts w:cs="Times New Roman"/>
          <w:szCs w:val="24"/>
        </w:rPr>
        <w:t xml:space="preserve"> </w:t>
      </w:r>
      <w:r w:rsidR="00E579D8" w:rsidRPr="00C94B99">
        <w:rPr>
          <w:rFonts w:cs="Times New Roman"/>
          <w:szCs w:val="24"/>
        </w:rPr>
        <w:tab/>
      </w:r>
      <w:r w:rsidR="00E579D8" w:rsidRPr="00C94B99">
        <w:rPr>
          <w:rFonts w:cs="Times New Roman"/>
          <w:szCs w:val="24"/>
        </w:rPr>
        <w:tab/>
      </w:r>
      <w:r w:rsidR="00E579D8" w:rsidRPr="00C94B99">
        <w:rPr>
          <w:rFonts w:cs="Times New Roman"/>
          <w:szCs w:val="24"/>
        </w:rPr>
        <w:tab/>
        <w:t xml:space="preserve">  </w:t>
      </w:r>
      <w:r w:rsidR="00E579D8" w:rsidRPr="00C94B99">
        <w:rPr>
          <w:rFonts w:cs="Times New Roman"/>
          <w:szCs w:val="24"/>
        </w:rPr>
        <w:tab/>
        <w:t>(</w:t>
      </w:r>
      <w:r w:rsidR="00D41ED9">
        <w:rPr>
          <w:rStyle w:val="fontstyle01"/>
          <w:sz w:val="24"/>
          <w:szCs w:val="24"/>
        </w:rPr>
        <w:t>3.</w:t>
      </w:r>
      <w:r w:rsidR="00E579D8" w:rsidRPr="00C94B99">
        <w:rPr>
          <w:rFonts w:cs="Times New Roman"/>
          <w:szCs w:val="24"/>
        </w:rPr>
        <w:t>5)</w:t>
      </w:r>
    </w:p>
    <w:p w14:paraId="469272AA" w14:textId="0BB79D20" w:rsidR="00E579D8" w:rsidRPr="00C94B99" w:rsidRDefault="007F7885" w:rsidP="00C94B99">
      <w:pPr>
        <w:jc w:val="center"/>
        <w:rPr>
          <w:rFonts w:cs="Times New Roman"/>
          <w:szCs w:val="24"/>
        </w:rPr>
      </w:pPr>
      <m:oMath>
        <m:sSub>
          <m:sSubPr>
            <m:ctrlPr>
              <w:rPr>
                <w:rFonts w:ascii="Cambria Math" w:hAnsi="Cambria Math" w:cs="Times New Roman"/>
                <w:i/>
                <w:szCs w:val="24"/>
                <w:lang w:val="en-GB" w:eastAsia="en-GB"/>
              </w:rPr>
            </m:ctrlPr>
          </m:sSubPr>
          <m:e>
            <m:r>
              <w:rPr>
                <w:rFonts w:ascii="Cambria Math" w:hAnsi="Cambria Math" w:cs="Times New Roman"/>
                <w:szCs w:val="24"/>
              </w:rPr>
              <m:t>ER</m:t>
            </m:r>
          </m:e>
          <m:sub>
            <m:r>
              <w:rPr>
                <w:rFonts w:ascii="Cambria Math" w:hAnsi="Cambria Math" w:cs="Times New Roman"/>
                <w:szCs w:val="24"/>
              </w:rPr>
              <m:t>2</m:t>
            </m:r>
          </m:sub>
        </m:sSub>
        <m:r>
          <w:rPr>
            <w:rFonts w:ascii="Cambria Math" w:hAnsi="Cambria Math" w:cs="Times New Roman"/>
            <w:szCs w:val="24"/>
          </w:rPr>
          <m:t>=</m:t>
        </m:r>
        <m:d>
          <m:dPr>
            <m:begChr m:val="|"/>
            <m:endChr m:val="|"/>
            <m:ctrlPr>
              <w:rPr>
                <w:rFonts w:ascii="Cambria Math" w:hAnsi="Cambria Math" w:cs="Times New Roman"/>
                <w:i/>
                <w:szCs w:val="24"/>
                <w:lang w:val="en-GB" w:eastAsia="en-GB"/>
              </w:rPr>
            </m:ctrlPr>
          </m:dPr>
          <m:e>
            <m:f>
              <m:fPr>
                <m:ctrlPr>
                  <w:rPr>
                    <w:rFonts w:ascii="Cambria Math" w:hAnsi="Cambria Math" w:cs="Times New Roman"/>
                    <w:i/>
                    <w:szCs w:val="24"/>
                    <w:lang w:val="en-GB" w:eastAsia="en-GB"/>
                  </w:rPr>
                </m:ctrlPr>
              </m:fPr>
              <m:num>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r>
                  <w:rPr>
                    <w:rFonts w:ascii="Cambria Math" w:hAnsi="Cambria Math" w:cs="Times New Roman"/>
                    <w:szCs w:val="24"/>
                  </w:rPr>
                  <m:t>-</m:t>
                </m:r>
                <m:sSub>
                  <m:sSubPr>
                    <m:ctrlPr>
                      <w:rPr>
                        <w:rFonts w:ascii="Cambria Math" w:hAnsi="Cambria Math" w:cs="Times New Roman"/>
                        <w:i/>
                        <w:szCs w:val="24"/>
                        <w:lang w:val="en-GB" w:eastAsia="en-GB"/>
                      </w:rPr>
                    </m:ctrlPr>
                  </m:sSubPr>
                  <m:e>
                    <m:r>
                      <w:rPr>
                        <w:rFonts w:ascii="Cambria Math" w:hAnsi="Cambria Math" w:cs="Times New Roman"/>
                        <w:szCs w:val="24"/>
                      </w:rPr>
                      <m:t>W</m:t>
                    </m:r>
                  </m:e>
                  <m:sub>
                    <m:r>
                      <w:rPr>
                        <w:rFonts w:ascii="Cambria Math" w:hAnsi="Cambria Math" w:cs="Times New Roman"/>
                        <w:szCs w:val="24"/>
                      </w:rPr>
                      <m:t>AA</m:t>
                    </m:r>
                  </m:sub>
                </m:sSub>
              </m:num>
              <m:den>
                <m:sSubSup>
                  <m:sSubSupPr>
                    <m:ctrlPr>
                      <w:rPr>
                        <w:rFonts w:ascii="Cambria Math" w:hAnsi="Cambria Math" w:cs="Times New Roman"/>
                        <w:i/>
                        <w:szCs w:val="24"/>
                      </w:rPr>
                    </m:ctrlPr>
                  </m:sSubSupPr>
                  <m:e>
                    <m:r>
                      <w:rPr>
                        <w:rFonts w:ascii="Cambria Math" w:hAnsi="Cambria Math" w:cs="Times New Roman"/>
                        <w:szCs w:val="24"/>
                      </w:rPr>
                      <m:t>W</m:t>
                    </m:r>
                  </m:e>
                  <m:sub>
                    <m:r>
                      <w:rPr>
                        <w:rFonts w:ascii="Cambria Math" w:hAnsi="Cambria Math" w:cs="Times New Roman"/>
                        <w:szCs w:val="24"/>
                      </w:rPr>
                      <m:t>ARW</m:t>
                    </m:r>
                  </m:sub>
                  <m:sup>
                    <m:r>
                      <w:rPr>
                        <w:rFonts w:ascii="Cambria Math" w:hAnsi="Cambria Math" w:cs="Times New Roman"/>
                        <w:szCs w:val="24"/>
                      </w:rPr>
                      <m:t>wet</m:t>
                    </m:r>
                  </m:sup>
                </m:sSubSup>
              </m:den>
            </m:f>
          </m:e>
        </m:d>
      </m:oMath>
      <w:r w:rsidR="00E579D8" w:rsidRPr="00C94B99">
        <w:rPr>
          <w:rFonts w:cs="Times New Roman"/>
          <w:szCs w:val="24"/>
        </w:rPr>
        <w:tab/>
      </w:r>
      <w:r w:rsidR="00E579D8" w:rsidRPr="00C94B99">
        <w:rPr>
          <w:rFonts w:cs="Times New Roman"/>
          <w:szCs w:val="24"/>
        </w:rPr>
        <w:tab/>
      </w:r>
      <w:r w:rsidR="00E579D8" w:rsidRPr="00C94B99">
        <w:rPr>
          <w:rFonts w:cs="Times New Roman"/>
          <w:szCs w:val="24"/>
        </w:rPr>
        <w:tab/>
        <w:t>(</w:t>
      </w:r>
      <w:r w:rsidR="00D41ED9">
        <w:rPr>
          <w:rStyle w:val="fontstyle01"/>
          <w:sz w:val="24"/>
          <w:szCs w:val="24"/>
        </w:rPr>
        <w:t>3.</w:t>
      </w:r>
      <w:r w:rsidR="00E579D8" w:rsidRPr="00C94B99">
        <w:rPr>
          <w:rFonts w:cs="Times New Roman"/>
          <w:szCs w:val="24"/>
        </w:rPr>
        <w:t>6)</w:t>
      </w:r>
    </w:p>
    <w:p w14:paraId="7B45B055" w14:textId="1E139B23" w:rsidR="00E579D8" w:rsidRPr="00C94B99" w:rsidRDefault="007F7885" w:rsidP="00C94B99">
      <w:pPr>
        <w:jc w:val="center"/>
        <w:rPr>
          <w:rFonts w:cs="Times New Roman"/>
          <w:szCs w:val="24"/>
        </w:rPr>
      </w:pPr>
      <m:oMath>
        <m:sSub>
          <m:sSubPr>
            <m:ctrlPr>
              <w:rPr>
                <w:rFonts w:ascii="Cambria Math" w:hAnsi="Cambria Math" w:cs="Times New Roman"/>
                <w:i/>
                <w:szCs w:val="24"/>
                <w:lang w:val="en-GB" w:eastAsia="en-GB"/>
              </w:rPr>
            </m:ctrlPr>
          </m:sSubPr>
          <m:e>
            <m:r>
              <w:rPr>
                <w:rFonts w:ascii="Cambria Math" w:hAnsi="Cambria Math" w:cs="Times New Roman"/>
                <w:szCs w:val="24"/>
              </w:rPr>
              <m:t>W</m:t>
            </m:r>
          </m:e>
          <m:sub>
            <m:r>
              <w:rPr>
                <w:rFonts w:ascii="Cambria Math" w:hAnsi="Cambria Math" w:cs="Times New Roman"/>
                <w:szCs w:val="24"/>
              </w:rPr>
              <m:t>AA</m:t>
            </m:r>
          </m:sub>
        </m:sSub>
        <m:r>
          <w:rPr>
            <w:rFonts w:ascii="Cambria Math" w:hAnsi="Cambria Math" w:cs="Times New Roman"/>
            <w:szCs w:val="24"/>
          </w:rPr>
          <m:t>=2</m:t>
        </m:r>
        <m:d>
          <m:dPr>
            <m:ctrlPr>
              <w:rPr>
                <w:rFonts w:ascii="Cambria Math" w:hAnsi="Cambria Math" w:cs="Times New Roman"/>
                <w:i/>
                <w:szCs w:val="24"/>
                <w:lang w:val="en-GB" w:eastAsia="en-GB"/>
              </w:rPr>
            </m:ctrlPr>
          </m:dPr>
          <m:e>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LW</m:t>
                </m:r>
              </m:sup>
            </m:sSubSup>
            <m:r>
              <w:rPr>
                <w:rFonts w:ascii="Cambria Math" w:hAnsi="Cambria Math" w:cs="Times New Roman"/>
                <w:szCs w:val="24"/>
              </w:rPr>
              <m:t>+2</m:t>
            </m:r>
            <m:rad>
              <m:radPr>
                <m:degHide m:val="1"/>
                <m:ctrlPr>
                  <w:rPr>
                    <w:rFonts w:ascii="Cambria Math" w:hAnsi="Cambria Math" w:cs="Times New Roman"/>
                    <w:i/>
                    <w:szCs w:val="24"/>
                    <w:lang w:val="en-GB" w:eastAsia="en-GB"/>
                  </w:rPr>
                </m:ctrlPr>
              </m:radPr>
              <m:deg/>
              <m:e>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r>
                  <w:rPr>
                    <w:rFonts w:ascii="Cambria Math" w:hAnsi="Cambria Math" w:cs="Times New Roman"/>
                    <w:szCs w:val="24"/>
                  </w:rPr>
                  <m:t>)</m:t>
                </m:r>
              </m:e>
            </m:rad>
          </m:e>
        </m:d>
      </m:oMath>
      <w:r w:rsidR="00E579D8" w:rsidRPr="00C94B99">
        <w:rPr>
          <w:rFonts w:cs="Times New Roman"/>
          <w:szCs w:val="24"/>
        </w:rPr>
        <w:t xml:space="preserve">               (</w:t>
      </w:r>
      <w:r w:rsidR="00D41ED9">
        <w:rPr>
          <w:rStyle w:val="fontstyle01"/>
          <w:sz w:val="24"/>
          <w:szCs w:val="24"/>
        </w:rPr>
        <w:t>3.</w:t>
      </w:r>
      <w:r w:rsidR="00E579D8" w:rsidRPr="00C94B99">
        <w:rPr>
          <w:rFonts w:cs="Times New Roman"/>
          <w:szCs w:val="24"/>
        </w:rPr>
        <w:t>7)</w:t>
      </w:r>
    </w:p>
    <w:p w14:paraId="11D268EC" w14:textId="22436F04" w:rsidR="0038132E" w:rsidRPr="00C94B99" w:rsidRDefault="0038132E" w:rsidP="00E57694">
      <w:pPr>
        <w:pStyle w:val="Heading2"/>
        <w:rPr>
          <w:rStyle w:val="fontstyle01"/>
          <w:b w:val="0"/>
          <w:bCs w:val="0"/>
          <w:sz w:val="24"/>
          <w:szCs w:val="24"/>
        </w:rPr>
      </w:pPr>
      <w:bookmarkStart w:id="76" w:name="_Toc71728427"/>
      <w:r w:rsidRPr="00C94B99">
        <w:t>OBJECTIVES</w:t>
      </w:r>
      <w:bookmarkEnd w:id="76"/>
      <w:r w:rsidRPr="00C94B99">
        <w:rPr>
          <w:rStyle w:val="fontstyle01"/>
          <w:sz w:val="24"/>
          <w:szCs w:val="24"/>
        </w:rPr>
        <w:t xml:space="preserve"> </w:t>
      </w:r>
    </w:p>
    <w:p w14:paraId="71AD7FBE" w14:textId="50A8CEE0" w:rsidR="005A1936" w:rsidRPr="00C94B99" w:rsidRDefault="00052786" w:rsidP="00C94B99">
      <w:pPr>
        <w:tabs>
          <w:tab w:val="left" w:pos="720"/>
        </w:tabs>
        <w:rPr>
          <w:rStyle w:val="fontstyle01"/>
          <w:sz w:val="24"/>
          <w:szCs w:val="24"/>
        </w:rPr>
      </w:pPr>
      <w:bookmarkStart w:id="77" w:name="_Toc6529113"/>
      <w:r w:rsidRPr="00C94B99">
        <w:rPr>
          <w:rStyle w:val="fontstyle01"/>
          <w:sz w:val="24"/>
          <w:szCs w:val="24"/>
        </w:rPr>
        <w:tab/>
      </w:r>
      <w:r w:rsidR="005A1936" w:rsidRPr="00C94B99">
        <w:rPr>
          <w:rStyle w:val="fontstyle01"/>
          <w:sz w:val="24"/>
          <w:szCs w:val="24"/>
        </w:rPr>
        <w:t xml:space="preserve">In this study, the compatibilities of the different binder-aggregate combinations with respect to moisture-induced damage were assessed through chemical analysis and thermodynamic approaches. The effects of different additives, namely WMA, ASA, PPA and RAP on the chemical composition and surface free energy components of commonly used binders were investigated. Also, the effects of short- and long-term aging on the polar functional groups and SFE components of the binder blends were evaluated. Furthermore, </w:t>
      </w:r>
      <w:r w:rsidR="00EA4AE3">
        <w:rPr>
          <w:rStyle w:val="fontstyle01"/>
          <w:sz w:val="24"/>
          <w:szCs w:val="24"/>
        </w:rPr>
        <w:t xml:space="preserve">the </w:t>
      </w:r>
      <w:r w:rsidR="005A1936" w:rsidRPr="00C94B99">
        <w:rPr>
          <w:rStyle w:val="fontstyle01"/>
          <w:sz w:val="24"/>
          <w:szCs w:val="24"/>
        </w:rPr>
        <w:t>elemental compositions of locally available aggregates were determined to investigate their role in the moisture-induced damage. The specific objectives of this study are:</w:t>
      </w:r>
    </w:p>
    <w:p w14:paraId="280A921D" w14:textId="77777777" w:rsidR="005A1936" w:rsidRPr="00C94B99" w:rsidRDefault="005A1936" w:rsidP="00C94B99">
      <w:pPr>
        <w:pStyle w:val="ListParagraph"/>
        <w:numPr>
          <w:ilvl w:val="0"/>
          <w:numId w:val="5"/>
        </w:numPr>
        <w:tabs>
          <w:tab w:val="left" w:pos="1460"/>
        </w:tabs>
        <w:rPr>
          <w:rStyle w:val="fontstyle01"/>
          <w:sz w:val="24"/>
          <w:szCs w:val="24"/>
        </w:rPr>
      </w:pPr>
      <w:r w:rsidRPr="00C94B99">
        <w:rPr>
          <w:rStyle w:val="fontstyle01"/>
          <w:sz w:val="24"/>
          <w:szCs w:val="24"/>
        </w:rPr>
        <w:t>To evaluate the effects of different additives and aging (</w:t>
      </w:r>
      <w:r w:rsidRPr="00C94B99">
        <w:t xml:space="preserve">short-term and long-term) </w:t>
      </w:r>
      <w:r w:rsidRPr="00C94B99">
        <w:rPr>
          <w:rStyle w:val="fontstyle01"/>
          <w:sz w:val="24"/>
          <w:szCs w:val="24"/>
        </w:rPr>
        <w:t>on the SFE components of an unmodified and a polymer-modified binder.</w:t>
      </w:r>
    </w:p>
    <w:p w14:paraId="38942034" w14:textId="77777777" w:rsidR="005A1936" w:rsidRPr="00C94B99" w:rsidRDefault="005A1936" w:rsidP="00C94B99">
      <w:pPr>
        <w:pStyle w:val="ListParagraph"/>
        <w:numPr>
          <w:ilvl w:val="0"/>
          <w:numId w:val="5"/>
        </w:numPr>
        <w:tabs>
          <w:tab w:val="left" w:pos="1460"/>
        </w:tabs>
        <w:rPr>
          <w:rStyle w:val="fontstyle01"/>
          <w:sz w:val="24"/>
          <w:szCs w:val="24"/>
        </w:rPr>
      </w:pPr>
      <w:r w:rsidRPr="00C94B99">
        <w:rPr>
          <w:rStyle w:val="fontstyle01"/>
          <w:sz w:val="24"/>
          <w:szCs w:val="24"/>
        </w:rPr>
        <w:t xml:space="preserve">To assess the effect of additives and aging on the chemical composition of binders using FTIR spectroscopy. </w:t>
      </w:r>
    </w:p>
    <w:p w14:paraId="25A4312D" w14:textId="77777777" w:rsidR="005A1936" w:rsidRPr="00C94B99" w:rsidRDefault="005A1936" w:rsidP="00C94B99">
      <w:pPr>
        <w:pStyle w:val="ListParagraph"/>
        <w:numPr>
          <w:ilvl w:val="0"/>
          <w:numId w:val="5"/>
        </w:numPr>
        <w:tabs>
          <w:tab w:val="left" w:pos="1460"/>
        </w:tabs>
      </w:pPr>
      <w:r w:rsidRPr="00C94B99">
        <w:t>To determine the SFE components and elemental compositions of commonly used aggregates in Oklahoma. Also, evaluate the effect of chemical composition of aggregate on the moisture-induced damage potential of a mix.</w:t>
      </w:r>
    </w:p>
    <w:p w14:paraId="26FF4D5D" w14:textId="77777777" w:rsidR="005A1936" w:rsidRPr="00C94B99" w:rsidRDefault="005A1936" w:rsidP="00C94B99">
      <w:pPr>
        <w:pStyle w:val="ListParagraph"/>
        <w:numPr>
          <w:ilvl w:val="0"/>
          <w:numId w:val="5"/>
        </w:numPr>
      </w:pPr>
      <w:r w:rsidRPr="00C94B99">
        <w:t>Using chemical analysis and SFE technique, evaluate the moisture-induced damage potential of binders’ containing different types of additives with different types of aggregates. Also, investigate the effects of aging on the moisture-induced damage potential of binder-aggregate system.</w:t>
      </w:r>
    </w:p>
    <w:p w14:paraId="1CC2B314" w14:textId="45D26AC1" w:rsidR="0038132E" w:rsidRPr="00C94B99" w:rsidRDefault="0038132E" w:rsidP="00E57694">
      <w:pPr>
        <w:pStyle w:val="Heading2"/>
      </w:pPr>
      <w:bookmarkStart w:id="78" w:name="_Toc71728428"/>
      <w:r w:rsidRPr="00C94B99">
        <w:t>MATERIALS AND METHODOLOG</w:t>
      </w:r>
      <w:bookmarkEnd w:id="77"/>
      <w:r w:rsidRPr="00C94B99">
        <w:t>IES</w:t>
      </w:r>
      <w:bookmarkEnd w:id="78"/>
    </w:p>
    <w:p w14:paraId="745CD29D" w14:textId="6AFD3464" w:rsidR="0038132E" w:rsidRPr="00C94B99" w:rsidRDefault="0038132E" w:rsidP="00985A4A">
      <w:pPr>
        <w:pStyle w:val="Heading3"/>
      </w:pPr>
      <w:bookmarkStart w:id="79" w:name="_Toc71728429"/>
      <w:r w:rsidRPr="00C94B99">
        <w:t>Materials</w:t>
      </w:r>
      <w:bookmarkEnd w:id="79"/>
    </w:p>
    <w:p w14:paraId="2808D4C3" w14:textId="77777777" w:rsidR="0038132E" w:rsidRPr="004E4858" w:rsidRDefault="0038132E" w:rsidP="00C94B99">
      <w:pPr>
        <w:pStyle w:val="Heading4"/>
        <w:spacing w:before="0" w:after="0"/>
        <w:rPr>
          <w:szCs w:val="24"/>
        </w:rPr>
      </w:pPr>
      <w:bookmarkStart w:id="80" w:name="_Toc6529115"/>
      <w:r w:rsidRPr="004E4858">
        <w:rPr>
          <w:szCs w:val="24"/>
        </w:rPr>
        <w:t>Asphalt Binder</w:t>
      </w:r>
      <w:bookmarkEnd w:id="80"/>
    </w:p>
    <w:p w14:paraId="75D6FCE7" w14:textId="724C748F" w:rsidR="0038132E" w:rsidRPr="00C94B99" w:rsidRDefault="00EF3363" w:rsidP="00C94B99">
      <w:pPr>
        <w:ind w:firstLine="720"/>
        <w:rPr>
          <w:rFonts w:cs="Times New Roman"/>
          <w:szCs w:val="24"/>
        </w:rPr>
      </w:pPr>
      <w:r w:rsidRPr="004E4858">
        <w:rPr>
          <w:rFonts w:cs="Times New Roman"/>
          <w:szCs w:val="24"/>
        </w:rPr>
        <w:t>A PG 64-22 binder and a polymer-modified</w:t>
      </w:r>
      <w:r w:rsidR="004D604F" w:rsidRPr="004E4858">
        <w:rPr>
          <w:rFonts w:cs="Times New Roman"/>
          <w:szCs w:val="24"/>
        </w:rPr>
        <w:t xml:space="preserve"> (styrene-</w:t>
      </w:r>
      <w:r w:rsidR="004E4858" w:rsidRPr="004E4858">
        <w:rPr>
          <w:rFonts w:cs="Times New Roman"/>
          <w:szCs w:val="24"/>
        </w:rPr>
        <w:t>butadiene</w:t>
      </w:r>
      <w:r w:rsidR="004D604F" w:rsidRPr="004E4858">
        <w:rPr>
          <w:rFonts w:cs="Times New Roman"/>
          <w:szCs w:val="24"/>
        </w:rPr>
        <w:t>-styrene</w:t>
      </w:r>
      <w:r w:rsidR="00497EE3" w:rsidRPr="004E4858">
        <w:rPr>
          <w:rFonts w:cs="Times New Roman"/>
          <w:szCs w:val="24"/>
        </w:rPr>
        <w:t>)</w:t>
      </w:r>
      <w:r w:rsidRPr="004E4858">
        <w:rPr>
          <w:rFonts w:cs="Times New Roman"/>
          <w:szCs w:val="24"/>
        </w:rPr>
        <w:t xml:space="preserve"> PG 76-28 binder from Oklahoma refineries were collected for this study. Also, a chemical warm mix asphalt (WMA) additive, an antistripping agent (ASA) and a 105%</w:t>
      </w:r>
      <w:r w:rsidRPr="00C94B99">
        <w:rPr>
          <w:rFonts w:cs="Times New Roman"/>
          <w:szCs w:val="24"/>
        </w:rPr>
        <w:t xml:space="preserve"> polyphosphoric acid (PPA) were collected from local sources. Reclaimed asphalt pavement (RAP) binder was prepared in the laboratory by simulating long-term aging on the PG 64-22 binder using a pressure aging vessel (PAV). A number of studies have used this method for producing RAP binder in the laboratory environment </w:t>
      </w:r>
      <w:r w:rsidRPr="00C94B99">
        <w:rPr>
          <w:rFonts w:cs="Times New Roman"/>
          <w:szCs w:val="24"/>
        </w:rPr>
        <w:fldChar w:fldCharType="begin"/>
      </w:r>
      <w:r w:rsidR="00282238">
        <w:rPr>
          <w:rFonts w:cs="Times New Roman"/>
          <w:szCs w:val="24"/>
        </w:rPr>
        <w:instrText xml:space="preserve"> ADDIN EN.CITE &lt;EndNote&gt;&lt;Cite&gt;&lt;Author&gt;Ghabchi&lt;/Author&gt;&lt;Year&gt;2014&lt;/Year&gt;&lt;RecNum&gt;113&lt;/RecNum&gt;&lt;DisplayText&gt;(Ghabchi et al., 2014; Zhang et al., 2019)&lt;/DisplayText&gt;&lt;record&gt;&lt;rec-number&gt;113&lt;/rec-number&gt;&lt;foreign-keys&gt;&lt;key app="EN" db-id="d55vzfpwawdafteedfoxsf0lv0v0wp5va2aa" timestamp="1521350423"&gt;113&lt;/key&gt;&lt;/foreign-keys&gt;&lt;ref-type name="Journal Article"&gt;17&lt;/ref-type&gt;&lt;contributors&gt;&lt;authors&gt;&lt;author&gt;Ghabchi, Rouzbeh&lt;/author&gt;&lt;author&gt;Singh, Dharamveer&lt;/author&gt;&lt;author&gt;Zaman, Musharraf&lt;/author&gt;&lt;/authors&gt;&lt;/contributors&gt;&lt;titles&gt;&lt;title&gt;Evaluation of Moisture Susceptibility of Asphalt Mixes Containing RAP and Different Types of Aggregates and Asphalt Binders Using the Surface Free Energy Method&lt;/title&gt;&lt;secondary-title&gt;Construction and Building Materials&lt;/secondary-title&gt;&lt;/titles&gt;&lt;periodical&gt;&lt;full-title&gt;Construction and Building Materials&lt;/full-title&gt;&lt;/periodical&gt;&lt;pages&gt;479-489&lt;/pages&gt;&lt;volume&gt;73&lt;/volume&gt;&lt;dates&gt;&lt;year&gt;2014&lt;/year&gt;&lt;/dates&gt;&lt;isbn&gt;0950-0618&lt;/isbn&gt;&lt;urls&gt;&lt;/urls&gt;&lt;/record&gt;&lt;/Cite&gt;&lt;Cite&gt;&lt;Author&gt;Zhang&lt;/Author&gt;&lt;Year&gt;2019&lt;/Year&gt;&lt;RecNum&gt;236&lt;/RecNum&gt;&lt;record&gt;&lt;rec-number&gt;236&lt;/rec-number&gt;&lt;foreign-keys&gt;&lt;key app="EN" db-id="d55vzfpwawdafteedfoxsf0lv0v0wp5va2aa" timestamp="1617051153"&gt;236&lt;/key&gt;&lt;/foreign-keys&gt;&lt;ref-type name="Journal Article"&gt;17&lt;/ref-type&gt;&lt;contributors&gt;&lt;authors&gt;&lt;author&gt;Zhang, Ran&lt;/author&gt;&lt;author&gt;You, Zhanping&lt;/author&gt;&lt;author&gt;Wang, Hainian&lt;/author&gt;&lt;author&gt;Ye, Mingxiao&lt;/author&gt;&lt;author&gt;Yap, Yoke Khin&lt;/author&gt;&lt;author&gt;Si, Chundi&lt;/author&gt;&lt;/authors&gt;&lt;/contributors&gt;&lt;titles&gt;&lt;title&gt;The impact of bio-oil as rejuvenator for aged asphalt binder&lt;/title&gt;&lt;secondary-title&gt;Construction and building materials&lt;/secondary-title&gt;&lt;/titles&gt;&lt;periodical&gt;&lt;full-title&gt;Construction and Building Materials&lt;/full-title&gt;&lt;/periodical&gt;&lt;pages&gt;134-143&lt;/pages&gt;&lt;volume&gt;196&lt;/volume&gt;&lt;dates&gt;&lt;year&gt;2019&lt;/year&gt;&lt;/dates&gt;&lt;isbn&gt;0950-0618&lt;/isbn&gt;&lt;urls&gt;&lt;/urls&gt;&lt;/record&gt;&lt;/Cite&gt;&lt;/EndNote&gt;</w:instrText>
      </w:r>
      <w:r w:rsidRPr="00C94B99">
        <w:rPr>
          <w:rFonts w:cs="Times New Roman"/>
          <w:szCs w:val="24"/>
        </w:rPr>
        <w:fldChar w:fldCharType="separate"/>
      </w:r>
      <w:r w:rsidR="00282238">
        <w:rPr>
          <w:rFonts w:cs="Times New Roman"/>
          <w:noProof/>
          <w:szCs w:val="24"/>
        </w:rPr>
        <w:t>(Ghabchi et al., 2014; Zhang et al., 2019)</w:t>
      </w:r>
      <w:r w:rsidRPr="00C94B99">
        <w:rPr>
          <w:rFonts w:cs="Times New Roman"/>
          <w:szCs w:val="24"/>
        </w:rPr>
        <w:fldChar w:fldCharType="end"/>
      </w:r>
      <w:r w:rsidRPr="00C94B99">
        <w:rPr>
          <w:rFonts w:cs="Times New Roman"/>
          <w:szCs w:val="24"/>
        </w:rPr>
        <w:t xml:space="preserve">. The WMA and ASA were added to both PG 64-22 and PG 76-28 binders at a rate of 0.5% by the weight of the binder as recommended by the manufacturers. The PPA-modification was performed on only </w:t>
      </w:r>
      <w:r w:rsidR="00EA4AE3">
        <w:rPr>
          <w:rFonts w:cs="Times New Roman"/>
          <w:szCs w:val="24"/>
        </w:rPr>
        <w:t xml:space="preserve">the </w:t>
      </w:r>
      <w:r w:rsidRPr="00C94B99">
        <w:rPr>
          <w:rFonts w:cs="Times New Roman"/>
          <w:szCs w:val="24"/>
        </w:rPr>
        <w:t xml:space="preserve">PG 64-22 binder. Approximately 1.5% PPA, by weight of the binder, was added to the PG 64-22 binder for this purpose. Also, RAP binder blends were prepared by adding 20% (by weight of total binder) simulated RAP binder to the PG 64-22 and PG 76-28 binders. Blending of the binders and additives were performed in a high shear mixer by running at 1,000 rpm for 45 minutes. The PG 64-22 and PG 76-28 binders were blended at 155°C and 170°C, respectively. The AASHTO T 240 </w:t>
      </w:r>
      <w:r w:rsidRPr="00C94B99">
        <w:rPr>
          <w:rFonts w:cs="Times New Roman"/>
          <w:szCs w:val="24"/>
        </w:rPr>
        <w:fldChar w:fldCharType="begin"/>
      </w:r>
      <w:r w:rsidR="00282238">
        <w:rPr>
          <w:rFonts w:cs="Times New Roman"/>
          <w:szCs w:val="24"/>
        </w:rPr>
        <w:instrText xml:space="preserve"> ADDIN EN.CITE &lt;EndNote&gt;&lt;Cite&gt;&lt;Author&gt;AASHTO&lt;/Author&gt;&lt;Year&gt;2017&lt;/Year&gt;&lt;RecNum&gt;231&lt;/RecNum&gt;&lt;DisplayText&gt;(AASHTO, 2017)&lt;/DisplayText&gt;&lt;record&gt;&lt;rec-number&gt;231&lt;/rec-number&gt;&lt;foreign-keys&gt;&lt;key app="EN" db-id="d55vzfpwawdafteedfoxsf0lv0v0wp5va2aa" timestamp="1582054352"&gt;231&lt;/key&gt;&lt;/foreign-keys&gt;&lt;ref-type name="Standard"&gt;58&lt;/ref-type&gt;&lt;contributors&gt;&lt;authors&gt;&lt;author&gt;AASHTO&lt;/author&gt;&lt;/authors&gt;&lt;/contributors&gt;&lt;titles&gt;&lt;title&gt;AASHTO T 240: Standard Method of Test for Effect of Heat and Air on a Moving Film of Asphalt Binder (Rolling Thin-Film Oven Test) &lt;/title&gt;&lt;/titles&gt;&lt;dates&gt;&lt;year&gt;2017&lt;/year&gt;&lt;/dates&gt;&lt;pub-location&gt;Washington, D.C.&lt;/pub-location&gt;&lt;publisher&gt;American Association of State Highway and Transportation Officials&lt;/publisher&gt;&lt;urls&gt;&lt;/urls&gt;&lt;/record&gt;&lt;/Cite&gt;&lt;/EndNote&gt;</w:instrText>
      </w:r>
      <w:r w:rsidRPr="00C94B99">
        <w:rPr>
          <w:rFonts w:cs="Times New Roman"/>
          <w:szCs w:val="24"/>
        </w:rPr>
        <w:fldChar w:fldCharType="separate"/>
      </w:r>
      <w:r w:rsidR="00282238">
        <w:rPr>
          <w:rFonts w:cs="Times New Roman"/>
          <w:noProof/>
          <w:szCs w:val="24"/>
        </w:rPr>
        <w:t>(AASHTO, 2017)</w:t>
      </w:r>
      <w:r w:rsidRPr="00C94B99">
        <w:rPr>
          <w:rFonts w:cs="Times New Roman"/>
          <w:szCs w:val="24"/>
        </w:rPr>
        <w:fldChar w:fldCharType="end"/>
      </w:r>
      <w:r w:rsidRPr="00C94B99">
        <w:rPr>
          <w:rFonts w:cs="Times New Roman"/>
          <w:szCs w:val="24"/>
        </w:rPr>
        <w:t xml:space="preserve"> test method was used to simulate short-term aging on the binder blends using a rolling thin film oven (RTFO). The RTFO-aging process simulates oxidative aging on the binder, which is similar to the aging in an asphalt plant. The RTFO-aged binder blends were then further aged in a PAV oven to simulate 5-10 years of field aging. The AASHTO R 28 </w:t>
      </w:r>
      <w:r w:rsidRPr="00C94B99">
        <w:rPr>
          <w:rFonts w:cs="Times New Roman"/>
          <w:szCs w:val="24"/>
        </w:rPr>
        <w:fldChar w:fldCharType="begin"/>
      </w:r>
      <w:r w:rsidR="00282238">
        <w:rPr>
          <w:rFonts w:cs="Times New Roman"/>
          <w:szCs w:val="24"/>
        </w:rPr>
        <w:instrText xml:space="preserve"> ADDIN EN.CITE &lt;EndNote&gt;&lt;Cite&gt;&lt;Author&gt;AASHTO&lt;/Author&gt;&lt;Year&gt;2016&lt;/Year&gt;&lt;RecNum&gt;232&lt;/RecNum&gt;&lt;DisplayText&gt;(AASHTO, 2016)&lt;/DisplayText&gt;&lt;record&gt;&lt;rec-number&gt;232&lt;/rec-number&gt;&lt;foreign-keys&gt;&lt;key app="EN" db-id="d55vzfpwawdafteedfoxsf0lv0v0wp5va2aa" timestamp="1582054472"&gt;232&lt;/key&gt;&lt;/foreign-keys&gt;&lt;ref-type name="Standard"&gt;58&lt;/ref-type&gt;&lt;contributors&gt;&lt;authors&gt;&lt;author&gt;AASHTO&lt;/author&gt;&lt;/authors&gt;&lt;/contributors&gt;&lt;titles&gt;&lt;title&gt;AASHTO R 28: Standard Practice for Accelerated Aging of Asphalt Binder Using a Pressurized Aging Vessel (PAV) &lt;/title&gt;&lt;/titles&gt;&lt;dates&gt;&lt;year&gt;2016&lt;/year&gt;&lt;/dates&gt;&lt;pub-location&gt;Washington, D.C.&lt;/pub-location&gt;&lt;publisher&gt;American Association of State Highway and Transportation Officials&lt;/publisher&gt;&lt;urls&gt;&lt;/urls&gt;&lt;/record&gt;&lt;/Cite&gt;&lt;/EndNote&gt;</w:instrText>
      </w:r>
      <w:r w:rsidRPr="00C94B99">
        <w:rPr>
          <w:rFonts w:cs="Times New Roman"/>
          <w:szCs w:val="24"/>
        </w:rPr>
        <w:fldChar w:fldCharType="separate"/>
      </w:r>
      <w:r w:rsidR="00282238">
        <w:rPr>
          <w:rFonts w:cs="Times New Roman"/>
          <w:noProof/>
          <w:szCs w:val="24"/>
        </w:rPr>
        <w:t>(AASHTO, 2016)</w:t>
      </w:r>
      <w:r w:rsidRPr="00C94B99">
        <w:rPr>
          <w:rFonts w:cs="Times New Roman"/>
          <w:szCs w:val="24"/>
        </w:rPr>
        <w:fldChar w:fldCharType="end"/>
      </w:r>
      <w:r w:rsidRPr="00C94B99">
        <w:rPr>
          <w:rFonts w:cs="Times New Roman"/>
          <w:szCs w:val="24"/>
        </w:rPr>
        <w:t xml:space="preserve"> method was followed to performed the PAV-aging. </w:t>
      </w:r>
      <w:r w:rsidR="0038132E" w:rsidRPr="00C94B99">
        <w:rPr>
          <w:rFonts w:cs="Times New Roman"/>
          <w:szCs w:val="24"/>
        </w:rPr>
        <w:t xml:space="preserve"> </w:t>
      </w:r>
    </w:p>
    <w:p w14:paraId="53B10F5F" w14:textId="77777777" w:rsidR="0038132E" w:rsidRPr="00C94B99" w:rsidRDefault="0038132E" w:rsidP="00C94B99">
      <w:pPr>
        <w:pStyle w:val="Heading4"/>
        <w:spacing w:before="0" w:after="0"/>
        <w:rPr>
          <w:szCs w:val="24"/>
        </w:rPr>
      </w:pPr>
      <w:bookmarkStart w:id="81" w:name="_Toc6529116"/>
      <w:r w:rsidRPr="00C94B99">
        <w:rPr>
          <w:szCs w:val="24"/>
        </w:rPr>
        <w:t>Aggregate</w:t>
      </w:r>
      <w:bookmarkEnd w:id="81"/>
    </w:p>
    <w:p w14:paraId="4AA78741" w14:textId="7A5BEC21" w:rsidR="0038132E" w:rsidRPr="00C94B99" w:rsidRDefault="00F927C8" w:rsidP="00C94B99">
      <w:pPr>
        <w:ind w:firstLine="720"/>
        <w:rPr>
          <w:rFonts w:cs="Times New Roman"/>
          <w:szCs w:val="24"/>
          <w:lang w:val="en-CA"/>
        </w:rPr>
      </w:pPr>
      <w:r w:rsidRPr="00C94B99">
        <w:rPr>
          <w:rFonts w:cs="Times New Roman"/>
          <w:szCs w:val="24"/>
          <w:lang w:val="en-CA"/>
        </w:rPr>
        <w:t>In this study, the surface free energy and chemical composition of aggregates from five different Oklahoma sources were evaluated. All these aggregates are commonly used for pavement construction. Three out of the five aggregates were limestone aggregates. For convenience, in this paper these aggregates are called L1, L2 and L3 aggregates. The other two aggregates were collected from a granite (G1) quarry and rhyolite (R1) quarry.</w:t>
      </w:r>
      <w:r w:rsidR="0038132E" w:rsidRPr="00C94B99">
        <w:rPr>
          <w:rFonts w:cs="Times New Roman"/>
          <w:szCs w:val="24"/>
          <w:lang w:val="en-CA"/>
        </w:rPr>
        <w:t xml:space="preserve"> </w:t>
      </w:r>
    </w:p>
    <w:p w14:paraId="17FC96FE" w14:textId="0AE34B85" w:rsidR="0038132E" w:rsidRPr="00C94B99" w:rsidRDefault="0038132E" w:rsidP="00985A4A">
      <w:pPr>
        <w:pStyle w:val="Heading3"/>
        <w:rPr>
          <w:lang w:val="en-CA"/>
        </w:rPr>
      </w:pPr>
      <w:bookmarkStart w:id="82" w:name="_Toc71728430"/>
      <w:r w:rsidRPr="00C94B99">
        <w:rPr>
          <w:lang w:val="en-CA"/>
        </w:rPr>
        <w:t>Methods</w:t>
      </w:r>
      <w:bookmarkEnd w:id="82"/>
    </w:p>
    <w:p w14:paraId="50394199" w14:textId="0290DB8A" w:rsidR="0038132E" w:rsidRPr="00C94B99" w:rsidRDefault="006350AE" w:rsidP="00C94B99">
      <w:pPr>
        <w:ind w:firstLine="720"/>
        <w:rPr>
          <w:rFonts w:cs="Times New Roman"/>
          <w:szCs w:val="24"/>
          <w:lang w:val="en-CA"/>
        </w:rPr>
      </w:pPr>
      <w:r w:rsidRPr="00C94B99">
        <w:rPr>
          <w:rFonts w:cs="Times New Roman"/>
          <w:szCs w:val="24"/>
          <w:lang w:val="en-CA"/>
        </w:rPr>
        <w:t xml:space="preserve">In this study, the surface free energy (SFE) and chemical characteristics of the binder blends were evaluated using the dynamic Wilhelmy plate (DWP), X-ray fluorescence (XRF), and Fourier transform infrared (FTIR) tests. The chemical compositions of the aggregates were determined using XRF testing. A universal Sorption device (USD) was used to determine the SFE components of aggregates. Both the chemical and SFE techniques were used to evaluate the moisture-susceptibility of the binder-aggregate combinations. The work-flow diagram for this study is presented in Figure </w:t>
      </w:r>
      <w:r w:rsidR="00A034BA">
        <w:rPr>
          <w:rFonts w:cs="Times New Roman"/>
          <w:szCs w:val="24"/>
          <w:lang w:val="en-CA"/>
        </w:rPr>
        <w:t>3.</w:t>
      </w:r>
      <w:r w:rsidRPr="00C94B99">
        <w:rPr>
          <w:rFonts w:cs="Times New Roman"/>
          <w:szCs w:val="24"/>
          <w:lang w:val="en-CA"/>
        </w:rPr>
        <w:t>1</w:t>
      </w:r>
    </w:p>
    <w:p w14:paraId="4D50E3F2" w14:textId="77777777" w:rsidR="0038132E" w:rsidRPr="00C94B99" w:rsidRDefault="0038132E" w:rsidP="00C94B99">
      <w:pPr>
        <w:pStyle w:val="Heading4"/>
        <w:spacing w:before="0" w:after="0"/>
        <w:rPr>
          <w:szCs w:val="24"/>
        </w:rPr>
      </w:pPr>
      <w:r w:rsidRPr="00C94B99">
        <w:rPr>
          <w:szCs w:val="24"/>
        </w:rPr>
        <w:t>Dynamic Wilhelmy Plate (DWP) Test</w:t>
      </w:r>
    </w:p>
    <w:p w14:paraId="5021A674" w14:textId="1533B6D7" w:rsidR="00F3642A" w:rsidRPr="00C94B99" w:rsidRDefault="00F3642A" w:rsidP="00C94B99">
      <w:pPr>
        <w:ind w:firstLine="720"/>
        <w:rPr>
          <w:rFonts w:cs="Times New Roman"/>
          <w:szCs w:val="24"/>
        </w:rPr>
      </w:pPr>
      <w:r w:rsidRPr="00C94B99">
        <w:rPr>
          <w:rFonts w:cs="Times New Roman"/>
          <w:szCs w:val="24"/>
        </w:rPr>
        <w:t>The SFE components of the binders were determined using a contact angle measurement method known as the dynamic Wilhelmy plate (DWP) test. The contact angles of the binders with different probe liquids were determined using a dynamic contact angle (DCA) analyzer. Five different probe liquids, namely water, glycer</w:t>
      </w:r>
      <w:r w:rsidR="00513598">
        <w:rPr>
          <w:rFonts w:cs="Times New Roman"/>
          <w:szCs w:val="24"/>
        </w:rPr>
        <w:t>ol</w:t>
      </w:r>
      <w:r w:rsidRPr="00C94B99">
        <w:rPr>
          <w:rFonts w:cs="Times New Roman"/>
          <w:szCs w:val="24"/>
        </w:rPr>
        <w:t xml:space="preserve">, formamide, ethylene glycol and diiodomethane were used for this purpose. Samples for DWP testing were prepared by coating 24 mm x 50 mm glass plates with the binders. For this purpose, binders were heated in an oven until </w:t>
      </w:r>
      <w:r w:rsidR="00FD7893">
        <w:rPr>
          <w:rFonts w:cs="Times New Roman"/>
          <w:szCs w:val="24"/>
        </w:rPr>
        <w:t xml:space="preserve">they </w:t>
      </w:r>
      <w:r w:rsidRPr="00C94B99">
        <w:rPr>
          <w:rFonts w:cs="Times New Roman"/>
          <w:szCs w:val="24"/>
        </w:rPr>
        <w:t xml:space="preserve">became liquid. The glass plates were then immersed into the binder container to get sufficient coating. The coated glass plates were then kept vertically down in the oven for few minutes to ensure an even and uniform thickness at the top of the glass plate. After </w:t>
      </w:r>
      <w:r w:rsidR="00FD7893">
        <w:rPr>
          <w:rFonts w:cs="Times New Roman"/>
          <w:szCs w:val="24"/>
        </w:rPr>
        <w:t xml:space="preserve">being </w:t>
      </w:r>
      <w:r w:rsidRPr="00C94B99">
        <w:rPr>
          <w:rFonts w:cs="Times New Roman"/>
          <w:szCs w:val="24"/>
        </w:rPr>
        <w:t xml:space="preserve">taking out of the oven, samples were kept in a desiccator to reduce contamination on the coated surface. The contact angle measurement of the coated glass plates was performed within 24-36 hours after preparation. Figure </w:t>
      </w:r>
      <w:r w:rsidR="00A034BA">
        <w:rPr>
          <w:rFonts w:cs="Times New Roman"/>
          <w:szCs w:val="24"/>
          <w:lang w:val="en-CA"/>
        </w:rPr>
        <w:t>3.</w:t>
      </w:r>
      <w:r w:rsidRPr="00C94B99">
        <w:rPr>
          <w:rFonts w:cs="Times New Roman"/>
          <w:szCs w:val="24"/>
        </w:rPr>
        <w:t>2(a) shows the setup for DWP test on binder samples. The difference in force due to the immersion of coated samples in a probe liquid was measured using a micro balance in the DCA apparatus. Equation (</w:t>
      </w:r>
      <w:r w:rsidR="00CB09B5">
        <w:rPr>
          <w:rStyle w:val="fontstyle01"/>
          <w:sz w:val="24"/>
          <w:szCs w:val="24"/>
        </w:rPr>
        <w:t>3.</w:t>
      </w:r>
      <w:r w:rsidRPr="00C94B99">
        <w:rPr>
          <w:rFonts w:cs="Times New Roman"/>
          <w:szCs w:val="24"/>
        </w:rPr>
        <w:t>8) was then used to calculate the advancing contact angles from the force measurement during immersion of samples. To ensure consistency and repeatability, five replicates were tested with each probe liquid for each binder blend.</w:t>
      </w:r>
    </w:p>
    <w:p w14:paraId="35FBA22F" w14:textId="3EC59055" w:rsidR="00F3642A" w:rsidRPr="00C94B99" w:rsidRDefault="007F7885" w:rsidP="00C94B99">
      <w:pPr>
        <w:jc w:val="center"/>
        <w:rPr>
          <w:rFonts w:cs="Times New Roman"/>
          <w:szCs w:val="24"/>
        </w:rPr>
      </w:pPr>
      <m:oMath>
        <m:sSub>
          <m:sSubPr>
            <m:ctrlPr>
              <w:rPr>
                <w:rFonts w:ascii="Cambria Math" w:hAnsi="Cambria Math" w:cs="Times New Roman"/>
                <w:i/>
                <w:szCs w:val="24"/>
              </w:rPr>
            </m:ctrlPr>
          </m:sSubPr>
          <m:e>
            <m:r>
              <m:rPr>
                <m:sty m:val="p"/>
              </m:rPr>
              <w:rPr>
                <w:rFonts w:ascii="Cambria Math" w:hAnsi="Cambria Math" w:cs="Times New Roman"/>
                <w:szCs w:val="24"/>
              </w:rPr>
              <m:t>P(Γ</m:t>
            </m:r>
          </m:e>
          <m:sub>
            <m:r>
              <w:rPr>
                <w:rFonts w:ascii="Cambria Math" w:hAnsi="Cambria Math" w:cs="Times New Roman"/>
                <w:szCs w:val="24"/>
              </w:rPr>
              <m:t>L</m:t>
            </m:r>
          </m:sub>
        </m:sSub>
        <m:r>
          <w:rPr>
            <w:rFonts w:ascii="Cambria Math" w:hAnsi="Cambria Math" w:cs="Times New Roman"/>
            <w:szCs w:val="24"/>
          </w:rPr>
          <m:t>cosθ)=F+V</m:t>
        </m:r>
        <m:sSub>
          <m:sSubPr>
            <m:ctrlPr>
              <w:rPr>
                <w:rFonts w:ascii="Cambria Math" w:hAnsi="Cambria Math" w:cs="Times New Roman"/>
                <w:i/>
                <w:szCs w:val="24"/>
              </w:rPr>
            </m:ctrlPr>
          </m:sSubPr>
          <m:e>
            <m:r>
              <w:rPr>
                <w:rFonts w:ascii="Cambria Math" w:hAnsi="Cambria Math" w:cs="Times New Roman"/>
                <w:szCs w:val="24"/>
              </w:rPr>
              <m:t>ρ</m:t>
            </m:r>
          </m:e>
          <m:sub>
            <m:r>
              <w:rPr>
                <w:rFonts w:ascii="Cambria Math" w:hAnsi="Cambria Math" w:cs="Times New Roman"/>
                <w:szCs w:val="24"/>
              </w:rPr>
              <m:t>L</m:t>
            </m:r>
          </m:sub>
        </m:sSub>
        <m:r>
          <w:rPr>
            <w:rFonts w:ascii="Cambria Math" w:hAnsi="Cambria Math" w:cs="Times New Roman"/>
            <w:szCs w:val="24"/>
          </w:rPr>
          <m:t>g</m:t>
        </m:r>
      </m:oMath>
      <w:r w:rsidR="00F3642A" w:rsidRPr="00C94B99">
        <w:rPr>
          <w:rFonts w:eastAsiaTheme="minorEastAsia" w:cs="Times New Roman"/>
          <w:szCs w:val="24"/>
        </w:rPr>
        <w:t xml:space="preserve">                   (</w:t>
      </w:r>
      <w:r w:rsidR="00CB09B5">
        <w:rPr>
          <w:rStyle w:val="fontstyle01"/>
          <w:sz w:val="24"/>
          <w:szCs w:val="24"/>
        </w:rPr>
        <w:t>3.</w:t>
      </w:r>
      <w:r w:rsidR="00F3642A" w:rsidRPr="00C94B99">
        <w:rPr>
          <w:rFonts w:eastAsiaTheme="minorEastAsia" w:cs="Times New Roman"/>
          <w:szCs w:val="24"/>
        </w:rPr>
        <w:t>8)</w:t>
      </w:r>
    </w:p>
    <w:p w14:paraId="1189AA16" w14:textId="77777777" w:rsidR="00F3642A" w:rsidRPr="00C94B99" w:rsidRDefault="00F3642A" w:rsidP="00C94B99">
      <w:pPr>
        <w:ind w:firstLine="720"/>
        <w:rPr>
          <w:rFonts w:cs="Times New Roman"/>
          <w:szCs w:val="24"/>
        </w:rPr>
      </w:pPr>
      <w:r w:rsidRPr="00C94B99">
        <w:rPr>
          <w:rFonts w:cs="Times New Roman"/>
          <w:szCs w:val="24"/>
        </w:rPr>
        <w:t xml:space="preserve">where, </w:t>
      </w:r>
    </w:p>
    <w:p w14:paraId="694ECCA1" w14:textId="77777777" w:rsidR="00F3642A" w:rsidRPr="00C94B99" w:rsidRDefault="00F3642A" w:rsidP="00C94B99">
      <w:pPr>
        <w:ind w:left="720" w:firstLine="720"/>
        <w:rPr>
          <w:rFonts w:eastAsiaTheme="minorEastAsia" w:cs="Times New Roman"/>
          <w:szCs w:val="24"/>
        </w:rPr>
      </w:pPr>
      <w:r w:rsidRPr="00C94B99">
        <w:rPr>
          <w:rFonts w:eastAsiaTheme="minorEastAsia" w:cs="Times New Roman"/>
          <w:szCs w:val="24"/>
        </w:rPr>
        <w:t>Γ</w:t>
      </w:r>
      <w:r w:rsidRPr="00C94B99">
        <w:rPr>
          <w:rFonts w:eastAsiaTheme="minorEastAsia" w:cs="Times New Roman"/>
          <w:i/>
          <w:iCs/>
          <w:szCs w:val="24"/>
          <w:vertAlign w:val="subscript"/>
        </w:rPr>
        <w:t>L</w:t>
      </w:r>
      <w:r w:rsidRPr="00C94B99">
        <w:rPr>
          <w:rFonts w:eastAsiaTheme="minorEastAsia" w:cs="Times New Roman"/>
          <w:szCs w:val="24"/>
        </w:rPr>
        <w:t xml:space="preserve"> = SFE of probe liquid,</w:t>
      </w:r>
    </w:p>
    <w:p w14:paraId="0F0D3700" w14:textId="77777777" w:rsidR="00F3642A" w:rsidRPr="00C94B99" w:rsidRDefault="00F3642A" w:rsidP="00C94B99">
      <w:pPr>
        <w:ind w:left="720" w:firstLine="720"/>
        <w:rPr>
          <w:rFonts w:eastAsiaTheme="minorEastAsia" w:cs="Times New Roman"/>
          <w:szCs w:val="24"/>
        </w:rPr>
      </w:pPr>
      <m:oMath>
        <m:r>
          <w:rPr>
            <w:rFonts w:ascii="Cambria Math" w:hAnsi="Cambria Math" w:cs="Times New Roman"/>
            <w:szCs w:val="24"/>
          </w:rPr>
          <m:t>θ</m:t>
        </m:r>
      </m:oMath>
      <w:r w:rsidRPr="00C94B99">
        <w:rPr>
          <w:rFonts w:eastAsiaTheme="minorEastAsia" w:cs="Times New Roman"/>
          <w:szCs w:val="24"/>
        </w:rPr>
        <w:t xml:space="preserve"> = Contact angle of the binder with probe liquid,</w:t>
      </w:r>
    </w:p>
    <w:p w14:paraId="0903ADCE" w14:textId="77777777" w:rsidR="00F3642A" w:rsidRPr="00C94B99" w:rsidRDefault="00F3642A" w:rsidP="00C94B99">
      <w:pPr>
        <w:ind w:left="720" w:firstLine="720"/>
        <w:rPr>
          <w:rFonts w:eastAsiaTheme="minorEastAsia" w:cs="Times New Roman"/>
          <w:szCs w:val="24"/>
        </w:rPr>
      </w:pPr>
      <m:oMath>
        <m:r>
          <w:rPr>
            <w:rFonts w:ascii="Cambria Math" w:hAnsi="Cambria Math" w:cs="Times New Roman"/>
            <w:szCs w:val="24"/>
          </w:rPr>
          <m:t>F=</m:t>
        </m:r>
      </m:oMath>
      <w:r w:rsidRPr="00C94B99">
        <w:rPr>
          <w:rFonts w:eastAsiaTheme="minorEastAsia" w:cs="Times New Roman"/>
          <w:szCs w:val="24"/>
        </w:rPr>
        <w:t xml:space="preserve"> force on submersion less the weight of the glass plate,</w:t>
      </w:r>
    </w:p>
    <w:p w14:paraId="6D2F7127" w14:textId="77777777" w:rsidR="00F3642A" w:rsidRPr="00C94B99" w:rsidRDefault="00F3642A" w:rsidP="00C94B99">
      <w:pPr>
        <w:ind w:left="720" w:firstLine="720"/>
        <w:rPr>
          <w:rFonts w:eastAsiaTheme="minorEastAsia" w:cs="Times New Roman"/>
          <w:szCs w:val="24"/>
        </w:rPr>
      </w:pPr>
      <m:oMath>
        <m:r>
          <w:rPr>
            <w:rFonts w:ascii="Cambria Math" w:hAnsi="Cambria Math" w:cs="Times New Roman"/>
            <w:szCs w:val="24"/>
          </w:rPr>
          <m:t>V=</m:t>
        </m:r>
      </m:oMath>
      <w:r w:rsidRPr="00C94B99">
        <w:rPr>
          <w:rFonts w:eastAsiaTheme="minorEastAsia" w:cs="Times New Roman"/>
          <w:szCs w:val="24"/>
        </w:rPr>
        <w:t xml:space="preserve"> volume of submerged portion of glass plate = a*b*h,</w:t>
      </w:r>
    </w:p>
    <w:p w14:paraId="5014E3A5" w14:textId="77777777" w:rsidR="00F3642A" w:rsidRPr="00C94B99" w:rsidRDefault="00F3642A" w:rsidP="00C94B99">
      <w:pPr>
        <w:ind w:left="720" w:firstLine="720"/>
        <w:rPr>
          <w:rFonts w:eastAsiaTheme="minorEastAsia" w:cs="Times New Roman"/>
          <w:szCs w:val="24"/>
        </w:rPr>
      </w:pPr>
      <m:oMath>
        <m:r>
          <w:rPr>
            <w:rFonts w:ascii="Cambria Math" w:eastAsiaTheme="minorEastAsia" w:hAnsi="Cambria Math" w:cs="Times New Roman"/>
            <w:szCs w:val="24"/>
          </w:rPr>
          <m:t>P=</m:t>
        </m:r>
      </m:oMath>
      <w:r w:rsidRPr="00C94B99">
        <w:rPr>
          <w:rFonts w:eastAsiaTheme="minorEastAsia" w:cs="Times New Roman"/>
          <w:szCs w:val="24"/>
        </w:rPr>
        <w:t xml:space="preserve"> perimeter of the plate = 2(a + b),</w:t>
      </w:r>
    </w:p>
    <w:p w14:paraId="4C6E2228" w14:textId="77777777" w:rsidR="00F3642A" w:rsidRPr="00C94B99" w:rsidRDefault="00F3642A" w:rsidP="00C94B99">
      <w:pPr>
        <w:ind w:left="720" w:firstLine="720"/>
        <w:rPr>
          <w:rFonts w:eastAsiaTheme="minorEastAsia" w:cs="Times New Roman"/>
          <w:szCs w:val="24"/>
        </w:rPr>
      </w:pPr>
      <w:r w:rsidRPr="00C94B99">
        <w:rPr>
          <w:rFonts w:eastAsiaTheme="minorEastAsia" w:cs="Times New Roman"/>
          <w:szCs w:val="24"/>
        </w:rPr>
        <w:t>a, b, h = width, thickness, and depth of the plate, and</w:t>
      </w:r>
    </w:p>
    <w:p w14:paraId="382143FB" w14:textId="77777777" w:rsidR="00F3642A" w:rsidRPr="00C94B99" w:rsidRDefault="007F7885" w:rsidP="00C94B99">
      <w:pPr>
        <w:ind w:left="720" w:firstLine="720"/>
        <w:rPr>
          <w:rFonts w:eastAsiaTheme="minorEastAsia" w:cs="Times New Roman"/>
          <w:szCs w:val="24"/>
        </w:rPr>
      </w:pPr>
      <m:oMath>
        <m:sSub>
          <m:sSubPr>
            <m:ctrlPr>
              <w:rPr>
                <w:rFonts w:ascii="Cambria Math" w:hAnsi="Cambria Math" w:cs="Times New Roman"/>
                <w:i/>
                <w:szCs w:val="24"/>
              </w:rPr>
            </m:ctrlPr>
          </m:sSubPr>
          <m:e>
            <m:r>
              <w:rPr>
                <w:rFonts w:ascii="Cambria Math" w:hAnsi="Cambria Math" w:cs="Times New Roman"/>
                <w:szCs w:val="24"/>
              </w:rPr>
              <m:t>ρ</m:t>
            </m:r>
          </m:e>
          <m:sub>
            <m:r>
              <w:rPr>
                <w:rFonts w:ascii="Cambria Math" w:hAnsi="Cambria Math" w:cs="Times New Roman"/>
                <w:szCs w:val="24"/>
              </w:rPr>
              <m:t>L</m:t>
            </m:r>
          </m:sub>
        </m:sSub>
        <m:r>
          <w:rPr>
            <w:rFonts w:ascii="Cambria Math" w:hAnsi="Cambria Math" w:cs="Times New Roman"/>
            <w:szCs w:val="24"/>
          </w:rPr>
          <m:t>=</m:t>
        </m:r>
      </m:oMath>
      <w:r w:rsidR="00F3642A" w:rsidRPr="00C94B99">
        <w:rPr>
          <w:rFonts w:eastAsiaTheme="minorEastAsia" w:cs="Times New Roman"/>
          <w:szCs w:val="24"/>
        </w:rPr>
        <w:t xml:space="preserve"> density of the probe liquid.</w:t>
      </w:r>
    </w:p>
    <w:p w14:paraId="6F39B9CA" w14:textId="6FF5B2C4" w:rsidR="00F3642A" w:rsidRPr="00C94B99" w:rsidRDefault="00F3642A" w:rsidP="00C94B99">
      <w:pPr>
        <w:ind w:firstLine="720"/>
        <w:rPr>
          <w:rFonts w:eastAsiaTheme="minorEastAsia" w:cs="Times New Roman"/>
          <w:szCs w:val="24"/>
        </w:rPr>
      </w:pPr>
      <w:r w:rsidRPr="00C94B99">
        <w:rPr>
          <w:rFonts w:eastAsiaTheme="minorEastAsia" w:cs="Times New Roman"/>
          <w:szCs w:val="24"/>
        </w:rPr>
        <w:t>The SFE components of a binder were determined by forming a set of five equations using Equation (</w:t>
      </w:r>
      <w:r w:rsidR="00CB09B5">
        <w:rPr>
          <w:rStyle w:val="fontstyle01"/>
          <w:sz w:val="24"/>
          <w:szCs w:val="24"/>
        </w:rPr>
        <w:t>3.</w:t>
      </w:r>
      <w:r w:rsidRPr="00C94B99">
        <w:rPr>
          <w:rFonts w:eastAsiaTheme="minorEastAsia" w:cs="Times New Roman"/>
          <w:szCs w:val="24"/>
        </w:rPr>
        <w:t>9) with five probe liquids. The SFE components (</w:t>
      </w:r>
      <m:oMath>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L</m:t>
            </m:r>
          </m:sub>
          <m:sup>
            <m:r>
              <w:rPr>
                <w:rFonts w:ascii="Cambria Math" w:hAnsi="Cambria Math" w:cs="Times New Roman"/>
                <w:szCs w:val="24"/>
              </w:rPr>
              <m:t>LW</m:t>
            </m:r>
          </m:sup>
        </m:sSubSup>
      </m:oMath>
      <w:r w:rsidRPr="00C94B99">
        <w:rPr>
          <w:rFonts w:eastAsiaTheme="minorEastAsia" w:cs="Times New Roman"/>
          <w:szCs w:val="24"/>
        </w:rPr>
        <w:t xml:space="preserve">, </w:t>
      </w:r>
      <m:oMath>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L</m:t>
            </m:r>
          </m:sub>
          <m:sup>
            <m:r>
              <w:rPr>
                <w:rFonts w:ascii="Cambria Math" w:hAnsi="Cambria Math" w:cs="Times New Roman"/>
                <w:szCs w:val="24"/>
              </w:rPr>
              <m:t>-</m:t>
            </m:r>
          </m:sup>
        </m:sSubSup>
      </m:oMath>
      <w:r w:rsidRPr="00C94B99">
        <w:rPr>
          <w:rFonts w:eastAsiaTheme="minorEastAsia" w:cs="Times New Roman"/>
          <w:szCs w:val="24"/>
        </w:rPr>
        <w:t xml:space="preserve"> and </w:t>
      </w:r>
      <m:oMath>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L</m:t>
            </m:r>
          </m:sub>
          <m:sup>
            <m:r>
              <w:rPr>
                <w:rFonts w:ascii="Cambria Math" w:hAnsi="Cambria Math" w:cs="Times New Roman"/>
                <w:szCs w:val="24"/>
              </w:rPr>
              <m:t>+</m:t>
            </m:r>
          </m:sup>
        </m:sSubSup>
      </m:oMath>
      <w:r w:rsidRPr="00C94B99">
        <w:rPr>
          <w:rFonts w:eastAsiaTheme="minorEastAsia" w:cs="Times New Roman"/>
          <w:szCs w:val="24"/>
        </w:rPr>
        <w:t xml:space="preserve">) of the probe liquids are known and can be found in </w:t>
      </w:r>
      <w:r w:rsidRPr="00C94B99">
        <w:rPr>
          <w:rFonts w:eastAsiaTheme="minorEastAsia" w:cs="Times New Roman"/>
          <w:szCs w:val="24"/>
        </w:rPr>
        <w:fldChar w:fldCharType="begin"/>
      </w:r>
      <w:r w:rsidR="00282238">
        <w:rPr>
          <w:rFonts w:eastAsiaTheme="minorEastAsia" w:cs="Times New Roman"/>
          <w:szCs w:val="24"/>
        </w:rPr>
        <w:instrText xml:space="preserve"> ADDIN EN.CITE &lt;EndNote&gt;&lt;Cite&gt;&lt;Author&gt;Zhang&lt;/Author&gt;&lt;Year&gt;2018&lt;/Year&gt;&lt;RecNum&gt;217&lt;/RecNum&gt;&lt;DisplayText&gt;(Zhang and Liu, 2018)&lt;/DisplayText&gt;&lt;record&gt;&lt;rec-number&gt;217&lt;/rec-number&gt;&lt;foreign-keys&gt;&lt;key app="EN" db-id="d55vzfpwawdafteedfoxsf0lv0v0wp5va2aa" timestamp="1564614866"&gt;217&lt;/key&gt;&lt;/foreign-keys&gt;&lt;ref-type name="Journal Article"&gt;17&lt;/ref-type&gt;&lt;contributors&gt;&lt;authors&gt;&lt;author&gt;Zhang, Derun&lt;/author&gt;&lt;author&gt;Liu, Hanqi&lt;/author&gt;&lt;/authors&gt;&lt;/contributors&gt;&lt;titles&gt;&lt;title&gt;Proposed Approach for Determining Consistent Energy Parameters Based on the Surface Free Energy Theory&lt;/title&gt;&lt;secondary-title&gt;Journal of Materials in Civil Engineering&lt;/secondary-title&gt;&lt;/titles&gt;&lt;periodical&gt;&lt;full-title&gt;Journal of Materials in Civil Engineering&lt;/full-title&gt;&lt;/periodical&gt;&lt;pages&gt;04018287&lt;/pages&gt;&lt;volume&gt;30&lt;/volume&gt;&lt;number&gt;11&lt;/number&gt;&lt;dates&gt;&lt;year&gt;2018&lt;/year&gt;&lt;/dates&gt;&lt;isbn&gt;0899-1561&lt;/isbn&gt;&lt;urls&gt;&lt;/urls&gt;&lt;/record&gt;&lt;/Cite&gt;&lt;/EndNote&gt;</w:instrText>
      </w:r>
      <w:r w:rsidRPr="00C94B99">
        <w:rPr>
          <w:rFonts w:eastAsiaTheme="minorEastAsia" w:cs="Times New Roman"/>
          <w:szCs w:val="24"/>
        </w:rPr>
        <w:fldChar w:fldCharType="separate"/>
      </w:r>
      <w:r w:rsidR="00282238">
        <w:rPr>
          <w:rFonts w:eastAsiaTheme="minorEastAsia" w:cs="Times New Roman"/>
          <w:noProof/>
          <w:szCs w:val="24"/>
        </w:rPr>
        <w:t>(Zhang and Liu, 2018)</w:t>
      </w:r>
      <w:r w:rsidRPr="00C94B99">
        <w:rPr>
          <w:rFonts w:eastAsiaTheme="minorEastAsia" w:cs="Times New Roman"/>
          <w:szCs w:val="24"/>
        </w:rPr>
        <w:fldChar w:fldCharType="end"/>
      </w:r>
      <w:r w:rsidRPr="00C94B99">
        <w:rPr>
          <w:rFonts w:eastAsiaTheme="minorEastAsia" w:cs="Times New Roman"/>
          <w:szCs w:val="24"/>
        </w:rPr>
        <w:t>. A non-linear optimization program in Excel was used to solve these equations to obtain the three SFE components of the binder.</w:t>
      </w:r>
    </w:p>
    <w:p w14:paraId="7ABF11CA" w14:textId="5248C7FC" w:rsidR="0038132E" w:rsidRPr="00C94B99" w:rsidRDefault="007F7885" w:rsidP="00C94B99">
      <w:pPr>
        <w:jc w:val="center"/>
        <w:rPr>
          <w:rFonts w:eastAsiaTheme="minorEastAsia" w:cs="Times New Roman"/>
          <w:szCs w:val="24"/>
        </w:rPr>
      </w:pPr>
      <m:oMath>
        <m:sSub>
          <m:sSubPr>
            <m:ctrlPr>
              <w:rPr>
                <w:rFonts w:ascii="Cambria Math" w:eastAsiaTheme="minorEastAsia" w:hAnsi="Cambria Math" w:cs="Times New Roman"/>
                <w:szCs w:val="24"/>
              </w:rPr>
            </m:ctrlPr>
          </m:sSubPr>
          <m:e>
            <m:r>
              <m:rPr>
                <m:sty m:val="p"/>
              </m:rPr>
              <w:rPr>
                <w:rFonts w:ascii="Cambria Math" w:eastAsiaTheme="minorEastAsia" w:hAnsi="Cambria Math" w:cs="Times New Roman"/>
                <w:szCs w:val="24"/>
              </w:rPr>
              <m:t>Γ</m:t>
            </m:r>
          </m:e>
          <m:sub>
            <m:r>
              <w:rPr>
                <w:rFonts w:ascii="Cambria Math" w:eastAsiaTheme="minorEastAsia" w:hAnsi="Cambria Math" w:cs="Times New Roman"/>
                <w:szCs w:val="24"/>
              </w:rPr>
              <m:t>L</m:t>
            </m:r>
          </m:sub>
        </m:sSub>
        <m:d>
          <m:dPr>
            <m:ctrlPr>
              <w:rPr>
                <w:rFonts w:ascii="Cambria Math" w:eastAsiaTheme="minorEastAsia" w:hAnsi="Cambria Math" w:cs="Times New Roman"/>
                <w:i/>
                <w:szCs w:val="24"/>
              </w:rPr>
            </m:ctrlPr>
          </m:dPr>
          <m:e>
            <m:r>
              <w:rPr>
                <w:rFonts w:ascii="Cambria Math" w:eastAsiaTheme="minorEastAsia" w:hAnsi="Cambria Math" w:cs="Times New Roman"/>
                <w:szCs w:val="24"/>
              </w:rPr>
              <m:t>1+cosθ</m:t>
            </m:r>
          </m:e>
        </m:d>
        <m:r>
          <w:rPr>
            <w:rFonts w:ascii="Cambria Math" w:eastAsiaTheme="minorEastAsia" w:hAnsi="Cambria Math" w:cs="Times New Roman"/>
            <w:szCs w:val="24"/>
          </w:rPr>
          <m:t>=</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2(</m:t>
            </m:r>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LW</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L</m:t>
                </m:r>
              </m:sub>
              <m:sup>
                <m:r>
                  <w:rPr>
                    <w:rFonts w:ascii="Cambria Math" w:hAnsi="Cambria Math" w:cs="Times New Roman"/>
                    <w:szCs w:val="24"/>
                  </w:rPr>
                  <m:t>LW</m:t>
                </m:r>
              </m:sup>
            </m:sSubSup>
            <m:r>
              <w:rPr>
                <w:rFonts w:ascii="Cambria Math" w:eastAsiaTheme="minorEastAsia" w:hAnsi="Cambria Math" w:cs="Times New Roman"/>
                <w:szCs w:val="24"/>
              </w:rPr>
              <m:t>)</m:t>
            </m:r>
          </m:e>
          <m:sup>
            <m:r>
              <w:rPr>
                <w:rFonts w:ascii="Cambria Math" w:eastAsiaTheme="minorEastAsia" w:hAnsi="Cambria Math" w:cs="Times New Roman"/>
                <w:szCs w:val="24"/>
              </w:rPr>
              <m:t>0.5</m:t>
            </m:r>
          </m:sup>
        </m:sSup>
        <m:r>
          <w:rPr>
            <w:rFonts w:ascii="Cambria Math" w:eastAsiaTheme="minorEastAsia" w:hAnsi="Cambria Math" w:cs="Times New Roman"/>
            <w:szCs w:val="24"/>
          </w:rPr>
          <m:t>+</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2</m:t>
            </m:r>
            <m:d>
              <m:dPr>
                <m:ctrlPr>
                  <w:rPr>
                    <w:rFonts w:ascii="Cambria Math" w:eastAsiaTheme="minorEastAsia" w:hAnsi="Cambria Math" w:cs="Times New Roman"/>
                    <w:i/>
                    <w:szCs w:val="24"/>
                  </w:rPr>
                </m:ctrlPr>
              </m:dPr>
              <m:e>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L</m:t>
                    </m:r>
                  </m:sub>
                  <m:sup>
                    <m:r>
                      <w:rPr>
                        <w:rFonts w:ascii="Cambria Math" w:hAnsi="Cambria Math" w:cs="Times New Roman"/>
                        <w:szCs w:val="24"/>
                      </w:rPr>
                      <m:t>-</m:t>
                    </m:r>
                  </m:sup>
                </m:sSubSup>
              </m:e>
            </m:d>
          </m:e>
          <m:sup>
            <m:r>
              <w:rPr>
                <w:rFonts w:ascii="Cambria Math" w:eastAsiaTheme="minorEastAsia" w:hAnsi="Cambria Math" w:cs="Times New Roman"/>
                <w:szCs w:val="24"/>
              </w:rPr>
              <m:t>0.5</m:t>
            </m:r>
          </m:sup>
        </m:sSup>
        <m:r>
          <w:rPr>
            <w:rFonts w:ascii="Cambria Math" w:eastAsiaTheme="minorEastAsia" w:hAnsi="Cambria Math" w:cs="Times New Roman"/>
            <w:szCs w:val="24"/>
          </w:rPr>
          <m:t>+</m:t>
        </m:r>
        <m:sSup>
          <m:sSupPr>
            <m:ctrlPr>
              <w:rPr>
                <w:rFonts w:ascii="Cambria Math" w:eastAsiaTheme="minorEastAsia" w:hAnsi="Cambria Math" w:cs="Times New Roman"/>
                <w:i/>
                <w:szCs w:val="24"/>
              </w:rPr>
            </m:ctrlPr>
          </m:sSupPr>
          <m:e>
            <m:r>
              <w:rPr>
                <w:rFonts w:ascii="Cambria Math" w:eastAsiaTheme="minorEastAsia" w:hAnsi="Cambria Math" w:cs="Times New Roman"/>
                <w:szCs w:val="24"/>
              </w:rPr>
              <m:t>2(</m:t>
            </m:r>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L</m:t>
                </m:r>
              </m:sub>
              <m:sup>
                <m:r>
                  <w:rPr>
                    <w:rFonts w:ascii="Cambria Math" w:hAnsi="Cambria Math" w:cs="Times New Roman"/>
                    <w:szCs w:val="24"/>
                  </w:rPr>
                  <m:t>+</m:t>
                </m:r>
              </m:sup>
            </m:sSubSup>
            <m:r>
              <w:rPr>
                <w:rFonts w:ascii="Cambria Math" w:eastAsiaTheme="minorEastAsia" w:hAnsi="Cambria Math" w:cs="Times New Roman"/>
                <w:szCs w:val="24"/>
              </w:rPr>
              <m:t>)</m:t>
            </m:r>
          </m:e>
          <m:sup>
            <m:r>
              <w:rPr>
                <w:rFonts w:ascii="Cambria Math" w:eastAsiaTheme="minorEastAsia" w:hAnsi="Cambria Math" w:cs="Times New Roman"/>
                <w:szCs w:val="24"/>
              </w:rPr>
              <m:t>0.5</m:t>
            </m:r>
          </m:sup>
        </m:sSup>
      </m:oMath>
      <w:r w:rsidR="00F3642A" w:rsidRPr="00C94B99">
        <w:rPr>
          <w:rFonts w:eastAsiaTheme="minorEastAsia" w:cs="Times New Roman"/>
          <w:szCs w:val="24"/>
        </w:rPr>
        <w:t xml:space="preserve">     (</w:t>
      </w:r>
      <w:r w:rsidR="00CB09B5">
        <w:rPr>
          <w:rStyle w:val="fontstyle01"/>
          <w:sz w:val="24"/>
          <w:szCs w:val="24"/>
        </w:rPr>
        <w:t>3.</w:t>
      </w:r>
      <w:r w:rsidR="00F3642A" w:rsidRPr="00C94B99">
        <w:rPr>
          <w:rFonts w:eastAsiaTheme="minorEastAsia" w:cs="Times New Roman"/>
          <w:szCs w:val="24"/>
        </w:rPr>
        <w:t>9)</w:t>
      </w:r>
    </w:p>
    <w:p w14:paraId="0F1A5F08" w14:textId="77777777" w:rsidR="0038132E" w:rsidRPr="00C94B99" w:rsidRDefault="0038132E" w:rsidP="00C94B99">
      <w:pPr>
        <w:pStyle w:val="Heading4"/>
        <w:spacing w:before="0" w:after="0"/>
        <w:rPr>
          <w:szCs w:val="24"/>
        </w:rPr>
      </w:pPr>
      <w:r w:rsidRPr="00C94B99">
        <w:rPr>
          <w:szCs w:val="24"/>
        </w:rPr>
        <w:t>Fourier Transform Infrared (FTIR) Test</w:t>
      </w:r>
      <w:r w:rsidRPr="00C94B99">
        <w:rPr>
          <w:szCs w:val="24"/>
        </w:rPr>
        <w:tab/>
      </w:r>
    </w:p>
    <w:p w14:paraId="01BC7812" w14:textId="5D0D272C" w:rsidR="0038132E" w:rsidRPr="00C94B99" w:rsidRDefault="009D1340" w:rsidP="00C94B99">
      <w:pPr>
        <w:ind w:firstLine="720"/>
        <w:rPr>
          <w:rFonts w:cs="Times New Roman"/>
          <w:szCs w:val="24"/>
        </w:rPr>
      </w:pPr>
      <w:r w:rsidRPr="00C94B99">
        <w:rPr>
          <w:rFonts w:cs="Times New Roman"/>
          <w:szCs w:val="24"/>
        </w:rPr>
        <w:t xml:space="preserve">The FTIR spectroscopy was used to examine the effect of the addition of different additives and aging on asphalt binders. A ThermoScientific Nicolet iS50R FT-IR device with iSS50 ATR accessory was used for this purpose (Figure </w:t>
      </w:r>
      <w:r w:rsidR="00A034BA">
        <w:rPr>
          <w:rFonts w:cs="Times New Roman"/>
          <w:szCs w:val="24"/>
          <w:lang w:val="en-CA"/>
        </w:rPr>
        <w:t>3.</w:t>
      </w:r>
      <w:r w:rsidRPr="00C94B99">
        <w:rPr>
          <w:rFonts w:cs="Times New Roman"/>
          <w:szCs w:val="24"/>
        </w:rPr>
        <w:t>2(b)). The FTIR tests were focused on collecting spectra in the region of 400 cm</w:t>
      </w:r>
      <w:r w:rsidRPr="00C94B99">
        <w:rPr>
          <w:rFonts w:cs="Times New Roman"/>
          <w:szCs w:val="24"/>
          <w:vertAlign w:val="superscript"/>
        </w:rPr>
        <w:t>-1</w:t>
      </w:r>
      <w:r w:rsidRPr="00C94B99">
        <w:rPr>
          <w:rFonts w:cs="Times New Roman"/>
          <w:szCs w:val="24"/>
        </w:rPr>
        <w:t xml:space="preserve"> to 4000 cm</w:t>
      </w:r>
      <w:r w:rsidRPr="00C94B99">
        <w:rPr>
          <w:rFonts w:cs="Times New Roman"/>
          <w:szCs w:val="24"/>
          <w:vertAlign w:val="superscript"/>
        </w:rPr>
        <w:t>-1</w:t>
      </w:r>
      <w:r w:rsidRPr="00C94B99">
        <w:rPr>
          <w:rFonts w:cs="Times New Roman"/>
          <w:szCs w:val="24"/>
        </w:rPr>
        <w:t xml:space="preserve"> at 4 cm</w:t>
      </w:r>
      <w:r w:rsidRPr="00C94B99">
        <w:rPr>
          <w:rFonts w:cs="Times New Roman"/>
          <w:szCs w:val="24"/>
          <w:vertAlign w:val="superscript"/>
        </w:rPr>
        <w:t>-1</w:t>
      </w:r>
      <w:r w:rsidRPr="00C94B99">
        <w:rPr>
          <w:rFonts w:cs="Times New Roman"/>
          <w:szCs w:val="24"/>
        </w:rPr>
        <w:t xml:space="preserve"> resolution. A semi-quantitative analysis was performed by determining the peak heights of C=O (1695 cm</w:t>
      </w:r>
      <w:r w:rsidRPr="00C94B99">
        <w:rPr>
          <w:rFonts w:cs="Times New Roman"/>
          <w:szCs w:val="24"/>
          <w:vertAlign w:val="superscript"/>
        </w:rPr>
        <w:t>-1</w:t>
      </w:r>
      <w:r w:rsidRPr="00C94B99">
        <w:rPr>
          <w:rFonts w:cs="Times New Roman"/>
          <w:szCs w:val="24"/>
        </w:rPr>
        <w:t xml:space="preserve"> and 1740 cm</w:t>
      </w:r>
      <w:r w:rsidRPr="00C94B99">
        <w:rPr>
          <w:rFonts w:cs="Times New Roman"/>
          <w:szCs w:val="24"/>
          <w:vertAlign w:val="superscript"/>
        </w:rPr>
        <w:t>-1</w:t>
      </w:r>
      <w:r w:rsidRPr="00C94B99">
        <w:rPr>
          <w:rFonts w:cs="Times New Roman"/>
          <w:szCs w:val="24"/>
        </w:rPr>
        <w:t>) and S=O (1030 cm</w:t>
      </w:r>
      <w:r w:rsidRPr="00C94B99">
        <w:rPr>
          <w:rFonts w:cs="Times New Roman"/>
          <w:szCs w:val="24"/>
          <w:vertAlign w:val="superscript"/>
        </w:rPr>
        <w:t>-1</w:t>
      </w:r>
      <w:r w:rsidRPr="00C94B99">
        <w:rPr>
          <w:rFonts w:cs="Times New Roman"/>
          <w:szCs w:val="24"/>
        </w:rPr>
        <w:t>) functional groups. Baseline corrections of the peaks were performed by using 3690cm</w:t>
      </w:r>
      <w:r w:rsidRPr="00C94B99">
        <w:rPr>
          <w:rFonts w:cs="Times New Roman"/>
          <w:szCs w:val="24"/>
          <w:vertAlign w:val="superscript"/>
        </w:rPr>
        <w:t>-1</w:t>
      </w:r>
      <w:r w:rsidRPr="00C94B99">
        <w:rPr>
          <w:rFonts w:cs="Times New Roman"/>
          <w:szCs w:val="24"/>
        </w:rPr>
        <w:t>, 1900cm</w:t>
      </w:r>
      <w:r w:rsidRPr="00C94B99">
        <w:rPr>
          <w:rFonts w:cs="Times New Roman"/>
          <w:szCs w:val="24"/>
          <w:vertAlign w:val="superscript"/>
        </w:rPr>
        <w:t>-1</w:t>
      </w:r>
      <w:r w:rsidRPr="00C94B99">
        <w:rPr>
          <w:rFonts w:cs="Times New Roman"/>
          <w:szCs w:val="24"/>
        </w:rPr>
        <w:t>, and 650cm</w:t>
      </w:r>
      <w:r w:rsidRPr="00C94B99">
        <w:rPr>
          <w:rFonts w:cs="Times New Roman"/>
          <w:szCs w:val="24"/>
          <w:vertAlign w:val="superscript"/>
        </w:rPr>
        <w:t>-1</w:t>
      </w:r>
      <w:r w:rsidRPr="00C94B99">
        <w:rPr>
          <w:rFonts w:cs="Times New Roman"/>
          <w:szCs w:val="24"/>
        </w:rPr>
        <w:t xml:space="preserve"> as zero points. The corresponding peak heights of C=O and S=O were then divided by the height of CH</w:t>
      </w:r>
      <w:r w:rsidRPr="00C94B99">
        <w:rPr>
          <w:rFonts w:cs="Times New Roman"/>
          <w:szCs w:val="24"/>
          <w:vertAlign w:val="subscript"/>
        </w:rPr>
        <w:t>2</w:t>
      </w:r>
      <w:r w:rsidRPr="00C94B99">
        <w:rPr>
          <w:rFonts w:cs="Times New Roman"/>
          <w:szCs w:val="24"/>
        </w:rPr>
        <w:t xml:space="preserve"> peak at 2920 cm</w:t>
      </w:r>
      <w:r w:rsidRPr="00C94B99">
        <w:rPr>
          <w:rFonts w:cs="Times New Roman"/>
          <w:szCs w:val="24"/>
          <w:vertAlign w:val="superscript"/>
        </w:rPr>
        <w:t>-1</w:t>
      </w:r>
      <w:r w:rsidRPr="00C94B99">
        <w:rPr>
          <w:rFonts w:cs="Times New Roman"/>
          <w:szCs w:val="24"/>
        </w:rPr>
        <w:t xml:space="preserve">, which is considered unsusceptible to aging </w:t>
      </w:r>
      <w:r w:rsidRPr="00C94B99">
        <w:rPr>
          <w:rFonts w:cs="Times New Roman"/>
          <w:szCs w:val="24"/>
        </w:rPr>
        <w:fldChar w:fldCharType="begin"/>
      </w:r>
      <w:r w:rsidR="00282238">
        <w:rPr>
          <w:rFonts w:cs="Times New Roman"/>
          <w:szCs w:val="24"/>
        </w:rPr>
        <w:instrText xml:space="preserve"> ADDIN EN.CITE &lt;EndNote&gt;&lt;Cite&gt;&lt;Author&gt;Yut&lt;/Author&gt;&lt;Year&gt;2015&lt;/Year&gt;&lt;RecNum&gt;237&lt;/RecNum&gt;&lt;DisplayText&gt;(Yut et al., 2015)&lt;/DisplayText&gt;&lt;record&gt;&lt;rec-number&gt;237&lt;/rec-number&gt;&lt;foreign-keys&gt;&lt;key app="EN" db-id="d55vzfpwawdafteedfoxsf0lv0v0wp5va2aa" timestamp="1617051759"&gt;237&lt;/key&gt;&lt;/foreign-keys&gt;&lt;ref-type name="Journal Article"&gt;17&lt;/ref-type&gt;&lt;contributors&gt;&lt;authors&gt;&lt;author&gt;Yut, Iliya&lt;/author&gt;&lt;author&gt;Bernier, Alexander&lt;/author&gt;&lt;author&gt;Zofka, Adam&lt;/author&gt;&lt;/authors&gt;&lt;/contributors&gt;&lt;titles&gt;&lt;title&gt;Field applications of portable infrared spectroscopy to asphalt products&lt;/title&gt;&lt;secondary-title&gt;Introduction to unmanned aircraft systems&lt;/secondary-title&gt;&lt;/titles&gt;&lt;periodical&gt;&lt;full-title&gt;Introduction to unmanned aircraft systems&lt;/full-title&gt;&lt;/periodical&gt;&lt;volume&gt;127&lt;/volume&gt;&lt;number&gt;5&lt;/number&gt;&lt;dates&gt;&lt;year&gt;2015&lt;/year&gt;&lt;/dates&gt;&lt;urls&gt;&lt;/urls&gt;&lt;/record&gt;&lt;/Cite&gt;&lt;/EndNote&gt;</w:instrText>
      </w:r>
      <w:r w:rsidRPr="00C94B99">
        <w:rPr>
          <w:rFonts w:cs="Times New Roman"/>
          <w:szCs w:val="24"/>
        </w:rPr>
        <w:fldChar w:fldCharType="separate"/>
      </w:r>
      <w:r w:rsidR="00282238">
        <w:rPr>
          <w:rFonts w:cs="Times New Roman"/>
          <w:noProof/>
          <w:szCs w:val="24"/>
        </w:rPr>
        <w:t>(Yut et al., 2015)</w:t>
      </w:r>
      <w:r w:rsidRPr="00C94B99">
        <w:rPr>
          <w:rFonts w:cs="Times New Roman"/>
          <w:szCs w:val="24"/>
        </w:rPr>
        <w:fldChar w:fldCharType="end"/>
      </w:r>
      <w:r w:rsidRPr="00C94B99">
        <w:rPr>
          <w:rFonts w:cs="Times New Roman"/>
          <w:szCs w:val="24"/>
        </w:rPr>
        <w:t>, to obtain carbonyl index (</w:t>
      </w:r>
      <w:r w:rsidRPr="00C94B99">
        <w:rPr>
          <w:rFonts w:cs="Times New Roman"/>
          <w:i/>
          <w:iCs/>
          <w:szCs w:val="24"/>
        </w:rPr>
        <w:t>I</w:t>
      </w:r>
      <w:r w:rsidRPr="00C94B99">
        <w:rPr>
          <w:rFonts w:cs="Times New Roman"/>
          <w:i/>
          <w:iCs/>
          <w:szCs w:val="24"/>
          <w:vertAlign w:val="subscript"/>
        </w:rPr>
        <w:t>CO</w:t>
      </w:r>
      <w:r w:rsidRPr="00C94B99">
        <w:rPr>
          <w:rFonts w:cs="Times New Roman"/>
          <w:szCs w:val="24"/>
        </w:rPr>
        <w:t>) and sulfoxide index (</w:t>
      </w:r>
      <w:r w:rsidRPr="00C94B99">
        <w:rPr>
          <w:rFonts w:cs="Times New Roman"/>
          <w:i/>
          <w:iCs/>
          <w:szCs w:val="24"/>
        </w:rPr>
        <w:t>I</w:t>
      </w:r>
      <w:r w:rsidRPr="00C94B99">
        <w:rPr>
          <w:rFonts w:cs="Times New Roman"/>
          <w:i/>
          <w:iCs/>
          <w:szCs w:val="24"/>
          <w:vertAlign w:val="subscript"/>
        </w:rPr>
        <w:t>SO</w:t>
      </w:r>
      <w:r w:rsidRPr="00C94B99">
        <w:rPr>
          <w:rFonts w:cs="Times New Roman"/>
          <w:szCs w:val="24"/>
        </w:rPr>
        <w:t xml:space="preserve">), respectively. In addition to SFE, the changes in </w:t>
      </w:r>
      <w:r w:rsidRPr="00C94B99">
        <w:rPr>
          <w:rFonts w:cs="Times New Roman"/>
          <w:i/>
          <w:iCs/>
          <w:szCs w:val="24"/>
        </w:rPr>
        <w:t>I</w:t>
      </w:r>
      <w:r w:rsidRPr="00C94B99">
        <w:rPr>
          <w:rFonts w:cs="Times New Roman"/>
          <w:i/>
          <w:iCs/>
          <w:szCs w:val="24"/>
          <w:vertAlign w:val="subscript"/>
        </w:rPr>
        <w:t>CO</w:t>
      </w:r>
      <w:r w:rsidRPr="00C94B99">
        <w:rPr>
          <w:rFonts w:cs="Times New Roman"/>
          <w:szCs w:val="24"/>
        </w:rPr>
        <w:t xml:space="preserve"> and </w:t>
      </w:r>
      <w:r w:rsidRPr="00C94B99">
        <w:rPr>
          <w:rFonts w:cs="Times New Roman"/>
          <w:i/>
          <w:iCs/>
          <w:szCs w:val="24"/>
        </w:rPr>
        <w:t>I</w:t>
      </w:r>
      <w:r w:rsidRPr="00C94B99">
        <w:rPr>
          <w:rFonts w:cs="Times New Roman"/>
          <w:i/>
          <w:iCs/>
          <w:szCs w:val="24"/>
          <w:vertAlign w:val="subscript"/>
        </w:rPr>
        <w:t>SO</w:t>
      </w:r>
      <w:r w:rsidRPr="00C94B99">
        <w:rPr>
          <w:rFonts w:cs="Times New Roman"/>
          <w:szCs w:val="24"/>
        </w:rPr>
        <w:t xml:space="preserve"> were used to evaluate moisture-induced damage resistance of the binder blends</w:t>
      </w:r>
      <w:r w:rsidR="0038132E" w:rsidRPr="00C94B99">
        <w:rPr>
          <w:rFonts w:cs="Times New Roman"/>
          <w:szCs w:val="24"/>
        </w:rPr>
        <w:t>.</w:t>
      </w:r>
    </w:p>
    <w:p w14:paraId="36570CED" w14:textId="77777777" w:rsidR="0038132E" w:rsidRPr="00C94B99" w:rsidRDefault="0038132E" w:rsidP="00C94B99">
      <w:pPr>
        <w:pStyle w:val="Heading4"/>
        <w:spacing w:before="0" w:after="0"/>
        <w:rPr>
          <w:szCs w:val="24"/>
        </w:rPr>
      </w:pPr>
      <w:r w:rsidRPr="00C94B99">
        <w:rPr>
          <w:szCs w:val="24"/>
        </w:rPr>
        <w:t>X-ray Fluorescence (XRF) Test</w:t>
      </w:r>
    </w:p>
    <w:p w14:paraId="4497B764" w14:textId="03C97A0F" w:rsidR="0038132E" w:rsidRPr="00C94B99" w:rsidRDefault="0092295A" w:rsidP="00C94B99">
      <w:pPr>
        <w:ind w:firstLine="720"/>
        <w:rPr>
          <w:rFonts w:cs="Times New Roman"/>
          <w:szCs w:val="24"/>
        </w:rPr>
      </w:pPr>
      <w:r w:rsidRPr="00C94B99">
        <w:rPr>
          <w:rFonts w:cs="Times New Roman"/>
          <w:szCs w:val="24"/>
        </w:rPr>
        <w:t xml:space="preserve">The X-ray fluorescence (XRF) test was used to perform elemental analysis of the binder blends and aggregates. In XRF, the emission of characteristic "secondary" (or fluorescent) X-rays from the test sample excited by high-energy X-rays is used to identify the chemical compositions of materials being studied. </w:t>
      </w:r>
      <w:r w:rsidRPr="00C94B99">
        <w:rPr>
          <w:rFonts w:cs="Times New Roman"/>
          <w:szCs w:val="24"/>
        </w:rPr>
        <w:fldChar w:fldCharType="begin"/>
      </w:r>
      <w:r w:rsidR="00282238">
        <w:rPr>
          <w:rFonts w:cs="Times New Roman"/>
          <w:szCs w:val="24"/>
        </w:rPr>
        <w:instrText xml:space="preserve"> ADDIN EN.CITE &lt;EndNote&gt;&lt;Cite&gt;&lt;Author&gt;Hesp&lt;/Author&gt;&lt;Year&gt;2013&lt;/Year&gt;&lt;RecNum&gt;91&lt;/RecNum&gt;&lt;DisplayText&gt;(Hesp and Shurvell, 2010; Hesp and Shurvell, 2013)&lt;/DisplayText&gt;&lt;record&gt;&lt;rec-number&gt;91&lt;/rec-number&gt;&lt;foreign-keys&gt;&lt;key app="EN" db-id="d55vzfpwawdafteedfoxsf0lv0v0wp5va2aa" timestamp="1519498674"&gt;91&lt;/key&gt;&lt;/foreign-keys&gt;&lt;ref-type name="Journal Article"&gt;17&lt;/ref-type&gt;&lt;contributors&gt;&lt;authors&gt;&lt;author&gt;Hesp, Simon AM&lt;/author&gt;&lt;author&gt;Shurvell, Herbert F&lt;/author&gt;&lt;/authors&gt;&lt;/contributors&gt;&lt;titles&gt;&lt;title&gt;Quality assurance testing of asphalt containing waste engine oil&lt;/title&gt;&lt;secondary-title&gt;International Journal of Pavements&lt;/secondary-title&gt;&lt;/titles&gt;&lt;periodical&gt;&lt;full-title&gt;International Journal of Pavements&lt;/full-title&gt;&lt;/periodical&gt;&lt;dates&gt;&lt;year&gt;2013&lt;/year&gt;&lt;/dates&gt;&lt;urls&gt;&lt;/urls&gt;&lt;/record&gt;&lt;/Cite&gt;&lt;Cite&gt;&lt;Author&gt;Hesp&lt;/Author&gt;&lt;Year&gt;2010&lt;/Year&gt;&lt;RecNum&gt;94&lt;/RecNum&gt;&lt;record&gt;&lt;rec-number&gt;94&lt;/rec-number&gt;&lt;foreign-keys&gt;&lt;key app="EN" db-id="d55vzfpwawdafteedfoxsf0lv0v0wp5va2aa" timestamp="1519498886"&gt;94&lt;/key&gt;&lt;/foreign-keys&gt;&lt;ref-type name="Journal Article"&gt;17&lt;/ref-type&gt;&lt;contributors&gt;&lt;authors&gt;&lt;author&gt;Hesp, Simon AM&lt;/author&gt;&lt;author&gt;Shurvell, Herbert F&lt;/author&gt;&lt;/authors&gt;&lt;/contributors&gt;&lt;titles&gt;&lt;title&gt;X-ray fluorescence detection of waste engine oil residue in asphalt and its effect on cracking in service&lt;/title&gt;&lt;secondary-title&gt;International Journal of Pavement Engineering&lt;/secondary-title&gt;&lt;/titles&gt;&lt;periodical&gt;&lt;full-title&gt;International Journal of Pavement Engineering&lt;/full-title&gt;&lt;/periodical&gt;&lt;pages&gt;541-553&lt;/pages&gt;&lt;volume&gt;11&lt;/volume&gt;&lt;number&gt;6&lt;/number&gt;&lt;dates&gt;&lt;year&gt;2010&lt;/year&gt;&lt;/dates&gt;&lt;isbn&gt;1029-8436&lt;/isbn&gt;&lt;urls&gt;&lt;/urls&gt;&lt;/record&gt;&lt;/Cite&gt;&lt;/EndNote&gt;</w:instrText>
      </w:r>
      <w:r w:rsidRPr="00C94B99">
        <w:rPr>
          <w:rFonts w:cs="Times New Roman"/>
          <w:szCs w:val="24"/>
        </w:rPr>
        <w:fldChar w:fldCharType="separate"/>
      </w:r>
      <w:r w:rsidR="00282238">
        <w:rPr>
          <w:rFonts w:cs="Times New Roman"/>
          <w:noProof/>
          <w:szCs w:val="24"/>
        </w:rPr>
        <w:t>(Hesp and Shurvell, 2010; Hesp and Shurvell, 2013)</w:t>
      </w:r>
      <w:r w:rsidRPr="00C94B99">
        <w:rPr>
          <w:rFonts w:cs="Times New Roman"/>
          <w:szCs w:val="24"/>
        </w:rPr>
        <w:fldChar w:fldCharType="end"/>
      </w:r>
      <w:r w:rsidRPr="00C94B99">
        <w:rPr>
          <w:rFonts w:cs="Times New Roman"/>
          <w:szCs w:val="24"/>
        </w:rPr>
        <w:t xml:space="preserve"> has explained the working principles of the XRF technique. All the tests were performed using a Rigaku NexCG X-Ray Fluorescence Device. The device is capable of providing rapid, non-destructive, multi-element analyses from very low to high concentrations of elements ranging from sodium (Na) to uranium (U). Peak heights in the spectrum were used to detect and quantify the presence of the elements. The purpose of the XRF test on binder blends </w:t>
      </w:r>
      <w:r w:rsidR="00CC0047">
        <w:rPr>
          <w:rFonts w:cs="Times New Roman"/>
          <w:szCs w:val="24"/>
        </w:rPr>
        <w:t>was</w:t>
      </w:r>
      <w:r w:rsidRPr="00C94B99">
        <w:rPr>
          <w:rFonts w:cs="Times New Roman"/>
          <w:szCs w:val="24"/>
        </w:rPr>
        <w:t xml:space="preserve"> to investigate the changes in the elemental composition of the binder with the addition of different additives. Only RTFO-aged binder blends were used for XRF testing</w:t>
      </w:r>
      <w:r w:rsidR="0038132E" w:rsidRPr="00C94B99">
        <w:rPr>
          <w:rFonts w:cs="Times New Roman"/>
          <w:szCs w:val="24"/>
        </w:rPr>
        <w:t xml:space="preserve">. </w:t>
      </w:r>
    </w:p>
    <w:p w14:paraId="0B635943" w14:textId="77777777" w:rsidR="0038132E" w:rsidRPr="00C94B99" w:rsidRDefault="0038132E" w:rsidP="00C94B99">
      <w:pPr>
        <w:pStyle w:val="Heading4"/>
        <w:spacing w:before="0" w:after="0"/>
        <w:rPr>
          <w:szCs w:val="24"/>
        </w:rPr>
      </w:pPr>
      <w:r w:rsidRPr="00C94B99">
        <w:rPr>
          <w:szCs w:val="24"/>
        </w:rPr>
        <w:t>Universal Sorption Device (USD) Test</w:t>
      </w:r>
    </w:p>
    <w:p w14:paraId="280EB424" w14:textId="5BEA28D9" w:rsidR="00CA6FD1" w:rsidRPr="004E4858" w:rsidRDefault="00CA6FD1" w:rsidP="00C94B99">
      <w:pPr>
        <w:ind w:firstLine="720"/>
        <w:rPr>
          <w:rFonts w:cs="Times New Roman"/>
          <w:szCs w:val="24"/>
          <w:lang w:val="en-CA"/>
        </w:rPr>
      </w:pPr>
      <w:r w:rsidRPr="00C94B99">
        <w:rPr>
          <w:rFonts w:cs="Times New Roman"/>
          <w:szCs w:val="24"/>
        </w:rPr>
        <w:t xml:space="preserve">The SFE components of the collected aggregates were measured using a universal sorption device (USD). Aggregate particles smaller than 4.75 mm and larger than 2.36 mm </w:t>
      </w:r>
      <w:r w:rsidRPr="004E4858">
        <w:rPr>
          <w:rFonts w:cs="Times New Roman"/>
          <w:szCs w:val="24"/>
        </w:rPr>
        <w:t xml:space="preserve">were sieved from each aggregate source and prepared for the USD test. For this purpose, aggregate particles were cleaned several times with distilled water. The particles were then dried in an oven for a day at 120°C. The oven-dried samples were then allowed to cool to room temperature before testing. </w:t>
      </w:r>
      <w:r w:rsidRPr="004E4858">
        <w:rPr>
          <w:rFonts w:cs="Times New Roman"/>
          <w:szCs w:val="24"/>
          <w:lang w:val="en-CA"/>
        </w:rPr>
        <w:t>The USD test was conducted to determine the a</w:t>
      </w:r>
      <w:r w:rsidR="009D7A0C" w:rsidRPr="004E4858">
        <w:rPr>
          <w:rFonts w:cs="Times New Roman"/>
          <w:szCs w:val="24"/>
          <w:lang w:val="en-CA"/>
        </w:rPr>
        <w:t>d</w:t>
      </w:r>
      <w:r w:rsidRPr="004E4858">
        <w:rPr>
          <w:rFonts w:cs="Times New Roman"/>
          <w:szCs w:val="24"/>
          <w:lang w:val="en-CA"/>
        </w:rPr>
        <w:t xml:space="preserve">sorption isotherms of different probe vapors on aggregate surfaces at a temperature of 25°C and relative pressures ranging from 0.05 to 1.00. For this purpose, three probe vapors, namely water, methyl propyl ketone (MPK) and toluene were used in the USD tests. Figure </w:t>
      </w:r>
      <w:r w:rsidR="00A034BA" w:rsidRPr="004E4858">
        <w:rPr>
          <w:rFonts w:cs="Times New Roman"/>
          <w:szCs w:val="24"/>
          <w:lang w:val="en-CA"/>
        </w:rPr>
        <w:t>3.</w:t>
      </w:r>
      <w:r w:rsidRPr="004E4858">
        <w:rPr>
          <w:rFonts w:cs="Times New Roman"/>
          <w:szCs w:val="24"/>
          <w:lang w:val="en-CA"/>
        </w:rPr>
        <w:t xml:space="preserve">2(c) shows the setup for </w:t>
      </w:r>
      <w:r w:rsidR="003F2BA2" w:rsidRPr="004E4858">
        <w:rPr>
          <w:rFonts w:cs="Times New Roman"/>
          <w:szCs w:val="24"/>
          <w:lang w:val="en-CA"/>
        </w:rPr>
        <w:t xml:space="preserve">the </w:t>
      </w:r>
      <w:r w:rsidRPr="004E4858">
        <w:rPr>
          <w:rFonts w:cs="Times New Roman"/>
          <w:szCs w:val="24"/>
          <w:lang w:val="en-CA"/>
        </w:rPr>
        <w:t>USD test. The spreading pressures (</w:t>
      </w:r>
      <m:oMath>
        <m:sSub>
          <m:sSubPr>
            <m:ctrlPr>
              <w:rPr>
                <w:rFonts w:ascii="Cambria Math" w:hAnsi="Cambria Math" w:cs="Times New Roman"/>
                <w:szCs w:val="24"/>
              </w:rPr>
            </m:ctrlPr>
          </m:sSubPr>
          <m:e>
            <m:r>
              <w:rPr>
                <w:rFonts w:ascii="Cambria Math" w:hAnsi="Cambria Math" w:cs="Times New Roman"/>
                <w:szCs w:val="24"/>
              </w:rPr>
              <m:t>π</m:t>
            </m:r>
          </m:e>
          <m:sub>
            <m:r>
              <w:rPr>
                <w:rFonts w:ascii="Cambria Math" w:hAnsi="Cambria Math" w:cs="Times New Roman"/>
                <w:szCs w:val="24"/>
              </w:rPr>
              <m:t>e</m:t>
            </m:r>
          </m:sub>
        </m:sSub>
      </m:oMath>
      <w:r w:rsidRPr="004E4858">
        <w:rPr>
          <w:rFonts w:cs="Times New Roman"/>
          <w:szCs w:val="24"/>
          <w:lang w:val="en-CA"/>
        </w:rPr>
        <w:t>) of these probe vapors on the aggregate surface were determined from the a</w:t>
      </w:r>
      <w:r w:rsidR="009D7A0C" w:rsidRPr="004E4858">
        <w:rPr>
          <w:rFonts w:cs="Times New Roman"/>
          <w:szCs w:val="24"/>
          <w:lang w:val="en-CA"/>
        </w:rPr>
        <w:t>d</w:t>
      </w:r>
      <w:r w:rsidRPr="004E4858">
        <w:rPr>
          <w:rFonts w:cs="Times New Roman"/>
          <w:szCs w:val="24"/>
          <w:lang w:val="en-CA"/>
        </w:rPr>
        <w:t>sorption isotherms using Equation (</w:t>
      </w:r>
      <w:r w:rsidR="007F02F6" w:rsidRPr="004E4858">
        <w:rPr>
          <w:rStyle w:val="fontstyle01"/>
          <w:sz w:val="24"/>
          <w:szCs w:val="24"/>
        </w:rPr>
        <w:t>3.</w:t>
      </w:r>
      <w:r w:rsidRPr="004E4858">
        <w:rPr>
          <w:rFonts w:cs="Times New Roman"/>
          <w:szCs w:val="24"/>
          <w:lang w:val="en-CA"/>
        </w:rPr>
        <w:t>10). The adsorption isotherms of toluene were used to determine the specific surface areas (SSA) of the aggregates needed in Equation (</w:t>
      </w:r>
      <w:r w:rsidR="007F02F6" w:rsidRPr="004E4858">
        <w:rPr>
          <w:rStyle w:val="fontstyle01"/>
          <w:sz w:val="24"/>
          <w:szCs w:val="24"/>
        </w:rPr>
        <w:t>3.</w:t>
      </w:r>
      <w:r w:rsidRPr="004E4858">
        <w:rPr>
          <w:rFonts w:cs="Times New Roman"/>
          <w:szCs w:val="24"/>
          <w:lang w:val="en-CA"/>
        </w:rPr>
        <w:t>10). The projected area of toluene molecule was considered as 34 Å</w:t>
      </w:r>
      <w:r w:rsidRPr="004E4858">
        <w:rPr>
          <w:rFonts w:cs="Times New Roman"/>
          <w:szCs w:val="24"/>
          <w:vertAlign w:val="superscript"/>
          <w:lang w:val="en-CA"/>
        </w:rPr>
        <w:t>2</w:t>
      </w:r>
      <w:r w:rsidRPr="004E4858">
        <w:rPr>
          <w:rFonts w:cs="Times New Roman"/>
          <w:szCs w:val="24"/>
          <w:lang w:val="en-CA"/>
        </w:rPr>
        <w:t xml:space="preserve">. </w:t>
      </w:r>
    </w:p>
    <w:p w14:paraId="572183D2" w14:textId="7E07D274" w:rsidR="00CA6FD1" w:rsidRPr="004E4858" w:rsidRDefault="007F7885" w:rsidP="00C94B99">
      <w:pPr>
        <w:pStyle w:val="Displayedequation"/>
        <w:spacing w:before="0" w:after="0"/>
      </w:pPr>
      <m:oMath>
        <m:sSub>
          <m:sSubPr>
            <m:ctrlPr>
              <w:rPr>
                <w:rFonts w:ascii="Cambria Math" w:hAnsi="Cambria Math"/>
              </w:rPr>
            </m:ctrlPr>
          </m:sSubPr>
          <m:e>
            <m:r>
              <w:rPr>
                <w:rFonts w:ascii="Cambria Math" w:hAnsi="Cambria Math"/>
              </w:rPr>
              <m:t>π</m:t>
            </m:r>
          </m:e>
          <m:sub>
            <m:r>
              <w:rPr>
                <w:rFonts w:ascii="Cambria Math" w:hAnsi="Cambria Math"/>
              </w:rPr>
              <m:t>e</m:t>
            </m:r>
          </m:sub>
        </m:sSub>
        <m:r>
          <m:rPr>
            <m:sty m:val="p"/>
          </m:rPr>
          <w:rPr>
            <w:rFonts w:ascii="Cambria Math" w:hAnsi="Cambria Math"/>
          </w:rPr>
          <m:t>=</m:t>
        </m:r>
        <m:f>
          <m:fPr>
            <m:ctrlPr>
              <w:rPr>
                <w:rFonts w:ascii="Cambria Math" w:hAnsi="Cambria Math"/>
              </w:rPr>
            </m:ctrlPr>
          </m:fPr>
          <m:num>
            <m:r>
              <w:rPr>
                <w:rFonts w:ascii="Cambria Math" w:hAnsi="Cambria Math"/>
              </w:rPr>
              <m:t>RT</m:t>
            </m:r>
          </m:num>
          <m:den>
            <m:r>
              <w:rPr>
                <w:rFonts w:ascii="Cambria Math" w:hAnsi="Cambria Math"/>
              </w:rPr>
              <m:t>MA</m:t>
            </m:r>
          </m:den>
        </m:f>
        <m:nary>
          <m:naryPr>
            <m:limLoc m:val="subSup"/>
            <m:ctrlPr>
              <w:rPr>
                <w:rFonts w:ascii="Cambria Math" w:hAnsi="Cambria Math"/>
              </w:rPr>
            </m:ctrlPr>
          </m:naryPr>
          <m:sub>
            <m:r>
              <m:rPr>
                <m:sty m:val="p"/>
              </m:rPr>
              <w:rPr>
                <w:rFonts w:ascii="Cambria Math" w:hAnsi="Cambria Math"/>
              </w:rPr>
              <m:t>0</m:t>
            </m:r>
          </m:sub>
          <m:sup>
            <m:r>
              <w:rPr>
                <w:rFonts w:ascii="Cambria Math" w:hAnsi="Cambria Math"/>
              </w:rPr>
              <m:t>Po</m:t>
            </m:r>
          </m:sup>
          <m:e>
            <m:f>
              <m:fPr>
                <m:ctrlPr>
                  <w:rPr>
                    <w:rFonts w:ascii="Cambria Math" w:hAnsi="Cambria Math"/>
                  </w:rPr>
                </m:ctrlPr>
              </m:fPr>
              <m:num>
                <m:r>
                  <w:rPr>
                    <w:rFonts w:ascii="Cambria Math" w:hAnsi="Cambria Math"/>
                  </w:rPr>
                  <m:t>n</m:t>
                </m:r>
              </m:num>
              <m:den>
                <m:r>
                  <w:rPr>
                    <w:rFonts w:ascii="Cambria Math" w:hAnsi="Cambria Math"/>
                  </w:rPr>
                  <m:t>p</m:t>
                </m:r>
              </m:den>
            </m:f>
            <m:r>
              <w:rPr>
                <w:rFonts w:ascii="Cambria Math" w:hAnsi="Cambria Math"/>
              </w:rPr>
              <m:t>dp</m:t>
            </m:r>
          </m:e>
        </m:nary>
      </m:oMath>
      <w:r w:rsidR="00CA6FD1" w:rsidRPr="004E4858">
        <w:t xml:space="preserve"> </w:t>
      </w:r>
      <w:r w:rsidR="00905F66" w:rsidRPr="004E4858">
        <w:t xml:space="preserve">                   </w:t>
      </w:r>
      <w:r w:rsidR="00CA6FD1" w:rsidRPr="004E4858">
        <w:t xml:space="preserve">     (</w:t>
      </w:r>
      <w:r w:rsidR="007F02F6" w:rsidRPr="004E4858">
        <w:rPr>
          <w:rStyle w:val="fontstyle01"/>
          <w:sz w:val="24"/>
          <w:szCs w:val="24"/>
        </w:rPr>
        <w:t>3.</w:t>
      </w:r>
      <w:r w:rsidR="00CA6FD1" w:rsidRPr="004E4858">
        <w:t>10)</w:t>
      </w:r>
    </w:p>
    <w:p w14:paraId="3BCAF8B7" w14:textId="77777777" w:rsidR="00CA6FD1" w:rsidRPr="004E4858" w:rsidRDefault="00CA6FD1" w:rsidP="00C94B99">
      <w:pPr>
        <w:ind w:firstLine="720"/>
        <w:rPr>
          <w:rFonts w:cs="Times New Roman"/>
          <w:szCs w:val="24"/>
        </w:rPr>
      </w:pPr>
      <w:r w:rsidRPr="004E4858">
        <w:rPr>
          <w:rFonts w:cs="Times New Roman"/>
          <w:szCs w:val="24"/>
        </w:rPr>
        <w:t xml:space="preserve">where, </w:t>
      </w:r>
    </w:p>
    <w:p w14:paraId="74B44DC2" w14:textId="77777777" w:rsidR="00CA6FD1" w:rsidRPr="004E4858" w:rsidRDefault="00CA6FD1" w:rsidP="00C94B99">
      <w:pPr>
        <w:ind w:left="1440"/>
        <w:rPr>
          <w:rFonts w:cs="Times New Roman"/>
          <w:szCs w:val="24"/>
        </w:rPr>
      </w:pPr>
      <w:r w:rsidRPr="004E4858">
        <w:rPr>
          <w:rFonts w:cs="Times New Roman"/>
          <w:i/>
          <w:szCs w:val="24"/>
        </w:rPr>
        <w:t>R</w:t>
      </w:r>
      <w:r w:rsidRPr="004E4858">
        <w:rPr>
          <w:rFonts w:cs="Times New Roman"/>
          <w:szCs w:val="24"/>
        </w:rPr>
        <w:t xml:space="preserve"> = universal gas constant, </w:t>
      </w:r>
    </w:p>
    <w:p w14:paraId="4417FE0B" w14:textId="77777777" w:rsidR="00CA6FD1" w:rsidRPr="004E4858" w:rsidRDefault="00CA6FD1" w:rsidP="00C94B99">
      <w:pPr>
        <w:ind w:left="1440"/>
        <w:rPr>
          <w:rFonts w:cs="Times New Roman"/>
          <w:szCs w:val="24"/>
        </w:rPr>
      </w:pPr>
      <w:r w:rsidRPr="004E4858">
        <w:rPr>
          <w:rFonts w:cs="Times New Roman"/>
          <w:i/>
          <w:szCs w:val="24"/>
        </w:rPr>
        <w:t>T =</w:t>
      </w:r>
      <w:r w:rsidRPr="004E4858">
        <w:rPr>
          <w:rFonts w:cs="Times New Roman"/>
          <w:szCs w:val="24"/>
        </w:rPr>
        <w:t xml:space="preserve"> temperature, </w:t>
      </w:r>
    </w:p>
    <w:p w14:paraId="6779BB7E" w14:textId="77777777" w:rsidR="00CA6FD1" w:rsidRPr="004E4858" w:rsidRDefault="00CA6FD1" w:rsidP="00C94B99">
      <w:pPr>
        <w:ind w:left="1440"/>
        <w:rPr>
          <w:rFonts w:cs="Times New Roman"/>
          <w:szCs w:val="24"/>
        </w:rPr>
      </w:pPr>
      <w:r w:rsidRPr="004E4858">
        <w:rPr>
          <w:rFonts w:cs="Times New Roman"/>
          <w:i/>
          <w:szCs w:val="24"/>
        </w:rPr>
        <w:t>M</w:t>
      </w:r>
      <w:r w:rsidRPr="004E4858">
        <w:rPr>
          <w:rFonts w:cs="Times New Roman"/>
          <w:szCs w:val="24"/>
        </w:rPr>
        <w:t xml:space="preserve"> = molecular weight of the probe vapor, </w:t>
      </w:r>
    </w:p>
    <w:p w14:paraId="441AC643" w14:textId="77777777" w:rsidR="00CA6FD1" w:rsidRPr="004E4858" w:rsidRDefault="00CA6FD1" w:rsidP="00C94B99">
      <w:pPr>
        <w:ind w:left="1440"/>
        <w:rPr>
          <w:rFonts w:cs="Times New Roman"/>
          <w:szCs w:val="24"/>
        </w:rPr>
      </w:pPr>
      <w:r w:rsidRPr="004E4858">
        <w:rPr>
          <w:rFonts w:cs="Times New Roman"/>
          <w:i/>
          <w:szCs w:val="24"/>
        </w:rPr>
        <w:t>A</w:t>
      </w:r>
      <w:r w:rsidRPr="004E4858">
        <w:rPr>
          <w:rFonts w:cs="Times New Roman"/>
          <w:szCs w:val="24"/>
        </w:rPr>
        <w:t xml:space="preserve"> = specific surface area of the aggregate, </w:t>
      </w:r>
    </w:p>
    <w:p w14:paraId="5234CAFC" w14:textId="77777777" w:rsidR="00CA6FD1" w:rsidRPr="004E4858" w:rsidRDefault="00CA6FD1" w:rsidP="00C94B99">
      <w:pPr>
        <w:ind w:left="1440"/>
        <w:rPr>
          <w:rFonts w:cs="Times New Roman"/>
          <w:szCs w:val="24"/>
        </w:rPr>
      </w:pPr>
      <w:r w:rsidRPr="004E4858">
        <w:rPr>
          <w:rFonts w:cs="Times New Roman"/>
          <w:i/>
          <w:szCs w:val="24"/>
        </w:rPr>
        <w:t>n</w:t>
      </w:r>
      <w:r w:rsidRPr="004E4858">
        <w:rPr>
          <w:rFonts w:cs="Times New Roman"/>
          <w:szCs w:val="24"/>
        </w:rPr>
        <w:t xml:space="preserve"> = mass absorbed per unit mass of aggregate at a vapor pressure </w:t>
      </w:r>
      <w:r w:rsidRPr="004E4858">
        <w:rPr>
          <w:rFonts w:cs="Times New Roman"/>
          <w:i/>
          <w:szCs w:val="24"/>
        </w:rPr>
        <w:t>p</w:t>
      </w:r>
      <w:r w:rsidRPr="004E4858">
        <w:rPr>
          <w:rFonts w:cs="Times New Roman"/>
          <w:szCs w:val="24"/>
        </w:rPr>
        <w:t>,</w:t>
      </w:r>
    </w:p>
    <w:p w14:paraId="4E5C0CCC" w14:textId="77777777" w:rsidR="00CA6FD1" w:rsidRPr="004E4858" w:rsidRDefault="00CA6FD1" w:rsidP="00C94B99">
      <w:pPr>
        <w:ind w:left="1440"/>
        <w:rPr>
          <w:rFonts w:cs="Times New Roman"/>
          <w:szCs w:val="24"/>
        </w:rPr>
      </w:pPr>
      <w:r w:rsidRPr="004E4858">
        <w:rPr>
          <w:rFonts w:cs="Times New Roman"/>
          <w:i/>
          <w:szCs w:val="24"/>
        </w:rPr>
        <w:t>P</w:t>
      </w:r>
      <w:r w:rsidRPr="004E4858">
        <w:rPr>
          <w:rFonts w:cs="Times New Roman"/>
          <w:i/>
          <w:szCs w:val="24"/>
          <w:vertAlign w:val="subscript"/>
        </w:rPr>
        <w:t>0</w:t>
      </w:r>
      <w:r w:rsidRPr="004E4858">
        <w:rPr>
          <w:rFonts w:cs="Times New Roman"/>
          <w:szCs w:val="24"/>
        </w:rPr>
        <w:t xml:space="preserve"> = maximum saturation vapor pressure,</w:t>
      </w:r>
    </w:p>
    <w:p w14:paraId="3C63D37D" w14:textId="0D21A7B3" w:rsidR="00CA6FD1" w:rsidRPr="004E4858" w:rsidRDefault="00CA6FD1" w:rsidP="00C94B99">
      <w:pPr>
        <w:ind w:firstLine="720"/>
        <w:rPr>
          <w:rFonts w:cs="Times New Roman"/>
          <w:szCs w:val="24"/>
          <w:lang w:val="en-CA"/>
        </w:rPr>
      </w:pPr>
      <w:r w:rsidRPr="004E4858">
        <w:rPr>
          <w:rFonts w:cs="Times New Roman"/>
          <w:szCs w:val="24"/>
          <w:lang w:val="en-CA"/>
        </w:rPr>
        <w:t>A set of three equations for each aggregate was formed using the spreading pressures of three probe vapors using Equation (</w:t>
      </w:r>
      <w:r w:rsidR="007F02F6" w:rsidRPr="004E4858">
        <w:rPr>
          <w:rStyle w:val="fontstyle01"/>
          <w:sz w:val="24"/>
          <w:szCs w:val="24"/>
        </w:rPr>
        <w:t>3.</w:t>
      </w:r>
      <w:r w:rsidRPr="004E4858">
        <w:rPr>
          <w:rFonts w:cs="Times New Roman"/>
          <w:szCs w:val="24"/>
          <w:lang w:val="en-CA"/>
        </w:rPr>
        <w:t xml:space="preserve">11). The three unknown SFE components </w:t>
      </w:r>
      <w:r w:rsidRPr="004E4858">
        <w:rPr>
          <w:rFonts w:eastAsiaTheme="minorEastAsia" w:cs="Times New Roman"/>
          <w:szCs w:val="24"/>
        </w:rPr>
        <w:t>(</w:t>
      </w:r>
      <m:oMath>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LW</m:t>
            </m:r>
          </m:sup>
        </m:sSubSup>
      </m:oMath>
      <w:r w:rsidRPr="004E4858">
        <w:rPr>
          <w:rFonts w:eastAsiaTheme="minorEastAsia" w:cs="Times New Roman"/>
          <w:szCs w:val="24"/>
        </w:rPr>
        <w:t xml:space="preserve">, </w:t>
      </w:r>
      <m:oMath>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m:t>
            </m:r>
          </m:sup>
        </m:sSubSup>
      </m:oMath>
      <w:r w:rsidRPr="004E4858">
        <w:rPr>
          <w:rFonts w:eastAsiaTheme="minorEastAsia" w:cs="Times New Roman"/>
          <w:szCs w:val="24"/>
        </w:rPr>
        <w:t xml:space="preserve"> and </w:t>
      </w:r>
      <m:oMath>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m:t>
            </m:r>
          </m:sup>
        </m:sSubSup>
      </m:oMath>
      <w:r w:rsidRPr="004E4858">
        <w:rPr>
          <w:rFonts w:eastAsiaTheme="minorEastAsia" w:cs="Times New Roman"/>
          <w:szCs w:val="24"/>
        </w:rPr>
        <w:t xml:space="preserve">) </w:t>
      </w:r>
      <w:r w:rsidRPr="004E4858">
        <w:rPr>
          <w:rFonts w:cs="Times New Roman"/>
          <w:szCs w:val="24"/>
          <w:lang w:val="en-CA"/>
        </w:rPr>
        <w:t xml:space="preserve">of aggregates were calculated by solving the equation set. </w:t>
      </w:r>
    </w:p>
    <w:p w14:paraId="6EEB8688" w14:textId="5F2B45BB" w:rsidR="0038132E" w:rsidRPr="004E4858" w:rsidRDefault="007F7885" w:rsidP="00C94B99">
      <w:pPr>
        <w:jc w:val="center"/>
        <w:rPr>
          <w:rFonts w:cs="Times New Roman"/>
          <w:szCs w:val="24"/>
        </w:rPr>
      </w:pPr>
      <m:oMath>
        <m:sSub>
          <m:sSubPr>
            <m:ctrlPr>
              <w:rPr>
                <w:rFonts w:ascii="Cambria Math" w:hAnsi="Cambria Math" w:cs="Times New Roman"/>
                <w:i/>
                <w:szCs w:val="24"/>
              </w:rPr>
            </m:ctrlPr>
          </m:sSubPr>
          <m:e>
            <m:r>
              <w:rPr>
                <w:rFonts w:ascii="Cambria Math" w:hAnsi="Cambria Math" w:cs="Times New Roman"/>
                <w:szCs w:val="24"/>
              </w:rPr>
              <m:t>π</m:t>
            </m:r>
          </m:e>
          <m:sub>
            <m:r>
              <w:rPr>
                <w:rFonts w:ascii="Cambria Math" w:hAnsi="Cambria Math" w:cs="Times New Roman"/>
                <w:szCs w:val="24"/>
              </w:rPr>
              <m:t>e</m:t>
            </m:r>
          </m:sub>
        </m:sSub>
        <m:r>
          <w:rPr>
            <w:rFonts w:ascii="Cambria Math" w:hAnsi="Cambria Math" w:cs="Times New Roman"/>
            <w:szCs w:val="24"/>
          </w:rPr>
          <m:t>+2</m:t>
        </m:r>
        <m:sSub>
          <m:sSubPr>
            <m:ctrlPr>
              <w:rPr>
                <w:rFonts w:ascii="Cambria Math" w:hAnsi="Cambria Math" w:cs="Times New Roman"/>
                <w:i/>
                <w:szCs w:val="24"/>
              </w:rPr>
            </m:ctrlPr>
          </m:sSubPr>
          <m:e>
            <m:r>
              <w:rPr>
                <w:rFonts w:ascii="Cambria Math" w:hAnsi="Cambria Math" w:cs="Times New Roman"/>
                <w:szCs w:val="24"/>
              </w:rPr>
              <m:t>γ</m:t>
            </m:r>
          </m:e>
          <m:sub>
            <m:r>
              <w:rPr>
                <w:rFonts w:ascii="Cambria Math" w:hAnsi="Cambria Math" w:cs="Times New Roman"/>
                <w:szCs w:val="24"/>
              </w:rPr>
              <m:t>L</m:t>
            </m:r>
          </m:sub>
        </m:sSub>
        <m:r>
          <w:rPr>
            <w:rFonts w:ascii="Cambria Math" w:hAnsi="Cambria Math" w:cs="Times New Roman"/>
            <w:szCs w:val="24"/>
          </w:rPr>
          <m:t>=2</m:t>
        </m:r>
        <m:rad>
          <m:radPr>
            <m:degHide m:val="1"/>
            <m:ctrlPr>
              <w:rPr>
                <w:rFonts w:ascii="Cambria Math" w:hAnsi="Cambria Math" w:cs="Times New Roman"/>
                <w:i/>
                <w:szCs w:val="24"/>
              </w:rPr>
            </m:ctrlPr>
          </m:radPr>
          <m:deg/>
          <m:e>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LW</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L</m:t>
                </m:r>
              </m:sub>
              <m:sup>
                <m:r>
                  <w:rPr>
                    <w:rFonts w:ascii="Cambria Math" w:hAnsi="Cambria Math" w:cs="Times New Roman"/>
                    <w:szCs w:val="24"/>
                  </w:rPr>
                  <m:t>LW</m:t>
                </m:r>
              </m:sup>
            </m:sSubSup>
            <m:r>
              <w:rPr>
                <w:rFonts w:ascii="Cambria Math" w:hAnsi="Cambria Math" w:cs="Times New Roman"/>
                <w:szCs w:val="24"/>
              </w:rPr>
              <m:t>)</m:t>
            </m:r>
          </m:e>
        </m:rad>
        <m:r>
          <w:rPr>
            <w:rFonts w:ascii="Cambria Math" w:hAnsi="Cambria Math" w:cs="Times New Roman"/>
            <w:szCs w:val="24"/>
          </w:rPr>
          <m:t>+2</m:t>
        </m:r>
        <m:rad>
          <m:radPr>
            <m:degHide m:val="1"/>
            <m:ctrlPr>
              <w:rPr>
                <w:rFonts w:ascii="Cambria Math" w:hAnsi="Cambria Math" w:cs="Times New Roman"/>
                <w:i/>
                <w:szCs w:val="24"/>
              </w:rPr>
            </m:ctrlPr>
          </m:radPr>
          <m:deg/>
          <m:e>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L</m:t>
                </m:r>
              </m:sub>
              <m:sup>
                <m:r>
                  <w:rPr>
                    <w:rFonts w:ascii="Cambria Math" w:hAnsi="Cambria Math" w:cs="Times New Roman"/>
                    <w:szCs w:val="24"/>
                  </w:rPr>
                  <m:t>-</m:t>
                </m:r>
              </m:sup>
            </m:sSubSup>
            <m:r>
              <w:rPr>
                <w:rFonts w:ascii="Cambria Math" w:hAnsi="Cambria Math" w:cs="Times New Roman"/>
                <w:szCs w:val="24"/>
              </w:rPr>
              <m:t>)</m:t>
            </m:r>
          </m:e>
        </m:rad>
        <m:r>
          <w:rPr>
            <w:rFonts w:ascii="Cambria Math" w:hAnsi="Cambria Math" w:cs="Times New Roman"/>
            <w:szCs w:val="24"/>
          </w:rPr>
          <m:t>+2</m:t>
        </m:r>
        <m:rad>
          <m:radPr>
            <m:degHide m:val="1"/>
            <m:ctrlPr>
              <w:rPr>
                <w:rFonts w:ascii="Cambria Math" w:hAnsi="Cambria Math" w:cs="Times New Roman"/>
                <w:i/>
                <w:szCs w:val="24"/>
              </w:rPr>
            </m:ctrlPr>
          </m:radPr>
          <m:deg/>
          <m:e>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m:t>
                </m:r>
              </m:sup>
            </m:sSubSup>
            <m:sSubSup>
              <m:sSubSupPr>
                <m:ctrlPr>
                  <w:rPr>
                    <w:rFonts w:ascii="Cambria Math" w:hAnsi="Cambria Math" w:cs="Times New Roman"/>
                    <w:i/>
                    <w:szCs w:val="24"/>
                  </w:rPr>
                </m:ctrlPr>
              </m:sSubSupPr>
              <m:e>
                <m:r>
                  <m:rPr>
                    <m:sty m:val="p"/>
                  </m:rPr>
                  <w:rPr>
                    <w:rFonts w:ascii="Cambria Math" w:hAnsi="Cambria Math" w:cs="Times New Roman"/>
                    <w:szCs w:val="24"/>
                  </w:rPr>
                  <m:t>Γ</m:t>
                </m:r>
              </m:e>
              <m:sub>
                <m:r>
                  <w:rPr>
                    <w:rFonts w:ascii="Cambria Math" w:hAnsi="Cambria Math" w:cs="Times New Roman"/>
                    <w:szCs w:val="24"/>
                  </w:rPr>
                  <m:t>L</m:t>
                </m:r>
              </m:sub>
              <m:sup>
                <m:r>
                  <w:rPr>
                    <w:rFonts w:ascii="Cambria Math" w:hAnsi="Cambria Math" w:cs="Times New Roman"/>
                    <w:szCs w:val="24"/>
                  </w:rPr>
                  <m:t>+</m:t>
                </m:r>
              </m:sup>
            </m:sSubSup>
            <m:r>
              <w:rPr>
                <w:rFonts w:ascii="Cambria Math" w:hAnsi="Cambria Math" w:cs="Times New Roman"/>
                <w:szCs w:val="24"/>
              </w:rPr>
              <m:t>)</m:t>
            </m:r>
          </m:e>
        </m:rad>
      </m:oMath>
      <w:r w:rsidR="00CA6FD1" w:rsidRPr="004E4858">
        <w:rPr>
          <w:rFonts w:cs="Times New Roman"/>
          <w:szCs w:val="24"/>
        </w:rPr>
        <w:t xml:space="preserve">       (</w:t>
      </w:r>
      <w:r w:rsidR="007F02F6" w:rsidRPr="004E4858">
        <w:rPr>
          <w:rStyle w:val="fontstyle01"/>
          <w:sz w:val="24"/>
          <w:szCs w:val="24"/>
        </w:rPr>
        <w:t>3.</w:t>
      </w:r>
      <w:r w:rsidR="00CA6FD1" w:rsidRPr="004E4858">
        <w:rPr>
          <w:rFonts w:cs="Times New Roman"/>
          <w:szCs w:val="24"/>
        </w:rPr>
        <w:t>11</w:t>
      </w:r>
      <w:r w:rsidR="0038132E" w:rsidRPr="004E4858">
        <w:rPr>
          <w:rFonts w:cs="Times New Roman"/>
          <w:szCs w:val="24"/>
        </w:rPr>
        <w:t>)</w:t>
      </w:r>
    </w:p>
    <w:p w14:paraId="103B2967" w14:textId="4B3832E3" w:rsidR="0038132E" w:rsidRPr="004E4858" w:rsidRDefault="0038132E" w:rsidP="00E57694">
      <w:pPr>
        <w:pStyle w:val="Heading2"/>
      </w:pPr>
      <w:bookmarkStart w:id="83" w:name="_Toc71728431"/>
      <w:r w:rsidRPr="004E4858">
        <w:t>RESULTS AND DISCUSSIONS</w:t>
      </w:r>
      <w:bookmarkEnd w:id="83"/>
      <w:r w:rsidRPr="004E4858">
        <w:tab/>
      </w:r>
    </w:p>
    <w:p w14:paraId="48B010CF" w14:textId="3F7EEA79" w:rsidR="0038132E" w:rsidRPr="004E4858" w:rsidRDefault="0038132E" w:rsidP="00985A4A">
      <w:pPr>
        <w:pStyle w:val="Heading3"/>
      </w:pPr>
      <w:bookmarkStart w:id="84" w:name="_Toc71728432"/>
      <w:r w:rsidRPr="004E4858">
        <w:t>Asphalt Binder Test Results</w:t>
      </w:r>
      <w:bookmarkEnd w:id="84"/>
    </w:p>
    <w:p w14:paraId="2581BE7A" w14:textId="77777777" w:rsidR="0038132E" w:rsidRPr="004E4858" w:rsidRDefault="0038132E" w:rsidP="00C94B99">
      <w:pPr>
        <w:pStyle w:val="Heading4"/>
        <w:spacing w:before="0" w:after="0"/>
        <w:rPr>
          <w:szCs w:val="24"/>
        </w:rPr>
      </w:pPr>
      <w:r w:rsidRPr="004E4858">
        <w:rPr>
          <w:szCs w:val="24"/>
        </w:rPr>
        <w:t>Chemical Composition of Asphalt Binders</w:t>
      </w:r>
    </w:p>
    <w:p w14:paraId="7D7509A9" w14:textId="77777777" w:rsidR="0038132E" w:rsidRPr="004E4858" w:rsidRDefault="0038132E" w:rsidP="00C94B99">
      <w:pPr>
        <w:pStyle w:val="Heading5"/>
        <w:spacing w:before="0" w:after="0"/>
        <w:rPr>
          <w:szCs w:val="24"/>
        </w:rPr>
      </w:pPr>
      <w:r w:rsidRPr="004E4858">
        <w:rPr>
          <w:szCs w:val="24"/>
        </w:rPr>
        <w:t>XRF Test</w:t>
      </w:r>
    </w:p>
    <w:p w14:paraId="0E009335" w14:textId="4A3B4DD7" w:rsidR="0038132E" w:rsidRPr="004E4858" w:rsidRDefault="00EE1422" w:rsidP="00C94B99">
      <w:pPr>
        <w:ind w:firstLine="720"/>
        <w:rPr>
          <w:rFonts w:cs="Times New Roman"/>
          <w:szCs w:val="24"/>
        </w:rPr>
      </w:pPr>
      <w:r w:rsidRPr="004E4858">
        <w:rPr>
          <w:rFonts w:cs="Times New Roman"/>
          <w:szCs w:val="24"/>
          <w:lang w:val="en-CA"/>
        </w:rPr>
        <w:t xml:space="preserve">In this study, the chemical compositions of the binder blends were determined using the XRF and FTIR tests. Table </w:t>
      </w:r>
      <w:r w:rsidR="00E664C8" w:rsidRPr="004E4858">
        <w:rPr>
          <w:rFonts w:cs="Times New Roman"/>
          <w:szCs w:val="24"/>
          <w:lang w:val="en-CA"/>
        </w:rPr>
        <w:t>3.</w:t>
      </w:r>
      <w:r w:rsidRPr="004E4858">
        <w:rPr>
          <w:rFonts w:cs="Times New Roman"/>
          <w:szCs w:val="24"/>
          <w:lang w:val="en-CA"/>
        </w:rPr>
        <w:t xml:space="preserve">1 presents the amounts (PPM) of different elements detected in XRF tests performed on the RTFO-aged PG 64-22 and PG 76-28 binder blends. It was found that both the binders contained more than 95% </w:t>
      </w:r>
      <w:r w:rsidR="008A2206" w:rsidRPr="004E4858">
        <w:rPr>
          <w:rFonts w:cs="Times New Roman"/>
          <w:szCs w:val="24"/>
          <w:lang w:val="en-CA"/>
        </w:rPr>
        <w:t>hydrocarbon</w:t>
      </w:r>
      <w:r w:rsidRPr="004E4858">
        <w:rPr>
          <w:rFonts w:cs="Times New Roman"/>
          <w:szCs w:val="24"/>
          <w:lang w:val="en-CA"/>
        </w:rPr>
        <w:t xml:space="preserve"> in their composition. Also, it was observed from the XRF spectrum that both the binders exhibited presence of Aluminium (Al), Silicon (Si), Sulfur (S), Chlorine (Cl), Calcium (Ca), Vanadium (V), Iron (Fe), Nickel (Ni), Copper (Cu), Zinc (Zn) and Tin (Sn). Similar elements were reported in other studies as well </w:t>
      </w:r>
      <w:r w:rsidRPr="004E4858">
        <w:rPr>
          <w:rFonts w:cs="Times New Roman"/>
          <w:szCs w:val="24"/>
          <w:lang w:val="en-CA"/>
        </w:rPr>
        <w:fldChar w:fldCharType="begin"/>
      </w:r>
      <w:r w:rsidR="00282238" w:rsidRPr="004E4858">
        <w:rPr>
          <w:rFonts w:cs="Times New Roman"/>
          <w:szCs w:val="24"/>
          <w:lang w:val="en-CA"/>
        </w:rPr>
        <w:instrText xml:space="preserve"> ADDIN EN.CITE &lt;EndNote&gt;&lt;Cite&gt;&lt;Author&gt;Hesp&lt;/Author&gt;&lt;Year&gt;2013&lt;/Year&gt;&lt;RecNum&gt;91&lt;/RecNum&gt;&lt;DisplayText&gt;(Hesp and Shurvell, 2013)&lt;/DisplayText&gt;&lt;record&gt;&lt;rec-number&gt;91&lt;/rec-number&gt;&lt;foreign-keys&gt;&lt;key app="EN" db-id="d55vzfpwawdafteedfoxsf0lv0v0wp5va2aa" timestamp="1519498674"&gt;91&lt;/key&gt;&lt;/foreign-keys&gt;&lt;ref-type name="Journal Article"&gt;17&lt;/ref-type&gt;&lt;contributors&gt;&lt;authors&gt;&lt;author&gt;Hesp, Simon AM&lt;/author&gt;&lt;author&gt;Shurvell, Herbert F&lt;/author&gt;&lt;/authors&gt;&lt;/contributors&gt;&lt;titles&gt;&lt;title&gt;Quality assurance testing of asphalt containing waste engine oil&lt;/title&gt;&lt;secondary-title&gt;International Journal of Pavements&lt;/secondary-title&gt;&lt;/titles&gt;&lt;periodical&gt;&lt;full-title&gt;International Journal of Pavements&lt;/full-title&gt;&lt;/periodical&gt;&lt;dates&gt;&lt;year&gt;2013&lt;/year&gt;&lt;/dates&gt;&lt;urls&gt;&lt;/urls&gt;&lt;/record&gt;&lt;/Cite&gt;&lt;/EndNote&gt;</w:instrText>
      </w:r>
      <w:r w:rsidRPr="004E4858">
        <w:rPr>
          <w:rFonts w:cs="Times New Roman"/>
          <w:szCs w:val="24"/>
          <w:lang w:val="en-CA"/>
        </w:rPr>
        <w:fldChar w:fldCharType="separate"/>
      </w:r>
      <w:r w:rsidR="00282238" w:rsidRPr="004E4858">
        <w:rPr>
          <w:rFonts w:cs="Times New Roman"/>
          <w:noProof/>
          <w:szCs w:val="24"/>
          <w:lang w:val="en-CA"/>
        </w:rPr>
        <w:t>(Hesp and Shurvell, 2013)</w:t>
      </w:r>
      <w:r w:rsidRPr="004E4858">
        <w:rPr>
          <w:rFonts w:cs="Times New Roman"/>
          <w:szCs w:val="24"/>
          <w:lang w:val="en-CA"/>
        </w:rPr>
        <w:fldChar w:fldCharType="end"/>
      </w:r>
      <w:r w:rsidRPr="004E4858">
        <w:rPr>
          <w:rFonts w:cs="Times New Roman"/>
          <w:szCs w:val="24"/>
          <w:lang w:val="en-CA"/>
        </w:rPr>
        <w:t xml:space="preserve">. Among the detected elements, the amount of sulfur was the highest in both PG 64-22 and PG 76-28 binder blends. Also, it was found that the PG 64-22 binder contained a higher amount of sulfur (46,507 ppm) than the PG 76-28 binder </w:t>
      </w:r>
      <w:r w:rsidRPr="004E4858">
        <w:rPr>
          <w:rFonts w:cs="Times New Roman"/>
          <w:szCs w:val="24"/>
        </w:rPr>
        <w:t>(28,666 ppm)</w:t>
      </w:r>
      <w:r w:rsidRPr="004E4858">
        <w:rPr>
          <w:rFonts w:cs="Times New Roman"/>
          <w:szCs w:val="24"/>
          <w:lang w:val="en-CA"/>
        </w:rPr>
        <w:t xml:space="preserve">. </w:t>
      </w:r>
      <w:r w:rsidR="007E4EA9" w:rsidRPr="004E4858">
        <w:rPr>
          <w:rFonts w:cs="Times New Roman"/>
          <w:szCs w:val="24"/>
          <w:lang w:val="en-CA"/>
        </w:rPr>
        <w:t xml:space="preserve">Both binders exhibited low concentrations of </w:t>
      </w:r>
      <w:r w:rsidR="007E4EA9" w:rsidRPr="004E4858">
        <w:rPr>
          <w:rFonts w:cs="Times New Roman"/>
          <w:szCs w:val="24"/>
        </w:rPr>
        <w:t xml:space="preserve">Al, Fe, Si, P, Cl, V, Ca, Ni, Sn, Zn, Cu, Pb and Sr. </w:t>
      </w:r>
      <w:r w:rsidR="00D65DD0" w:rsidRPr="004E4858">
        <w:rPr>
          <w:rFonts w:cs="Times New Roman"/>
          <w:szCs w:val="24"/>
        </w:rPr>
        <w:t>These</w:t>
      </w:r>
      <w:r w:rsidRPr="004E4858">
        <w:rPr>
          <w:rFonts w:cs="Times New Roman"/>
          <w:szCs w:val="24"/>
          <w:lang w:val="en-CA"/>
        </w:rPr>
        <w:t xml:space="preserve"> elements in the PG 64-22 binder can be ranked as follows: Al, V, Ni, P, Si, Cl, Fe, Sn, Zn and Cu from the highest to the lowest amount. </w:t>
      </w:r>
      <w:r w:rsidRPr="004E4858">
        <w:rPr>
          <w:rFonts w:cs="Times New Roman"/>
          <w:szCs w:val="24"/>
        </w:rPr>
        <w:t xml:space="preserve">The rankings for the detected elements in the PG 76-28 binder from the highest to the lowest composition were as follows: Al, Fe, Si, P, Cl, V, Ca, Ni, Sn, Zn, Cu, Pb and Sr. No significant changes in the compositions of both </w:t>
      </w:r>
      <w:r w:rsidRPr="004E4858">
        <w:rPr>
          <w:rFonts w:cs="Times New Roman"/>
          <w:szCs w:val="24"/>
          <w:lang w:val="en-CA"/>
        </w:rPr>
        <w:t xml:space="preserve">PG 64-22 and PG 76-28 </w:t>
      </w:r>
      <w:r w:rsidRPr="004E4858">
        <w:rPr>
          <w:rFonts w:cs="Times New Roman"/>
          <w:szCs w:val="24"/>
        </w:rPr>
        <w:t xml:space="preserve">binders were observed with the addition of WMA, ASA and RAP. However, an increase in the amount of phosphorus was observed for the PG 64-22+1.5% PPA binder. With the addition of PPA, the amount of phosphorus content increased from 120 ppm to 3,423 ppm. A similar increase in the phosphorus content was reported by </w:t>
      </w:r>
      <w:r w:rsidRPr="004E4858">
        <w:rPr>
          <w:rFonts w:cs="Times New Roman"/>
          <w:szCs w:val="24"/>
        </w:rPr>
        <w:fldChar w:fldCharType="begin"/>
      </w:r>
      <w:r w:rsidRPr="004E4858">
        <w:rPr>
          <w:rFonts w:cs="Times New Roman"/>
          <w:szCs w:val="24"/>
        </w:rPr>
        <w:instrText xml:space="preserve"> ADDIN EN.CITE &lt;EndNote&gt;&lt;Cite AuthorYear="1"&gt;&lt;Author&gt;Reinke&lt;/Author&gt;&lt;Year&gt;2010&lt;/Year&gt;&lt;RecNum&gt;124&lt;/RecNum&gt;&lt;DisplayText&gt;Reinke and Glidden (2010)&lt;/DisplayText&gt;&lt;record&gt;&lt;rec-number&gt;124&lt;/rec-number&gt;&lt;foreign-keys&gt;&lt;key app="EN" db-id="d55vzfpwawdafteedfoxsf0lv0v0wp5va2aa" timestamp="1521480238"&gt;124&lt;/key&gt;&lt;/foreign-keys&gt;&lt;ref-type name="Journal Article"&gt;17&lt;/ref-type&gt;&lt;contributors&gt;&lt;authors&gt;&lt;author&gt;Reinke, Gerry&lt;/author&gt;&lt;author&gt;Glidden, Stacey&lt;/author&gt;&lt;/authors&gt;&lt;/contributors&gt;&lt;titles&gt;&lt;title&gt;Analytical Procedures for Determining Phosphorus Content in Asphalt Binders and Impact of Aggregate on Quantitative Recovery of Phosphorus from Asphalt Binders&lt;/title&gt;&lt;secondary-title&gt;Asphalt Paving Technology-Proceedings Association of Asphalt Technologists&lt;/secondary-title&gt;&lt;/titles&gt;&lt;periodical&gt;&lt;full-title&gt;Asphalt Paving Technology-Proceedings Association of Asphalt Technologists&lt;/full-title&gt;&lt;/periodical&gt;&lt;pages&gt;695&lt;/pages&gt;&lt;volume&gt;79&lt;/volume&gt;&lt;dates&gt;&lt;year&gt;2010&lt;/year&gt;&lt;/dates&gt;&lt;isbn&gt;0270-2932&lt;/isbn&gt;&lt;urls&gt;&lt;/urls&gt;&lt;/record&gt;&lt;/Cite&gt;&lt;/EndNote&gt;</w:instrText>
      </w:r>
      <w:r w:rsidRPr="004E4858">
        <w:rPr>
          <w:rFonts w:cs="Times New Roman"/>
          <w:szCs w:val="24"/>
        </w:rPr>
        <w:fldChar w:fldCharType="separate"/>
      </w:r>
      <w:r w:rsidRPr="004E4858">
        <w:rPr>
          <w:rFonts w:cs="Times New Roman"/>
          <w:noProof/>
          <w:szCs w:val="24"/>
        </w:rPr>
        <w:t>Reinke and Glidden (2010)</w:t>
      </w:r>
      <w:r w:rsidRPr="004E4858">
        <w:rPr>
          <w:rFonts w:cs="Times New Roman"/>
          <w:szCs w:val="24"/>
        </w:rPr>
        <w:fldChar w:fldCharType="end"/>
      </w:r>
      <w:r w:rsidRPr="004E4858">
        <w:rPr>
          <w:rFonts w:cs="Times New Roman"/>
          <w:szCs w:val="24"/>
        </w:rPr>
        <w:t xml:space="preserve"> after PPA modification of binder</w:t>
      </w:r>
      <w:r w:rsidR="0038132E" w:rsidRPr="004E4858">
        <w:rPr>
          <w:rFonts w:cs="Times New Roman"/>
          <w:szCs w:val="24"/>
        </w:rPr>
        <w:t>.</w:t>
      </w:r>
    </w:p>
    <w:p w14:paraId="536A86B2" w14:textId="77777777" w:rsidR="0038132E" w:rsidRPr="004E4858" w:rsidRDefault="0038132E" w:rsidP="00C94B99">
      <w:pPr>
        <w:pStyle w:val="Heading5"/>
        <w:spacing w:before="0" w:after="0"/>
        <w:rPr>
          <w:szCs w:val="24"/>
        </w:rPr>
      </w:pPr>
      <w:r w:rsidRPr="004E4858">
        <w:rPr>
          <w:szCs w:val="24"/>
        </w:rPr>
        <w:t xml:space="preserve">FTIR Test  </w:t>
      </w:r>
      <w:r w:rsidRPr="004E4858">
        <w:rPr>
          <w:szCs w:val="24"/>
        </w:rPr>
        <w:tab/>
      </w:r>
    </w:p>
    <w:p w14:paraId="6C795612" w14:textId="0A29D70B" w:rsidR="00B753C6" w:rsidRPr="004E4858" w:rsidRDefault="00B753C6" w:rsidP="006E4D11">
      <w:pPr>
        <w:ind w:firstLine="720"/>
        <w:rPr>
          <w:rFonts w:cs="Times New Roman"/>
          <w:color w:val="FF0000"/>
          <w:szCs w:val="24"/>
        </w:rPr>
      </w:pPr>
      <w:r w:rsidRPr="004E4858">
        <w:rPr>
          <w:rFonts w:cs="Times New Roman"/>
          <w:szCs w:val="24"/>
          <w:lang w:val="en-CA"/>
        </w:rPr>
        <w:t xml:space="preserve">The FTIR test was conducted to determine the effect of additives and aging on the functional composition of binder blends. The FTIR spectra were analyzed using the OMNIC software. The FTIR spectra feature absorption bands that can be associated with specific functional groups </w:t>
      </w:r>
      <w:r w:rsidRPr="004E4858">
        <w:rPr>
          <w:rFonts w:cs="Times New Roman"/>
          <w:szCs w:val="24"/>
          <w:lang w:val="en-CA"/>
        </w:rPr>
        <w:fldChar w:fldCharType="begin"/>
      </w:r>
      <w:r w:rsidR="00282238" w:rsidRPr="004E4858">
        <w:rPr>
          <w:rFonts w:cs="Times New Roman"/>
          <w:szCs w:val="24"/>
          <w:lang w:val="en-CA"/>
        </w:rPr>
        <w:instrText xml:space="preserve"> ADDIN EN.CITE &lt;EndNote&gt;&lt;Cite&gt;&lt;Author&gt;Hofko&lt;/Author&gt;&lt;Year&gt;2018&lt;/Year&gt;&lt;RecNum&gt;14&lt;/RecNum&gt;&lt;DisplayText&gt;(Hofko et al., 2018)&lt;/DisplayText&gt;&lt;record&gt;&lt;rec-number&gt;14&lt;/rec-number&gt;&lt;foreign-keys&gt;&lt;key app="EN" db-id="5xpawzsvnewf08evef25tsax9vr22e0srpzf" timestamp="1617049959"&gt;14&lt;/key&gt;&lt;/foreign-keys&gt;&lt;ref-type name="Journal Article"&gt;17&lt;/ref-type&gt;&lt;contributors&gt;&lt;authors&gt;&lt;author&gt;Hofko, B&lt;/author&gt;&lt;author&gt;Porot, L&lt;/author&gt;&lt;author&gt;Cannone, A Falchetto&lt;/author&gt;&lt;author&gt;Poulikakos, L&lt;/author&gt;&lt;author&gt;Huber, L&lt;/author&gt;&lt;author&gt;Lu, X&lt;/author&gt;&lt;author&gt;Mollenhauer, K&lt;/author&gt;&lt;author&gt;Grothe, H&lt;/author&gt;&lt;/authors&gt;&lt;/contributors&gt;&lt;titles&gt;&lt;title&gt;FTIR spectral analysis of bituminous binders: reproducibility and impact of ageing temperature&lt;/title&gt;&lt;secondary-title&gt;Materials and Structures&lt;/secondary-title&gt;&lt;/titles&gt;&lt;pages&gt;1-16&lt;/pages&gt;&lt;volume&gt;51&lt;/volume&gt;&lt;number&gt;2&lt;/number&gt;&lt;dates&gt;&lt;year&gt;2018&lt;/year&gt;&lt;/dates&gt;&lt;isbn&gt;1871-6873&lt;/isbn&gt;&lt;urls&gt;&lt;/urls&gt;&lt;/record&gt;&lt;/Cite&gt;&lt;/EndNote&gt;</w:instrText>
      </w:r>
      <w:r w:rsidRPr="004E4858">
        <w:rPr>
          <w:rFonts w:cs="Times New Roman"/>
          <w:szCs w:val="24"/>
          <w:lang w:val="en-CA"/>
        </w:rPr>
        <w:fldChar w:fldCharType="separate"/>
      </w:r>
      <w:r w:rsidR="00282238" w:rsidRPr="004E4858">
        <w:rPr>
          <w:rFonts w:cs="Times New Roman"/>
          <w:noProof/>
          <w:szCs w:val="24"/>
          <w:lang w:val="en-CA"/>
        </w:rPr>
        <w:t>(Hofko et al., 2018)</w:t>
      </w:r>
      <w:r w:rsidRPr="004E4858">
        <w:rPr>
          <w:rFonts w:cs="Times New Roman"/>
          <w:szCs w:val="24"/>
          <w:lang w:val="en-CA"/>
        </w:rPr>
        <w:fldChar w:fldCharType="end"/>
      </w:r>
      <w:r w:rsidRPr="004E4858">
        <w:rPr>
          <w:rFonts w:cs="Times New Roman"/>
          <w:szCs w:val="24"/>
          <w:lang w:val="en-CA"/>
        </w:rPr>
        <w:t xml:space="preserve">. Figure </w:t>
      </w:r>
      <w:r w:rsidR="00A034BA" w:rsidRPr="004E4858">
        <w:rPr>
          <w:rFonts w:cs="Times New Roman"/>
          <w:szCs w:val="24"/>
          <w:lang w:val="en-CA"/>
        </w:rPr>
        <w:t>3.</w:t>
      </w:r>
      <w:r w:rsidRPr="004E4858">
        <w:rPr>
          <w:rFonts w:cs="Times New Roman"/>
          <w:szCs w:val="24"/>
          <w:lang w:val="en-CA"/>
        </w:rPr>
        <w:t xml:space="preserve">3 presents the FTIR Spectra of the unaged PG 64-22 and PG 76-28 binders. From Figure </w:t>
      </w:r>
      <w:r w:rsidR="00A034BA" w:rsidRPr="004E4858">
        <w:rPr>
          <w:rFonts w:cs="Times New Roman"/>
          <w:szCs w:val="24"/>
          <w:lang w:val="en-CA"/>
        </w:rPr>
        <w:t>3.</w:t>
      </w:r>
      <w:r w:rsidRPr="004E4858">
        <w:rPr>
          <w:rFonts w:cs="Times New Roman"/>
          <w:szCs w:val="24"/>
          <w:lang w:val="en-CA"/>
        </w:rPr>
        <w:t>3, both the PG 64-22 and PG 76-28 binders exhibited very similar characteristic peaks from FTIR spectra. For both binders, the strong characteristic absorption peaks around 2920 cm</w:t>
      </w:r>
      <w:r w:rsidRPr="004E4858">
        <w:rPr>
          <w:rFonts w:cs="Times New Roman"/>
          <w:szCs w:val="24"/>
          <w:vertAlign w:val="superscript"/>
          <w:lang w:val="en-CA"/>
        </w:rPr>
        <w:t>−1</w:t>
      </w:r>
      <w:r w:rsidRPr="004E4858">
        <w:rPr>
          <w:rFonts w:cs="Times New Roman"/>
          <w:szCs w:val="24"/>
          <w:lang w:val="en-CA"/>
        </w:rPr>
        <w:t xml:space="preserve"> and 2850 cm</w:t>
      </w:r>
      <w:r w:rsidRPr="004E4858">
        <w:rPr>
          <w:rFonts w:cs="Times New Roman"/>
          <w:szCs w:val="24"/>
          <w:vertAlign w:val="superscript"/>
          <w:lang w:val="en-CA"/>
        </w:rPr>
        <w:t>−1</w:t>
      </w:r>
      <w:r w:rsidRPr="004E4858">
        <w:rPr>
          <w:rFonts w:cs="Times New Roman"/>
          <w:szCs w:val="24"/>
          <w:lang w:val="en-CA"/>
        </w:rPr>
        <w:t xml:space="preserve"> corresponded to the stretching vibration of the C-H band. The absorption peaks near 1695 cm</w:t>
      </w:r>
      <w:r w:rsidRPr="004E4858">
        <w:rPr>
          <w:rFonts w:cs="Times New Roman"/>
          <w:szCs w:val="24"/>
          <w:vertAlign w:val="superscript"/>
          <w:lang w:val="en-CA"/>
        </w:rPr>
        <w:t>−1</w:t>
      </w:r>
      <w:r w:rsidRPr="004E4858">
        <w:rPr>
          <w:rFonts w:cs="Times New Roman"/>
          <w:szCs w:val="24"/>
          <w:lang w:val="en-CA"/>
        </w:rPr>
        <w:t xml:space="preserve"> and 1740 cm</w:t>
      </w:r>
      <w:r w:rsidRPr="004E4858">
        <w:rPr>
          <w:rFonts w:cs="Times New Roman"/>
          <w:szCs w:val="24"/>
          <w:vertAlign w:val="superscript"/>
          <w:lang w:val="en-CA"/>
        </w:rPr>
        <w:t>−1</w:t>
      </w:r>
      <w:r w:rsidRPr="004E4858">
        <w:rPr>
          <w:rFonts w:cs="Times New Roman"/>
          <w:szCs w:val="24"/>
          <w:lang w:val="en-CA"/>
        </w:rPr>
        <w:t xml:space="preserve"> represented the stretching vibration of C=O bands. The </w:t>
      </w:r>
      <w:r w:rsidRPr="004E4858">
        <w:rPr>
          <w:rFonts w:cs="Times New Roman"/>
          <w:szCs w:val="24"/>
        </w:rPr>
        <w:t xml:space="preserve">C=O </w:t>
      </w:r>
      <w:r w:rsidRPr="004E4858">
        <w:rPr>
          <w:rFonts w:cs="Times New Roman"/>
          <w:szCs w:val="24"/>
          <w:lang w:val="en-CA"/>
        </w:rPr>
        <w:t xml:space="preserve">peak near </w:t>
      </w:r>
      <w:r w:rsidRPr="004E4858">
        <w:rPr>
          <w:rFonts w:cs="Times New Roman"/>
          <w:szCs w:val="24"/>
        </w:rPr>
        <w:t>1695 cm</w:t>
      </w:r>
      <w:r w:rsidRPr="004E4858">
        <w:rPr>
          <w:rFonts w:cs="Times New Roman"/>
          <w:szCs w:val="24"/>
          <w:vertAlign w:val="superscript"/>
        </w:rPr>
        <w:t>-1</w:t>
      </w:r>
      <w:r w:rsidRPr="004E4858">
        <w:rPr>
          <w:rFonts w:cs="Times New Roman"/>
          <w:szCs w:val="24"/>
        </w:rPr>
        <w:t xml:space="preserve"> was likely </w:t>
      </w:r>
      <w:r w:rsidR="00E05CF4" w:rsidRPr="004E4858">
        <w:rPr>
          <w:rFonts w:cs="Times New Roman"/>
          <w:szCs w:val="24"/>
        </w:rPr>
        <w:t xml:space="preserve">resulted from a </w:t>
      </w:r>
      <w:r w:rsidR="00B01E6C" w:rsidRPr="004E4858">
        <w:rPr>
          <w:rFonts w:cs="Times New Roman"/>
          <w:szCs w:val="24"/>
        </w:rPr>
        <w:t xml:space="preserve">combination of </w:t>
      </w:r>
      <w:r w:rsidR="003E4F57" w:rsidRPr="004E4858">
        <w:rPr>
          <w:rFonts w:cs="Times New Roman"/>
          <w:szCs w:val="24"/>
        </w:rPr>
        <w:t xml:space="preserve">an </w:t>
      </w:r>
      <w:r w:rsidRPr="004E4858">
        <w:rPr>
          <w:rFonts w:cs="Times New Roman"/>
          <w:szCs w:val="24"/>
        </w:rPr>
        <w:t xml:space="preserve">aryl carboxylic acid (COOH) </w:t>
      </w:r>
      <w:r w:rsidR="00E05CF4" w:rsidRPr="004E4858">
        <w:rPr>
          <w:rFonts w:cs="Times New Roman"/>
          <w:szCs w:val="24"/>
        </w:rPr>
        <w:t xml:space="preserve">band and </w:t>
      </w:r>
      <w:r w:rsidR="004E25E6" w:rsidRPr="004E4858">
        <w:rPr>
          <w:rFonts w:cs="Times New Roman"/>
          <w:szCs w:val="24"/>
        </w:rPr>
        <w:t xml:space="preserve">a </w:t>
      </w:r>
      <w:r w:rsidR="00E05CF4" w:rsidRPr="004E4858">
        <w:rPr>
          <w:rFonts w:cs="Times New Roman"/>
          <w:szCs w:val="24"/>
        </w:rPr>
        <w:t>ketone band</w:t>
      </w:r>
      <w:r w:rsidRPr="004E4858">
        <w:rPr>
          <w:rFonts w:cs="Times New Roman"/>
          <w:szCs w:val="24"/>
        </w:rPr>
        <w:t xml:space="preserve">. </w:t>
      </w:r>
      <w:r w:rsidR="001310A7" w:rsidRPr="004E4858">
        <w:rPr>
          <w:rFonts w:cs="Times New Roman"/>
          <w:szCs w:val="24"/>
        </w:rPr>
        <w:fldChar w:fldCharType="begin"/>
      </w:r>
      <w:r w:rsidR="001310A7" w:rsidRPr="004E4858">
        <w:rPr>
          <w:rFonts w:cs="Times New Roman"/>
          <w:szCs w:val="24"/>
        </w:rPr>
        <w:instrText xml:space="preserve"> ADDIN EN.CITE &lt;EndNote&gt;&lt;Cite AuthorYear="1"&gt;&lt;Author&gt;Petersen&lt;/Author&gt;&lt;Year&gt;2009&lt;/Year&gt;&lt;RecNum&gt;410&lt;/RecNum&gt;&lt;DisplayText&gt;Petersen (2009)&lt;/DisplayText&gt;&lt;record&gt;&lt;rec-number&gt;410&lt;/rec-number&gt;&lt;foreign-keys&gt;&lt;key app="EN" db-id="tfx2va9ropw5p7evdr2pf5rw2vszzx9t0xzs" timestamp="1620339727"&gt;410&lt;/key&gt;&lt;/foreign-keys&gt;&lt;ref-type name="Journal Article"&gt;17&lt;/ref-type&gt;&lt;contributors&gt;&lt;authors&gt;&lt;author&gt;Petersen, J Claine&lt;/author&gt;&lt;/authors&gt;&lt;/contributors&gt;&lt;titles&gt;&lt;title&gt;A review of the fundamentals of asphalt oxidation: chemical, physicochemical, physical property, and durability relationships&lt;/title&gt;&lt;secondary-title&gt;Transportation Research Circular&lt;/secondary-title&gt;&lt;/titles&gt;&lt;periodical&gt;&lt;full-title&gt;Transportation Research Circular&lt;/full-title&gt;&lt;/periodical&gt;&lt;number&gt;E-C140&lt;/number&gt;&lt;dates&gt;&lt;year&gt;2009&lt;/year&gt;&lt;/dates&gt;&lt;isbn&gt;0097-8515&lt;/isbn&gt;&lt;urls&gt;&lt;/urls&gt;&lt;/record&gt;&lt;/Cite&gt;&lt;/EndNote&gt;</w:instrText>
      </w:r>
      <w:r w:rsidR="001310A7" w:rsidRPr="004E4858">
        <w:rPr>
          <w:rFonts w:cs="Times New Roman"/>
          <w:szCs w:val="24"/>
        </w:rPr>
        <w:fldChar w:fldCharType="separate"/>
      </w:r>
      <w:r w:rsidR="001310A7" w:rsidRPr="004E4858">
        <w:rPr>
          <w:rFonts w:cs="Times New Roman"/>
          <w:noProof/>
          <w:szCs w:val="24"/>
        </w:rPr>
        <w:t>Petersen (2009)</w:t>
      </w:r>
      <w:r w:rsidR="001310A7" w:rsidRPr="004E4858">
        <w:rPr>
          <w:rFonts w:cs="Times New Roman"/>
          <w:szCs w:val="24"/>
        </w:rPr>
        <w:fldChar w:fldCharType="end"/>
      </w:r>
      <w:r w:rsidR="001310A7" w:rsidRPr="004E4858">
        <w:rPr>
          <w:rFonts w:cs="Times New Roman"/>
          <w:szCs w:val="24"/>
        </w:rPr>
        <w:t xml:space="preserve"> reported </w:t>
      </w:r>
      <w:r w:rsidR="00823C3D" w:rsidRPr="004E4858">
        <w:rPr>
          <w:rFonts w:cs="Times New Roman"/>
          <w:szCs w:val="24"/>
        </w:rPr>
        <w:t xml:space="preserve">that the </w:t>
      </w:r>
      <w:r w:rsidR="003E4F57" w:rsidRPr="004E4858">
        <w:rPr>
          <w:rFonts w:ascii="TimesNewRoman" w:hAnsi="TimesNewRoman"/>
          <w:color w:val="000000"/>
          <w:szCs w:val="24"/>
        </w:rPr>
        <w:t>ketone band formed at 1700 cm</w:t>
      </w:r>
      <w:r w:rsidR="003E4F57" w:rsidRPr="004E4858">
        <w:rPr>
          <w:rFonts w:ascii="TimesNewRoman" w:hAnsi="TimesNewRoman"/>
          <w:color w:val="000000"/>
          <w:szCs w:val="24"/>
          <w:vertAlign w:val="superscript"/>
        </w:rPr>
        <w:t>–1</w:t>
      </w:r>
      <w:r w:rsidR="003E4F57" w:rsidRPr="004E4858">
        <w:rPr>
          <w:rFonts w:ascii="TimesNewRoman" w:hAnsi="TimesNewRoman"/>
          <w:color w:val="000000"/>
          <w:sz w:val="16"/>
          <w:szCs w:val="16"/>
        </w:rPr>
        <w:t xml:space="preserve"> </w:t>
      </w:r>
      <w:r w:rsidR="00356C3C" w:rsidRPr="004E4858">
        <w:rPr>
          <w:rFonts w:ascii="TimesNewRoman" w:hAnsi="TimesNewRoman"/>
          <w:color w:val="000000"/>
          <w:szCs w:val="24"/>
        </w:rPr>
        <w:t>ha</w:t>
      </w:r>
      <w:r w:rsidR="003E4F57" w:rsidRPr="004E4858">
        <w:rPr>
          <w:rFonts w:ascii="TimesNewRoman" w:hAnsi="TimesNewRoman"/>
          <w:color w:val="000000"/>
          <w:szCs w:val="24"/>
        </w:rPr>
        <w:t>s at the same absorption frequency as the carboxylic acid</w:t>
      </w:r>
      <w:r w:rsidR="00463446" w:rsidRPr="004E4858">
        <w:rPr>
          <w:rFonts w:ascii="TimesNewRoman" w:hAnsi="TimesNewRoman"/>
          <w:color w:val="000000"/>
          <w:szCs w:val="24"/>
        </w:rPr>
        <w:t xml:space="preserve"> </w:t>
      </w:r>
      <w:r w:rsidR="00463446" w:rsidRPr="004E4858">
        <w:rPr>
          <w:rFonts w:cs="Times New Roman"/>
          <w:szCs w:val="24"/>
        </w:rPr>
        <w:t>(COOH)</w:t>
      </w:r>
      <w:r w:rsidR="003E4F57" w:rsidRPr="004E4858">
        <w:rPr>
          <w:rFonts w:ascii="TimesNewRoman" w:hAnsi="TimesNewRoman"/>
          <w:color w:val="000000"/>
          <w:szCs w:val="24"/>
        </w:rPr>
        <w:t xml:space="preserve">, </w:t>
      </w:r>
      <w:r w:rsidR="003E4F57" w:rsidRPr="004E4858">
        <w:rPr>
          <w:rFonts w:ascii="TimesNewRoman" w:hAnsi="TimesNewRoman"/>
          <w:szCs w:val="24"/>
        </w:rPr>
        <w:t>making the two indistinguishable.</w:t>
      </w:r>
      <w:r w:rsidR="003E4F57" w:rsidRPr="004E4858">
        <w:t xml:space="preserve"> </w:t>
      </w:r>
      <w:r w:rsidRPr="004E4858">
        <w:rPr>
          <w:rFonts w:cs="Times New Roman"/>
          <w:szCs w:val="24"/>
        </w:rPr>
        <w:t>The peak at 1740 cm</w:t>
      </w:r>
      <w:r w:rsidRPr="004E4858">
        <w:rPr>
          <w:rFonts w:cs="Times New Roman"/>
          <w:szCs w:val="24"/>
          <w:vertAlign w:val="superscript"/>
        </w:rPr>
        <w:t>-1</w:t>
      </w:r>
      <w:r w:rsidRPr="004E4858">
        <w:rPr>
          <w:rFonts w:cs="Times New Roman"/>
          <w:szCs w:val="24"/>
        </w:rPr>
        <w:t xml:space="preserve"> </w:t>
      </w:r>
      <w:r w:rsidR="000A33E8" w:rsidRPr="004E4858">
        <w:rPr>
          <w:rFonts w:cs="Times New Roman"/>
          <w:szCs w:val="24"/>
        </w:rPr>
        <w:t>represent</w:t>
      </w:r>
      <w:r w:rsidR="00CE5203" w:rsidRPr="004E4858">
        <w:rPr>
          <w:rFonts w:cs="Times New Roman"/>
          <w:szCs w:val="24"/>
        </w:rPr>
        <w:t>ed</w:t>
      </w:r>
      <w:r w:rsidR="006E4D11" w:rsidRPr="004E4858">
        <w:rPr>
          <w:rFonts w:cs="Times New Roman"/>
          <w:szCs w:val="24"/>
        </w:rPr>
        <w:t xml:space="preserve"> </w:t>
      </w:r>
      <w:r w:rsidR="000A33E8" w:rsidRPr="004E4858">
        <w:rPr>
          <w:rFonts w:cs="Times New Roman"/>
          <w:szCs w:val="24"/>
        </w:rPr>
        <w:t xml:space="preserve">the </w:t>
      </w:r>
      <w:r w:rsidR="006E4D11" w:rsidRPr="004E4858">
        <w:rPr>
          <w:rFonts w:cs="Times New Roman"/>
          <w:szCs w:val="24"/>
        </w:rPr>
        <w:t>free</w:t>
      </w:r>
      <w:r w:rsidR="000A33E8" w:rsidRPr="004E4858">
        <w:rPr>
          <w:rFonts w:cs="Times New Roman"/>
          <w:szCs w:val="24"/>
        </w:rPr>
        <w:t xml:space="preserve"> </w:t>
      </w:r>
      <w:r w:rsidR="006E4D11" w:rsidRPr="004E4858">
        <w:rPr>
          <w:rFonts w:cs="Times New Roman"/>
          <w:szCs w:val="24"/>
        </w:rPr>
        <w:t>(nonhydrogen bonded) absorption band of the carbonyl group of the carboxylic acids</w:t>
      </w:r>
      <w:r w:rsidR="000A33E8" w:rsidRPr="004E4858">
        <w:rPr>
          <w:rFonts w:cs="Times New Roman"/>
          <w:szCs w:val="24"/>
        </w:rPr>
        <w:t xml:space="preserve"> </w:t>
      </w:r>
      <w:r w:rsidR="002D250C" w:rsidRPr="004E4858">
        <w:rPr>
          <w:rFonts w:cs="Times New Roman"/>
          <w:szCs w:val="24"/>
        </w:rPr>
        <w:fldChar w:fldCharType="begin"/>
      </w:r>
      <w:r w:rsidR="00282238" w:rsidRPr="004E4858">
        <w:rPr>
          <w:rFonts w:cs="Times New Roman"/>
          <w:szCs w:val="24"/>
        </w:rPr>
        <w:instrText xml:space="preserve"> ADDIN EN.CITE &lt;EndNote&gt;&lt;Cite&gt;&lt;Author&gt;Petersen&lt;/Author&gt;&lt;Year&gt;2009&lt;/Year&gt;&lt;RecNum&gt;410&lt;/RecNum&gt;&lt;DisplayText&gt;(Petersen, 2009)&lt;/DisplayText&gt;&lt;record&gt;&lt;rec-number&gt;410&lt;/rec-number&gt;&lt;foreign-keys&gt;&lt;key app="EN" db-id="tfx2va9ropw5p7evdr2pf5rw2vszzx9t0xzs" timestamp="1620339727"&gt;410&lt;/key&gt;&lt;/foreign-keys&gt;&lt;ref-type name="Journal Article"&gt;17&lt;/ref-type&gt;&lt;contributors&gt;&lt;authors&gt;&lt;author&gt;Petersen, J Claine&lt;/author&gt;&lt;/authors&gt;&lt;/contributors&gt;&lt;titles&gt;&lt;title&gt;A review of the fundamentals of asphalt oxidation: chemical, physicochemical, physical property, and durability relationships&lt;/title&gt;&lt;secondary-title&gt;Transportation Research Circular&lt;/secondary-title&gt;&lt;/titles&gt;&lt;periodical&gt;&lt;full-title&gt;Transportation Research Circular&lt;/full-title&gt;&lt;/periodical&gt;&lt;number&gt;E-C140&lt;/number&gt;&lt;dates&gt;&lt;year&gt;2009&lt;/year&gt;&lt;/dates&gt;&lt;isbn&gt;0097-8515&lt;/isbn&gt;&lt;urls&gt;&lt;/urls&gt;&lt;/record&gt;&lt;/Cite&gt;&lt;/EndNote&gt;</w:instrText>
      </w:r>
      <w:r w:rsidR="002D250C" w:rsidRPr="004E4858">
        <w:rPr>
          <w:rFonts w:cs="Times New Roman"/>
          <w:szCs w:val="24"/>
        </w:rPr>
        <w:fldChar w:fldCharType="separate"/>
      </w:r>
      <w:r w:rsidR="00282238" w:rsidRPr="004E4858">
        <w:rPr>
          <w:rFonts w:cs="Times New Roman"/>
          <w:noProof/>
          <w:szCs w:val="24"/>
        </w:rPr>
        <w:t>(Petersen, 2009)</w:t>
      </w:r>
      <w:r w:rsidR="002D250C" w:rsidRPr="004E4858">
        <w:rPr>
          <w:rFonts w:cs="Times New Roman"/>
          <w:szCs w:val="24"/>
        </w:rPr>
        <w:fldChar w:fldCharType="end"/>
      </w:r>
      <w:r w:rsidRPr="004E4858">
        <w:rPr>
          <w:rFonts w:cs="Times New Roman"/>
          <w:szCs w:val="24"/>
        </w:rPr>
        <w:t>. The conjugated peaks around 1600 cm</w:t>
      </w:r>
      <w:r w:rsidRPr="004E4858">
        <w:rPr>
          <w:rFonts w:cs="Times New Roman"/>
          <w:szCs w:val="24"/>
          <w:vertAlign w:val="superscript"/>
        </w:rPr>
        <w:t>-1</w:t>
      </w:r>
      <w:r w:rsidRPr="004E4858">
        <w:rPr>
          <w:rFonts w:cs="Times New Roman"/>
          <w:szCs w:val="24"/>
        </w:rPr>
        <w:t xml:space="preserve"> and 1580 cm</w:t>
      </w:r>
      <w:r w:rsidRPr="004E4858">
        <w:rPr>
          <w:rFonts w:cs="Times New Roman"/>
          <w:szCs w:val="24"/>
          <w:vertAlign w:val="superscript"/>
        </w:rPr>
        <w:t>-1</w:t>
      </w:r>
      <w:r w:rsidRPr="004E4858">
        <w:rPr>
          <w:rFonts w:cs="Times New Roman"/>
          <w:szCs w:val="24"/>
        </w:rPr>
        <w:t xml:space="preserve"> represented the C=C aromatic rings. The sharp peak at </w:t>
      </w:r>
      <w:r w:rsidRPr="004E4858">
        <w:rPr>
          <w:rFonts w:cs="Times New Roman"/>
          <w:szCs w:val="24"/>
          <w:lang w:val="en-CA"/>
        </w:rPr>
        <w:t>1455 cm</w:t>
      </w:r>
      <w:r w:rsidRPr="004E4858">
        <w:rPr>
          <w:rFonts w:cs="Times New Roman"/>
          <w:szCs w:val="24"/>
          <w:vertAlign w:val="superscript"/>
          <w:lang w:val="en-CA"/>
        </w:rPr>
        <w:t>−1</w:t>
      </w:r>
      <w:r w:rsidRPr="004E4858">
        <w:rPr>
          <w:rFonts w:cs="Times New Roman"/>
          <w:szCs w:val="24"/>
          <w:lang w:val="en-CA"/>
        </w:rPr>
        <w:t xml:space="preserve"> resulted from the stretching vibration (bending vibration) in the C–H plane of –CH</w:t>
      </w:r>
      <w:r w:rsidRPr="004E4858">
        <w:rPr>
          <w:rFonts w:cs="Times New Roman"/>
          <w:szCs w:val="24"/>
          <w:vertAlign w:val="subscript"/>
          <w:lang w:val="en-CA"/>
        </w:rPr>
        <w:t>2</w:t>
      </w:r>
      <w:r w:rsidRPr="004E4858">
        <w:rPr>
          <w:rFonts w:cs="Times New Roman"/>
          <w:szCs w:val="24"/>
          <w:lang w:val="en-CA"/>
        </w:rPr>
        <w:t>. The absorption peaks at 1376 cm</w:t>
      </w:r>
      <w:r w:rsidRPr="004E4858">
        <w:rPr>
          <w:rFonts w:cs="Times New Roman"/>
          <w:szCs w:val="24"/>
          <w:vertAlign w:val="superscript"/>
          <w:lang w:val="en-CA"/>
        </w:rPr>
        <w:t>-1</w:t>
      </w:r>
      <w:r w:rsidRPr="004E4858">
        <w:rPr>
          <w:rFonts w:cs="Times New Roman"/>
          <w:szCs w:val="24"/>
          <w:lang w:val="en-CA"/>
        </w:rPr>
        <w:t xml:space="preserve"> and 1365 cm</w:t>
      </w:r>
      <w:r w:rsidRPr="004E4858">
        <w:rPr>
          <w:rFonts w:cs="Times New Roman"/>
          <w:szCs w:val="24"/>
          <w:vertAlign w:val="superscript"/>
          <w:lang w:val="en-CA"/>
        </w:rPr>
        <w:t>-1</w:t>
      </w:r>
      <w:r w:rsidRPr="004E4858">
        <w:rPr>
          <w:rFonts w:cs="Times New Roman"/>
          <w:szCs w:val="24"/>
          <w:lang w:val="en-CA"/>
        </w:rPr>
        <w:t xml:space="preserve"> resulted from asymmetrical angular vibration and symmetrical angular vibration of CH</w:t>
      </w:r>
      <w:r w:rsidRPr="004E4858">
        <w:rPr>
          <w:rFonts w:cs="Times New Roman"/>
          <w:szCs w:val="24"/>
          <w:vertAlign w:val="subscript"/>
          <w:lang w:val="en-CA"/>
        </w:rPr>
        <w:t>3</w:t>
      </w:r>
      <w:r w:rsidRPr="004E4858">
        <w:rPr>
          <w:rFonts w:cs="Times New Roman"/>
          <w:szCs w:val="24"/>
          <w:lang w:val="en-CA"/>
        </w:rPr>
        <w:t>. The presence of S=O functional group was evident from the absorption peak at 1030 cm</w:t>
      </w:r>
      <w:r w:rsidRPr="004E4858">
        <w:rPr>
          <w:rFonts w:cs="Times New Roman"/>
          <w:szCs w:val="24"/>
          <w:vertAlign w:val="superscript"/>
          <w:lang w:val="en-CA"/>
        </w:rPr>
        <w:t>−1</w:t>
      </w:r>
      <w:r w:rsidRPr="004E4858">
        <w:rPr>
          <w:rFonts w:cs="Times New Roman"/>
          <w:szCs w:val="24"/>
          <w:lang w:val="en-CA"/>
        </w:rPr>
        <w:t>. The peaks at 967, 910 and 699 cm</w:t>
      </w:r>
      <w:r w:rsidRPr="004E4858">
        <w:rPr>
          <w:rFonts w:cs="Times New Roman"/>
          <w:szCs w:val="24"/>
          <w:vertAlign w:val="superscript"/>
          <w:lang w:val="en-CA"/>
        </w:rPr>
        <w:t>−1</w:t>
      </w:r>
      <w:r w:rsidRPr="004E4858">
        <w:rPr>
          <w:rFonts w:cs="Times New Roman"/>
          <w:szCs w:val="24"/>
          <w:lang w:val="en-CA"/>
        </w:rPr>
        <w:t xml:space="preserve"> were observed only in the PG 76-28 binder. These peaks verified the presence of styrene-butadiene-styrene (SBS) co-polymer in the PG 76-28 binder </w:t>
      </w:r>
      <w:r w:rsidRPr="004E4858">
        <w:rPr>
          <w:rFonts w:cs="Times New Roman"/>
          <w:szCs w:val="24"/>
          <w:lang w:val="en-CA"/>
        </w:rPr>
        <w:fldChar w:fldCharType="begin"/>
      </w:r>
      <w:r w:rsidR="00282238" w:rsidRPr="004E4858">
        <w:rPr>
          <w:rFonts w:cs="Times New Roman"/>
          <w:szCs w:val="24"/>
          <w:lang w:val="en-CA"/>
        </w:rPr>
        <w:instrText xml:space="preserve"> ADDIN EN.CITE &lt;EndNote&gt;&lt;Cite&gt;&lt;Author&gt;Luo&lt;/Author&gt;&lt;Year&gt;2020&lt;/Year&gt;&lt;RecNum&gt;238&lt;/RecNum&gt;&lt;DisplayText&gt;(Luo et al., 2020)&lt;/DisplayText&gt;&lt;record&gt;&lt;rec-number&gt;238&lt;/rec-number&gt;&lt;foreign-keys&gt;&lt;key app="EN" db-id="d55vzfpwawdafteedfoxsf0lv0v0wp5va2aa" timestamp="1617052101"&gt;238&lt;/key&gt;&lt;/foreign-keys&gt;&lt;ref-type name="Journal Article"&gt;17&lt;/ref-type&gt;&lt;contributors&gt;&lt;authors&gt;&lt;author&gt;Luo, Sang&lt;/author&gt;&lt;author&gt;Tian, Jiahao&lt;/author&gt;&lt;author&gt;Liu, Ziming&lt;/author&gt;&lt;author&gt;Lu, Qing&lt;/author&gt;&lt;author&gt;Zhong, Ke&lt;/author&gt;&lt;author&gt;Yang, Xu&lt;/author&gt;&lt;/authors&gt;&lt;/contributors&gt;&lt;titles&gt;&lt;title&gt;Rapid determination of styrene-butadiene-styrene (SBS) content in modified asphalt based on Fourier transform infrared (FTIR) spectrometer and linear regression analysis&lt;/title&gt;&lt;secondary-title&gt;Measurement&lt;/secondary-title&gt;&lt;/titles&gt;&lt;periodical&gt;&lt;full-title&gt;Measurement&lt;/full-title&gt;&lt;/periodical&gt;&lt;pages&gt;107204&lt;/pages&gt;&lt;volume&gt;151&lt;/volume&gt;&lt;dates&gt;&lt;year&gt;2020&lt;/year&gt;&lt;/dates&gt;&lt;isbn&gt;0263-2241&lt;/isbn&gt;&lt;urls&gt;&lt;/urls&gt;&lt;/record&gt;&lt;/Cite&gt;&lt;/EndNote&gt;</w:instrText>
      </w:r>
      <w:r w:rsidRPr="004E4858">
        <w:rPr>
          <w:rFonts w:cs="Times New Roman"/>
          <w:szCs w:val="24"/>
          <w:lang w:val="en-CA"/>
        </w:rPr>
        <w:fldChar w:fldCharType="separate"/>
      </w:r>
      <w:r w:rsidR="00282238" w:rsidRPr="004E4858">
        <w:rPr>
          <w:rFonts w:cs="Times New Roman"/>
          <w:noProof/>
          <w:szCs w:val="24"/>
          <w:lang w:val="en-CA"/>
        </w:rPr>
        <w:t>(Luo et al., 2020)</w:t>
      </w:r>
      <w:r w:rsidRPr="004E4858">
        <w:rPr>
          <w:rFonts w:cs="Times New Roman"/>
          <w:szCs w:val="24"/>
          <w:lang w:val="en-CA"/>
        </w:rPr>
        <w:fldChar w:fldCharType="end"/>
      </w:r>
      <w:r w:rsidRPr="004E4858">
        <w:rPr>
          <w:rFonts w:cs="Times New Roman"/>
          <w:szCs w:val="24"/>
          <w:lang w:val="en-CA"/>
        </w:rPr>
        <w:t>. The heights of the peaks at 1695, 1740 and 1030 cm</w:t>
      </w:r>
      <w:r w:rsidRPr="004E4858">
        <w:rPr>
          <w:rFonts w:cs="Times New Roman"/>
          <w:szCs w:val="24"/>
          <w:vertAlign w:val="superscript"/>
          <w:lang w:val="en-CA"/>
        </w:rPr>
        <w:t>−1</w:t>
      </w:r>
      <w:r w:rsidRPr="004E4858">
        <w:rPr>
          <w:rFonts w:cs="Times New Roman"/>
          <w:szCs w:val="24"/>
          <w:lang w:val="en-CA"/>
        </w:rPr>
        <w:t xml:space="preserve"> were found to increase with RTFO- and PAV-aging.</w:t>
      </w:r>
    </w:p>
    <w:p w14:paraId="05E7E249" w14:textId="6E18E57B" w:rsidR="00B753C6" w:rsidRPr="004E4858" w:rsidRDefault="00B753C6" w:rsidP="00C94B99">
      <w:pPr>
        <w:ind w:firstLine="720"/>
        <w:rPr>
          <w:rFonts w:cs="Times New Roman"/>
          <w:szCs w:val="24"/>
        </w:rPr>
      </w:pPr>
      <w:r w:rsidRPr="004E4858">
        <w:rPr>
          <w:rFonts w:cs="Times New Roman"/>
          <w:szCs w:val="24"/>
          <w:lang w:val="en-CA"/>
        </w:rPr>
        <w:t xml:space="preserve">The addition of WMA additive did not exhibit any change in the absorption peaks for the PG 64-22 and PG 76-28 binders under unaged and RTFO-aged conditions (Figure </w:t>
      </w:r>
      <w:r w:rsidR="00A034BA" w:rsidRPr="004E4858">
        <w:rPr>
          <w:rFonts w:cs="Times New Roman"/>
          <w:szCs w:val="24"/>
          <w:lang w:val="en-CA"/>
        </w:rPr>
        <w:t>3.</w:t>
      </w:r>
      <w:r w:rsidRPr="004E4858">
        <w:rPr>
          <w:rFonts w:cs="Times New Roman"/>
          <w:szCs w:val="24"/>
          <w:lang w:val="en-CA"/>
        </w:rPr>
        <w:t>4). However, prominent amine functionality (peaks at 1578 and 1540 cm</w:t>
      </w:r>
      <w:r w:rsidRPr="004E4858">
        <w:rPr>
          <w:rFonts w:cs="Times New Roman"/>
          <w:szCs w:val="24"/>
          <w:vertAlign w:val="superscript"/>
          <w:lang w:val="en-CA"/>
        </w:rPr>
        <w:t>−1</w:t>
      </w:r>
      <w:r w:rsidRPr="004E4858">
        <w:rPr>
          <w:rFonts w:cs="Times New Roman"/>
          <w:szCs w:val="24"/>
          <w:lang w:val="en-CA"/>
        </w:rPr>
        <w:t xml:space="preserve">) was observed after PAV-aging of both binders. Under unaged condition, the addition of ASA to the PG 64-22 binder resulted in the appearance of similar peaks at </w:t>
      </w:r>
      <w:r w:rsidRPr="004E4858">
        <w:rPr>
          <w:rFonts w:cs="Times New Roman"/>
          <w:szCs w:val="24"/>
        </w:rPr>
        <w:t>1540 cm</w:t>
      </w:r>
      <w:r w:rsidRPr="004E4858">
        <w:rPr>
          <w:rFonts w:cs="Times New Roman"/>
          <w:szCs w:val="24"/>
          <w:vertAlign w:val="superscript"/>
        </w:rPr>
        <w:t xml:space="preserve">-1 </w:t>
      </w:r>
      <w:r w:rsidRPr="004E4858">
        <w:rPr>
          <w:rFonts w:cs="Times New Roman"/>
          <w:szCs w:val="24"/>
        </w:rPr>
        <w:t>and 1578 cm</w:t>
      </w:r>
      <w:r w:rsidRPr="004E4858">
        <w:rPr>
          <w:rFonts w:cs="Times New Roman"/>
          <w:szCs w:val="24"/>
          <w:vertAlign w:val="superscript"/>
        </w:rPr>
        <w:t>-1</w:t>
      </w:r>
      <w:r w:rsidRPr="004E4858">
        <w:rPr>
          <w:rFonts w:cs="Times New Roman"/>
          <w:szCs w:val="24"/>
        </w:rPr>
        <w:t xml:space="preserve"> bands, which were possibly N-H bending modes of an amine (Figure </w:t>
      </w:r>
      <w:r w:rsidR="00A034BA" w:rsidRPr="004E4858">
        <w:rPr>
          <w:rFonts w:cs="Times New Roman"/>
          <w:szCs w:val="24"/>
          <w:lang w:val="en-CA"/>
        </w:rPr>
        <w:t>3.</w:t>
      </w:r>
      <w:r w:rsidRPr="004E4858">
        <w:rPr>
          <w:rFonts w:cs="Times New Roman"/>
          <w:szCs w:val="24"/>
        </w:rPr>
        <w:t xml:space="preserve">5). However, these peaks were not observed in other samples with ASA. It is possible that the amine bands were not seen as they </w:t>
      </w:r>
      <w:r w:rsidR="00DB29D9" w:rsidRPr="004E4858">
        <w:rPr>
          <w:rFonts w:cs="Times New Roman"/>
          <w:szCs w:val="24"/>
        </w:rPr>
        <w:t xml:space="preserve">are </w:t>
      </w:r>
      <w:r w:rsidRPr="004E4858">
        <w:rPr>
          <w:rFonts w:cs="Times New Roman"/>
          <w:szCs w:val="24"/>
        </w:rPr>
        <w:t>often weak modes and can overlap with the C-H bending modes, aryl C=C modes, C-O stretches, and OH bending modes. Another reason could be the loss of amine group due oxidative aging.</w:t>
      </w:r>
    </w:p>
    <w:p w14:paraId="2FEB6AA8" w14:textId="162DEDBA" w:rsidR="0038132E" w:rsidRPr="00C94B99" w:rsidRDefault="00B753C6" w:rsidP="00C94B99">
      <w:pPr>
        <w:ind w:firstLine="720"/>
        <w:rPr>
          <w:rFonts w:cs="Times New Roman"/>
          <w:szCs w:val="24"/>
        </w:rPr>
      </w:pPr>
      <w:r w:rsidRPr="004E4858">
        <w:rPr>
          <w:rFonts w:cs="Times New Roman"/>
          <w:szCs w:val="24"/>
        </w:rPr>
        <w:t xml:space="preserve">In Figure </w:t>
      </w:r>
      <w:r w:rsidR="00A034BA" w:rsidRPr="004E4858">
        <w:rPr>
          <w:rFonts w:cs="Times New Roman"/>
          <w:szCs w:val="24"/>
          <w:lang w:val="en-CA"/>
        </w:rPr>
        <w:t>3.</w:t>
      </w:r>
      <w:r w:rsidRPr="004E4858">
        <w:rPr>
          <w:rFonts w:cs="Times New Roman"/>
          <w:szCs w:val="24"/>
        </w:rPr>
        <w:t xml:space="preserve">6, the emergence of an aliphatic saturated carboxylic acid C=O band around 1730 </w:t>
      </w:r>
      <w:r w:rsidRPr="004E4858">
        <w:rPr>
          <w:rFonts w:cs="Times New Roman"/>
          <w:szCs w:val="24"/>
          <w:lang w:val="en-CA"/>
        </w:rPr>
        <w:t>cm</w:t>
      </w:r>
      <w:r w:rsidRPr="004E4858">
        <w:rPr>
          <w:rFonts w:cs="Times New Roman"/>
          <w:szCs w:val="24"/>
          <w:vertAlign w:val="superscript"/>
          <w:lang w:val="en-CA"/>
        </w:rPr>
        <w:t>−1</w:t>
      </w:r>
      <w:r w:rsidRPr="004E4858">
        <w:rPr>
          <w:rFonts w:cs="Times New Roman"/>
          <w:szCs w:val="24"/>
        </w:rPr>
        <w:t xml:space="preserve"> likely resulted from the addition of 20% RAP. This peak was distinguishable in the RTFO- and PAV-aged PG 64-22 + 20% RAP and Unaged PG 76-28 + 20% RAP binders. For other RAP binder blends, this peak may have overlapped with the 1740 cm</w:t>
      </w:r>
      <w:r w:rsidRPr="004E4858">
        <w:rPr>
          <w:rFonts w:cs="Times New Roman"/>
          <w:szCs w:val="24"/>
          <w:vertAlign w:val="superscript"/>
        </w:rPr>
        <w:t>-1</w:t>
      </w:r>
      <w:r w:rsidRPr="004E4858">
        <w:rPr>
          <w:rFonts w:cs="Times New Roman"/>
          <w:szCs w:val="24"/>
        </w:rPr>
        <w:t xml:space="preserve"> peak. The PG 64-22 binder with PPA modification exhibited absorbance peaks at 1076, 962 and 500 cm</w:t>
      </w:r>
      <w:r w:rsidRPr="004E4858">
        <w:rPr>
          <w:rFonts w:cs="Times New Roman"/>
          <w:szCs w:val="24"/>
          <w:vertAlign w:val="superscript"/>
        </w:rPr>
        <w:t>-1</w:t>
      </w:r>
      <w:r w:rsidRPr="004E4858">
        <w:rPr>
          <w:rFonts w:cs="Times New Roman"/>
          <w:szCs w:val="24"/>
        </w:rPr>
        <w:t xml:space="preserve">, which are related to the P=O and P-O stretches (Figure </w:t>
      </w:r>
      <w:r w:rsidR="00A034BA" w:rsidRPr="004E4858">
        <w:rPr>
          <w:rFonts w:cs="Times New Roman"/>
          <w:szCs w:val="24"/>
          <w:lang w:val="en-CA"/>
        </w:rPr>
        <w:t>3.</w:t>
      </w:r>
      <w:r w:rsidRPr="004E4858">
        <w:rPr>
          <w:rFonts w:cs="Times New Roman"/>
          <w:szCs w:val="24"/>
        </w:rPr>
        <w:t>7)</w:t>
      </w:r>
      <w:r w:rsidR="0038132E" w:rsidRPr="004E4858">
        <w:rPr>
          <w:rFonts w:cs="Times New Roman"/>
          <w:szCs w:val="24"/>
        </w:rPr>
        <w:t>.</w:t>
      </w:r>
    </w:p>
    <w:p w14:paraId="1458C04C" w14:textId="53454FD5" w:rsidR="0038132E" w:rsidRPr="00C94B99" w:rsidRDefault="00143CA9" w:rsidP="00C94B99">
      <w:pPr>
        <w:ind w:firstLine="720"/>
        <w:rPr>
          <w:rFonts w:cs="Times New Roman"/>
          <w:szCs w:val="24"/>
        </w:rPr>
      </w:pPr>
      <w:r w:rsidRPr="00C94B99">
        <w:rPr>
          <w:rFonts w:cs="Times New Roman"/>
          <w:szCs w:val="24"/>
          <w:lang w:val="en-CA"/>
        </w:rPr>
        <w:t>The effect of the aging on the functional compositions of the binders were evaluated using carbonyl and sulfoxide indices. The changes in carbonyl indices, based on the peak heights at 1695 and 1740 cm</w:t>
      </w:r>
      <w:r w:rsidRPr="00C94B99">
        <w:rPr>
          <w:rFonts w:cs="Times New Roman"/>
          <w:szCs w:val="24"/>
          <w:vertAlign w:val="superscript"/>
          <w:lang w:val="en-CA"/>
        </w:rPr>
        <w:t>-1</w:t>
      </w:r>
      <w:r w:rsidRPr="00C94B99">
        <w:rPr>
          <w:rFonts w:cs="Times New Roman"/>
          <w:szCs w:val="24"/>
          <w:lang w:val="en-CA"/>
        </w:rPr>
        <w:t xml:space="preserve">, for the PG 64-22 and PG 76-28 binders are presented in Figures </w:t>
      </w:r>
      <w:r w:rsidR="00A034BA">
        <w:rPr>
          <w:rFonts w:cs="Times New Roman"/>
          <w:szCs w:val="24"/>
          <w:lang w:val="en-CA"/>
        </w:rPr>
        <w:t>3.</w:t>
      </w:r>
      <w:r w:rsidRPr="00C94B99">
        <w:rPr>
          <w:rFonts w:cs="Times New Roman"/>
          <w:szCs w:val="24"/>
          <w:lang w:val="en-CA"/>
        </w:rPr>
        <w:t xml:space="preserve">8(a) and 8(b), respectively. Figures </w:t>
      </w:r>
      <w:r w:rsidR="00A034BA">
        <w:rPr>
          <w:rFonts w:cs="Times New Roman"/>
          <w:szCs w:val="24"/>
          <w:lang w:val="en-CA"/>
        </w:rPr>
        <w:t>3.</w:t>
      </w:r>
      <w:r w:rsidRPr="00C94B99">
        <w:rPr>
          <w:rFonts w:cs="Times New Roman"/>
          <w:szCs w:val="24"/>
          <w:lang w:val="en-CA"/>
        </w:rPr>
        <w:t xml:space="preserve">9(a) and </w:t>
      </w:r>
      <w:r w:rsidR="00A034BA">
        <w:rPr>
          <w:rFonts w:cs="Times New Roman"/>
          <w:szCs w:val="24"/>
          <w:lang w:val="en-CA"/>
        </w:rPr>
        <w:t>3.</w:t>
      </w:r>
      <w:r w:rsidRPr="00C94B99">
        <w:rPr>
          <w:rFonts w:cs="Times New Roman"/>
          <w:szCs w:val="24"/>
          <w:lang w:val="en-CA"/>
        </w:rPr>
        <w:t xml:space="preserve">9(b) present the changes in the sulfoxide indices for the PG 64-22 and PG 76-28 binders, respectively. </w:t>
      </w:r>
      <w:r w:rsidRPr="00C94B99">
        <w:rPr>
          <w:rFonts w:cs="Times New Roman"/>
          <w:szCs w:val="24"/>
        </w:rPr>
        <w:t xml:space="preserve">In general, the changes in the </w:t>
      </w:r>
      <w:r w:rsidRPr="00C94B99">
        <w:rPr>
          <w:rFonts w:cs="Times New Roman"/>
          <w:i/>
          <w:iCs/>
          <w:szCs w:val="24"/>
        </w:rPr>
        <w:t>I</w:t>
      </w:r>
      <w:r w:rsidRPr="00C94B99">
        <w:rPr>
          <w:rFonts w:cs="Times New Roman"/>
          <w:i/>
          <w:iCs/>
          <w:szCs w:val="24"/>
          <w:vertAlign w:val="subscript"/>
        </w:rPr>
        <w:t>SO</w:t>
      </w:r>
      <w:r w:rsidRPr="00C94B99">
        <w:rPr>
          <w:rFonts w:cs="Times New Roman"/>
          <w:szCs w:val="24"/>
        </w:rPr>
        <w:t xml:space="preserve"> were higher than the </w:t>
      </w:r>
      <w:r w:rsidRPr="00C94B99">
        <w:rPr>
          <w:rFonts w:cs="Times New Roman"/>
          <w:i/>
          <w:iCs/>
          <w:szCs w:val="24"/>
        </w:rPr>
        <w:t>I</w:t>
      </w:r>
      <w:r w:rsidRPr="00C94B99">
        <w:rPr>
          <w:rFonts w:cs="Times New Roman"/>
          <w:i/>
          <w:iCs/>
          <w:szCs w:val="24"/>
          <w:vertAlign w:val="subscript"/>
        </w:rPr>
        <w:t>CO</w:t>
      </w:r>
      <w:r w:rsidRPr="00C94B99">
        <w:rPr>
          <w:rFonts w:cs="Times New Roman"/>
          <w:szCs w:val="24"/>
        </w:rPr>
        <w:t xml:space="preserve"> for both binder blends. For both </w:t>
      </w:r>
      <w:r w:rsidRPr="00C94B99">
        <w:rPr>
          <w:rFonts w:cs="Times New Roman"/>
          <w:i/>
          <w:iCs/>
          <w:szCs w:val="24"/>
        </w:rPr>
        <w:t>I</w:t>
      </w:r>
      <w:r w:rsidRPr="00C94B99">
        <w:rPr>
          <w:rFonts w:cs="Times New Roman"/>
          <w:i/>
          <w:iCs/>
          <w:szCs w:val="24"/>
          <w:vertAlign w:val="subscript"/>
        </w:rPr>
        <w:t>SO</w:t>
      </w:r>
      <w:r w:rsidRPr="00C94B99">
        <w:rPr>
          <w:rFonts w:cs="Times New Roman"/>
          <w:szCs w:val="24"/>
        </w:rPr>
        <w:t xml:space="preserve"> and </w:t>
      </w:r>
      <w:r w:rsidRPr="00C94B99">
        <w:rPr>
          <w:rFonts w:cs="Times New Roman"/>
          <w:i/>
          <w:iCs/>
          <w:szCs w:val="24"/>
        </w:rPr>
        <w:t>I</w:t>
      </w:r>
      <w:r w:rsidRPr="00C94B99">
        <w:rPr>
          <w:rFonts w:cs="Times New Roman"/>
          <w:i/>
          <w:iCs/>
          <w:szCs w:val="24"/>
          <w:vertAlign w:val="subscript"/>
        </w:rPr>
        <w:t>CO</w:t>
      </w:r>
      <w:r w:rsidRPr="00C94B99">
        <w:rPr>
          <w:rFonts w:cs="Times New Roman"/>
          <w:szCs w:val="24"/>
        </w:rPr>
        <w:t>, the greatest oxidation effects were seen after the long-term PAV-aging</w:t>
      </w:r>
      <w:r w:rsidR="0038132E" w:rsidRPr="00C94B99">
        <w:rPr>
          <w:rFonts w:cs="Times New Roman"/>
          <w:szCs w:val="24"/>
        </w:rPr>
        <w:t xml:space="preserve">. </w:t>
      </w:r>
    </w:p>
    <w:p w14:paraId="2BD5E59F" w14:textId="1C26FB99" w:rsidR="0038132E" w:rsidRPr="00C94B99" w:rsidRDefault="00FC2361" w:rsidP="00C94B99">
      <w:pPr>
        <w:ind w:firstLine="720"/>
        <w:rPr>
          <w:rFonts w:cs="Times New Roman"/>
          <w:szCs w:val="24"/>
        </w:rPr>
      </w:pPr>
      <w:r w:rsidRPr="00C94B99">
        <w:rPr>
          <w:rFonts w:cs="Times New Roman"/>
          <w:szCs w:val="24"/>
        </w:rPr>
        <w:t xml:space="preserve">For the PG 64-22 binder, the addition of RAP and PPA did not exhibit any significant changes in </w:t>
      </w:r>
      <w:r w:rsidRPr="00C94B99">
        <w:rPr>
          <w:rFonts w:cs="Times New Roman"/>
          <w:i/>
          <w:iCs/>
          <w:szCs w:val="24"/>
        </w:rPr>
        <w:t>I</w:t>
      </w:r>
      <w:r w:rsidRPr="00C94B99">
        <w:rPr>
          <w:rFonts w:cs="Times New Roman"/>
          <w:i/>
          <w:iCs/>
          <w:szCs w:val="24"/>
          <w:vertAlign w:val="subscript"/>
        </w:rPr>
        <w:t xml:space="preserve">CO </w:t>
      </w:r>
      <w:r w:rsidRPr="00C94B99">
        <w:rPr>
          <w:rFonts w:cs="Times New Roman"/>
          <w:szCs w:val="24"/>
          <w:vertAlign w:val="subscript"/>
        </w:rPr>
        <w:t>(1695)</w:t>
      </w:r>
      <w:r w:rsidRPr="00C94B99">
        <w:rPr>
          <w:rFonts w:cs="Times New Roman"/>
          <w:szCs w:val="24"/>
        </w:rPr>
        <w:t xml:space="preserve"> after RTFO-aging. However, </w:t>
      </w:r>
      <w:r w:rsidRPr="00C94B99">
        <w:rPr>
          <w:rFonts w:cs="Times New Roman"/>
          <w:i/>
          <w:iCs/>
          <w:szCs w:val="24"/>
        </w:rPr>
        <w:t>I</w:t>
      </w:r>
      <w:r w:rsidRPr="00C94B99">
        <w:rPr>
          <w:rFonts w:cs="Times New Roman"/>
          <w:i/>
          <w:iCs/>
          <w:szCs w:val="24"/>
          <w:vertAlign w:val="subscript"/>
        </w:rPr>
        <w:t xml:space="preserve">CO </w:t>
      </w:r>
      <w:r w:rsidRPr="00C94B99">
        <w:rPr>
          <w:rFonts w:cs="Times New Roman"/>
          <w:szCs w:val="24"/>
          <w:vertAlign w:val="subscript"/>
        </w:rPr>
        <w:t>(1695)</w:t>
      </w:r>
      <w:r w:rsidRPr="00C94B99">
        <w:rPr>
          <w:rFonts w:cs="Times New Roman"/>
          <w:szCs w:val="24"/>
        </w:rPr>
        <w:t xml:space="preserve"> similar to the PG 64-22 binder was observed after long-term aging. The addition of ASA exhibited a reduction in </w:t>
      </w:r>
      <w:r w:rsidRPr="00C94B99">
        <w:rPr>
          <w:rFonts w:cs="Times New Roman"/>
          <w:i/>
          <w:iCs/>
          <w:szCs w:val="24"/>
        </w:rPr>
        <w:t>I</w:t>
      </w:r>
      <w:r w:rsidRPr="00C94B99">
        <w:rPr>
          <w:rFonts w:cs="Times New Roman"/>
          <w:i/>
          <w:iCs/>
          <w:szCs w:val="24"/>
          <w:vertAlign w:val="subscript"/>
        </w:rPr>
        <w:t xml:space="preserve">CO </w:t>
      </w:r>
      <w:r w:rsidRPr="00C94B99">
        <w:rPr>
          <w:rFonts w:cs="Times New Roman"/>
          <w:szCs w:val="24"/>
          <w:vertAlign w:val="subscript"/>
        </w:rPr>
        <w:t>(1695)</w:t>
      </w:r>
      <w:r w:rsidRPr="00C94B99">
        <w:rPr>
          <w:rFonts w:cs="Times New Roman"/>
          <w:szCs w:val="24"/>
        </w:rPr>
        <w:t xml:space="preserve"> for the unaged PG 64-22 binder. However, with aging, the </w:t>
      </w:r>
      <w:r w:rsidRPr="00C94B99">
        <w:rPr>
          <w:rFonts w:cs="Times New Roman"/>
          <w:i/>
          <w:iCs/>
          <w:szCs w:val="24"/>
        </w:rPr>
        <w:t>I</w:t>
      </w:r>
      <w:r w:rsidRPr="00C94B99">
        <w:rPr>
          <w:rFonts w:cs="Times New Roman"/>
          <w:i/>
          <w:iCs/>
          <w:szCs w:val="24"/>
          <w:vertAlign w:val="subscript"/>
        </w:rPr>
        <w:t xml:space="preserve">CO </w:t>
      </w:r>
      <w:r w:rsidRPr="00C94B99">
        <w:rPr>
          <w:rFonts w:cs="Times New Roman"/>
          <w:szCs w:val="24"/>
          <w:vertAlign w:val="subscript"/>
        </w:rPr>
        <w:t>(1695)</w:t>
      </w:r>
      <w:r w:rsidRPr="00C94B99">
        <w:rPr>
          <w:rFonts w:cs="Times New Roman"/>
          <w:szCs w:val="24"/>
        </w:rPr>
        <w:t xml:space="preserve"> value was found to be similar to the PG 64-22 without any additive. From Figure </w:t>
      </w:r>
      <w:r w:rsidR="00A034BA">
        <w:rPr>
          <w:rFonts w:cs="Times New Roman"/>
          <w:szCs w:val="24"/>
          <w:lang w:val="en-CA"/>
        </w:rPr>
        <w:t>3.</w:t>
      </w:r>
      <w:r w:rsidRPr="00C94B99">
        <w:rPr>
          <w:rFonts w:cs="Times New Roman"/>
          <w:szCs w:val="24"/>
        </w:rPr>
        <w:t xml:space="preserve">8(a), it was observed that the changes in </w:t>
      </w:r>
      <w:r w:rsidRPr="00C94B99">
        <w:rPr>
          <w:rFonts w:cs="Times New Roman"/>
          <w:i/>
          <w:iCs/>
          <w:szCs w:val="24"/>
        </w:rPr>
        <w:t>I</w:t>
      </w:r>
      <w:r w:rsidRPr="00C94B99">
        <w:rPr>
          <w:rFonts w:cs="Times New Roman"/>
          <w:i/>
          <w:iCs/>
          <w:szCs w:val="24"/>
          <w:vertAlign w:val="subscript"/>
        </w:rPr>
        <w:t xml:space="preserve">CO </w:t>
      </w:r>
      <w:r w:rsidRPr="00C94B99">
        <w:rPr>
          <w:rFonts w:cs="Times New Roman"/>
          <w:szCs w:val="24"/>
          <w:vertAlign w:val="subscript"/>
        </w:rPr>
        <w:t>(1740)</w:t>
      </w:r>
      <w:r w:rsidRPr="00C94B99">
        <w:rPr>
          <w:rFonts w:cs="Times New Roman"/>
          <w:szCs w:val="24"/>
        </w:rPr>
        <w:t xml:space="preserve"> with aging of the PG 64-22 binder blends were not as consistent as </w:t>
      </w:r>
      <w:r w:rsidRPr="00C94B99">
        <w:rPr>
          <w:rFonts w:cs="Times New Roman"/>
          <w:i/>
          <w:iCs/>
          <w:szCs w:val="24"/>
        </w:rPr>
        <w:t>I</w:t>
      </w:r>
      <w:r w:rsidRPr="00C94B99">
        <w:rPr>
          <w:rFonts w:cs="Times New Roman"/>
          <w:i/>
          <w:iCs/>
          <w:szCs w:val="24"/>
          <w:vertAlign w:val="subscript"/>
        </w:rPr>
        <w:t xml:space="preserve">CO </w:t>
      </w:r>
      <w:r w:rsidRPr="00C94B99">
        <w:rPr>
          <w:rFonts w:cs="Times New Roman"/>
          <w:szCs w:val="24"/>
          <w:vertAlign w:val="subscript"/>
        </w:rPr>
        <w:t>(1695)</w:t>
      </w:r>
      <w:r w:rsidRPr="00C94B99">
        <w:rPr>
          <w:rFonts w:cs="Times New Roman"/>
          <w:szCs w:val="24"/>
        </w:rPr>
        <w:t>. Although C=O (1695 cm</w:t>
      </w:r>
      <w:r w:rsidRPr="00C94B99">
        <w:rPr>
          <w:rFonts w:cs="Times New Roman"/>
          <w:szCs w:val="24"/>
          <w:vertAlign w:val="superscript"/>
        </w:rPr>
        <w:t>-1</w:t>
      </w:r>
      <w:r w:rsidRPr="00C94B99">
        <w:rPr>
          <w:rFonts w:cs="Times New Roman"/>
          <w:szCs w:val="24"/>
        </w:rPr>
        <w:t>) content increased with aging, there was a decrease in the S=O content with the addition of WMA additive to the PG 64-22 binder. This decrease may be due to the loss of the sulfoxide peak as SO</w:t>
      </w:r>
      <w:r w:rsidRPr="00C94B99">
        <w:rPr>
          <w:rFonts w:cs="Times New Roman"/>
          <w:szCs w:val="24"/>
          <w:vertAlign w:val="subscript"/>
        </w:rPr>
        <w:t>2</w:t>
      </w:r>
      <w:r w:rsidRPr="00C94B99">
        <w:rPr>
          <w:rFonts w:cs="Times New Roman"/>
          <w:szCs w:val="24"/>
        </w:rPr>
        <w:t xml:space="preserve">(g) during oxidation. From Figure </w:t>
      </w:r>
      <w:r w:rsidR="00A034BA">
        <w:rPr>
          <w:rFonts w:cs="Times New Roman"/>
          <w:szCs w:val="24"/>
          <w:lang w:val="en-CA"/>
        </w:rPr>
        <w:t>3.</w:t>
      </w:r>
      <w:r w:rsidRPr="00C94B99">
        <w:rPr>
          <w:rFonts w:cs="Times New Roman"/>
          <w:szCs w:val="24"/>
        </w:rPr>
        <w:t>9(a), the greatest increase in S=O indices was observed for the PG 64-22 + 1.5% PPA after long-term PAV-aging</w:t>
      </w:r>
      <w:r w:rsidR="0038132E" w:rsidRPr="00C94B99">
        <w:rPr>
          <w:rFonts w:cs="Times New Roman"/>
          <w:szCs w:val="24"/>
        </w:rPr>
        <w:t xml:space="preserve">. </w:t>
      </w:r>
    </w:p>
    <w:p w14:paraId="3E9E875C" w14:textId="5FEC5C74" w:rsidR="0038132E" w:rsidRPr="00C94B99" w:rsidRDefault="00A81869" w:rsidP="00C94B99">
      <w:pPr>
        <w:ind w:firstLine="720"/>
        <w:rPr>
          <w:rFonts w:cs="Times New Roman"/>
          <w:szCs w:val="24"/>
        </w:rPr>
      </w:pPr>
      <w:r w:rsidRPr="00C94B99">
        <w:rPr>
          <w:rFonts w:cs="Times New Roman"/>
          <w:szCs w:val="24"/>
        </w:rPr>
        <w:t>The polymer modified PG 76-28 binder blends showed a clear increase in the 1695 cm</w:t>
      </w:r>
      <w:r w:rsidRPr="00C94B99">
        <w:rPr>
          <w:rFonts w:cs="Times New Roman"/>
          <w:szCs w:val="24"/>
          <w:vertAlign w:val="superscript"/>
        </w:rPr>
        <w:t>-1</w:t>
      </w:r>
      <w:r w:rsidRPr="00C94B99">
        <w:rPr>
          <w:rFonts w:cs="Times New Roman"/>
          <w:szCs w:val="24"/>
        </w:rPr>
        <w:t xml:space="preserve"> C=O band with increased aging (RTFO- and PAV-aging), i.e., more consistent oxidation with aging. Also, it was found that the addition of WMA, ASA and RAP increased the </w:t>
      </w:r>
      <w:r w:rsidRPr="00C94B99">
        <w:rPr>
          <w:rFonts w:cs="Times New Roman"/>
          <w:i/>
          <w:iCs/>
          <w:szCs w:val="24"/>
        </w:rPr>
        <w:t>I</w:t>
      </w:r>
      <w:r w:rsidRPr="00C94B99">
        <w:rPr>
          <w:rFonts w:cs="Times New Roman"/>
          <w:i/>
          <w:iCs/>
          <w:szCs w:val="24"/>
          <w:vertAlign w:val="subscript"/>
        </w:rPr>
        <w:t xml:space="preserve">CO </w:t>
      </w:r>
      <w:r w:rsidRPr="00C94B99">
        <w:rPr>
          <w:rFonts w:cs="Times New Roman"/>
          <w:szCs w:val="24"/>
          <w:vertAlign w:val="subscript"/>
        </w:rPr>
        <w:t>(1695)</w:t>
      </w:r>
      <w:r w:rsidRPr="00C94B99">
        <w:rPr>
          <w:rFonts w:cs="Times New Roman"/>
          <w:szCs w:val="24"/>
        </w:rPr>
        <w:t xml:space="preserve"> of the unaged PG 76-28 binder. However, after PAV-aging, the </w:t>
      </w:r>
      <w:r w:rsidRPr="00C94B99">
        <w:rPr>
          <w:rFonts w:cs="Times New Roman"/>
          <w:i/>
          <w:iCs/>
          <w:szCs w:val="24"/>
        </w:rPr>
        <w:t>I</w:t>
      </w:r>
      <w:r w:rsidRPr="00C94B99">
        <w:rPr>
          <w:rFonts w:cs="Times New Roman"/>
          <w:i/>
          <w:iCs/>
          <w:szCs w:val="24"/>
          <w:vertAlign w:val="subscript"/>
        </w:rPr>
        <w:t xml:space="preserve">CO </w:t>
      </w:r>
      <w:r w:rsidRPr="00C94B99">
        <w:rPr>
          <w:rFonts w:cs="Times New Roman"/>
          <w:szCs w:val="24"/>
          <w:vertAlign w:val="subscript"/>
        </w:rPr>
        <w:t>(1695)</w:t>
      </w:r>
      <w:r w:rsidRPr="00C94B99">
        <w:rPr>
          <w:rFonts w:cs="Times New Roman"/>
          <w:szCs w:val="24"/>
        </w:rPr>
        <w:t xml:space="preserve"> values of the PG 76-28 binder with WMA and ASA were found to be similar to the </w:t>
      </w:r>
      <w:r w:rsidRPr="00C94B99">
        <w:rPr>
          <w:rFonts w:cs="Times New Roman"/>
          <w:i/>
          <w:iCs/>
          <w:szCs w:val="24"/>
        </w:rPr>
        <w:t>I</w:t>
      </w:r>
      <w:r w:rsidRPr="00C94B99">
        <w:rPr>
          <w:rFonts w:cs="Times New Roman"/>
          <w:i/>
          <w:iCs/>
          <w:szCs w:val="24"/>
          <w:vertAlign w:val="subscript"/>
        </w:rPr>
        <w:t xml:space="preserve">CO </w:t>
      </w:r>
      <w:r w:rsidRPr="00C94B99">
        <w:rPr>
          <w:rFonts w:cs="Times New Roman"/>
          <w:szCs w:val="24"/>
          <w:vertAlign w:val="subscript"/>
        </w:rPr>
        <w:t>(1695)</w:t>
      </w:r>
      <w:r w:rsidRPr="00C94B99">
        <w:rPr>
          <w:rFonts w:cs="Times New Roman"/>
          <w:szCs w:val="24"/>
        </w:rPr>
        <w:t xml:space="preserve"> from the PAV-aged PG 76-28 binder. After comparing Figures </w:t>
      </w:r>
      <w:r w:rsidR="00A034BA">
        <w:rPr>
          <w:rFonts w:cs="Times New Roman"/>
          <w:szCs w:val="24"/>
          <w:lang w:val="en-CA"/>
        </w:rPr>
        <w:t>3.</w:t>
      </w:r>
      <w:r w:rsidRPr="00C94B99">
        <w:rPr>
          <w:rFonts w:cs="Times New Roman"/>
          <w:szCs w:val="24"/>
        </w:rPr>
        <w:t xml:space="preserve">9(a) and </w:t>
      </w:r>
      <w:r w:rsidR="00A034BA">
        <w:rPr>
          <w:rFonts w:cs="Times New Roman"/>
          <w:szCs w:val="24"/>
          <w:lang w:val="en-CA"/>
        </w:rPr>
        <w:t>3.</w:t>
      </w:r>
      <w:r w:rsidRPr="00C94B99">
        <w:rPr>
          <w:rFonts w:cs="Times New Roman"/>
          <w:szCs w:val="24"/>
        </w:rPr>
        <w:t xml:space="preserve">9(b), it can be observed that the </w:t>
      </w:r>
      <w:r w:rsidRPr="00C94B99">
        <w:rPr>
          <w:rFonts w:cs="Times New Roman"/>
          <w:i/>
          <w:iCs/>
          <w:szCs w:val="24"/>
        </w:rPr>
        <w:t>I</w:t>
      </w:r>
      <w:r w:rsidRPr="00C94B99">
        <w:rPr>
          <w:rFonts w:cs="Times New Roman"/>
          <w:i/>
          <w:iCs/>
          <w:szCs w:val="24"/>
          <w:vertAlign w:val="subscript"/>
        </w:rPr>
        <w:t>SO</w:t>
      </w:r>
      <w:r w:rsidRPr="00C94B99">
        <w:rPr>
          <w:rFonts w:cs="Times New Roman"/>
          <w:szCs w:val="24"/>
        </w:rPr>
        <w:t xml:space="preserve"> values for the PG 76-28 binder blends were lower than those of the PG 64-22 binder blends. Higher sulfur content of the PG 64-22 binder than the PG 76-28 binder from XRF test (Table </w:t>
      </w:r>
      <w:r w:rsidR="00E664C8">
        <w:rPr>
          <w:rFonts w:cs="Times New Roman"/>
          <w:szCs w:val="24"/>
          <w:lang w:val="en-CA"/>
        </w:rPr>
        <w:t>3.</w:t>
      </w:r>
      <w:r w:rsidRPr="00C94B99">
        <w:rPr>
          <w:rFonts w:cs="Times New Roman"/>
          <w:szCs w:val="24"/>
        </w:rPr>
        <w:t xml:space="preserve">1) is responsible for this phenomenon. Among all the PG 76-28 </w:t>
      </w:r>
      <w:r w:rsidRPr="004E4858">
        <w:rPr>
          <w:rFonts w:cs="Times New Roman"/>
          <w:szCs w:val="24"/>
        </w:rPr>
        <w:t xml:space="preserve">binder blends, the RAP blend showed significant increase in S=O indices with RTFO- and PAV- aging. The incorporation of the PAV-aged PG 64-22 binder with higher sulfur content as RAP binder resulted in the higher </w:t>
      </w:r>
      <w:r w:rsidRPr="004E4858">
        <w:rPr>
          <w:rFonts w:cs="Times New Roman"/>
          <w:i/>
          <w:iCs/>
          <w:szCs w:val="24"/>
        </w:rPr>
        <w:t>I</w:t>
      </w:r>
      <w:r w:rsidRPr="004E4858">
        <w:rPr>
          <w:rFonts w:cs="Times New Roman"/>
          <w:i/>
          <w:iCs/>
          <w:szCs w:val="24"/>
          <w:vertAlign w:val="subscript"/>
        </w:rPr>
        <w:t>SO</w:t>
      </w:r>
      <w:r w:rsidRPr="004E4858">
        <w:rPr>
          <w:rFonts w:cs="Times New Roman"/>
          <w:szCs w:val="24"/>
        </w:rPr>
        <w:t xml:space="preserve"> for this binder blend. A</w:t>
      </w:r>
      <w:r w:rsidRPr="004E4858">
        <w:rPr>
          <w:rFonts w:cs="Times New Roman"/>
          <w:szCs w:val="24"/>
          <w:lang w:val="en-CA"/>
        </w:rPr>
        <w:t xml:space="preserve">s both </w:t>
      </w:r>
      <w:r w:rsidRPr="004E4858">
        <w:rPr>
          <w:rFonts w:cs="Times New Roman"/>
          <w:szCs w:val="24"/>
        </w:rPr>
        <w:t>S=O</w:t>
      </w:r>
      <w:r w:rsidRPr="004E4858">
        <w:rPr>
          <w:rFonts w:cs="Times New Roman"/>
          <w:szCs w:val="24"/>
          <w:lang w:val="en-CA"/>
        </w:rPr>
        <w:t xml:space="preserve"> and </w:t>
      </w:r>
      <w:r w:rsidRPr="004E4858">
        <w:rPr>
          <w:rFonts w:cs="Times New Roman"/>
          <w:szCs w:val="24"/>
        </w:rPr>
        <w:t xml:space="preserve">C=O </w:t>
      </w:r>
      <w:r w:rsidRPr="004E4858">
        <w:rPr>
          <w:rFonts w:cs="Times New Roman"/>
          <w:szCs w:val="24"/>
          <w:lang w:val="en-CA"/>
        </w:rPr>
        <w:t xml:space="preserve">form </w:t>
      </w:r>
      <w:r w:rsidR="00E55183" w:rsidRPr="004E4858">
        <w:rPr>
          <w:rFonts w:cs="Times New Roman"/>
          <w:szCs w:val="24"/>
          <w:lang w:val="en-CA"/>
        </w:rPr>
        <w:t>moieties</w:t>
      </w:r>
      <w:r w:rsidRPr="004E4858">
        <w:rPr>
          <w:rFonts w:cs="Times New Roman"/>
          <w:szCs w:val="24"/>
          <w:lang w:val="en-CA"/>
        </w:rPr>
        <w:t xml:space="preserve"> on the aggregate surface that are highly soluble in water, the presence of these functional groups may increase moisture susceptibility as well. Since </w:t>
      </w:r>
      <w:r w:rsidRPr="004E4858">
        <w:rPr>
          <w:rFonts w:cs="Times New Roman"/>
          <w:i/>
          <w:iCs/>
          <w:szCs w:val="24"/>
          <w:lang w:val="en-CA"/>
        </w:rPr>
        <w:t>I</w:t>
      </w:r>
      <w:r w:rsidRPr="004E4858">
        <w:rPr>
          <w:rFonts w:cs="Times New Roman"/>
          <w:i/>
          <w:iCs/>
          <w:szCs w:val="24"/>
          <w:vertAlign w:val="subscript"/>
          <w:lang w:val="en-CA"/>
        </w:rPr>
        <w:t>CO</w:t>
      </w:r>
      <w:r w:rsidRPr="004E4858">
        <w:rPr>
          <w:rFonts w:cs="Times New Roman"/>
          <w:szCs w:val="24"/>
          <w:lang w:val="en-CA"/>
        </w:rPr>
        <w:t xml:space="preserve"> and </w:t>
      </w:r>
      <w:r w:rsidRPr="004E4858">
        <w:rPr>
          <w:rFonts w:cs="Times New Roman"/>
          <w:i/>
          <w:iCs/>
          <w:szCs w:val="24"/>
          <w:lang w:val="en-CA"/>
        </w:rPr>
        <w:t>I</w:t>
      </w:r>
      <w:r w:rsidRPr="004E4858">
        <w:rPr>
          <w:rFonts w:cs="Times New Roman"/>
          <w:i/>
          <w:iCs/>
          <w:szCs w:val="24"/>
          <w:vertAlign w:val="subscript"/>
          <w:lang w:val="en-CA"/>
        </w:rPr>
        <w:t>SO</w:t>
      </w:r>
      <w:r w:rsidRPr="004E4858">
        <w:rPr>
          <w:rFonts w:cs="Times New Roman"/>
          <w:szCs w:val="24"/>
          <w:lang w:val="en-CA"/>
        </w:rPr>
        <w:t xml:space="preserve"> for both the PG 64-22</w:t>
      </w:r>
      <w:r w:rsidRPr="00C94B99">
        <w:rPr>
          <w:rFonts w:cs="Times New Roman"/>
          <w:szCs w:val="24"/>
          <w:lang w:val="en-CA"/>
        </w:rPr>
        <w:t xml:space="preserve"> and PG 76-28 binder blends increased with oxidative aging, the presence of moisture is expected to reduce the resistivity of the asphalt-aggregate bond</w:t>
      </w:r>
      <w:r w:rsidR="0038132E" w:rsidRPr="00C94B99">
        <w:rPr>
          <w:rFonts w:cs="Times New Roman"/>
          <w:szCs w:val="24"/>
          <w:lang w:val="en-CA"/>
        </w:rPr>
        <w:t xml:space="preserve">. </w:t>
      </w:r>
    </w:p>
    <w:p w14:paraId="40792EE2" w14:textId="77777777" w:rsidR="0038132E" w:rsidRPr="00C94B99" w:rsidRDefault="0038132E" w:rsidP="00C94B99">
      <w:pPr>
        <w:pStyle w:val="Heading4"/>
        <w:spacing w:before="0" w:after="0"/>
        <w:rPr>
          <w:szCs w:val="24"/>
        </w:rPr>
      </w:pPr>
      <w:r w:rsidRPr="00C94B99">
        <w:rPr>
          <w:szCs w:val="24"/>
        </w:rPr>
        <w:t>Surface Free Energy Components of Asphalt Binders</w:t>
      </w:r>
    </w:p>
    <w:p w14:paraId="40181FAE" w14:textId="1DE33D57" w:rsidR="007F0CA8" w:rsidRPr="00C94B99" w:rsidRDefault="007F0CA8" w:rsidP="00C94B99">
      <w:pPr>
        <w:ind w:firstLine="720"/>
        <w:rPr>
          <w:rFonts w:cs="Times New Roman"/>
          <w:szCs w:val="24"/>
        </w:rPr>
      </w:pPr>
      <w:r w:rsidRPr="00C94B99">
        <w:rPr>
          <w:rFonts w:cs="Times New Roman"/>
          <w:szCs w:val="24"/>
        </w:rPr>
        <w:t xml:space="preserve">Table </w:t>
      </w:r>
      <w:r w:rsidR="00E664C8">
        <w:rPr>
          <w:rFonts w:cs="Times New Roman"/>
          <w:szCs w:val="24"/>
          <w:lang w:val="en-CA"/>
        </w:rPr>
        <w:t>3.</w:t>
      </w:r>
      <w:r w:rsidRPr="00C94B99">
        <w:rPr>
          <w:rFonts w:cs="Times New Roman"/>
          <w:szCs w:val="24"/>
        </w:rPr>
        <w:t xml:space="preserve">2 presents the contact angles of the PG 64-22 and PG 76-28 binder blends under unaged, RTFO- and PAV-aged conditions. From Table </w:t>
      </w:r>
      <w:r w:rsidR="00E664C8">
        <w:rPr>
          <w:rFonts w:cs="Times New Roman"/>
          <w:szCs w:val="24"/>
          <w:lang w:val="en-CA"/>
        </w:rPr>
        <w:t>3.</w:t>
      </w:r>
      <w:r w:rsidRPr="00C94B99">
        <w:rPr>
          <w:rFonts w:cs="Times New Roman"/>
          <w:szCs w:val="24"/>
        </w:rPr>
        <w:t xml:space="preserve">2, the contact angles of the unaged PG 64-22 binder with all probe liquids are found to reduce due to the addition of WMA, ASA and RAP. The reactions between the binder and the amine derivatives of the WMA additive and ASA are hypothesized to be responsible for the changes in contact angles. Several studies have reported similar trends of reduction in contact angle with an increase in the WMA and ASA </w:t>
      </w:r>
      <w:r w:rsidRPr="00C94B99">
        <w:rPr>
          <w:rFonts w:cs="Times New Roman"/>
          <w:szCs w:val="24"/>
        </w:rPr>
        <w:fldChar w:fldCharType="begin">
          <w:fldData xml:space="preserve">PEVuZE5vdGU+PENpdGU+PEF1dGhvcj5CdWRkaGFsYTwvQXV0aG9yPjxZZWFyPjIwMTE8L1llYXI+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</w:fldData>
        </w:fldChar>
      </w:r>
      <w:r w:rsidR="00282238">
        <w:rPr>
          <w:rFonts w:cs="Times New Roman"/>
          <w:szCs w:val="24"/>
        </w:rPr>
        <w:instrText xml:space="preserve"> ADDIN EN.CITE </w:instrText>
      </w:r>
      <w:r w:rsidR="00282238">
        <w:rPr>
          <w:rFonts w:cs="Times New Roman"/>
          <w:szCs w:val="24"/>
        </w:rPr>
        <w:fldChar w:fldCharType="begin">
          <w:fldData xml:space="preserve">PEVuZE5vdGU+PENpdGU+PEF1dGhvcj5CdWRkaGFsYTwvQXV0aG9yPjxZZWFyPjIwMTE8L1llYXI+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</w:fldData>
        </w:fldChar>
      </w:r>
      <w:r w:rsidR="00282238">
        <w:rPr>
          <w:rFonts w:cs="Times New Roman"/>
          <w:szCs w:val="24"/>
        </w:rPr>
        <w:instrText xml:space="preserve"> ADDIN EN.CITE.DATA </w:instrText>
      </w:r>
      <w:r w:rsidR="00282238">
        <w:rPr>
          <w:rFonts w:cs="Times New Roman"/>
          <w:szCs w:val="24"/>
        </w:rPr>
      </w:r>
      <w:r w:rsidR="00282238">
        <w:rPr>
          <w:rFonts w:cs="Times New Roman"/>
          <w:szCs w:val="24"/>
        </w:rPr>
        <w:fldChar w:fldCharType="end"/>
      </w:r>
      <w:r w:rsidRPr="00C94B99">
        <w:rPr>
          <w:rFonts w:cs="Times New Roman"/>
          <w:szCs w:val="24"/>
        </w:rPr>
      </w:r>
      <w:r w:rsidRPr="00C94B99">
        <w:rPr>
          <w:rFonts w:cs="Times New Roman"/>
          <w:szCs w:val="24"/>
        </w:rPr>
        <w:fldChar w:fldCharType="separate"/>
      </w:r>
      <w:r w:rsidR="00282238">
        <w:rPr>
          <w:rFonts w:cs="Times New Roman"/>
          <w:noProof/>
          <w:szCs w:val="24"/>
        </w:rPr>
        <w:t>(Wasiuddin et al., 2007c; Buddhala et al., 2011; Ghabchi et al., 2013)</w:t>
      </w:r>
      <w:r w:rsidRPr="00C94B99">
        <w:rPr>
          <w:rFonts w:cs="Times New Roman"/>
          <w:szCs w:val="24"/>
        </w:rPr>
        <w:fldChar w:fldCharType="end"/>
      </w:r>
      <w:r w:rsidRPr="00C94B99">
        <w:rPr>
          <w:rFonts w:cs="Times New Roman"/>
          <w:szCs w:val="24"/>
        </w:rPr>
        <w:t xml:space="preserve">. Similar to </w:t>
      </w:r>
      <w:r w:rsidR="0092717A">
        <w:rPr>
          <w:rFonts w:cs="Times New Roman"/>
          <w:szCs w:val="24"/>
        </w:rPr>
        <w:t xml:space="preserve">the </w:t>
      </w:r>
      <w:r w:rsidRPr="00C94B99">
        <w:rPr>
          <w:rFonts w:cs="Times New Roman"/>
          <w:szCs w:val="24"/>
        </w:rPr>
        <w:t>unaged condition, a reduction in contact angle for binder blends with WMA, ASA and RAP was observed under RTFO-aged condition with water, glycer</w:t>
      </w:r>
      <w:r w:rsidR="00513598">
        <w:rPr>
          <w:rFonts w:cs="Times New Roman"/>
          <w:szCs w:val="24"/>
        </w:rPr>
        <w:t>ol</w:t>
      </w:r>
      <w:r w:rsidRPr="00C94B99">
        <w:rPr>
          <w:rFonts w:cs="Times New Roman"/>
          <w:szCs w:val="24"/>
        </w:rPr>
        <w:t xml:space="preserve"> and formamide. However, under RTFO-aged condition, the contact angles for the same binder blends with diiodomethane were higher than the binder without any additive. Also, the contact angle of the PG 64-22 binder with ethylene glycol increased with the addition of WMA additive, whereas reduced with ASA and RAP. The trend was found to be different after PAV-aging. The contact angles for the PG 64-22+20% RAP with all probe liquids, except diiodomethane, were lower than the neat binder under PAV-aged condition. The addition of 1.5% PPA to the PG 64-22 binder reduced the contact angles for water, glycer</w:t>
      </w:r>
      <w:r w:rsidR="00513598">
        <w:rPr>
          <w:rFonts w:cs="Times New Roman"/>
          <w:szCs w:val="24"/>
        </w:rPr>
        <w:t>ol</w:t>
      </w:r>
      <w:r w:rsidRPr="00C94B99">
        <w:rPr>
          <w:rFonts w:cs="Times New Roman"/>
          <w:szCs w:val="24"/>
        </w:rPr>
        <w:t xml:space="preserve"> and formamide under unaged condition. The reduction in contact angles with water and glycer</w:t>
      </w:r>
      <w:r w:rsidR="00513598">
        <w:rPr>
          <w:rFonts w:cs="Times New Roman"/>
          <w:szCs w:val="24"/>
        </w:rPr>
        <w:t>ol</w:t>
      </w:r>
      <w:r w:rsidRPr="00C94B99">
        <w:rPr>
          <w:rFonts w:cs="Times New Roman"/>
          <w:szCs w:val="24"/>
        </w:rPr>
        <w:t xml:space="preserve"> were found to be higher under RTFO- and PAV-aged conditions. It should be noted that the contact angles of the PG 64-22+1.5% PPA with formamide and diiodomethane under RTFO- and PAV-aged conditions were discarded due to the high variability of the test results. Considering all three aging conditions, the maximum and minimum standard deviations of contact angles for the PG 64-22 binder blends with all probe liquids were found to be 1.90° and 0.07°, respectively.</w:t>
      </w:r>
    </w:p>
    <w:p w14:paraId="527727D5" w14:textId="6C5F2A74" w:rsidR="0038132E" w:rsidRPr="00C94B99" w:rsidRDefault="007F0CA8" w:rsidP="00C94B99">
      <w:pPr>
        <w:ind w:firstLine="720"/>
        <w:rPr>
          <w:rFonts w:cs="Times New Roman"/>
          <w:szCs w:val="24"/>
        </w:rPr>
      </w:pPr>
      <w:r w:rsidRPr="00C94B99">
        <w:rPr>
          <w:rFonts w:cs="Times New Roman"/>
          <w:szCs w:val="24"/>
        </w:rPr>
        <w:t>The effects of additives and aging were found to be different for the polymer</w:t>
      </w:r>
      <w:r w:rsidRPr="00C94B99">
        <w:rPr>
          <w:rStyle w:val="CommentReference"/>
          <w:rFonts w:cs="Times New Roman"/>
          <w:sz w:val="24"/>
          <w:szCs w:val="24"/>
        </w:rPr>
        <w:t xml:space="preserve">-modified </w:t>
      </w:r>
      <w:r w:rsidRPr="00C94B99">
        <w:rPr>
          <w:rFonts w:cs="Times New Roman"/>
          <w:szCs w:val="24"/>
        </w:rPr>
        <w:t xml:space="preserve">PG 76-28 binder. The differences on the base binder’s compositions and their reactions with different additives are responsible for these variations. From Table </w:t>
      </w:r>
      <w:r w:rsidR="00E664C8">
        <w:rPr>
          <w:rFonts w:cs="Times New Roman"/>
          <w:szCs w:val="24"/>
          <w:lang w:val="en-CA"/>
        </w:rPr>
        <w:t>3.</w:t>
      </w:r>
      <w:r w:rsidRPr="00C94B99">
        <w:rPr>
          <w:rFonts w:cs="Times New Roman"/>
          <w:szCs w:val="24"/>
        </w:rPr>
        <w:t>2, it can be observed that the contact angles of the PG 76-28 binder with glycer</w:t>
      </w:r>
      <w:r w:rsidR="00513598">
        <w:rPr>
          <w:rFonts w:cs="Times New Roman"/>
          <w:szCs w:val="24"/>
        </w:rPr>
        <w:t>ol</w:t>
      </w:r>
      <w:r w:rsidRPr="00C94B99">
        <w:rPr>
          <w:rFonts w:cs="Times New Roman"/>
          <w:szCs w:val="24"/>
        </w:rPr>
        <w:t>, formamide, diiodomethane and ethylene glycol reduced with RTFO- and PAV-aging. Under unaged condition, the additions of WMA, ASA and RAP reduced the contact angles of the PG 76-28 binder with glycer</w:t>
      </w:r>
      <w:r w:rsidR="00B5178C">
        <w:rPr>
          <w:rFonts w:cs="Times New Roman"/>
          <w:szCs w:val="24"/>
        </w:rPr>
        <w:t>ol</w:t>
      </w:r>
      <w:r w:rsidRPr="00C94B99">
        <w:rPr>
          <w:rFonts w:cs="Times New Roman"/>
          <w:szCs w:val="24"/>
        </w:rPr>
        <w:t>, formamide, diiodomethane and ethylene glycol. However, addition of WMA and RAP to PG 76-28 exhibited an increase, whereas addition of 0.5% ASA resulted in a reduction in contact angle with water. Under RTFO-aged condition, the binder blends with WMA and ASA exhibited higher contact angles with water, glycer</w:t>
      </w:r>
      <w:r w:rsidR="00B5178C">
        <w:rPr>
          <w:rFonts w:cs="Times New Roman"/>
          <w:szCs w:val="24"/>
        </w:rPr>
        <w:t>ol</w:t>
      </w:r>
      <w:r w:rsidRPr="00C94B99">
        <w:rPr>
          <w:rFonts w:cs="Times New Roman"/>
          <w:szCs w:val="24"/>
        </w:rPr>
        <w:t xml:space="preserve"> and formamide and lower contact angles with diiodomethane and ethylene glycol than the PG 76-28 binder. A similar trend of contact angle change was observed for the PG 76-28+0.5% ASA under PAV-aging condition. Similar to </w:t>
      </w:r>
      <w:r w:rsidR="00337483">
        <w:rPr>
          <w:rFonts w:cs="Times New Roman"/>
          <w:szCs w:val="24"/>
        </w:rPr>
        <w:t xml:space="preserve">the </w:t>
      </w:r>
      <w:r w:rsidRPr="00C94B99">
        <w:rPr>
          <w:rFonts w:cs="Times New Roman"/>
          <w:szCs w:val="24"/>
        </w:rPr>
        <w:t xml:space="preserve">unaged condition, the addition of 20% RAP exhibited lower contact angle values than the PG 76-28 binder for all probe liquids under RTFO- and PAV-aging conditions. From Table </w:t>
      </w:r>
      <w:r w:rsidR="00E664C8">
        <w:rPr>
          <w:rFonts w:cs="Times New Roman"/>
          <w:szCs w:val="24"/>
          <w:lang w:val="en-CA"/>
        </w:rPr>
        <w:t>3.</w:t>
      </w:r>
      <w:r w:rsidRPr="00C94B99">
        <w:rPr>
          <w:rFonts w:cs="Times New Roman"/>
          <w:szCs w:val="24"/>
        </w:rPr>
        <w:t>2, the maximum standard deviation of the contact angle for the PG 76-28 binder was found to be 2.04°.</w:t>
      </w:r>
    </w:p>
    <w:p w14:paraId="63CBA90C" w14:textId="57F219B2" w:rsidR="001F20DB" w:rsidRPr="00C94B99" w:rsidRDefault="001F20DB" w:rsidP="00C94B99">
      <w:pPr>
        <w:ind w:firstLine="720"/>
        <w:rPr>
          <w:rFonts w:cs="Times New Roman"/>
          <w:szCs w:val="24"/>
        </w:rPr>
      </w:pPr>
      <w:r w:rsidRPr="00C94B99">
        <w:rPr>
          <w:rFonts w:cs="Times New Roman"/>
          <w:szCs w:val="24"/>
        </w:rPr>
        <w:t xml:space="preserve">Typically, a change in the contact angles of the binders with probe liquids results in a change in the SFE components of binders. The changes in the SFE components of the binder will influence the calculation of bond strength of binder-aggregate system </w:t>
      </w:r>
      <w:r w:rsidRPr="00C94B99">
        <w:rPr>
          <w:rFonts w:cs="Times New Roman"/>
          <w:szCs w:val="24"/>
        </w:rPr>
        <w:fldChar w:fldCharType="begin"/>
      </w:r>
      <w:r w:rsidR="00282238">
        <w:rPr>
          <w:rFonts w:cs="Times New Roman"/>
          <w:szCs w:val="24"/>
        </w:rPr>
        <w:instrText xml:space="preserve"> ADDIN EN.CITE &lt;EndNote&gt;&lt;Cite&gt;&lt;Author&gt;Bhasin&lt;/Author&gt;&lt;Year&gt;2006&lt;/Year&gt;&lt;RecNum&gt;23&lt;/RecNum&gt;&lt;DisplayText&gt;(Bhasin et al., 2006)&lt;/DisplayText&gt;&lt;record&gt;&lt;rec-number&gt;23&lt;/rec-number&gt;&lt;foreign-keys&gt;&lt;key app="EN" db-id="d55vzfpwawdafteedfoxsf0lv0v0wp5va2aa" timestamp="1509901106"&gt;23&lt;/key&gt;&lt;/foreign-keys&gt;&lt;ref-type name="Journal Article"&gt;17&lt;/ref-type&gt;&lt;contributors&gt;&lt;authors&gt;&lt;author&gt;Bhasin, Amit&lt;/author&gt;&lt;author&gt;Masad, Eyad&lt;/author&gt;&lt;author&gt;Little, Dallas&lt;/author&gt;&lt;author&gt;Lytton, Robert&lt;/author&gt;&lt;/authors&gt;&lt;/contributors&gt;&lt;titles&gt;&lt;title&gt;Limits on Adhesive Bond Energy for Improved Resistance of Hot-Mix Asphalt to Moisture Damage&lt;/title&gt;&lt;secondary-title&gt;Transportation research record: journal of the transportation research board&lt;/secondary-title&gt;&lt;/titles&gt;&lt;periodical&gt;&lt;full-title&gt;Transportation Research Record: Journal of the Transportation Research Board&lt;/full-title&gt;&lt;/periodical&gt;&lt;pages&gt;3-13&lt;/pages&gt;&lt;number&gt;1970&lt;/number&gt;&lt;dates&gt;&lt;year&gt;2006&lt;/year&gt;&lt;/dates&gt;&lt;isbn&gt;0361-1981&lt;/isbn&gt;&lt;urls&gt;&lt;/urls&gt;&lt;/record&gt;&lt;/Cite&gt;&lt;/EndNote&gt;</w:instrText>
      </w:r>
      <w:r w:rsidRPr="00C94B99">
        <w:rPr>
          <w:rFonts w:cs="Times New Roman"/>
          <w:szCs w:val="24"/>
        </w:rPr>
        <w:fldChar w:fldCharType="separate"/>
      </w:r>
      <w:r w:rsidR="00282238">
        <w:rPr>
          <w:rFonts w:cs="Times New Roman"/>
          <w:noProof/>
          <w:szCs w:val="24"/>
        </w:rPr>
        <w:t>(Bhasin et al., 2006)</w:t>
      </w:r>
      <w:r w:rsidRPr="00C94B99">
        <w:rPr>
          <w:rFonts w:cs="Times New Roman"/>
          <w:szCs w:val="24"/>
        </w:rPr>
        <w:fldChar w:fldCharType="end"/>
      </w:r>
      <w:r w:rsidRPr="00C94B99">
        <w:rPr>
          <w:rFonts w:cs="Times New Roman"/>
          <w:szCs w:val="24"/>
        </w:rPr>
        <w:t xml:space="preserve">. Table </w:t>
      </w:r>
      <w:r w:rsidR="00E664C8">
        <w:rPr>
          <w:rFonts w:cs="Times New Roman"/>
          <w:szCs w:val="24"/>
          <w:lang w:val="en-CA"/>
        </w:rPr>
        <w:t>3.</w:t>
      </w:r>
      <w:r w:rsidRPr="00C94B99">
        <w:rPr>
          <w:rFonts w:cs="Times New Roman"/>
          <w:szCs w:val="24"/>
        </w:rPr>
        <w:t xml:space="preserve">3 presents the SFE components of the PG 64-22 and PG 76-28 binders with different additives. From Table </w:t>
      </w:r>
      <w:r w:rsidR="00E664C8">
        <w:rPr>
          <w:rFonts w:cs="Times New Roman"/>
          <w:szCs w:val="24"/>
          <w:lang w:val="en-CA"/>
        </w:rPr>
        <w:t>3.</w:t>
      </w:r>
      <w:r w:rsidRPr="00C94B99">
        <w:rPr>
          <w:rFonts w:cs="Times New Roman"/>
          <w:szCs w:val="24"/>
        </w:rPr>
        <w:t>3, it can be observed that for both the PG 64-22 and PG 76-28 binder blends, the non-polar Lifshitz-van der Waals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LW</m:t>
            </m:r>
          </m:sup>
        </m:sSubSup>
      </m:oMath>
      <w:r w:rsidRPr="00C94B99">
        <w:rPr>
          <w:rFonts w:cs="Times New Roman"/>
          <w:szCs w:val="24"/>
        </w:rPr>
        <w:t>) component is higher than the polar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LW</m:t>
            </m:r>
          </m:sup>
        </m:sSubSup>
      </m:oMath>
      <w:r w:rsidRPr="00C94B99">
        <w:rPr>
          <w:rFonts w:eastAsiaTheme="minorEastAsia" w:cs="Times New Roman"/>
          <w:szCs w:val="24"/>
          <w:lang w:val="en-GB" w:eastAsia="en-GB"/>
        </w:rPr>
        <w:t>)</w:t>
      </w:r>
      <w:r w:rsidRPr="00C94B99">
        <w:rPr>
          <w:rFonts w:cs="Times New Roman"/>
          <w:szCs w:val="24"/>
        </w:rPr>
        <w:t xml:space="preserve"> components. The unaged PG 64-22 binder was found to be acidic in nature as the acid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C94B99">
        <w:rPr>
          <w:rFonts w:cs="Times New Roman"/>
          <w:szCs w:val="24"/>
        </w:rPr>
        <w:t xml:space="preserve">) component (0.66 </w:t>
      </w:r>
      <w:r w:rsidRPr="00C94B99">
        <w:rPr>
          <w:rFonts w:eastAsia="Times New Roman" w:cs="Times New Roman"/>
          <w:color w:val="000000"/>
          <w:szCs w:val="24"/>
        </w:rPr>
        <w:t>mJ/m</w:t>
      </w:r>
      <w:r w:rsidRPr="00C94B99">
        <w:rPr>
          <w:rFonts w:eastAsia="Times New Roman" w:cs="Times New Roman"/>
          <w:color w:val="000000"/>
          <w:szCs w:val="24"/>
          <w:vertAlign w:val="superscript"/>
        </w:rPr>
        <w:t>2</w:t>
      </w:r>
      <w:r w:rsidRPr="00C94B99">
        <w:rPr>
          <w:rFonts w:eastAsia="Times New Roman" w:cs="Times New Roman"/>
          <w:color w:val="000000"/>
          <w:szCs w:val="24"/>
        </w:rPr>
        <w:t>)</w:t>
      </w:r>
      <w:r w:rsidRPr="00C94B99">
        <w:rPr>
          <w:rFonts w:cs="Times New Roman"/>
          <w:szCs w:val="24"/>
        </w:rPr>
        <w:t xml:space="preserve"> is higher than the </w:t>
      </w:r>
      <w:r w:rsidRPr="004E4858">
        <w:rPr>
          <w:rFonts w:cs="Times New Roman"/>
          <w:szCs w:val="24"/>
        </w:rPr>
        <w:t>base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4E4858">
        <w:rPr>
          <w:rFonts w:cs="Times New Roman"/>
          <w:szCs w:val="24"/>
        </w:rPr>
        <w:t xml:space="preserve">) component (0.43 </w:t>
      </w:r>
      <w:r w:rsidRPr="004E4858">
        <w:rPr>
          <w:rFonts w:eastAsia="Times New Roman" w:cs="Times New Roman"/>
          <w:color w:val="000000"/>
          <w:szCs w:val="24"/>
        </w:rPr>
        <w:t>mJ/m</w:t>
      </w:r>
      <w:r w:rsidRPr="004E4858">
        <w:rPr>
          <w:rFonts w:eastAsia="Times New Roman" w:cs="Times New Roman"/>
          <w:color w:val="000000"/>
          <w:szCs w:val="24"/>
          <w:vertAlign w:val="superscript"/>
        </w:rPr>
        <w:t>2</w:t>
      </w:r>
      <w:r w:rsidRPr="004E4858">
        <w:rPr>
          <w:rFonts w:eastAsia="Times New Roman" w:cs="Times New Roman"/>
          <w:color w:val="000000"/>
          <w:szCs w:val="24"/>
        </w:rPr>
        <w:t>)</w:t>
      </w:r>
      <w:r w:rsidRPr="004E4858">
        <w:rPr>
          <w:rFonts w:cs="Times New Roman"/>
          <w:szCs w:val="24"/>
        </w:rPr>
        <w:t xml:space="preserve">. Also, the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LW</m:t>
            </m:r>
          </m:sup>
        </m:sSubSup>
      </m:oMath>
      <w:r w:rsidRPr="004E4858">
        <w:rPr>
          <w:rFonts w:cs="Times New Roman"/>
          <w:szCs w:val="24"/>
        </w:rPr>
        <w:t xml:space="preserve"> and </w:t>
      </w:r>
      <m:oMath>
        <m:sSub>
          <m:sSubPr>
            <m:ctrlPr>
              <w:rPr>
                <w:rFonts w:ascii="Cambria Math" w:hAnsi="Cambria Math" w:cs="Times New Roman"/>
                <w:i/>
                <w:szCs w:val="24"/>
                <w:lang w:val="en-GB" w:eastAsia="en-GB"/>
              </w:rPr>
            </m:ctrlPr>
          </m:sSubPr>
          <m:e>
            <m:r>
              <m:rPr>
                <m:sty m:val="p"/>
              </m:rPr>
              <w:rPr>
                <w:rFonts w:ascii="Cambria Math" w:hAnsi="Cambria Math" w:cs="Times New Roman"/>
                <w:szCs w:val="24"/>
                <w:lang w:val="en-GB" w:eastAsia="en-GB"/>
              </w:rPr>
              <m:t>Γ</m:t>
            </m:r>
          </m:e>
          <m:sub>
            <m:r>
              <w:rPr>
                <w:rFonts w:ascii="Cambria Math" w:hAnsi="Cambria Math" w:cs="Times New Roman"/>
                <w:szCs w:val="24"/>
                <w:lang w:val="en-GB" w:eastAsia="en-GB"/>
              </w:rPr>
              <m:t>A</m:t>
            </m:r>
          </m:sub>
        </m:sSub>
      </m:oMath>
      <w:r w:rsidRPr="004E4858">
        <w:rPr>
          <w:rFonts w:cs="Times New Roman"/>
          <w:szCs w:val="24"/>
        </w:rPr>
        <w:t xml:space="preserve"> component of the PG 64-22 binder increased with RTFO- and PAV-aging. However, the acidic component of the PG 64-22 was found to decrease to 0.29 </w:t>
      </w:r>
      <w:r w:rsidRPr="004E4858">
        <w:rPr>
          <w:rFonts w:eastAsia="Times New Roman" w:cs="Times New Roman"/>
          <w:color w:val="000000"/>
          <w:szCs w:val="24"/>
        </w:rPr>
        <w:t>mJ/m</w:t>
      </w:r>
      <w:r w:rsidRPr="004E4858">
        <w:rPr>
          <w:rFonts w:eastAsia="Times New Roman" w:cs="Times New Roman"/>
          <w:color w:val="000000"/>
          <w:szCs w:val="24"/>
          <w:vertAlign w:val="superscript"/>
        </w:rPr>
        <w:t>2</w:t>
      </w:r>
      <w:r w:rsidRPr="004E4858">
        <w:rPr>
          <w:rFonts w:cs="Times New Roman"/>
          <w:szCs w:val="24"/>
        </w:rPr>
        <w:t xml:space="preserve"> with RTFO-aging and remain same for PAV-aging. </w:t>
      </w:r>
      <w:r w:rsidR="00C15804" w:rsidRPr="004E4858">
        <w:rPr>
          <w:rFonts w:cs="Times New Roman"/>
          <w:szCs w:val="24"/>
        </w:rPr>
        <w:t>According to</w:t>
      </w:r>
      <w:r w:rsidR="00671306" w:rsidRPr="004E4858">
        <w:rPr>
          <w:rFonts w:cs="Times New Roman"/>
          <w:szCs w:val="24"/>
        </w:rPr>
        <w:t xml:space="preserve"> </w:t>
      </w:r>
      <w:r w:rsidR="00671306" w:rsidRPr="004E4858">
        <w:rPr>
          <w:rFonts w:cs="Times New Roman"/>
          <w:szCs w:val="24"/>
        </w:rPr>
        <w:fldChar w:fldCharType="begin"/>
      </w:r>
      <w:r w:rsidR="00282238" w:rsidRPr="004E4858">
        <w:rPr>
          <w:rFonts w:cs="Times New Roman"/>
          <w:szCs w:val="24"/>
        </w:rPr>
        <w:instrText xml:space="preserve"> ADDIN EN.CITE &lt;EndNote&gt;&lt;Cite AuthorYear="1"&gt;&lt;Author&gt;Bhasin&lt;/Author&gt;&lt;Year&gt;2007&lt;/Year&gt;&lt;RecNum&gt;7&lt;/RecNum&gt;&lt;DisplayText&gt;Bhasin (2007)&lt;/DisplayText&gt;&lt;record&gt;&lt;rec-number&gt;7&lt;/rec-number&gt;&lt;foreign-keys&gt;&lt;key app="EN" db-id="d55vzfpwawdafteedfoxsf0lv0v0wp5va2aa" timestamp="1509900362"&gt;7&lt;/key&gt;&lt;/foreign-keys&gt;&lt;ref-type name="Thesis"&gt;32&lt;/ref-type&gt;&lt;contributors&gt;&lt;authors&gt;&lt;author&gt;Bhasin, Amit&lt;/author&gt;&lt;/authors&gt;&lt;/contributors&gt;&lt;titles&gt;&lt;title&gt;Development of Methods to Quantify Bitumen-Aggregate Adhesion and Loss of Adhesion Due to Water&lt;/title&gt;&lt;/titles&gt;&lt;dates&gt;&lt;year&gt;2007&lt;/year&gt;&lt;/dates&gt;&lt;publisher&gt;Texas A&amp;amp;M University&lt;/publisher&gt;&lt;urls&gt;&lt;/urls&gt;&lt;/record&gt;&lt;/Cite&gt;&lt;/EndNote&gt;</w:instrText>
      </w:r>
      <w:r w:rsidR="00671306" w:rsidRPr="004E4858">
        <w:rPr>
          <w:rFonts w:cs="Times New Roman"/>
          <w:szCs w:val="24"/>
        </w:rPr>
        <w:fldChar w:fldCharType="separate"/>
      </w:r>
      <w:r w:rsidR="00671306" w:rsidRPr="004E4858">
        <w:rPr>
          <w:rFonts w:cs="Times New Roman"/>
          <w:noProof/>
          <w:szCs w:val="24"/>
        </w:rPr>
        <w:t>Bhasin (2007)</w:t>
      </w:r>
      <w:r w:rsidR="00671306" w:rsidRPr="004E4858">
        <w:rPr>
          <w:rFonts w:cs="Times New Roman"/>
          <w:szCs w:val="24"/>
        </w:rPr>
        <w:fldChar w:fldCharType="end"/>
      </w:r>
      <w:r w:rsidR="00A274C6" w:rsidRPr="004E4858">
        <w:rPr>
          <w:rFonts w:cs="Times New Roman"/>
          <w:szCs w:val="24"/>
        </w:rPr>
        <w:t>,</w:t>
      </w:r>
      <w:r w:rsidR="00DB3101" w:rsidRPr="004E4858">
        <w:rPr>
          <w:rFonts w:cs="Times New Roman"/>
          <w:szCs w:val="24"/>
        </w:rPr>
        <w:t xml:space="preserve"> the acid component of </w:t>
      </w:r>
      <w:r w:rsidR="0051293F" w:rsidRPr="004E4858">
        <w:rPr>
          <w:rFonts w:cs="Times New Roman"/>
          <w:szCs w:val="24"/>
        </w:rPr>
        <w:t xml:space="preserve">the </w:t>
      </w:r>
      <w:r w:rsidR="00DB3101" w:rsidRPr="004E4858">
        <w:rPr>
          <w:rFonts w:cs="Times New Roman"/>
          <w:szCs w:val="24"/>
        </w:rPr>
        <w:t xml:space="preserve">binder </w:t>
      </w:r>
      <w:r w:rsidR="0051293F" w:rsidRPr="004E4858">
        <w:rPr>
          <w:rFonts w:cs="Times New Roman"/>
          <w:szCs w:val="24"/>
        </w:rPr>
        <w:t xml:space="preserve">combined with the </w:t>
      </w:r>
      <w:r w:rsidR="009E4E0D" w:rsidRPr="004E4858">
        <w:rPr>
          <w:rFonts w:cs="Times New Roman"/>
          <w:szCs w:val="24"/>
        </w:rPr>
        <w:t>base component of aggregate</w:t>
      </w:r>
      <w:r w:rsidR="003A136A" w:rsidRPr="004E4858">
        <w:rPr>
          <w:rFonts w:cs="Times New Roman"/>
          <w:szCs w:val="24"/>
        </w:rPr>
        <w:t xml:space="preserve"> </w:t>
      </w:r>
      <w:r w:rsidR="00DB3101" w:rsidRPr="004E4858">
        <w:rPr>
          <w:rFonts w:cs="Times New Roman"/>
          <w:szCs w:val="24"/>
        </w:rPr>
        <w:t xml:space="preserve">act as a scaling factor </w:t>
      </w:r>
      <w:r w:rsidR="008B184B" w:rsidRPr="004E4858">
        <w:rPr>
          <w:rFonts w:cs="Times New Roman"/>
          <w:szCs w:val="24"/>
        </w:rPr>
        <w:t xml:space="preserve">in the </w:t>
      </w:r>
      <w:r w:rsidR="009F447C" w:rsidRPr="004E4858">
        <w:rPr>
          <w:rFonts w:cs="Times New Roman"/>
          <w:szCs w:val="24"/>
        </w:rPr>
        <w:t xml:space="preserve">calculation of </w:t>
      </w:r>
      <w:r w:rsidR="008B4737" w:rsidRPr="004E4858">
        <w:rPr>
          <w:rFonts w:cs="Times New Roman"/>
          <w:szCs w:val="24"/>
        </w:rPr>
        <w:t xml:space="preserve">the </w:t>
      </w:r>
      <w:r w:rsidR="009F447C" w:rsidRPr="004E4858">
        <w:rPr>
          <w:rFonts w:cs="Times New Roman"/>
          <w:szCs w:val="24"/>
        </w:rPr>
        <w:t>adhesive strength of a binder aggregate system</w:t>
      </w:r>
      <w:r w:rsidR="008B4737" w:rsidRPr="004E4858">
        <w:rPr>
          <w:rFonts w:cs="Times New Roman"/>
          <w:szCs w:val="24"/>
        </w:rPr>
        <w:t>.</w:t>
      </w:r>
      <w:r w:rsidR="00A274C6" w:rsidRPr="004E4858">
        <w:rPr>
          <w:rFonts w:cs="Times New Roman"/>
          <w:szCs w:val="24"/>
        </w:rPr>
        <w:t xml:space="preserve"> </w:t>
      </w:r>
      <w:r w:rsidRPr="004E4858">
        <w:rPr>
          <w:rFonts w:cs="Times New Roman"/>
          <w:szCs w:val="24"/>
        </w:rPr>
        <w:t xml:space="preserve">As the acidic nature is reduced with aging, the asphalt mix with the PG 64-22 binder may exhibit a higher susceptibility to moisture-induced damage with in-service aging. The addition of WMA additive to the PG 64-22 binder increased the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4E4858">
        <w:rPr>
          <w:rFonts w:cs="Times New Roman"/>
          <w:szCs w:val="24"/>
        </w:rPr>
        <w:t xml:space="preserv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4E4858">
        <w:rPr>
          <w:rFonts w:cs="Times New Roman"/>
          <w:szCs w:val="24"/>
        </w:rPr>
        <w:t xml:space="preserve"> and </w:t>
      </w:r>
      <m:oMath>
        <m:sSub>
          <m:sSubPr>
            <m:ctrlPr>
              <w:rPr>
                <w:rFonts w:ascii="Cambria Math" w:hAnsi="Cambria Math" w:cs="Times New Roman"/>
                <w:i/>
                <w:szCs w:val="24"/>
                <w:lang w:val="en-GB" w:eastAsia="en-GB"/>
              </w:rPr>
            </m:ctrlPr>
          </m:sSubPr>
          <m:e>
            <m:r>
              <m:rPr>
                <m:sty m:val="p"/>
              </m:rPr>
              <w:rPr>
                <w:rFonts w:ascii="Cambria Math" w:hAnsi="Cambria Math" w:cs="Times New Roman"/>
                <w:szCs w:val="24"/>
                <w:lang w:val="en-GB" w:eastAsia="en-GB"/>
              </w:rPr>
              <m:t>Γ</m:t>
            </m:r>
          </m:e>
          <m:sub>
            <m:r>
              <w:rPr>
                <w:rFonts w:ascii="Cambria Math" w:hAnsi="Cambria Math" w:cs="Times New Roman"/>
                <w:szCs w:val="24"/>
                <w:lang w:val="en-GB" w:eastAsia="en-GB"/>
              </w:rPr>
              <m:t>A</m:t>
            </m:r>
          </m:sub>
        </m:sSub>
      </m:oMath>
      <w:r w:rsidRPr="004E4858">
        <w:rPr>
          <w:rFonts w:cs="Times New Roman"/>
          <w:szCs w:val="24"/>
        </w:rPr>
        <w:t xml:space="preserve"> SFE components. The acidic component of the PG 64-22+0.5% WMA reduced to 0.38 from 0.75 </w:t>
      </w:r>
      <w:r w:rsidRPr="004E4858">
        <w:rPr>
          <w:rFonts w:eastAsia="Times New Roman" w:cs="Times New Roman"/>
          <w:color w:val="000000"/>
          <w:szCs w:val="24"/>
        </w:rPr>
        <w:t>mJ/m</w:t>
      </w:r>
      <w:r w:rsidRPr="004E4858">
        <w:rPr>
          <w:rFonts w:eastAsia="Times New Roman" w:cs="Times New Roman"/>
          <w:color w:val="000000"/>
          <w:szCs w:val="24"/>
          <w:vertAlign w:val="superscript"/>
        </w:rPr>
        <w:t>2</w:t>
      </w:r>
      <w:r w:rsidRPr="004E4858">
        <w:rPr>
          <w:rFonts w:cs="Times New Roman"/>
          <w:szCs w:val="24"/>
        </w:rPr>
        <w:t xml:space="preserve"> with RTFO-aging and then increased to 0.91</w:t>
      </w:r>
      <w:r w:rsidRPr="004E4858">
        <w:rPr>
          <w:rFonts w:eastAsia="Times New Roman" w:cs="Times New Roman"/>
          <w:color w:val="000000"/>
          <w:szCs w:val="24"/>
        </w:rPr>
        <w:t xml:space="preserve"> mJ/m</w:t>
      </w:r>
      <w:r w:rsidRPr="004E4858">
        <w:rPr>
          <w:rFonts w:eastAsia="Times New Roman" w:cs="Times New Roman"/>
          <w:color w:val="000000"/>
          <w:szCs w:val="24"/>
          <w:vertAlign w:val="superscript"/>
        </w:rPr>
        <w:t>2</w:t>
      </w:r>
      <w:r w:rsidRPr="004E4858">
        <w:rPr>
          <w:rFonts w:cs="Times New Roman"/>
          <w:szCs w:val="24"/>
        </w:rPr>
        <w:t xml:space="preserve"> after PAV-aging.</w:t>
      </w:r>
      <w:r w:rsidRPr="00C94B99">
        <w:rPr>
          <w:rFonts w:cs="Times New Roman"/>
          <w:szCs w:val="24"/>
        </w:rPr>
        <w:t xml:space="preserve"> However, the </w:t>
      </w:r>
      <m:oMath>
        <m:sSub>
          <m:sSubPr>
            <m:ctrlPr>
              <w:rPr>
                <w:rFonts w:ascii="Cambria Math" w:hAnsi="Cambria Math" w:cs="Times New Roman"/>
                <w:i/>
                <w:szCs w:val="24"/>
                <w:lang w:val="en-GB" w:eastAsia="en-GB"/>
              </w:rPr>
            </m:ctrlPr>
          </m:sSubPr>
          <m:e>
            <m:r>
              <m:rPr>
                <m:sty m:val="p"/>
              </m:rPr>
              <w:rPr>
                <w:rFonts w:ascii="Cambria Math" w:hAnsi="Cambria Math" w:cs="Times New Roman"/>
                <w:szCs w:val="24"/>
                <w:lang w:val="en-GB" w:eastAsia="en-GB"/>
              </w:rPr>
              <m:t>Γ</m:t>
            </m:r>
          </m:e>
          <m:sub>
            <m:r>
              <w:rPr>
                <w:rFonts w:ascii="Cambria Math" w:hAnsi="Cambria Math" w:cs="Times New Roman"/>
                <w:szCs w:val="24"/>
                <w:lang w:val="en-GB" w:eastAsia="en-GB"/>
              </w:rPr>
              <m:t>A</m:t>
            </m:r>
          </m:sub>
        </m:sSub>
      </m:oMath>
      <w:r w:rsidRPr="00C94B99">
        <w:rPr>
          <w:rFonts w:cs="Times New Roman"/>
          <w:szCs w:val="24"/>
        </w:rPr>
        <w:t xml:space="preserve"> and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LW</m:t>
            </m:r>
          </m:sup>
        </m:sSubSup>
      </m:oMath>
      <w:r w:rsidRPr="00C94B99">
        <w:rPr>
          <w:rFonts w:eastAsiaTheme="minorEastAsia" w:cs="Times New Roman"/>
          <w:szCs w:val="24"/>
          <w:lang w:val="en-GB" w:eastAsia="en-GB"/>
        </w:rPr>
        <w:t xml:space="preserve"> </w:t>
      </w:r>
      <w:r w:rsidRPr="00C94B99">
        <w:rPr>
          <w:rFonts w:cs="Times New Roman"/>
          <w:szCs w:val="24"/>
        </w:rPr>
        <w:t>components were observed to increase with RTFO-aging and then reduced with PAV-aging. Although the Γ</w:t>
      </w:r>
      <w:r w:rsidRPr="00C94B99">
        <w:rPr>
          <w:rFonts w:cs="Times New Roman"/>
          <w:szCs w:val="24"/>
          <w:vertAlign w:val="superscript"/>
        </w:rPr>
        <w:t>-</w:t>
      </w:r>
      <w:r w:rsidRPr="00C94B99">
        <w:rPr>
          <w:rFonts w:cs="Times New Roman"/>
          <w:szCs w:val="24"/>
        </w:rPr>
        <w:t xml:space="preserve">component of the unaged PG 64-22+0.5% WMA binder was higher than the unaged PG 64-22 binder, it became similar after RTFO- and PAV-aging. From Table </w:t>
      </w:r>
      <w:r w:rsidR="00E664C8">
        <w:rPr>
          <w:rFonts w:cs="Times New Roman"/>
          <w:szCs w:val="24"/>
          <w:lang w:val="en-CA"/>
        </w:rPr>
        <w:t>3.</w:t>
      </w:r>
      <w:r w:rsidRPr="00C94B99">
        <w:rPr>
          <w:rFonts w:cs="Times New Roman"/>
          <w:szCs w:val="24"/>
        </w:rPr>
        <w:t xml:space="preserve">3, the addition of WMA resulted in a higher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C94B99">
        <w:rPr>
          <w:rFonts w:cs="Times New Roman"/>
          <w:szCs w:val="24"/>
        </w:rPr>
        <w:t>/</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C94B99">
        <w:rPr>
          <w:rFonts w:cs="Times New Roman"/>
          <w:szCs w:val="24"/>
        </w:rPr>
        <w:t xml:space="preserve"> ratio</w:t>
      </w:r>
      <w:r w:rsidRPr="00C94B99">
        <w:rPr>
          <w:rFonts w:cs="Times New Roman"/>
          <w:bCs/>
          <w:szCs w:val="24"/>
        </w:rPr>
        <w:t xml:space="preserve"> </w:t>
      </w:r>
      <w:r w:rsidRPr="00C94B99">
        <w:rPr>
          <w:rFonts w:cs="Times New Roman"/>
          <w:szCs w:val="24"/>
        </w:rPr>
        <w:t xml:space="preserve">than the neat binder under RTFO- and PAV-aged conditions indicating probabilities of better bonding with basic aggregates.   </w:t>
      </w:r>
    </w:p>
    <w:p w14:paraId="172119AA" w14:textId="74EBE36F" w:rsidR="001F20DB" w:rsidRPr="00C94B99" w:rsidRDefault="001F20DB" w:rsidP="00C94B99">
      <w:pPr>
        <w:ind w:firstLine="720"/>
        <w:rPr>
          <w:rFonts w:cs="Times New Roman"/>
          <w:szCs w:val="24"/>
        </w:rPr>
      </w:pPr>
      <w:r w:rsidRPr="00C94B99">
        <w:rPr>
          <w:rFonts w:cs="Times New Roman"/>
          <w:szCs w:val="24"/>
        </w:rPr>
        <w:t xml:space="preserve">For unaged condition, the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C94B99">
        <w:rPr>
          <w:rFonts w:cs="Times New Roman"/>
          <w:szCs w:val="24"/>
        </w:rPr>
        <w:t xml:space="preserv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LW</m:t>
            </m:r>
          </m:sup>
        </m:sSubSup>
      </m:oMath>
      <w:r w:rsidRPr="00C94B99">
        <w:rPr>
          <w:rFonts w:cs="Times New Roman"/>
          <w:szCs w:val="24"/>
        </w:rPr>
        <w:t xml:space="preserve"> and </w:t>
      </w:r>
      <m:oMath>
        <m:sSub>
          <m:sSubPr>
            <m:ctrlPr>
              <w:rPr>
                <w:rFonts w:ascii="Cambria Math" w:hAnsi="Cambria Math" w:cs="Times New Roman"/>
                <w:i/>
                <w:szCs w:val="24"/>
                <w:lang w:val="en-GB" w:eastAsia="en-GB"/>
              </w:rPr>
            </m:ctrlPr>
          </m:sSubPr>
          <m:e>
            <m:r>
              <m:rPr>
                <m:sty m:val="p"/>
              </m:rPr>
              <w:rPr>
                <w:rFonts w:ascii="Cambria Math" w:hAnsi="Cambria Math" w:cs="Times New Roman"/>
                <w:szCs w:val="24"/>
                <w:lang w:val="en-GB" w:eastAsia="en-GB"/>
              </w:rPr>
              <m:t>Γ</m:t>
            </m:r>
          </m:e>
          <m:sub>
            <m:r>
              <w:rPr>
                <w:rFonts w:ascii="Cambria Math" w:hAnsi="Cambria Math" w:cs="Times New Roman"/>
                <w:szCs w:val="24"/>
                <w:lang w:val="en-GB" w:eastAsia="en-GB"/>
              </w:rPr>
              <m:t>A</m:t>
            </m:r>
          </m:sub>
        </m:sSub>
      </m:oMath>
      <w:r w:rsidRPr="00C94B99">
        <w:rPr>
          <w:rFonts w:cs="Times New Roman"/>
          <w:szCs w:val="24"/>
        </w:rPr>
        <w:t xml:space="preserve"> components of the PG 64-22 binder increased with the addition of 0.5% ASA. The PG 64-22 binder became more basic as the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C94B99">
        <w:rPr>
          <w:rFonts w:cs="Times New Roman"/>
          <w:szCs w:val="24"/>
        </w:rPr>
        <w:t>/</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C94B99">
        <w:rPr>
          <w:rFonts w:cs="Times New Roman"/>
          <w:szCs w:val="24"/>
        </w:rPr>
        <w:t xml:space="preserve"> ratio reduced from 1.54 to 0.41 with the addition of ASA. </w:t>
      </w:r>
      <w:r w:rsidRPr="00C94B99">
        <w:rPr>
          <w:rFonts w:cs="Times New Roman"/>
          <w:szCs w:val="24"/>
        </w:rPr>
        <w:fldChar w:fldCharType="begin"/>
      </w:r>
      <w:r w:rsidR="00D969E0">
        <w:rPr>
          <w:rFonts w:cs="Times New Roman"/>
          <w:szCs w:val="24"/>
        </w:rPr>
        <w:instrText xml:space="preserve"> ADDIN EN.CITE &lt;EndNote&gt;&lt;Cite AuthorYear="1"&gt;&lt;Author&gt;Wasiuddin&lt;/Author&gt;&lt;Year&gt;2007&lt;/Year&gt;&lt;RecNum&gt;82&lt;/RecNum&gt;&lt;DisplayText&gt;Wasiuddin et al. (2007c)&lt;/DisplayText&gt;&lt;record&gt;&lt;rec-number&gt;82&lt;/rec-number&gt;&lt;foreign-keys&gt;&lt;key app="EN" db-id="d55vzfpwawdafteedfoxsf0lv0v0wp5va2aa" timestamp="1519487395"&gt;82&lt;/key&gt;&lt;/foreign-keys&gt;&lt;ref-type name="Journal Article"&gt;17&lt;/ref-type&gt;&lt;contributors&gt;&lt;authors&gt;&lt;author&gt;Wasiuddin, Nazimuddin M&lt;/author&gt;&lt;author&gt;Fogle, Chris M&lt;/author&gt;&lt;author&gt;Zaman, Musharraf M&lt;/author&gt;&lt;author&gt;O’Rear, Edgar A&lt;/author&gt;&lt;/authors&gt;&lt;/contributors&gt;&lt;titles&gt;&lt;title&gt;Effect of Antistrip Additives on Surface Free Energy Characteristics of Asphalt Binders for Moisture-Induced Damage Potential&lt;/title&gt;&lt;secondary-title&gt;Journal of Testing and Evaluation&lt;/secondary-title&gt;&lt;/titles&gt;&lt;periodical&gt;&lt;full-title&gt;Journal of Testing and Evaluation&lt;/full-title&gt;&lt;/periodical&gt;&lt;volume&gt;35&lt;/volume&gt;&lt;number&gt;1&lt;/number&gt;&lt;dates&gt;&lt;year&gt;2007&lt;/year&gt;&lt;/dates&gt;&lt;urls&gt;&lt;/urls&gt;&lt;/record&gt;&lt;/Cite&gt;&lt;/EndNote&gt;</w:instrText>
      </w:r>
      <w:r w:rsidRPr="00C94B99">
        <w:rPr>
          <w:rFonts w:cs="Times New Roman"/>
          <w:szCs w:val="24"/>
        </w:rPr>
        <w:fldChar w:fldCharType="separate"/>
      </w:r>
      <w:r w:rsidR="00D969E0">
        <w:rPr>
          <w:rFonts w:cs="Times New Roman"/>
          <w:noProof/>
          <w:szCs w:val="24"/>
        </w:rPr>
        <w:t>Wasiuddin et al. (2007c)</w:t>
      </w:r>
      <w:r w:rsidRPr="00C94B99">
        <w:rPr>
          <w:rFonts w:cs="Times New Roman"/>
          <w:szCs w:val="24"/>
        </w:rPr>
        <w:fldChar w:fldCharType="end"/>
      </w:r>
      <w:r w:rsidRPr="00C94B99">
        <w:rPr>
          <w:rFonts w:cs="Times New Roman"/>
          <w:szCs w:val="24"/>
        </w:rPr>
        <w:t xml:space="preserve"> reported a similar increase in the basic behavior with the addition antistripping agent. The basic nature of the amine-based ASA is responsible for the changes in the binder SFE component. The effect of ASA may have diminished due to thermal degradation as the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C94B99">
        <w:rPr>
          <w:rFonts w:cs="Times New Roman"/>
          <w:szCs w:val="24"/>
        </w:rPr>
        <w:t>/</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C94B99">
        <w:rPr>
          <w:rFonts w:cs="Times New Roman"/>
          <w:szCs w:val="24"/>
        </w:rPr>
        <w:t xml:space="preserve"> ratio increased with RTFO- and PAV-aging. Thermal degradation of ASA with long-term aging was also reported by </w:t>
      </w:r>
      <w:r w:rsidRPr="00C94B99">
        <w:rPr>
          <w:rFonts w:cs="Times New Roman"/>
          <w:szCs w:val="24"/>
        </w:rPr>
        <w:fldChar w:fldCharType="begin"/>
      </w:r>
      <w:r w:rsidRPr="00C94B99">
        <w:rPr>
          <w:rFonts w:cs="Times New Roman"/>
          <w:szCs w:val="24"/>
        </w:rPr>
        <w:instrText xml:space="preserve"> ADDIN EN.CITE &lt;EndNote&gt;&lt;Cite AuthorYear="1"&gt;&lt;Author&gt;Wasiuddin&lt;/Author&gt;&lt;Year&gt;2007&lt;/Year&gt;&lt;RecNum&gt;109&lt;/RecNum&gt;&lt;DisplayText&gt;Wasiuddin et al. (2007a)&lt;/DisplayText&gt;&lt;record&gt;&lt;rec-number&gt;109&lt;/rec-number&gt;&lt;foreign-keys&gt;&lt;key app="EN" db-id="d55vzfpwawdafteedfoxsf0lv0v0wp5va2aa" timestamp="1521326591"&gt;109&lt;/key&gt;&lt;/foreign-keys&gt;&lt;ref-type name="Journal Article"&gt;17&lt;/ref-type&gt;&lt;contributors&gt;&lt;authors&gt;&lt;author&gt;Wasiuddin, Nazimuddin M&lt;/author&gt;&lt;author&gt;Fogle, Chris M&lt;/author&gt;&lt;author&gt;Zaman, Musharraf M&lt;/author&gt;&lt;author&gt;Edgar, AO&lt;/author&gt;&lt;/authors&gt;&lt;/contributors&gt;&lt;titles&gt;&lt;title&gt;Characterization of Thermal Degradation of Liquid Amine Anti-Strip Additives in Asphalt Binders Due to RTFO and PAV-Aging&lt;/title&gt;&lt;secondary-title&gt;Journal of Testing and Evaluation&lt;/secondary-title&gt;&lt;/titles&gt;&lt;periodical&gt;&lt;full-title&gt;Journal of Testing and Evaluation&lt;/full-title&gt;&lt;/periodical&gt;&lt;pages&gt;387-394&lt;/pages&gt;&lt;volume&gt;35&lt;/volume&gt;&lt;number&gt;4&lt;/number&gt;&lt;dates&gt;&lt;year&gt;2007&lt;/year&gt;&lt;/dates&gt;&lt;isbn&gt;0090-3973&lt;/isbn&gt;&lt;urls&gt;&lt;/urls&gt;&lt;/record&gt;&lt;/Cite&gt;&lt;/EndNote&gt;</w:instrText>
      </w:r>
      <w:r w:rsidRPr="00C94B99">
        <w:rPr>
          <w:rFonts w:cs="Times New Roman"/>
          <w:szCs w:val="24"/>
        </w:rPr>
        <w:fldChar w:fldCharType="separate"/>
      </w:r>
      <w:r w:rsidRPr="00C94B99">
        <w:rPr>
          <w:rFonts w:cs="Times New Roman"/>
          <w:noProof/>
          <w:szCs w:val="24"/>
        </w:rPr>
        <w:t>Wasiuddin et al. (2007a)</w:t>
      </w:r>
      <w:r w:rsidRPr="00C94B99">
        <w:rPr>
          <w:rFonts w:cs="Times New Roman"/>
          <w:szCs w:val="24"/>
        </w:rPr>
        <w:fldChar w:fldCharType="end"/>
      </w:r>
      <w:r w:rsidRPr="00C94B99">
        <w:rPr>
          <w:rFonts w:cs="Times New Roman"/>
          <w:szCs w:val="24"/>
        </w:rPr>
        <w:t xml:space="preserve">. Similar to ASA, the addition of 20% RAP increased the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C94B99">
        <w:rPr>
          <w:rFonts w:cs="Times New Roman"/>
          <w:szCs w:val="24"/>
        </w:rPr>
        <w:t xml:space="preserv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LW</m:t>
            </m:r>
          </m:sup>
        </m:sSubSup>
        <m:r>
          <w:rPr>
            <w:rFonts w:ascii="Cambria Math" w:hAnsi="Cambria Math" w:cs="Times New Roman"/>
            <w:szCs w:val="24"/>
          </w:rPr>
          <m:t xml:space="preserve"> </m:t>
        </m:r>
      </m:oMath>
      <w:r w:rsidRPr="00C94B99">
        <w:rPr>
          <w:rFonts w:cs="Times New Roman"/>
          <w:szCs w:val="24"/>
        </w:rPr>
        <w:t xml:space="preserve">and </w:t>
      </w:r>
      <m:oMath>
        <m:sSub>
          <m:sSubPr>
            <m:ctrlPr>
              <w:rPr>
                <w:rFonts w:ascii="Cambria Math" w:hAnsi="Cambria Math" w:cs="Times New Roman"/>
                <w:i/>
                <w:szCs w:val="24"/>
                <w:lang w:val="en-GB" w:eastAsia="en-GB"/>
              </w:rPr>
            </m:ctrlPr>
          </m:sSubPr>
          <m:e>
            <m:r>
              <m:rPr>
                <m:sty m:val="p"/>
              </m:rPr>
              <w:rPr>
                <w:rFonts w:ascii="Cambria Math" w:hAnsi="Cambria Math" w:cs="Times New Roman"/>
                <w:szCs w:val="24"/>
                <w:lang w:val="en-GB" w:eastAsia="en-GB"/>
              </w:rPr>
              <m:t>Γ</m:t>
            </m:r>
          </m:e>
          <m:sub>
            <m:r>
              <w:rPr>
                <w:rFonts w:ascii="Cambria Math" w:hAnsi="Cambria Math" w:cs="Times New Roman"/>
                <w:szCs w:val="24"/>
                <w:lang w:val="en-GB" w:eastAsia="en-GB"/>
              </w:rPr>
              <m:t>A</m:t>
            </m:r>
          </m:sub>
        </m:sSub>
      </m:oMath>
      <w:r w:rsidRPr="00C94B99">
        <w:rPr>
          <w:rFonts w:cs="Times New Roman"/>
          <w:szCs w:val="24"/>
        </w:rPr>
        <w:t xml:space="preserve"> components under unaged condition. The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C94B99">
        <w:rPr>
          <w:rFonts w:cs="Times New Roman"/>
          <w:szCs w:val="24"/>
        </w:rPr>
        <w:t>/</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C94B99">
        <w:rPr>
          <w:rFonts w:cs="Times New Roman"/>
          <w:szCs w:val="24"/>
        </w:rPr>
        <w:t xml:space="preserve"> ratio for the PG 64-22+20% RAP was observed to increase from 0.69 to 1.36 with RTFO-aging and then reduced to 0.24 with PAV-aging. This indicates that the bonding strength of a mix with the PG 64-22+20% RAP may deteriorate with long-term aging. The aged binder from RAP is expected to be responsible for the changes in SFE components of the PG 64-22 binder.</w:t>
      </w:r>
    </w:p>
    <w:p w14:paraId="6BE23C3D" w14:textId="5763247D" w:rsidR="001F20DB" w:rsidRPr="00C94B99" w:rsidRDefault="001F20DB" w:rsidP="00C94B99">
      <w:pPr>
        <w:ind w:firstLine="720"/>
        <w:rPr>
          <w:rFonts w:cs="Times New Roman"/>
          <w:szCs w:val="24"/>
        </w:rPr>
      </w:pPr>
      <w:r w:rsidRPr="00C94B99">
        <w:rPr>
          <w:rFonts w:cs="Times New Roman"/>
          <w:szCs w:val="24"/>
        </w:rPr>
        <w:t xml:space="preserve">The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C94B99">
        <w:rPr>
          <w:rFonts w:cs="Times New Roman"/>
          <w:szCs w:val="24"/>
        </w:rPr>
        <w:t xml:space="preserv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LW</m:t>
            </m:r>
          </m:sup>
        </m:sSubSup>
      </m:oMath>
      <w:r w:rsidRPr="00C94B99">
        <w:rPr>
          <w:rFonts w:cs="Times New Roman"/>
          <w:szCs w:val="24"/>
        </w:rPr>
        <w:t xml:space="preserve">and </w:t>
      </w:r>
      <m:oMath>
        <m:sSub>
          <m:sSubPr>
            <m:ctrlPr>
              <w:rPr>
                <w:rFonts w:ascii="Cambria Math" w:hAnsi="Cambria Math" w:cs="Times New Roman"/>
                <w:i/>
                <w:szCs w:val="24"/>
                <w:lang w:val="en-GB" w:eastAsia="en-GB"/>
              </w:rPr>
            </m:ctrlPr>
          </m:sSubPr>
          <m:e>
            <m:r>
              <m:rPr>
                <m:sty m:val="p"/>
              </m:rPr>
              <w:rPr>
                <w:rFonts w:ascii="Cambria Math" w:hAnsi="Cambria Math" w:cs="Times New Roman"/>
                <w:szCs w:val="24"/>
                <w:lang w:val="en-GB" w:eastAsia="en-GB"/>
              </w:rPr>
              <m:t>Γ</m:t>
            </m:r>
          </m:e>
          <m:sub>
            <m:r>
              <w:rPr>
                <w:rFonts w:ascii="Cambria Math" w:hAnsi="Cambria Math" w:cs="Times New Roman"/>
                <w:szCs w:val="24"/>
                <w:lang w:val="en-GB" w:eastAsia="en-GB"/>
              </w:rPr>
              <m:t>A</m:t>
            </m:r>
          </m:sub>
        </m:sSub>
      </m:oMath>
      <w:r w:rsidRPr="00C94B99">
        <w:rPr>
          <w:rFonts w:cs="Times New Roman"/>
          <w:szCs w:val="24"/>
        </w:rPr>
        <w:t xml:space="preserve"> components of the PG 64-22 binder reduced with the addition of 1.5% PPA. However, the addition of PPA increased the Γ</w:t>
      </w:r>
      <w:r w:rsidRPr="00C94B99">
        <w:rPr>
          <w:rFonts w:cs="Times New Roman"/>
          <w:szCs w:val="24"/>
          <w:vertAlign w:val="superscript"/>
        </w:rPr>
        <w:t>-</w:t>
      </w:r>
      <w:r w:rsidRPr="00C94B99">
        <w:rPr>
          <w:rFonts w:cs="Times New Roman"/>
          <w:szCs w:val="24"/>
        </w:rPr>
        <w:t xml:space="preserve"> component of the PG 64-22 binder. The trend of increasing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C94B99">
        <w:rPr>
          <w:rFonts w:cs="Times New Roman"/>
          <w:szCs w:val="24"/>
        </w:rPr>
        <w:t xml:space="preserve"> component was observed under RTFO- and PAV-aging conditions as well. As a result, significant reductions in the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C94B99">
        <w:rPr>
          <w:rFonts w:cs="Times New Roman"/>
          <w:szCs w:val="24"/>
        </w:rPr>
        <w:t>/</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C94B99">
        <w:rPr>
          <w:rFonts w:cs="Times New Roman"/>
          <w:szCs w:val="24"/>
        </w:rPr>
        <w:t xml:space="preserve"> ratio were observed for the PG 64-22+1.5% PPA binder after RTFO-and PAV-aging. Therefore, addition of PPA to the binder blend may result in an increase in basic behavior of the binder. An increase in the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C94B99">
        <w:rPr>
          <w:rFonts w:cs="Times New Roman"/>
          <w:szCs w:val="24"/>
        </w:rPr>
        <w:t xml:space="preserve"> component of the binder with PPA was reported by </w:t>
      </w:r>
      <w:r w:rsidRPr="00C94B99">
        <w:rPr>
          <w:rFonts w:cs="Times New Roman"/>
          <w:szCs w:val="24"/>
        </w:rPr>
        <w:fldChar w:fldCharType="begin"/>
      </w:r>
      <w:r w:rsidRPr="00C94B99">
        <w:rPr>
          <w:rFonts w:cs="Times New Roman"/>
          <w:szCs w:val="24"/>
        </w:rPr>
        <w:instrText xml:space="preserve"> ADDIN EN.CITE &lt;EndNote&gt;&lt;Cite AuthorYear="1"&gt;&lt;Author&gt;Al-Qadi&lt;/Author&gt;&lt;Year&gt;2014&lt;/Year&gt;&lt;RecNum&gt;129&lt;/RecNum&gt;&lt;DisplayText&gt;Al-Qadi et al. (2014)&lt;/DisplayText&gt;&lt;record&gt;&lt;rec-number&gt;129&lt;/rec-number&gt;&lt;foreign-keys&gt;&lt;key app="EN" db-id="d55vzfpwawdafteedfoxsf0lv0v0wp5va2aa" timestamp="1521482466"&gt;129&lt;/key&gt;&lt;/foreign-keys&gt;&lt;ref-type name="Report"&gt;27&lt;/ref-type&gt;&lt;contributors&gt;&lt;authors&gt;&lt;author&gt;Al-Qadi, Imad L&lt;/author&gt;&lt;author&gt;Abauwad, Ibrahim M&lt;/author&gt;&lt;author&gt;Dhasmana, Heena&lt;/author&gt;&lt;author&gt;Coenen, Aaron R&lt;/author&gt;&lt;/authors&gt;&lt;/contributors&gt;&lt;titles&gt;&lt;title&gt;Effects of Various Asphalt Binder Additives/Modifiers on Moisture-Susceptible Asphaltic Mixtures&lt;/title&gt;&lt;/titles&gt;&lt;dates&gt;&lt;year&gt;2014&lt;/year&gt;&lt;/dates&gt;&lt;publisher&gt;Illinois Center for Transportation&lt;/publisher&gt;&lt;isbn&gt;0197-9191&lt;/isbn&gt;&lt;urls&gt;&lt;/urls&gt;&lt;/record&gt;&lt;/Cite&gt;&lt;/EndNote&gt;</w:instrText>
      </w:r>
      <w:r w:rsidRPr="00C94B99">
        <w:rPr>
          <w:rFonts w:cs="Times New Roman"/>
          <w:szCs w:val="24"/>
        </w:rPr>
        <w:fldChar w:fldCharType="separate"/>
      </w:r>
      <w:r w:rsidRPr="00C94B99">
        <w:rPr>
          <w:rFonts w:cs="Times New Roman"/>
          <w:noProof/>
          <w:szCs w:val="24"/>
        </w:rPr>
        <w:t>Al-Qadi et al. (2014)</w:t>
      </w:r>
      <w:r w:rsidRPr="00C94B99">
        <w:rPr>
          <w:rFonts w:cs="Times New Roman"/>
          <w:szCs w:val="24"/>
        </w:rPr>
        <w:fldChar w:fldCharType="end"/>
      </w:r>
      <w:r w:rsidRPr="00C94B99">
        <w:rPr>
          <w:rFonts w:cs="Times New Roman"/>
          <w:szCs w:val="24"/>
        </w:rPr>
        <w:t xml:space="preserve">. Therefore, the addition of PPA may result in a weak bonding with basic aggregates. As observed from </w:t>
      </w:r>
      <w:r w:rsidR="00644172">
        <w:rPr>
          <w:rFonts w:cs="Times New Roman"/>
          <w:szCs w:val="24"/>
        </w:rPr>
        <w:t xml:space="preserve">the </w:t>
      </w:r>
      <w:r w:rsidRPr="00C94B99">
        <w:rPr>
          <w:rFonts w:cs="Times New Roman"/>
          <w:szCs w:val="24"/>
        </w:rPr>
        <w:t xml:space="preserve">XRF and FTIR test, the presence of phosphate in the binder is likely responsible for such changes in the binder’s surface energy properties. </w:t>
      </w:r>
    </w:p>
    <w:p w14:paraId="1BC6236A" w14:textId="612DD3D0" w:rsidR="0038132E" w:rsidRPr="00C94B99" w:rsidRDefault="001F20DB" w:rsidP="00C94B99">
      <w:pPr>
        <w:ind w:firstLine="720"/>
        <w:rPr>
          <w:rFonts w:cs="Times New Roman"/>
          <w:szCs w:val="24"/>
        </w:rPr>
      </w:pPr>
      <w:r w:rsidRPr="00C94B99">
        <w:rPr>
          <w:rFonts w:cs="Times New Roman"/>
          <w:szCs w:val="24"/>
        </w:rPr>
        <w:t xml:space="preserve">Unlike the PG 64-222 binder, the unaged PG 76-28 binder exhibited a higher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C94B99">
        <w:rPr>
          <w:rFonts w:cs="Times New Roman"/>
          <w:szCs w:val="24"/>
        </w:rPr>
        <w:t xml:space="preserve"> component than the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C94B99">
        <w:rPr>
          <w:rFonts w:cs="Times New Roman"/>
          <w:szCs w:val="24"/>
        </w:rPr>
        <w:t xml:space="preserve"> component. Also,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LW</m:t>
            </m:r>
          </m:sup>
        </m:sSubSup>
      </m:oMath>
      <w:r w:rsidRPr="00C94B99">
        <w:rPr>
          <w:rFonts w:cs="Times New Roman"/>
          <w:szCs w:val="24"/>
        </w:rPr>
        <w:t xml:space="preserve"> and </w:t>
      </w:r>
      <m:oMath>
        <m:sSub>
          <m:sSubPr>
            <m:ctrlPr>
              <w:rPr>
                <w:rFonts w:ascii="Cambria Math" w:hAnsi="Cambria Math" w:cs="Times New Roman"/>
                <w:i/>
                <w:szCs w:val="24"/>
                <w:lang w:val="en-GB" w:eastAsia="en-GB"/>
              </w:rPr>
            </m:ctrlPr>
          </m:sSubPr>
          <m:e>
            <m:r>
              <m:rPr>
                <m:sty m:val="p"/>
              </m:rPr>
              <w:rPr>
                <w:rFonts w:ascii="Cambria Math" w:hAnsi="Cambria Math" w:cs="Times New Roman"/>
                <w:szCs w:val="24"/>
                <w:lang w:val="en-GB" w:eastAsia="en-GB"/>
              </w:rPr>
              <m:t>Γ</m:t>
            </m:r>
          </m:e>
          <m:sub>
            <m:r>
              <w:rPr>
                <w:rFonts w:ascii="Cambria Math" w:hAnsi="Cambria Math" w:cs="Times New Roman"/>
                <w:szCs w:val="24"/>
                <w:lang w:val="en-GB" w:eastAsia="en-GB"/>
              </w:rPr>
              <m:t>A</m:t>
            </m:r>
          </m:sub>
        </m:sSub>
      </m:oMath>
      <w:r w:rsidRPr="00C94B99">
        <w:rPr>
          <w:rFonts w:cs="Times New Roman"/>
          <w:szCs w:val="24"/>
        </w:rPr>
        <w:t xml:space="preserve"> component of the unaged PG 76-28 binder was found to be lower than the unaged PG 64-22 binder. A slight increase in the acidic nature of the PG 76-28 binder was observed with short- and long-term aging. Similar to the PG 64-22 binder, the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LW</m:t>
            </m:r>
          </m:sup>
        </m:sSubSup>
      </m:oMath>
      <w:r w:rsidRPr="00C94B99">
        <w:rPr>
          <w:rFonts w:cs="Times New Roman"/>
          <w:szCs w:val="24"/>
        </w:rPr>
        <w:t xml:space="preserve"> and </w:t>
      </w:r>
      <m:oMath>
        <m:sSub>
          <m:sSubPr>
            <m:ctrlPr>
              <w:rPr>
                <w:rFonts w:ascii="Cambria Math" w:hAnsi="Cambria Math" w:cs="Times New Roman"/>
                <w:i/>
                <w:szCs w:val="24"/>
                <w:lang w:val="en-GB" w:eastAsia="en-GB"/>
              </w:rPr>
            </m:ctrlPr>
          </m:sSubPr>
          <m:e>
            <m:r>
              <m:rPr>
                <m:sty m:val="p"/>
              </m:rPr>
              <w:rPr>
                <w:rFonts w:ascii="Cambria Math" w:hAnsi="Cambria Math" w:cs="Times New Roman"/>
                <w:szCs w:val="24"/>
                <w:lang w:val="en-GB" w:eastAsia="en-GB"/>
              </w:rPr>
              <m:t>Γ</m:t>
            </m:r>
          </m:e>
          <m:sub>
            <m:r>
              <w:rPr>
                <w:rFonts w:ascii="Cambria Math" w:hAnsi="Cambria Math" w:cs="Times New Roman"/>
                <w:szCs w:val="24"/>
                <w:lang w:val="en-GB" w:eastAsia="en-GB"/>
              </w:rPr>
              <m:t>A</m:t>
            </m:r>
          </m:sub>
        </m:sSub>
      </m:oMath>
      <w:r w:rsidRPr="00C94B99">
        <w:rPr>
          <w:rFonts w:cs="Times New Roman"/>
          <w:szCs w:val="24"/>
        </w:rPr>
        <w:t xml:space="preserve"> component of the PG 76-28 binder increased with aging. The addition of 0.5% WMA resulted in a lower base component than the PG 76-28 binder for all three aging conditions. Also, almost no change in the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C94B99">
        <w:rPr>
          <w:rFonts w:cs="Times New Roman"/>
          <w:szCs w:val="24"/>
        </w:rPr>
        <w:t xml:space="preserve"> and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LW</m:t>
            </m:r>
          </m:sup>
        </m:sSubSup>
      </m:oMath>
      <w:r w:rsidRPr="00C94B99">
        <w:rPr>
          <w:rFonts w:cs="Times New Roman"/>
          <w:i/>
          <w:szCs w:val="24"/>
        </w:rPr>
        <w:t xml:space="preserve"> </w:t>
      </w:r>
      <w:r w:rsidRPr="00C94B99">
        <w:rPr>
          <w:rFonts w:cs="Times New Roman"/>
          <w:iCs/>
          <w:szCs w:val="24"/>
        </w:rPr>
        <w:t>components of the PG 76-28 binder was observed with the addition of WMA for all three-aging condition.</w:t>
      </w:r>
      <w:r w:rsidRPr="00C94B99">
        <w:rPr>
          <w:rFonts w:cs="Times New Roman"/>
          <w:i/>
          <w:szCs w:val="24"/>
        </w:rPr>
        <w:t xml:space="preserve"> </w:t>
      </w:r>
      <w:r w:rsidRPr="00C94B99">
        <w:rPr>
          <w:rFonts w:cs="Times New Roman"/>
          <w:szCs w:val="24"/>
        </w:rPr>
        <w:t xml:space="preserve">The acidic nature of the PG 76-28 binder was found to slightly increase with the addition of 0.5% ASA. Also, the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LW</m:t>
            </m:r>
          </m:sup>
        </m:sSubSup>
      </m:oMath>
      <w:r w:rsidRPr="00C94B99">
        <w:rPr>
          <w:rFonts w:cs="Times New Roman"/>
          <w:szCs w:val="24"/>
        </w:rPr>
        <w:t xml:space="preserve"> and </w:t>
      </w:r>
      <m:oMath>
        <m:sSub>
          <m:sSubPr>
            <m:ctrlPr>
              <w:rPr>
                <w:rFonts w:ascii="Cambria Math" w:hAnsi="Cambria Math" w:cs="Times New Roman"/>
                <w:i/>
                <w:szCs w:val="24"/>
                <w:lang w:val="en-GB" w:eastAsia="en-GB"/>
              </w:rPr>
            </m:ctrlPr>
          </m:sSubPr>
          <m:e>
            <m:r>
              <m:rPr>
                <m:sty m:val="p"/>
              </m:rPr>
              <w:rPr>
                <w:rFonts w:ascii="Cambria Math" w:hAnsi="Cambria Math" w:cs="Times New Roman"/>
                <w:szCs w:val="24"/>
                <w:lang w:val="en-GB" w:eastAsia="en-GB"/>
              </w:rPr>
              <m:t>Γ</m:t>
            </m:r>
          </m:e>
          <m:sub>
            <m:r>
              <w:rPr>
                <w:rFonts w:ascii="Cambria Math" w:hAnsi="Cambria Math" w:cs="Times New Roman"/>
                <w:szCs w:val="24"/>
                <w:lang w:val="en-GB" w:eastAsia="en-GB"/>
              </w:rPr>
              <m:t>A</m:t>
            </m:r>
          </m:sub>
        </m:sSub>
      </m:oMath>
      <w:r w:rsidRPr="00C94B99">
        <w:rPr>
          <w:rFonts w:cs="Times New Roman"/>
          <w:szCs w:val="24"/>
        </w:rPr>
        <w:t xml:space="preserve"> component of PG 76-28 binder increased by approximately 32% and 34%, respectively, as a result of the addition of ASA. The interactions between constituents of ASA with polymer present in the PG 76-28 binder are expected to be responsible for such changes in SFE components. Similar to PG 64-22 binder, the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C94B99">
        <w:rPr>
          <w:rFonts w:cs="Times New Roman"/>
          <w:szCs w:val="24"/>
        </w:rPr>
        <w:t xml:space="preserve"> component of the PG 76-28+0.5% ASA reduced with aging. A reduction of approximately 60% and 73% of the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C94B99">
        <w:rPr>
          <w:rFonts w:cs="Times New Roman"/>
          <w:szCs w:val="24"/>
        </w:rPr>
        <w:t xml:space="preserve"> component was observed with RTFO- and PAV-aging, respectively. A significant increase in the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C94B99">
        <w:rPr>
          <w:rFonts w:cs="Times New Roman"/>
          <w:szCs w:val="24"/>
        </w:rPr>
        <w:t xml:space="preserve"> and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LW</m:t>
            </m:r>
          </m:sup>
        </m:sSubSup>
      </m:oMath>
      <w:r w:rsidRPr="00C94B99">
        <w:rPr>
          <w:rFonts w:cs="Times New Roman"/>
          <w:iCs/>
          <w:szCs w:val="24"/>
        </w:rPr>
        <w:t xml:space="preserve"> components was observed after adding 20% RAP to the PG 76-28 binder. For example, the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C94B99">
        <w:rPr>
          <w:rFonts w:cs="Times New Roman"/>
          <w:szCs w:val="24"/>
        </w:rPr>
        <w:t xml:space="preserve"> </w:t>
      </w:r>
      <w:r w:rsidRPr="00C94B99">
        <w:rPr>
          <w:rFonts w:cs="Times New Roman"/>
          <w:iCs/>
          <w:szCs w:val="24"/>
        </w:rPr>
        <w:t xml:space="preserve">component increased from 0.05 </w:t>
      </w:r>
      <w:r w:rsidRPr="00C94B99">
        <w:rPr>
          <w:rFonts w:cs="Times New Roman"/>
          <w:szCs w:val="24"/>
        </w:rPr>
        <w:t>mJ/m</w:t>
      </w:r>
      <w:r w:rsidRPr="00C94B99">
        <w:rPr>
          <w:rFonts w:cs="Times New Roman"/>
          <w:szCs w:val="24"/>
          <w:vertAlign w:val="superscript"/>
        </w:rPr>
        <w:t>2</w:t>
      </w:r>
      <w:r w:rsidRPr="00C94B99">
        <w:rPr>
          <w:rFonts w:cs="Times New Roman"/>
          <w:szCs w:val="24"/>
        </w:rPr>
        <w:t xml:space="preserve"> </w:t>
      </w:r>
      <w:r w:rsidRPr="00C94B99">
        <w:rPr>
          <w:rFonts w:cs="Times New Roman"/>
          <w:iCs/>
          <w:szCs w:val="24"/>
        </w:rPr>
        <w:t xml:space="preserve">to 0.43 </w:t>
      </w:r>
      <w:r w:rsidRPr="00C94B99">
        <w:rPr>
          <w:rFonts w:cs="Times New Roman"/>
          <w:szCs w:val="24"/>
        </w:rPr>
        <w:t>mJ/m</w:t>
      </w:r>
      <w:r w:rsidRPr="00C94B99">
        <w:rPr>
          <w:rFonts w:cs="Times New Roman"/>
          <w:szCs w:val="24"/>
          <w:vertAlign w:val="superscript"/>
        </w:rPr>
        <w:t>2</w:t>
      </w:r>
      <w:r w:rsidRPr="00C94B99">
        <w:rPr>
          <w:rFonts w:cs="Times New Roman"/>
          <w:szCs w:val="24"/>
        </w:rPr>
        <w:t xml:space="preserve"> </w:t>
      </w:r>
      <w:r w:rsidRPr="00C94B99">
        <w:rPr>
          <w:rFonts w:cs="Times New Roman"/>
          <w:iCs/>
          <w:szCs w:val="24"/>
        </w:rPr>
        <w:t xml:space="preserve">with the addition of 20% RAP. This change resulted in a significantly high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C94B99">
        <w:rPr>
          <w:rFonts w:cs="Times New Roman"/>
          <w:szCs w:val="24"/>
        </w:rPr>
        <w:t>/</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C94B99">
        <w:rPr>
          <w:rFonts w:cs="Times New Roman"/>
          <w:szCs w:val="24"/>
        </w:rPr>
        <w:t xml:space="preserve"> ratio (0.70) for binder blend with RAP. Therefore, the addition of RAP is expected to result in a stronger adhesive bond with basic aggregates than the binder without any RAP. However, the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C94B99">
        <w:rPr>
          <w:rFonts w:cs="Times New Roman"/>
          <w:szCs w:val="24"/>
        </w:rPr>
        <w:t>/</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rPr>
              <m:t>-</m:t>
            </m:r>
          </m:sup>
        </m:sSubSup>
      </m:oMath>
      <w:r w:rsidRPr="00C94B99">
        <w:rPr>
          <w:rFonts w:cs="Times New Roman"/>
          <w:szCs w:val="24"/>
        </w:rPr>
        <w:t xml:space="preserve"> ratio of the PG 76-28+20% RAP reduced to 0.19 and 0.13 after RTFO- and PAV-aging, respectively, indicating the possibility of increased moisture susceptibility with in-service aging</w:t>
      </w:r>
      <w:r w:rsidR="0038132E" w:rsidRPr="00C94B99">
        <w:rPr>
          <w:rFonts w:cs="Times New Roman"/>
          <w:szCs w:val="24"/>
        </w:rPr>
        <w:t>.</w:t>
      </w:r>
    </w:p>
    <w:p w14:paraId="1B495155" w14:textId="7B6C8077" w:rsidR="0038132E" w:rsidRPr="00C94B99" w:rsidRDefault="0038132E" w:rsidP="00985A4A">
      <w:pPr>
        <w:pStyle w:val="Heading3"/>
        <w:rPr>
          <w:lang w:val="en-CA"/>
        </w:rPr>
      </w:pPr>
      <w:bookmarkStart w:id="85" w:name="_Toc71728433"/>
      <w:r w:rsidRPr="00C94B99">
        <w:rPr>
          <w:lang w:val="en-CA"/>
        </w:rPr>
        <w:t>Aggregate Test Results</w:t>
      </w:r>
      <w:bookmarkEnd w:id="85"/>
    </w:p>
    <w:p w14:paraId="66C1E9B7" w14:textId="77777777" w:rsidR="0038132E" w:rsidRPr="00C94B99" w:rsidRDefault="0038132E" w:rsidP="00C94B99">
      <w:pPr>
        <w:pStyle w:val="Heading4"/>
        <w:spacing w:before="0" w:after="0"/>
        <w:rPr>
          <w:szCs w:val="24"/>
          <w:lang w:val="en-CA"/>
        </w:rPr>
      </w:pPr>
      <w:r w:rsidRPr="00C94B99">
        <w:rPr>
          <w:szCs w:val="24"/>
          <w:lang w:val="en-CA"/>
        </w:rPr>
        <w:t>Chemical Composition of Aggregates</w:t>
      </w:r>
    </w:p>
    <w:p w14:paraId="38300864" w14:textId="77777777" w:rsidR="0038132E" w:rsidRPr="00C94B99" w:rsidRDefault="0038132E" w:rsidP="00C94B99">
      <w:pPr>
        <w:pStyle w:val="Heading5"/>
        <w:spacing w:before="0" w:after="0"/>
        <w:rPr>
          <w:szCs w:val="24"/>
          <w:lang w:val="en-CA"/>
        </w:rPr>
      </w:pPr>
      <w:r w:rsidRPr="00C94B99">
        <w:rPr>
          <w:szCs w:val="24"/>
          <w:lang w:val="en-CA"/>
        </w:rPr>
        <w:t>XRF Test</w:t>
      </w:r>
    </w:p>
    <w:p w14:paraId="25BEC849" w14:textId="4AFB1DB9" w:rsidR="0038132E" w:rsidRPr="003B0C2F" w:rsidRDefault="00CC47BF" w:rsidP="00C94B99">
      <w:pPr>
        <w:ind w:firstLine="720"/>
        <w:rPr>
          <w:rFonts w:cs="Times New Roman"/>
          <w:szCs w:val="24"/>
          <w:lang w:val="en-CA"/>
        </w:rPr>
      </w:pPr>
      <w:r w:rsidRPr="00C94B99">
        <w:rPr>
          <w:rFonts w:cs="Times New Roman"/>
          <w:szCs w:val="24"/>
          <w:lang w:val="en-CA"/>
        </w:rPr>
        <w:t xml:space="preserve">The mineralogical composition of the aggregate has been reported to significantly influence the SFE as well as chemical reactivity of aggregates </w:t>
      </w:r>
      <w:r w:rsidRPr="00C94B99">
        <w:rPr>
          <w:rFonts w:cs="Times New Roman"/>
          <w:szCs w:val="24"/>
          <w:lang w:val="en-CA"/>
        </w:rPr>
        <w:fldChar w:fldCharType="begin"/>
      </w:r>
      <w:r w:rsidR="00282238">
        <w:rPr>
          <w:rFonts w:cs="Times New Roman"/>
          <w:szCs w:val="24"/>
          <w:lang w:val="en-CA"/>
        </w:rPr>
        <w:instrText xml:space="preserve"> ADDIN EN.CITE &lt;EndNote&gt;&lt;Cite&gt;&lt;Author&gt;Tarrer&lt;/Author&gt;&lt;Year&gt;1991&lt;/Year&gt;&lt;RecNum&gt;178&lt;/RecNum&gt;&lt;DisplayText&gt;(Tarrer and Wagh, 1991)&lt;/DisplayText&gt;&lt;record&gt;&lt;rec-number&gt;178&lt;/rec-number&gt;&lt;foreign-keys&gt;&lt;key app="EN" db-id="d55vzfpwawdafteedfoxsf0lv0v0wp5va2aa" timestamp="1533882349"&gt;178&lt;/key&gt;&lt;/foreign-keys&gt;&lt;ref-type name="Report"&gt;27&lt;/ref-type&gt;&lt;contributors&gt;&lt;authors&gt;&lt;author&gt;Tarrer, AR&lt;/author&gt;&lt;author&gt;Wagh, Vinay&lt;/author&gt;&lt;/authors&gt;&lt;/contributors&gt;&lt;titles&gt;&lt;title&gt;The effect of the physical and chemical characteristics of the aggregate on bonding&lt;/title&gt;&lt;/titles&gt;&lt;dates&gt;&lt;year&gt;1991&lt;/year&gt;&lt;/dates&gt;&lt;publisher&gt;Strategic Highway Research Program, National Research Council Washington, DC, USA&lt;/publisher&gt;&lt;urls&gt;&lt;/urls&gt;&lt;/record&gt;&lt;/Cite&gt;&lt;/EndNote&gt;</w:instrText>
      </w:r>
      <w:r w:rsidRPr="00C94B99">
        <w:rPr>
          <w:rFonts w:cs="Times New Roman"/>
          <w:szCs w:val="24"/>
          <w:lang w:val="en-CA"/>
        </w:rPr>
        <w:fldChar w:fldCharType="separate"/>
      </w:r>
      <w:r w:rsidR="00282238">
        <w:rPr>
          <w:rFonts w:cs="Times New Roman"/>
          <w:noProof/>
          <w:szCs w:val="24"/>
          <w:lang w:val="en-CA"/>
        </w:rPr>
        <w:t>(Tarrer and Wagh, 1991)</w:t>
      </w:r>
      <w:r w:rsidRPr="00C94B99">
        <w:rPr>
          <w:rFonts w:cs="Times New Roman"/>
          <w:szCs w:val="24"/>
          <w:lang w:val="en-CA"/>
        </w:rPr>
        <w:fldChar w:fldCharType="end"/>
      </w:r>
      <w:r w:rsidRPr="00C94B99">
        <w:rPr>
          <w:rFonts w:cs="Times New Roman"/>
          <w:szCs w:val="24"/>
          <w:lang w:val="en-CA"/>
        </w:rPr>
        <w:t xml:space="preserve">. Generally, presence of aluminum, iron, magnesium, and calcium in aggregate enhance bonding with asphalt. On the other hand, such components as sodium and potassium </w:t>
      </w:r>
      <w:r w:rsidRPr="003B0C2F">
        <w:rPr>
          <w:rFonts w:cs="Times New Roman"/>
          <w:szCs w:val="24"/>
          <w:lang w:val="en-CA"/>
        </w:rPr>
        <w:t xml:space="preserve">may be detrimental for bonding. Table </w:t>
      </w:r>
      <w:r w:rsidR="00E664C8" w:rsidRPr="003B0C2F">
        <w:rPr>
          <w:rFonts w:cs="Times New Roman"/>
          <w:szCs w:val="24"/>
          <w:lang w:val="en-CA"/>
        </w:rPr>
        <w:t>3.</w:t>
      </w:r>
      <w:r w:rsidRPr="003B0C2F">
        <w:rPr>
          <w:rFonts w:cs="Times New Roman"/>
          <w:szCs w:val="24"/>
          <w:lang w:val="en-CA"/>
        </w:rPr>
        <w:t xml:space="preserve">4 presents the mineralogical compositions of the aggregates in their oxidized form from X-ray florescence (XRF) tests. </w:t>
      </w:r>
      <w:r w:rsidR="00485AA7" w:rsidRPr="003B0C2F">
        <w:rPr>
          <w:rFonts w:cs="Times New Roman"/>
          <w:szCs w:val="24"/>
          <w:lang w:val="en-CA"/>
        </w:rPr>
        <w:t xml:space="preserve">Analyses showed </w:t>
      </w:r>
      <w:r w:rsidR="006143ED" w:rsidRPr="003B0C2F">
        <w:rPr>
          <w:rFonts w:cs="Times New Roman"/>
          <w:szCs w:val="24"/>
          <w:lang w:val="en-CA"/>
        </w:rPr>
        <w:t>r</w:t>
      </w:r>
      <w:r w:rsidRPr="003B0C2F">
        <w:rPr>
          <w:rFonts w:cs="Times New Roman"/>
          <w:szCs w:val="24"/>
          <w:lang w:val="en-CA"/>
        </w:rPr>
        <w:t>elatively high CaO</w:t>
      </w:r>
      <w:r w:rsidR="00CD0B7D" w:rsidRPr="003B0C2F">
        <w:rPr>
          <w:rFonts w:cs="Times New Roman"/>
          <w:szCs w:val="24"/>
          <w:lang w:val="en-CA"/>
        </w:rPr>
        <w:t xml:space="preserve"> (generally present as CaCO</w:t>
      </w:r>
      <w:r w:rsidR="00CD0B7D" w:rsidRPr="003B0C2F">
        <w:rPr>
          <w:rFonts w:cs="Times New Roman"/>
          <w:szCs w:val="24"/>
          <w:vertAlign w:val="subscript"/>
          <w:lang w:val="en-CA"/>
        </w:rPr>
        <w:t>3</w:t>
      </w:r>
      <w:r w:rsidR="00CD0B7D" w:rsidRPr="003B0C2F">
        <w:rPr>
          <w:rFonts w:cs="Times New Roman"/>
          <w:szCs w:val="24"/>
          <w:lang w:val="en-CA"/>
        </w:rPr>
        <w:t>)</w:t>
      </w:r>
      <w:r w:rsidRPr="003B0C2F">
        <w:rPr>
          <w:rFonts w:cs="Times New Roman"/>
          <w:szCs w:val="24"/>
          <w:lang w:val="en-CA"/>
        </w:rPr>
        <w:t xml:space="preserve"> content (between 85.4% to 90.2%) </w:t>
      </w:r>
      <w:r w:rsidR="006143ED" w:rsidRPr="003B0C2F">
        <w:rPr>
          <w:rFonts w:cs="Times New Roman"/>
          <w:szCs w:val="24"/>
          <w:lang w:val="en-CA"/>
        </w:rPr>
        <w:t>in</w:t>
      </w:r>
      <w:r w:rsidRPr="003B0C2F">
        <w:rPr>
          <w:rFonts w:cs="Times New Roman"/>
          <w:szCs w:val="24"/>
          <w:lang w:val="en-CA"/>
        </w:rPr>
        <w:t xml:space="preserve"> all three limestone aggregates. This indicates that the limestone aggregates are carbonaceous in nature. The amount of silica (SiO</w:t>
      </w:r>
      <w:r w:rsidRPr="003B0C2F">
        <w:rPr>
          <w:rFonts w:cs="Times New Roman"/>
          <w:szCs w:val="24"/>
          <w:vertAlign w:val="subscript"/>
          <w:lang w:val="en-CA"/>
        </w:rPr>
        <w:t>2</w:t>
      </w:r>
      <w:r w:rsidRPr="003B0C2F">
        <w:rPr>
          <w:rFonts w:cs="Times New Roman"/>
          <w:szCs w:val="24"/>
          <w:lang w:val="en-CA"/>
        </w:rPr>
        <w:t>)</w:t>
      </w:r>
      <w:r w:rsidR="00C617E9" w:rsidRPr="003B0C2F">
        <w:rPr>
          <w:rFonts w:cs="Times New Roman"/>
          <w:szCs w:val="24"/>
          <w:lang w:val="en-CA"/>
        </w:rPr>
        <w:t xml:space="preserve"> (generally present in the form of </w:t>
      </w:r>
      <w:r w:rsidR="00EB2800" w:rsidRPr="003B0C2F">
        <w:rPr>
          <w:rFonts w:cs="Times New Roman"/>
          <w:szCs w:val="24"/>
          <w:lang w:val="en-CA"/>
        </w:rPr>
        <w:t>quartz)</w:t>
      </w:r>
      <w:r w:rsidRPr="003B0C2F">
        <w:rPr>
          <w:rFonts w:cs="Times New Roman"/>
          <w:szCs w:val="24"/>
          <w:lang w:val="en-CA"/>
        </w:rPr>
        <w:t xml:space="preserve"> in limestone aggregates was observed to be significantly lower (from 6.5 to 9.7%) than CaO.  Also, alumina (Al</w:t>
      </w:r>
      <w:r w:rsidRPr="003B0C2F">
        <w:rPr>
          <w:rFonts w:cs="Times New Roman"/>
          <w:szCs w:val="24"/>
          <w:vertAlign w:val="subscript"/>
          <w:lang w:val="en-CA"/>
        </w:rPr>
        <w:t>2</w:t>
      </w:r>
      <w:r w:rsidRPr="003B0C2F">
        <w:rPr>
          <w:rFonts w:cs="Times New Roman"/>
          <w:szCs w:val="24"/>
          <w:lang w:val="en-CA"/>
        </w:rPr>
        <w:t>O</w:t>
      </w:r>
      <w:r w:rsidRPr="003B0C2F">
        <w:rPr>
          <w:rFonts w:cs="Times New Roman"/>
          <w:szCs w:val="24"/>
          <w:vertAlign w:val="subscript"/>
          <w:lang w:val="en-CA"/>
        </w:rPr>
        <w:t>3</w:t>
      </w:r>
      <w:r w:rsidRPr="003B0C2F">
        <w:rPr>
          <w:rFonts w:cs="Times New Roman"/>
          <w:szCs w:val="24"/>
          <w:lang w:val="en-CA"/>
        </w:rPr>
        <w:t xml:space="preserve">), MgO </w:t>
      </w:r>
      <w:r w:rsidR="00973998" w:rsidRPr="003B0C2F">
        <w:rPr>
          <w:rFonts w:cs="Times New Roman"/>
          <w:szCs w:val="24"/>
          <w:lang w:val="en-CA"/>
        </w:rPr>
        <w:t>(</w:t>
      </w:r>
      <w:r w:rsidR="00B25A6D" w:rsidRPr="003B0C2F">
        <w:rPr>
          <w:rFonts w:cs="Times New Roman"/>
          <w:szCs w:val="24"/>
          <w:lang w:val="en-CA"/>
        </w:rPr>
        <w:t>as MgCO</w:t>
      </w:r>
      <w:r w:rsidR="00B25A6D" w:rsidRPr="003B0C2F">
        <w:rPr>
          <w:rFonts w:cs="Times New Roman"/>
          <w:szCs w:val="24"/>
          <w:vertAlign w:val="subscript"/>
          <w:lang w:val="en-CA"/>
        </w:rPr>
        <w:t>3</w:t>
      </w:r>
      <w:r w:rsidR="00B25A6D" w:rsidRPr="003B0C2F">
        <w:rPr>
          <w:rFonts w:cs="Times New Roman"/>
          <w:szCs w:val="24"/>
          <w:lang w:val="en-CA"/>
        </w:rPr>
        <w:t xml:space="preserve">) </w:t>
      </w:r>
      <w:r w:rsidRPr="003B0C2F">
        <w:rPr>
          <w:rFonts w:cs="Times New Roman"/>
          <w:szCs w:val="24"/>
          <w:lang w:val="en-CA"/>
        </w:rPr>
        <w:t>and Fe</w:t>
      </w:r>
      <w:r w:rsidRPr="003B0C2F">
        <w:rPr>
          <w:rFonts w:cs="Times New Roman"/>
          <w:szCs w:val="24"/>
          <w:vertAlign w:val="subscript"/>
          <w:lang w:val="en-CA"/>
        </w:rPr>
        <w:t>2</w:t>
      </w:r>
      <w:r w:rsidRPr="003B0C2F">
        <w:rPr>
          <w:rFonts w:cs="Times New Roman"/>
          <w:szCs w:val="24"/>
          <w:lang w:val="en-CA"/>
        </w:rPr>
        <w:t>O</w:t>
      </w:r>
      <w:r w:rsidRPr="003B0C2F">
        <w:rPr>
          <w:rFonts w:cs="Times New Roman"/>
          <w:szCs w:val="24"/>
          <w:vertAlign w:val="subscript"/>
          <w:lang w:val="en-CA"/>
        </w:rPr>
        <w:t>3</w:t>
      </w:r>
      <w:r w:rsidRPr="003B0C2F">
        <w:rPr>
          <w:rFonts w:cs="Times New Roman"/>
          <w:szCs w:val="24"/>
          <w:lang w:val="en-CA"/>
        </w:rPr>
        <w:t xml:space="preserve"> </w:t>
      </w:r>
      <w:r w:rsidR="00AD6B10" w:rsidRPr="003B0C2F">
        <w:rPr>
          <w:rFonts w:cs="Times New Roman"/>
          <w:szCs w:val="24"/>
          <w:lang w:val="en-CA"/>
        </w:rPr>
        <w:t>(</w:t>
      </w:r>
      <w:r w:rsidR="001A17B6" w:rsidRPr="003B0C2F">
        <w:rPr>
          <w:rFonts w:cs="Times New Roman"/>
          <w:szCs w:val="24"/>
          <w:lang w:val="en-CA"/>
        </w:rPr>
        <w:t>can be</w:t>
      </w:r>
      <w:r w:rsidR="00AD6B10" w:rsidRPr="003B0C2F">
        <w:rPr>
          <w:rFonts w:cs="Times New Roman"/>
          <w:szCs w:val="24"/>
          <w:lang w:val="en-CA"/>
        </w:rPr>
        <w:t xml:space="preserve"> present </w:t>
      </w:r>
      <w:r w:rsidR="00695AC6" w:rsidRPr="003B0C2F">
        <w:rPr>
          <w:rFonts w:cs="Times New Roman"/>
          <w:szCs w:val="24"/>
          <w:lang w:val="en-CA"/>
        </w:rPr>
        <w:t>i</w:t>
      </w:r>
      <w:r w:rsidR="00C53532" w:rsidRPr="003B0C2F">
        <w:rPr>
          <w:rFonts w:cs="Times New Roman"/>
          <w:szCs w:val="24"/>
          <w:lang w:val="en-CA"/>
        </w:rPr>
        <w:t>n the form of</w:t>
      </w:r>
      <w:r w:rsidR="00AD6B10" w:rsidRPr="003B0C2F">
        <w:rPr>
          <w:rFonts w:cs="Times New Roman"/>
          <w:szCs w:val="24"/>
          <w:lang w:val="en-CA"/>
        </w:rPr>
        <w:t xml:space="preserve"> </w:t>
      </w:r>
      <w:r w:rsidR="00472B97" w:rsidRPr="003B0C2F">
        <w:rPr>
          <w:rFonts w:cs="Times New Roman"/>
          <w:szCs w:val="24"/>
          <w:lang w:val="en-CA"/>
        </w:rPr>
        <w:t>ferro magnesian</w:t>
      </w:r>
      <w:r w:rsidR="00297785" w:rsidRPr="003B0C2F">
        <w:rPr>
          <w:rFonts w:cs="Times New Roman"/>
          <w:szCs w:val="24"/>
          <w:lang w:val="en-CA"/>
        </w:rPr>
        <w:t xml:space="preserve"> and mica</w:t>
      </w:r>
      <w:r w:rsidR="00AD43E4" w:rsidRPr="003B0C2F">
        <w:rPr>
          <w:rFonts w:cs="Times New Roman"/>
          <w:szCs w:val="24"/>
          <w:lang w:val="en-CA"/>
        </w:rPr>
        <w:t xml:space="preserve">) </w:t>
      </w:r>
      <w:r w:rsidRPr="003B0C2F">
        <w:rPr>
          <w:rFonts w:cs="Times New Roman"/>
          <w:szCs w:val="24"/>
          <w:lang w:val="en-CA"/>
        </w:rPr>
        <w:t xml:space="preserve">were found in limestone aggregates in relatively small amounts. Among the three limestone aggregates, the L2 aggregate exhibited the lowest amount of </w:t>
      </w:r>
      <w:r w:rsidRPr="003B0C2F">
        <w:rPr>
          <w:rFonts w:cs="Times New Roman"/>
          <w:color w:val="000000"/>
          <w:szCs w:val="24"/>
        </w:rPr>
        <w:t xml:space="preserve">aluminum, iron and magnesium. </w:t>
      </w:r>
      <w:r w:rsidR="00D542E7" w:rsidRPr="003B0C2F">
        <w:rPr>
          <w:rFonts w:cs="Times New Roman"/>
          <w:color w:val="000000"/>
          <w:szCs w:val="24"/>
        </w:rPr>
        <w:t xml:space="preserve">The </w:t>
      </w:r>
      <w:r w:rsidR="00D542E7" w:rsidRPr="003B0C2F">
        <w:rPr>
          <w:rFonts w:cs="Times New Roman"/>
          <w:szCs w:val="24"/>
          <w:lang w:val="en-CA"/>
        </w:rPr>
        <w:t>K</w:t>
      </w:r>
      <w:r w:rsidR="00D542E7" w:rsidRPr="003B0C2F">
        <w:rPr>
          <w:rFonts w:cs="Times New Roman"/>
          <w:szCs w:val="24"/>
          <w:vertAlign w:val="subscript"/>
          <w:lang w:val="en-CA"/>
        </w:rPr>
        <w:t>2</w:t>
      </w:r>
      <w:r w:rsidR="00D542E7" w:rsidRPr="003B0C2F">
        <w:rPr>
          <w:rFonts w:cs="Times New Roman"/>
          <w:szCs w:val="24"/>
          <w:lang w:val="en-CA"/>
        </w:rPr>
        <w:t>O and Na</w:t>
      </w:r>
      <w:r w:rsidR="00D542E7" w:rsidRPr="003B0C2F">
        <w:rPr>
          <w:rFonts w:cs="Times New Roman"/>
          <w:szCs w:val="24"/>
          <w:vertAlign w:val="subscript"/>
          <w:lang w:val="en-CA"/>
        </w:rPr>
        <w:t>2</w:t>
      </w:r>
      <w:r w:rsidR="00D542E7" w:rsidRPr="003B0C2F">
        <w:rPr>
          <w:rFonts w:cs="Times New Roman"/>
          <w:szCs w:val="24"/>
          <w:lang w:val="en-CA"/>
        </w:rPr>
        <w:t xml:space="preserve">O can be present in the aggregate as </w:t>
      </w:r>
      <w:r w:rsidR="001F020C" w:rsidRPr="003B0C2F">
        <w:rPr>
          <w:rFonts w:cs="Times New Roman"/>
          <w:szCs w:val="24"/>
          <w:lang w:val="en-CA"/>
        </w:rPr>
        <w:t>alkali</w:t>
      </w:r>
      <w:r w:rsidR="00C53532" w:rsidRPr="003B0C2F">
        <w:rPr>
          <w:rFonts w:cs="Times New Roman"/>
          <w:szCs w:val="24"/>
          <w:lang w:val="en-CA"/>
        </w:rPr>
        <w:t>-</w:t>
      </w:r>
      <w:r w:rsidR="001F020C" w:rsidRPr="003B0C2F">
        <w:rPr>
          <w:rFonts w:cs="Times New Roman"/>
          <w:szCs w:val="24"/>
          <w:lang w:val="en-CA"/>
        </w:rPr>
        <w:t xml:space="preserve">feldspar. </w:t>
      </w:r>
      <w:r w:rsidRPr="003B0C2F">
        <w:rPr>
          <w:rFonts w:cs="Times New Roman"/>
          <w:szCs w:val="24"/>
          <w:lang w:val="en-CA"/>
        </w:rPr>
        <w:t>Very small amounts of K</w:t>
      </w:r>
      <w:r w:rsidRPr="003B0C2F">
        <w:rPr>
          <w:rFonts w:cs="Times New Roman"/>
          <w:szCs w:val="24"/>
          <w:vertAlign w:val="subscript"/>
          <w:lang w:val="en-CA"/>
        </w:rPr>
        <w:t>2</w:t>
      </w:r>
      <w:r w:rsidRPr="003B0C2F">
        <w:rPr>
          <w:rFonts w:cs="Times New Roman"/>
          <w:szCs w:val="24"/>
          <w:lang w:val="en-CA"/>
        </w:rPr>
        <w:t>O (0.2% to 0.5%) and no Na</w:t>
      </w:r>
      <w:r w:rsidRPr="003B0C2F">
        <w:rPr>
          <w:rFonts w:cs="Times New Roman"/>
          <w:szCs w:val="24"/>
          <w:vertAlign w:val="subscript"/>
          <w:lang w:val="en-CA"/>
        </w:rPr>
        <w:t>2</w:t>
      </w:r>
      <w:r w:rsidRPr="003B0C2F">
        <w:rPr>
          <w:rFonts w:cs="Times New Roman"/>
          <w:szCs w:val="24"/>
          <w:lang w:val="en-CA"/>
        </w:rPr>
        <w:t>O were observed in Limestone aggregates. The XRF test results indicted that the G1 and R1 aggregates were mostly composed of silica</w:t>
      </w:r>
      <w:r w:rsidR="007C6B2E" w:rsidRPr="003B0C2F">
        <w:rPr>
          <w:rFonts w:cs="Times New Roman"/>
          <w:szCs w:val="24"/>
          <w:lang w:val="en-CA"/>
        </w:rPr>
        <w:t xml:space="preserve"> (as quartz)</w:t>
      </w:r>
      <w:r w:rsidRPr="003B0C2F">
        <w:rPr>
          <w:rFonts w:cs="Times New Roman"/>
          <w:szCs w:val="24"/>
          <w:lang w:val="en-CA"/>
        </w:rPr>
        <w:t xml:space="preserve">. The amounts of silica for G1 and R1 aggregates were 74.8% and 64.9%, respectively. Also, amounts of </w:t>
      </w:r>
      <w:r w:rsidR="00075B2F" w:rsidRPr="003B0C2F">
        <w:rPr>
          <w:rFonts w:cs="Times New Roman"/>
          <w:szCs w:val="24"/>
          <w:lang w:val="en-CA"/>
        </w:rPr>
        <w:t xml:space="preserve">alkali-feldspar, </w:t>
      </w:r>
      <w:r w:rsidR="00101322" w:rsidRPr="003B0C2F">
        <w:rPr>
          <w:rFonts w:cs="Times New Roman"/>
          <w:szCs w:val="24"/>
          <w:lang w:val="en-CA"/>
        </w:rPr>
        <w:t>as represented by</w:t>
      </w:r>
      <w:r w:rsidR="00075B2F" w:rsidRPr="003B0C2F">
        <w:rPr>
          <w:rFonts w:cs="Times New Roman"/>
          <w:szCs w:val="24"/>
          <w:lang w:val="en-CA"/>
        </w:rPr>
        <w:t xml:space="preserve"> </w:t>
      </w:r>
      <w:r w:rsidRPr="003B0C2F">
        <w:rPr>
          <w:rFonts w:cs="Times New Roman"/>
          <w:szCs w:val="24"/>
          <w:lang w:val="en-CA"/>
        </w:rPr>
        <w:t>Na</w:t>
      </w:r>
      <w:r w:rsidRPr="003B0C2F">
        <w:rPr>
          <w:rFonts w:cs="Times New Roman"/>
          <w:szCs w:val="24"/>
          <w:vertAlign w:val="subscript"/>
          <w:lang w:val="en-CA"/>
        </w:rPr>
        <w:t>2</w:t>
      </w:r>
      <w:r w:rsidRPr="003B0C2F">
        <w:rPr>
          <w:rFonts w:cs="Times New Roman"/>
          <w:szCs w:val="24"/>
          <w:lang w:val="en-CA"/>
        </w:rPr>
        <w:t>O and K</w:t>
      </w:r>
      <w:r w:rsidRPr="003B0C2F">
        <w:rPr>
          <w:rFonts w:cs="Times New Roman"/>
          <w:szCs w:val="24"/>
          <w:vertAlign w:val="subscript"/>
          <w:lang w:val="en-CA"/>
        </w:rPr>
        <w:t>2</w:t>
      </w:r>
      <w:r w:rsidRPr="003B0C2F">
        <w:rPr>
          <w:rFonts w:cs="Times New Roman"/>
          <w:szCs w:val="24"/>
          <w:lang w:val="en-CA"/>
        </w:rPr>
        <w:t>O</w:t>
      </w:r>
      <w:r w:rsidR="00101322" w:rsidRPr="003B0C2F">
        <w:rPr>
          <w:rFonts w:cs="Times New Roman"/>
          <w:szCs w:val="24"/>
          <w:lang w:val="en-CA"/>
        </w:rPr>
        <w:t>,</w:t>
      </w:r>
      <w:r w:rsidRPr="003B0C2F">
        <w:rPr>
          <w:rFonts w:cs="Times New Roman"/>
          <w:szCs w:val="24"/>
          <w:lang w:val="en-CA"/>
        </w:rPr>
        <w:t xml:space="preserve"> in G1 aggregates were found to be highest among all aggregates. The presence of sodium and potassium in G1 aggregate can enhance the moisture-induced damage potential of a mix </w:t>
      </w:r>
      <w:r w:rsidRPr="003B0C2F">
        <w:rPr>
          <w:rFonts w:cs="Times New Roman"/>
          <w:szCs w:val="24"/>
          <w:lang w:val="en-CA"/>
        </w:rPr>
        <w:fldChar w:fldCharType="begin"/>
      </w:r>
      <w:r w:rsidR="00282238" w:rsidRPr="003B0C2F">
        <w:rPr>
          <w:rFonts w:cs="Times New Roman"/>
          <w:szCs w:val="24"/>
          <w:lang w:val="en-CA"/>
        </w:rPr>
        <w:instrText xml:space="preserve"> ADDIN EN.CITE &lt;EndNote&gt;&lt;Cite&gt;&lt;Author&gt;Curtis&lt;/Author&gt;&lt;Year&gt;1993&lt;/Year&gt;&lt;RecNum&gt;12&lt;/RecNum&gt;&lt;DisplayText&gt;(Curtis et al., 1992; Curtis et al., 1993)&lt;/DisplayText&gt;&lt;record&gt;&lt;rec-number&gt;12&lt;/rec-number&gt;&lt;foreign-keys&gt;&lt;key app="EN" db-id="5xpawzsvnewf08evef25tsax9vr22e0srpzf" timestamp="1617049958"&gt;12&lt;/key&gt;&lt;/foreign-keys&gt;&lt;ref-type name="Report"&gt;27&lt;/ref-type&gt;&lt;contributors&gt;&lt;authors&gt;&lt;author&gt;Curtis, Christine W&lt;/author&gt;&lt;author&gt;Ensley, Keith&lt;/author&gt;&lt;author&gt;Epps, Jon&lt;/author&gt;&lt;/authors&gt;&lt;tertiary-authors&gt;&lt;author&gt;Strategic Highway Research Program, National Research Council&lt;/author&gt;&lt;/tertiary-authors&gt;&lt;/contributors&gt;&lt;titles&gt;&lt;title&gt;Fundamental properties of asphalt-aggregate interactions including adhesion and absorption (SHRP-A-341)&lt;/title&gt;&lt;/titles&gt;&lt;dates&gt;&lt;year&gt;1993&lt;/year&gt;&lt;/dates&gt;&lt;pub-location&gt;Washington, DC.&lt;/pub-location&gt;&lt;urls&gt;&lt;/urls&gt;&lt;/record&gt;&lt;/Cite&gt;&lt;Cite&gt;&lt;Author&gt;Curtis&lt;/Author&gt;&lt;Year&gt;1992&lt;/Year&gt;&lt;RecNum&gt;59&lt;/RecNum&gt;&lt;record&gt;&lt;rec-number&gt;59&lt;/rec-number&gt;&lt;foreign-keys&gt;&lt;key app="EN" db-id="d55vzfpwawdafteedfoxsf0lv0v0wp5va2aa" timestamp="1514343929"&gt;59&lt;/key&gt;&lt;/foreign-keys&gt;&lt;ref-type name="Journal Article"&gt;17&lt;/ref-type&gt;&lt;contributors&gt;&lt;authors&gt;&lt;author&gt;Curtis, CW&lt;/author&gt;&lt;author&gt;Lytton, RL&lt;/author&gt;&lt;author&gt;Brannan, CJ&lt;/author&gt;&lt;/authors&gt;&lt;/contributors&gt;&lt;titles&gt;&lt;title&gt;Influence of aggregate chemistry on the adsorption and desorption of asphalt&lt;/title&gt;&lt;secondary-title&gt;Transportation Research Record&lt;/secondary-title&gt;&lt;/titles&gt;&lt;periodical&gt;&lt;full-title&gt;Transportation Research Record&lt;/full-title&gt;&lt;/periodical&gt;&lt;number&gt;1362&lt;/number&gt;&lt;dates&gt;&lt;year&gt;1992&lt;/year&gt;&lt;/dates&gt;&lt;isbn&gt;0309054028&lt;/isbn&gt;&lt;urls&gt;&lt;/urls&gt;&lt;/record&gt;&lt;/Cite&gt;&lt;/EndNote&gt;</w:instrText>
      </w:r>
      <w:r w:rsidRPr="003B0C2F">
        <w:rPr>
          <w:rFonts w:cs="Times New Roman"/>
          <w:szCs w:val="24"/>
          <w:lang w:val="en-CA"/>
        </w:rPr>
        <w:fldChar w:fldCharType="separate"/>
      </w:r>
      <w:r w:rsidR="00282238" w:rsidRPr="003B0C2F">
        <w:rPr>
          <w:rFonts w:cs="Times New Roman"/>
          <w:noProof/>
          <w:szCs w:val="24"/>
          <w:lang w:val="en-CA"/>
        </w:rPr>
        <w:t>(Curtis et al., 1992; Curtis et al., 1993)</w:t>
      </w:r>
      <w:r w:rsidRPr="003B0C2F">
        <w:rPr>
          <w:rFonts w:cs="Times New Roman"/>
          <w:szCs w:val="24"/>
          <w:lang w:val="en-CA"/>
        </w:rPr>
        <w:fldChar w:fldCharType="end"/>
      </w:r>
      <w:r w:rsidRPr="003B0C2F">
        <w:rPr>
          <w:rFonts w:cs="Times New Roman"/>
          <w:szCs w:val="24"/>
          <w:lang w:val="en-CA"/>
        </w:rPr>
        <w:t>. The R1 rhyolite aggregate contains 6.8% Fe</w:t>
      </w:r>
      <w:r w:rsidRPr="003B0C2F">
        <w:rPr>
          <w:rFonts w:cs="Times New Roman"/>
          <w:szCs w:val="24"/>
          <w:vertAlign w:val="subscript"/>
          <w:lang w:val="en-CA"/>
        </w:rPr>
        <w:t>2</w:t>
      </w:r>
      <w:r w:rsidRPr="003B0C2F">
        <w:rPr>
          <w:rFonts w:cs="Times New Roman"/>
          <w:szCs w:val="24"/>
          <w:lang w:val="en-CA"/>
        </w:rPr>
        <w:t>O</w:t>
      </w:r>
      <w:r w:rsidRPr="003B0C2F">
        <w:rPr>
          <w:rFonts w:cs="Times New Roman"/>
          <w:szCs w:val="24"/>
          <w:vertAlign w:val="subscript"/>
          <w:lang w:val="en-CA"/>
        </w:rPr>
        <w:t>3</w:t>
      </w:r>
      <w:r w:rsidRPr="003B0C2F">
        <w:rPr>
          <w:rFonts w:cs="Times New Roman"/>
          <w:szCs w:val="24"/>
          <w:lang w:val="en-CA"/>
        </w:rPr>
        <w:t xml:space="preserve"> and 12.2% Al</w:t>
      </w:r>
      <w:r w:rsidRPr="003B0C2F">
        <w:rPr>
          <w:rFonts w:cs="Times New Roman"/>
          <w:szCs w:val="24"/>
          <w:vertAlign w:val="subscript"/>
          <w:lang w:val="en-CA"/>
        </w:rPr>
        <w:t>2</w:t>
      </w:r>
      <w:r w:rsidRPr="003B0C2F">
        <w:rPr>
          <w:rFonts w:cs="Times New Roman"/>
          <w:szCs w:val="24"/>
          <w:lang w:val="en-CA"/>
        </w:rPr>
        <w:t>O</w:t>
      </w:r>
      <w:r w:rsidRPr="003B0C2F">
        <w:rPr>
          <w:rFonts w:cs="Times New Roman"/>
          <w:szCs w:val="24"/>
          <w:vertAlign w:val="subscript"/>
          <w:lang w:val="en-CA"/>
        </w:rPr>
        <w:t>3</w:t>
      </w:r>
      <w:r w:rsidRPr="003B0C2F">
        <w:rPr>
          <w:rFonts w:cs="Times New Roman"/>
          <w:szCs w:val="24"/>
          <w:lang w:val="en-CA"/>
        </w:rPr>
        <w:t xml:space="preserve">, both are relatively high compared to other aggregates. Also, calcium and magnesium, </w:t>
      </w:r>
      <w:r w:rsidR="00547EE6" w:rsidRPr="003B0C2F">
        <w:rPr>
          <w:rFonts w:cs="Times New Roman"/>
          <w:szCs w:val="24"/>
          <w:lang w:val="en-CA"/>
        </w:rPr>
        <w:t xml:space="preserve">at </w:t>
      </w:r>
      <w:r w:rsidRPr="003B0C2F">
        <w:rPr>
          <w:rFonts w:cs="Times New Roman"/>
          <w:szCs w:val="24"/>
          <w:lang w:val="en-CA"/>
        </w:rPr>
        <w:t xml:space="preserve">higher </w:t>
      </w:r>
      <w:r w:rsidR="00547EE6" w:rsidRPr="003B0C2F">
        <w:rPr>
          <w:rFonts w:cs="Times New Roman"/>
          <w:szCs w:val="24"/>
          <w:lang w:val="en-CA"/>
        </w:rPr>
        <w:t xml:space="preserve">amounts </w:t>
      </w:r>
      <w:r w:rsidRPr="003B0C2F">
        <w:rPr>
          <w:rFonts w:cs="Times New Roman"/>
          <w:szCs w:val="24"/>
          <w:lang w:val="en-CA"/>
        </w:rPr>
        <w:t>than G1 aggregate, were observed in R1 aggregate which may reduce the propensity to moisture-induced damage</w:t>
      </w:r>
      <w:r w:rsidR="0038132E" w:rsidRPr="003B0C2F">
        <w:rPr>
          <w:rFonts w:cs="Times New Roman"/>
          <w:szCs w:val="24"/>
          <w:lang w:val="en-CA"/>
        </w:rPr>
        <w:t>.</w:t>
      </w:r>
    </w:p>
    <w:p w14:paraId="69DB7DD4" w14:textId="77777777" w:rsidR="0038132E" w:rsidRPr="003B0C2F" w:rsidRDefault="0038132E" w:rsidP="00C94B99">
      <w:pPr>
        <w:pStyle w:val="Heading4"/>
        <w:spacing w:before="0" w:after="0"/>
        <w:rPr>
          <w:szCs w:val="24"/>
        </w:rPr>
      </w:pPr>
      <w:r w:rsidRPr="003B0C2F">
        <w:rPr>
          <w:szCs w:val="24"/>
        </w:rPr>
        <w:t>Surface Free Energy Components of Aggregates</w:t>
      </w:r>
      <w:r w:rsidRPr="003B0C2F">
        <w:rPr>
          <w:szCs w:val="24"/>
        </w:rPr>
        <w:tab/>
      </w:r>
    </w:p>
    <w:p w14:paraId="24770F20" w14:textId="115EE23D" w:rsidR="0038132E" w:rsidRPr="00C94B99" w:rsidRDefault="004F2B8E" w:rsidP="00C94B99">
      <w:pPr>
        <w:ind w:firstLine="720"/>
        <w:rPr>
          <w:rFonts w:cs="Times New Roman"/>
          <w:szCs w:val="24"/>
          <w:lang w:val="en-CA"/>
        </w:rPr>
      </w:pPr>
      <w:r w:rsidRPr="003B0C2F">
        <w:rPr>
          <w:rFonts w:cs="Times New Roman"/>
          <w:szCs w:val="24"/>
          <w:lang w:val="en-CA"/>
        </w:rPr>
        <w:t xml:space="preserve">The specific surface area (SSA) and SFE components of different aggregates are presented in Table </w:t>
      </w:r>
      <w:r w:rsidR="00E664C8" w:rsidRPr="003B0C2F">
        <w:rPr>
          <w:rFonts w:cs="Times New Roman"/>
          <w:szCs w:val="24"/>
          <w:lang w:val="en-CA"/>
        </w:rPr>
        <w:t>3.</w:t>
      </w:r>
      <w:r w:rsidRPr="003B0C2F">
        <w:rPr>
          <w:rFonts w:cs="Times New Roman"/>
          <w:szCs w:val="24"/>
          <w:lang w:val="en-CA"/>
        </w:rPr>
        <w:t xml:space="preserve">5. </w:t>
      </w:r>
      <w:r w:rsidR="00E50935" w:rsidRPr="003B0C2F">
        <w:rPr>
          <w:rFonts w:cs="Times New Roman"/>
          <w:szCs w:val="24"/>
          <w:lang w:val="en-CA"/>
        </w:rPr>
        <w:t>T</w:t>
      </w:r>
      <w:r w:rsidRPr="003B0C2F">
        <w:rPr>
          <w:rFonts w:cs="Times New Roman"/>
          <w:szCs w:val="24"/>
          <w:lang w:val="en-CA"/>
        </w:rPr>
        <w:t>he R1 aggregate exhibited the largest SSA</w:t>
      </w:r>
      <w:r w:rsidR="00E50935" w:rsidRPr="003B0C2F">
        <w:rPr>
          <w:rFonts w:cs="Times New Roman"/>
          <w:szCs w:val="24"/>
          <w:lang w:val="en-CA"/>
        </w:rPr>
        <w:t xml:space="preserve"> among all five aggregates.</w:t>
      </w:r>
      <w:r w:rsidRPr="003B0C2F">
        <w:rPr>
          <w:rFonts w:cs="Times New Roman"/>
          <w:szCs w:val="24"/>
          <w:lang w:val="en-CA"/>
        </w:rPr>
        <w:t xml:space="preserve"> </w:t>
      </w:r>
      <w:r w:rsidR="008C1441" w:rsidRPr="003B0C2F">
        <w:rPr>
          <w:rFonts w:cs="Times New Roman"/>
          <w:szCs w:val="24"/>
          <w:lang w:val="en-CA"/>
        </w:rPr>
        <w:t xml:space="preserve">Generally, rhyolite </w:t>
      </w:r>
      <w:r w:rsidR="00594AD3" w:rsidRPr="003B0C2F">
        <w:rPr>
          <w:rFonts w:cs="Times New Roman"/>
          <w:szCs w:val="24"/>
          <w:lang w:val="en-CA"/>
        </w:rPr>
        <w:t>is a fine</w:t>
      </w:r>
      <w:r w:rsidR="00F72484" w:rsidRPr="003B0C2F">
        <w:rPr>
          <w:rFonts w:cs="Times New Roman"/>
          <w:szCs w:val="24"/>
          <w:lang w:val="en-CA"/>
        </w:rPr>
        <w:t>-</w:t>
      </w:r>
      <w:r w:rsidR="00594AD3" w:rsidRPr="003B0C2F">
        <w:rPr>
          <w:rFonts w:cs="Times New Roman"/>
          <w:szCs w:val="24"/>
          <w:lang w:val="en-CA"/>
        </w:rPr>
        <w:t xml:space="preserve">grained volcanic </w:t>
      </w:r>
      <w:r w:rsidR="00EE042E" w:rsidRPr="003B0C2F">
        <w:rPr>
          <w:rFonts w:cs="Times New Roman"/>
          <w:szCs w:val="24"/>
          <w:lang w:val="en-CA"/>
        </w:rPr>
        <w:t>rock</w:t>
      </w:r>
      <w:r w:rsidR="00594AD3" w:rsidRPr="003B0C2F">
        <w:rPr>
          <w:rFonts w:cs="Times New Roman"/>
          <w:szCs w:val="24"/>
          <w:lang w:val="en-CA"/>
        </w:rPr>
        <w:t>.</w:t>
      </w:r>
      <w:r w:rsidR="00F72484" w:rsidRPr="003B0C2F">
        <w:rPr>
          <w:rFonts w:cs="Times New Roman"/>
          <w:szCs w:val="24"/>
          <w:lang w:val="en-CA"/>
        </w:rPr>
        <w:t xml:space="preserve"> </w:t>
      </w:r>
      <w:r w:rsidR="00936378" w:rsidRPr="003B0C2F">
        <w:rPr>
          <w:rFonts w:cs="Times New Roman"/>
          <w:szCs w:val="24"/>
          <w:lang w:val="en-CA"/>
        </w:rPr>
        <w:t>The</w:t>
      </w:r>
      <w:r w:rsidR="00893E8D" w:rsidRPr="003B0C2F">
        <w:rPr>
          <w:rFonts w:cs="Times New Roman"/>
          <w:szCs w:val="24"/>
          <w:lang w:val="en-CA"/>
        </w:rPr>
        <w:t xml:space="preserve"> fine</w:t>
      </w:r>
      <w:r w:rsidR="00A5589C" w:rsidRPr="003B0C2F">
        <w:rPr>
          <w:rFonts w:cs="Times New Roman"/>
          <w:szCs w:val="24"/>
          <w:lang w:val="en-CA"/>
        </w:rPr>
        <w:t>r</w:t>
      </w:r>
      <w:r w:rsidR="00893E8D" w:rsidRPr="003B0C2F">
        <w:rPr>
          <w:rFonts w:cs="Times New Roman"/>
          <w:szCs w:val="24"/>
          <w:lang w:val="en-CA"/>
        </w:rPr>
        <w:t xml:space="preserve"> grain</w:t>
      </w:r>
      <w:r w:rsidR="00877031" w:rsidRPr="003B0C2F">
        <w:rPr>
          <w:rFonts w:cs="Times New Roman"/>
          <w:szCs w:val="24"/>
          <w:lang w:val="en-CA"/>
        </w:rPr>
        <w:t>s</w:t>
      </w:r>
      <w:r w:rsidR="00A5589C" w:rsidRPr="003B0C2F">
        <w:rPr>
          <w:rFonts w:cs="Times New Roman"/>
          <w:szCs w:val="24"/>
          <w:lang w:val="en-CA"/>
        </w:rPr>
        <w:t xml:space="preserve"> resulted in </w:t>
      </w:r>
      <w:r w:rsidR="00EE042E" w:rsidRPr="003B0C2F">
        <w:rPr>
          <w:rFonts w:cs="Times New Roman"/>
          <w:szCs w:val="24"/>
          <w:lang w:val="en-CA"/>
        </w:rPr>
        <w:t>the</w:t>
      </w:r>
      <w:r w:rsidR="00A5589C" w:rsidRPr="003B0C2F">
        <w:rPr>
          <w:rFonts w:cs="Times New Roman"/>
          <w:szCs w:val="24"/>
          <w:lang w:val="en-CA"/>
        </w:rPr>
        <w:t xml:space="preserve"> large SSA</w:t>
      </w:r>
      <w:r w:rsidR="00877031" w:rsidRPr="003B0C2F">
        <w:rPr>
          <w:rFonts w:cs="Times New Roman"/>
          <w:szCs w:val="24"/>
          <w:lang w:val="en-CA"/>
        </w:rPr>
        <w:t xml:space="preserve"> for the R1 aggregate</w:t>
      </w:r>
      <w:r w:rsidR="00A5589C" w:rsidRPr="003B0C2F">
        <w:rPr>
          <w:rFonts w:cs="Times New Roman"/>
          <w:szCs w:val="24"/>
          <w:lang w:val="en-CA"/>
        </w:rPr>
        <w:t xml:space="preserve">. </w:t>
      </w:r>
      <w:r w:rsidR="00735CA0" w:rsidRPr="003B0C2F">
        <w:rPr>
          <w:rFonts w:cs="Times New Roman"/>
          <w:szCs w:val="24"/>
          <w:lang w:val="en-CA"/>
        </w:rPr>
        <w:t xml:space="preserve">The G1 aggregate </w:t>
      </w:r>
      <w:r w:rsidR="00E44A11" w:rsidRPr="003B0C2F">
        <w:rPr>
          <w:rFonts w:cs="Times New Roman"/>
          <w:szCs w:val="24"/>
          <w:lang w:val="en-CA"/>
        </w:rPr>
        <w:t>wa</w:t>
      </w:r>
      <w:r w:rsidR="00735CA0" w:rsidRPr="003B0C2F">
        <w:rPr>
          <w:rFonts w:cs="Times New Roman"/>
          <w:szCs w:val="24"/>
          <w:lang w:val="en-CA"/>
        </w:rPr>
        <w:t xml:space="preserve">s of </w:t>
      </w:r>
      <w:r w:rsidR="00785B10" w:rsidRPr="003B0C2F">
        <w:rPr>
          <w:rFonts w:cs="Times New Roman"/>
          <w:szCs w:val="24"/>
          <w:lang w:val="en-CA"/>
        </w:rPr>
        <w:t>granite ori</w:t>
      </w:r>
      <w:r w:rsidR="00DB613D" w:rsidRPr="003B0C2F">
        <w:rPr>
          <w:rFonts w:cs="Times New Roman"/>
          <w:szCs w:val="24"/>
          <w:lang w:val="en-CA"/>
        </w:rPr>
        <w:t>gin (coarse grained</w:t>
      </w:r>
      <w:r w:rsidR="00E44A11" w:rsidRPr="003B0C2F">
        <w:rPr>
          <w:rFonts w:cs="Times New Roman"/>
          <w:szCs w:val="24"/>
          <w:lang w:val="en-CA"/>
        </w:rPr>
        <w:t xml:space="preserve"> </w:t>
      </w:r>
      <w:r w:rsidR="00DB613D" w:rsidRPr="003B0C2F">
        <w:rPr>
          <w:rFonts w:cs="Times New Roman"/>
          <w:szCs w:val="24"/>
          <w:lang w:val="en-CA"/>
        </w:rPr>
        <w:t>igneous rock</w:t>
      </w:r>
      <w:r w:rsidR="00E44A11" w:rsidRPr="003B0C2F">
        <w:rPr>
          <w:rFonts w:cs="Times New Roman"/>
          <w:szCs w:val="24"/>
          <w:lang w:val="en-CA"/>
        </w:rPr>
        <w:t>) and exhibited relatively small SSA (</w:t>
      </w:r>
      <w:r w:rsidR="00074B8E" w:rsidRPr="003B0C2F">
        <w:rPr>
          <w:rFonts w:cs="Times New Roman"/>
          <w:szCs w:val="24"/>
          <w:lang w:val="en-CA"/>
        </w:rPr>
        <w:t>0.83 m</w:t>
      </w:r>
      <w:r w:rsidR="00074B8E" w:rsidRPr="003B0C2F">
        <w:rPr>
          <w:rFonts w:cs="Times New Roman"/>
          <w:szCs w:val="24"/>
          <w:vertAlign w:val="superscript"/>
          <w:lang w:val="en-CA"/>
        </w:rPr>
        <w:t>2</w:t>
      </w:r>
      <w:r w:rsidR="00074B8E" w:rsidRPr="003B0C2F">
        <w:rPr>
          <w:rFonts w:cs="Times New Roman"/>
          <w:szCs w:val="24"/>
          <w:lang w:val="en-CA"/>
        </w:rPr>
        <w:t>/g).</w:t>
      </w:r>
      <w:r w:rsidR="00DB613D" w:rsidRPr="003B0C2F">
        <w:rPr>
          <w:rFonts w:cs="Times New Roman"/>
          <w:szCs w:val="24"/>
          <w:lang w:val="en-CA"/>
        </w:rPr>
        <w:t xml:space="preserve"> </w:t>
      </w:r>
      <w:r w:rsidRPr="003B0C2F">
        <w:rPr>
          <w:rFonts w:cs="Times New Roman"/>
          <w:szCs w:val="24"/>
          <w:lang w:val="en-CA"/>
        </w:rPr>
        <w:t>Although the L1, L2 and L3 aggregates were labeled as limestone aggregates from their petrographic origin, significantly different SSA values were observed among these aggregates (from 0.34 to 1.86 m</w:t>
      </w:r>
      <w:r w:rsidRPr="003B0C2F">
        <w:rPr>
          <w:rFonts w:cs="Times New Roman"/>
          <w:szCs w:val="24"/>
          <w:vertAlign w:val="superscript"/>
          <w:lang w:val="en-CA"/>
        </w:rPr>
        <w:t>2</w:t>
      </w:r>
      <w:r w:rsidRPr="003B0C2F">
        <w:rPr>
          <w:rFonts w:cs="Times New Roman"/>
          <w:szCs w:val="24"/>
          <w:lang w:val="en-CA"/>
        </w:rPr>
        <w:t xml:space="preserve">/g). From </w:t>
      </w:r>
      <w:r w:rsidR="00E664C8" w:rsidRPr="003B0C2F">
        <w:rPr>
          <w:rFonts w:cs="Times New Roman"/>
          <w:szCs w:val="24"/>
          <w:lang w:val="en-CA"/>
        </w:rPr>
        <w:t>T</w:t>
      </w:r>
      <w:r w:rsidRPr="003B0C2F">
        <w:rPr>
          <w:rFonts w:cs="Times New Roman"/>
          <w:szCs w:val="24"/>
          <w:lang w:val="en-CA"/>
        </w:rPr>
        <w:t xml:space="preserve">able </w:t>
      </w:r>
      <w:r w:rsidR="00222DA5" w:rsidRPr="003B0C2F">
        <w:rPr>
          <w:rFonts w:cs="Times New Roman"/>
          <w:szCs w:val="24"/>
          <w:lang w:val="en-CA"/>
        </w:rPr>
        <w:t>3.</w:t>
      </w:r>
      <w:r w:rsidRPr="003B0C2F">
        <w:rPr>
          <w:rFonts w:cs="Times New Roman"/>
          <w:szCs w:val="24"/>
          <w:lang w:val="en-CA"/>
        </w:rPr>
        <w:t xml:space="preserve">5, it was observed that the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m:t>
            </m:r>
          </m:sup>
        </m:sSubSup>
      </m:oMath>
      <w:r w:rsidRPr="003B0C2F">
        <w:rPr>
          <w:rFonts w:cs="Times New Roman"/>
          <w:i/>
          <w:szCs w:val="24"/>
        </w:rPr>
        <w:t xml:space="preserve"> </w:t>
      </w:r>
      <w:r w:rsidRPr="003B0C2F">
        <w:rPr>
          <w:rFonts w:cs="Times New Roman"/>
          <w:szCs w:val="24"/>
          <w:lang w:val="en-CA"/>
        </w:rPr>
        <w:t xml:space="preserve">component is significantly higher than the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m:t>
            </m:r>
          </m:sup>
        </m:sSubSup>
      </m:oMath>
      <w:r w:rsidRPr="003B0C2F">
        <w:rPr>
          <w:rFonts w:cs="Times New Roman"/>
          <w:iCs/>
          <w:szCs w:val="24"/>
        </w:rPr>
        <w:t xml:space="preserve"> and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LW</m:t>
            </m:r>
          </m:sup>
        </m:sSubSup>
      </m:oMath>
      <w:r w:rsidRPr="003B0C2F">
        <w:rPr>
          <w:rFonts w:cs="Times New Roman"/>
          <w:szCs w:val="24"/>
          <w:lang w:val="en-CA"/>
        </w:rPr>
        <w:t xml:space="preserve"> components for all aggregates. The granite (G1) aggregate exhibited the highest</w:t>
      </w:r>
      <w:r w:rsidRPr="003B0C2F">
        <w:rPr>
          <w:rFonts w:cs="Times New Roman"/>
          <w:iCs/>
          <w:szCs w:val="24"/>
        </w:rPr>
        <w:t xml:space="preserve">, whereas the rhyolite (R1) aggregate exhibited the lowest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m:t>
            </m:r>
          </m:sup>
        </m:sSubSup>
      </m:oMath>
      <w:r w:rsidRPr="003B0C2F">
        <w:rPr>
          <w:rFonts w:cs="Times New Roman"/>
          <w:iCs/>
          <w:szCs w:val="24"/>
        </w:rPr>
        <w:t xml:space="preserve"> component</w:t>
      </w:r>
      <w:r w:rsidRPr="003B0C2F">
        <w:rPr>
          <w:rFonts w:cs="Times New Roman"/>
          <w:szCs w:val="24"/>
          <w:lang w:val="en-CA"/>
        </w:rPr>
        <w:t xml:space="preserve"> among all aggregates. The basic components of limestone aggregates were found to vary from 369.41 mJ/m</w:t>
      </w:r>
      <w:r w:rsidRPr="003B0C2F">
        <w:rPr>
          <w:rFonts w:cs="Times New Roman"/>
          <w:szCs w:val="24"/>
          <w:vertAlign w:val="superscript"/>
          <w:lang w:val="en-CA"/>
        </w:rPr>
        <w:t>2</w:t>
      </w:r>
      <w:r w:rsidRPr="003B0C2F">
        <w:rPr>
          <w:rFonts w:cs="Times New Roman"/>
          <w:szCs w:val="24"/>
          <w:lang w:val="en-CA"/>
        </w:rPr>
        <w:t xml:space="preserve"> to 1153.65 mJ/m</w:t>
      </w:r>
      <w:r w:rsidRPr="003B0C2F">
        <w:rPr>
          <w:rFonts w:cs="Times New Roman"/>
          <w:szCs w:val="24"/>
          <w:vertAlign w:val="superscript"/>
          <w:lang w:val="en-CA"/>
        </w:rPr>
        <w:t>2</w:t>
      </w:r>
      <w:r w:rsidRPr="003B0C2F">
        <w:rPr>
          <w:rFonts w:cs="Times New Roman"/>
          <w:szCs w:val="24"/>
          <w:lang w:val="en-CA"/>
        </w:rPr>
        <w:t xml:space="preserve">. A large magnitude of basic components of aggregates is expected to significantly influence the adhesion bonding of binder-aggregate system </w:t>
      </w:r>
      <w:r w:rsidRPr="003B0C2F">
        <w:rPr>
          <w:rFonts w:cs="Times New Roman"/>
          <w:szCs w:val="24"/>
          <w:lang w:val="en-CA"/>
        </w:rPr>
        <w:fldChar w:fldCharType="begin"/>
      </w:r>
      <w:r w:rsidR="00282238" w:rsidRPr="003B0C2F">
        <w:rPr>
          <w:rFonts w:cs="Times New Roman"/>
          <w:szCs w:val="24"/>
          <w:lang w:val="en-CA"/>
        </w:rPr>
        <w:instrText xml:space="preserve"> ADDIN EN.CITE &lt;EndNote&gt;&lt;Cite&gt;&lt;Author&gt;Bhasin&lt;/Author&gt;&lt;Year&gt;2007&lt;/Year&gt;&lt;RecNum&gt;7&lt;/RecNum&gt;&lt;DisplayText&gt;(Bhasin, 2007; Ghabchi et al., 2014)&lt;/DisplayText&gt;&lt;record&gt;&lt;rec-number&gt;7&lt;/rec-number&gt;&lt;foreign-keys&gt;&lt;key app="EN" db-id="d55vzfpwawdafteedfoxsf0lv0v0wp5va2aa" timestamp="1509900362"&gt;7&lt;/key&gt;&lt;/foreign-keys&gt;&lt;ref-type name="Thesis"&gt;32&lt;/ref-type&gt;&lt;contributors&gt;&lt;authors&gt;&lt;author&gt;Bhasin, Amit&lt;/author&gt;&lt;/authors&gt;&lt;/contributors&gt;&lt;titles&gt;&lt;title&gt;Development of Methods to Quantify Bitumen-Aggregate Adhesion and Loss of Adhesion Due to Water&lt;/title&gt;&lt;/titles&gt;&lt;dates&gt;&lt;year&gt;2007&lt;/year&gt;&lt;/dates&gt;&lt;publisher&gt;Texas A&amp;amp;M University&lt;/publisher&gt;&lt;urls&gt;&lt;/urls&gt;&lt;/record&gt;&lt;/Cite&gt;&lt;Cite&gt;&lt;Author&gt;Ghabchi&lt;/Author&gt;&lt;Year&gt;2014&lt;/Year&gt;&lt;RecNum&gt;113&lt;/RecNum&gt;&lt;record&gt;&lt;rec-number&gt;113&lt;/rec-number&gt;&lt;foreign-keys&gt;&lt;key app="EN" db-id="d55vzfpwawdafteedfoxsf0lv0v0wp5va2aa" timestamp="1521350423"&gt;113&lt;/key&gt;&lt;/foreign-keys&gt;&lt;ref-type name="Journal Article"&gt;17&lt;/ref-type&gt;&lt;contributors&gt;&lt;authors&gt;&lt;author&gt;Ghabchi, Rouzbeh&lt;/author&gt;&lt;author&gt;Singh, Dharamveer&lt;/author&gt;&lt;author&gt;Zaman, Musharraf&lt;/author&gt;&lt;/authors&gt;&lt;/contributors&gt;&lt;titles&gt;&lt;title&gt;Evaluation of Moisture Susceptibility of Asphalt Mixes Containing RAP and Different Types of Aggregates and Asphalt Binders Using the Surface Free Energy Method&lt;/title&gt;&lt;secondary-title&gt;Construction and Building Materials&lt;/secondary-title&gt;&lt;/titles&gt;&lt;periodical&gt;&lt;full-title&gt;Construction and Building Materials&lt;/full-title&gt;&lt;/periodical&gt;&lt;pages&gt;479-489&lt;/pages&gt;&lt;volume&gt;73&lt;/volume&gt;&lt;dates&gt;&lt;year&gt;2014&lt;/year&gt;&lt;/dates&gt;&lt;isbn&gt;0950-0618&lt;/isbn&gt;&lt;urls&gt;&lt;/urls&gt;&lt;/record&gt;&lt;/Cite&gt;&lt;/EndNote&gt;</w:instrText>
      </w:r>
      <w:r w:rsidRPr="003B0C2F">
        <w:rPr>
          <w:rFonts w:cs="Times New Roman"/>
          <w:szCs w:val="24"/>
          <w:lang w:val="en-CA"/>
        </w:rPr>
        <w:fldChar w:fldCharType="separate"/>
      </w:r>
      <w:r w:rsidR="00282238" w:rsidRPr="003B0C2F">
        <w:rPr>
          <w:rFonts w:cs="Times New Roman"/>
          <w:noProof/>
          <w:szCs w:val="24"/>
          <w:lang w:val="en-CA"/>
        </w:rPr>
        <w:t>(Bhasin, 2007; Ghabchi et al., 2014)</w:t>
      </w:r>
      <w:r w:rsidRPr="003B0C2F">
        <w:rPr>
          <w:rFonts w:cs="Times New Roman"/>
          <w:szCs w:val="24"/>
          <w:lang w:val="en-CA"/>
        </w:rPr>
        <w:fldChar w:fldCharType="end"/>
      </w:r>
      <w:r w:rsidRPr="003B0C2F">
        <w:rPr>
          <w:rFonts w:cs="Times New Roman"/>
          <w:szCs w:val="24"/>
          <w:lang w:val="en-CA"/>
        </w:rPr>
        <w:t xml:space="preserve">. The L2 limestone aggregate showed the highest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m:t>
            </m:r>
          </m:sup>
        </m:sSubSup>
      </m:oMath>
      <w:r w:rsidRPr="003B0C2F">
        <w:rPr>
          <w:rFonts w:cs="Times New Roman"/>
          <w:iCs/>
          <w:szCs w:val="24"/>
        </w:rPr>
        <w:t xml:space="preserve"> component among all aggregates. However, the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m:t>
            </m:r>
          </m:sup>
        </m:sSubSup>
      </m:oMath>
      <w:r w:rsidRPr="003B0C2F">
        <w:rPr>
          <w:rFonts w:cs="Times New Roman"/>
          <w:iCs/>
          <w:szCs w:val="24"/>
        </w:rPr>
        <w:t xml:space="preserve"> component of the </w:t>
      </w:r>
      <w:r w:rsidRPr="003B0C2F">
        <w:rPr>
          <w:rFonts w:cs="Times New Roman"/>
          <w:szCs w:val="24"/>
          <w:lang w:val="en-CA"/>
        </w:rPr>
        <w:t xml:space="preserve">G1 and R1 was significantly lower </w:t>
      </w:r>
      <w:r w:rsidRPr="003B0C2F">
        <w:rPr>
          <w:rFonts w:cs="Times New Roman"/>
          <w:iCs/>
          <w:szCs w:val="24"/>
        </w:rPr>
        <w:t xml:space="preserve">than the limestone aggregates. </w:t>
      </w:r>
      <w:r w:rsidRPr="003B0C2F">
        <w:rPr>
          <w:rFonts w:cs="Times New Roman"/>
          <w:szCs w:val="24"/>
          <w:lang w:val="en-CA"/>
        </w:rPr>
        <w:t xml:space="preserve">The non-polar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LW</m:t>
            </m:r>
          </m:sup>
        </m:sSubSup>
      </m:oMath>
      <w:r w:rsidRPr="003B0C2F">
        <w:rPr>
          <w:rFonts w:cs="Times New Roman"/>
          <w:szCs w:val="24"/>
          <w:lang w:val="en-CA"/>
        </w:rPr>
        <w:t xml:space="preserve"> component varied from 25.24 to 76.89 mJ/m</w:t>
      </w:r>
      <w:r w:rsidRPr="003B0C2F">
        <w:rPr>
          <w:rFonts w:cs="Times New Roman"/>
          <w:szCs w:val="24"/>
          <w:vertAlign w:val="superscript"/>
          <w:lang w:val="en-CA"/>
        </w:rPr>
        <w:t>2</w:t>
      </w:r>
      <w:r w:rsidRPr="003B0C2F">
        <w:rPr>
          <w:rFonts w:cs="Times New Roman"/>
          <w:szCs w:val="24"/>
          <w:lang w:val="en-CA"/>
        </w:rPr>
        <w:t xml:space="preserve"> for</w:t>
      </w:r>
      <w:r w:rsidRPr="00C94B99">
        <w:rPr>
          <w:rFonts w:cs="Times New Roman"/>
          <w:szCs w:val="24"/>
          <w:lang w:val="en-CA"/>
        </w:rPr>
        <w:t xml:space="preserve"> different aggregates. A similar range of variation in the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rPr>
              <m:t>LW</m:t>
            </m:r>
          </m:sup>
        </m:sSubSup>
      </m:oMath>
      <w:r w:rsidRPr="00C94B99">
        <w:rPr>
          <w:rFonts w:cs="Times New Roman"/>
          <w:szCs w:val="24"/>
          <w:lang w:val="en-CA"/>
        </w:rPr>
        <w:t xml:space="preserve"> component of aggregates was reported in other studies </w:t>
      </w:r>
      <w:r w:rsidRPr="00C94B99">
        <w:rPr>
          <w:rFonts w:cs="Times New Roman"/>
          <w:szCs w:val="24"/>
          <w:lang w:val="en-CA"/>
        </w:rPr>
        <w:fldChar w:fldCharType="begin"/>
      </w:r>
      <w:r w:rsidR="00282238">
        <w:rPr>
          <w:rFonts w:cs="Times New Roman"/>
          <w:szCs w:val="24"/>
          <w:lang w:val="en-CA"/>
        </w:rPr>
        <w:instrText xml:space="preserve"> ADDIN EN.CITE &lt;EndNote&gt;&lt;Cite&gt;&lt;Author&gt;Bhasin&lt;/Author&gt;&lt;Year&gt;2007&lt;/Year&gt;&lt;RecNum&gt;7&lt;/RecNum&gt;&lt;DisplayText&gt;(Bhasin, 2007)&lt;/DisplayText&gt;&lt;record&gt;&lt;rec-number&gt;7&lt;/rec-number&gt;&lt;foreign-keys&gt;&lt;key app="EN" db-id="d55vzfpwawdafteedfoxsf0lv0v0wp5va2aa" timestamp="1509900362"&gt;7&lt;/key&gt;&lt;/foreign-keys&gt;&lt;ref-type name="Thesis"&gt;32&lt;/ref-type&gt;&lt;contributors&gt;&lt;authors&gt;&lt;author&gt;Bhasin, Amit&lt;/author&gt;&lt;/authors&gt;&lt;/contributors&gt;&lt;titles&gt;&lt;title&gt;Development of Methods to Quantify Bitumen-Aggregate Adhesion and Loss of Adhesion Due to Water&lt;/title&gt;&lt;/titles&gt;&lt;dates&gt;&lt;year&gt;2007&lt;/year&gt;&lt;/dates&gt;&lt;publisher&gt;Texas A&amp;amp;M University&lt;/publisher&gt;&lt;urls&gt;&lt;/urls&gt;&lt;/record&gt;&lt;/Cite&gt;&lt;/EndNote&gt;</w:instrText>
      </w:r>
      <w:r w:rsidRPr="00C94B99">
        <w:rPr>
          <w:rFonts w:cs="Times New Roman"/>
          <w:szCs w:val="24"/>
          <w:lang w:val="en-CA"/>
        </w:rPr>
        <w:fldChar w:fldCharType="separate"/>
      </w:r>
      <w:r w:rsidR="00282238">
        <w:rPr>
          <w:rFonts w:cs="Times New Roman"/>
          <w:noProof/>
          <w:szCs w:val="24"/>
          <w:lang w:val="en-CA"/>
        </w:rPr>
        <w:t>(Bhasin, 2007)</w:t>
      </w:r>
      <w:r w:rsidRPr="00C94B99">
        <w:rPr>
          <w:rFonts w:cs="Times New Roman"/>
          <w:szCs w:val="24"/>
          <w:lang w:val="en-CA"/>
        </w:rPr>
        <w:fldChar w:fldCharType="end"/>
      </w:r>
      <w:r w:rsidR="0038132E" w:rsidRPr="00C94B99">
        <w:rPr>
          <w:rFonts w:cs="Times New Roman"/>
          <w:szCs w:val="24"/>
          <w:lang w:val="en-CA"/>
        </w:rPr>
        <w:t xml:space="preserve">. </w:t>
      </w:r>
    </w:p>
    <w:p w14:paraId="65F0B8EC" w14:textId="6DA3B5C7" w:rsidR="0038132E" w:rsidRPr="00C94B99" w:rsidRDefault="0038132E" w:rsidP="00985A4A">
      <w:pPr>
        <w:pStyle w:val="Heading3"/>
      </w:pPr>
      <w:bookmarkStart w:id="86" w:name="_Toc71728434"/>
      <w:r w:rsidRPr="00C94B99">
        <w:t>Moisture-induced Damage Potential of Binder-Aggregate Systems</w:t>
      </w:r>
      <w:bookmarkEnd w:id="86"/>
    </w:p>
    <w:p w14:paraId="5EF31B7C" w14:textId="34CD56A4" w:rsidR="0038132E" w:rsidRPr="00C94B99" w:rsidRDefault="00E84D51" w:rsidP="00C94B99">
      <w:pPr>
        <w:ind w:firstLine="720"/>
        <w:rPr>
          <w:rFonts w:cs="Times New Roman"/>
          <w:szCs w:val="24"/>
          <w:lang w:val="en-CA"/>
        </w:rPr>
      </w:pPr>
      <w:r w:rsidRPr="00C94B99">
        <w:rPr>
          <w:rFonts w:cs="Times New Roman"/>
          <w:szCs w:val="24"/>
          <w:lang w:val="en-CA"/>
        </w:rPr>
        <w:t>The SFE components of binder blends and aggregates were used to calculate the work of adhesion in dry state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C94B99">
        <w:rPr>
          <w:rFonts w:eastAsiaTheme="minorEastAsia" w:cs="Times New Roman"/>
          <w:szCs w:val="24"/>
          <w:lang w:val="en-GB" w:eastAsia="en-GB"/>
        </w:rPr>
        <w:t>)</w:t>
      </w:r>
      <w:r w:rsidRPr="00C94B99">
        <w:rPr>
          <w:rFonts w:cs="Times New Roman"/>
          <w:szCs w:val="24"/>
          <w:lang w:val="en-CA"/>
        </w:rPr>
        <w:t xml:space="preserve"> and the work of debonding in presence of moisture </w:t>
      </w:r>
      <w:r w:rsidRPr="00C94B99">
        <w:rPr>
          <w:rFonts w:eastAsiaTheme="minorEastAsia" w:cs="Times New Roman"/>
          <w:szCs w:val="24"/>
          <w:lang w:val="en-GB" w:eastAsia="en-GB"/>
        </w:rPr>
        <w:t>(</w:t>
      </w:r>
      <m:oMath>
        <m:sSubSup>
          <m:sSubSupPr>
            <m:ctrlPr>
              <w:rPr>
                <w:rFonts w:ascii="Cambria Math" w:hAnsi="Cambria Math" w:cs="Times New Roman"/>
                <w:i/>
                <w:szCs w:val="24"/>
              </w:rPr>
            </m:ctrlPr>
          </m:sSubSupPr>
          <m:e>
            <m:r>
              <w:rPr>
                <w:rFonts w:ascii="Cambria Math" w:hAnsi="Cambria Math" w:cs="Times New Roman"/>
                <w:szCs w:val="24"/>
              </w:rPr>
              <m:t>W</m:t>
            </m:r>
          </m:e>
          <m:sub>
            <m:r>
              <w:rPr>
                <w:rFonts w:ascii="Cambria Math" w:hAnsi="Cambria Math" w:cs="Times New Roman"/>
                <w:szCs w:val="24"/>
              </w:rPr>
              <m:t>ARW</m:t>
            </m:r>
          </m:sub>
          <m:sup>
            <m:r>
              <w:rPr>
                <w:rFonts w:ascii="Cambria Math" w:hAnsi="Cambria Math" w:cs="Times New Roman"/>
                <w:szCs w:val="24"/>
              </w:rPr>
              <m:t>wet</m:t>
            </m:r>
          </m:sup>
        </m:sSubSup>
      </m:oMath>
      <w:r w:rsidRPr="00C94B99">
        <w:rPr>
          <w:rFonts w:eastAsiaTheme="minorEastAsia" w:cs="Times New Roman"/>
          <w:szCs w:val="24"/>
        </w:rPr>
        <w:t>)</w:t>
      </w:r>
      <w:r w:rsidRPr="00C94B99">
        <w:rPr>
          <w:rFonts w:cs="Times New Roman"/>
          <w:szCs w:val="24"/>
          <w:lang w:val="en-CA"/>
        </w:rPr>
        <w:t xml:space="preserve">. Table </w:t>
      </w:r>
      <w:r w:rsidR="00222DA5">
        <w:rPr>
          <w:rFonts w:cs="Times New Roman"/>
          <w:szCs w:val="24"/>
          <w:lang w:val="en-CA"/>
        </w:rPr>
        <w:t>3.</w:t>
      </w:r>
      <w:r w:rsidRPr="00C94B99">
        <w:rPr>
          <w:rFonts w:cs="Times New Roman"/>
          <w:szCs w:val="24"/>
          <w:lang w:val="en-CA"/>
        </w:rPr>
        <w:t xml:space="preserve">6 presents the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C94B99">
        <w:rPr>
          <w:rFonts w:cs="Times New Roman"/>
          <w:szCs w:val="24"/>
          <w:lang w:val="en-CA"/>
        </w:rPr>
        <w:t xml:space="preserve"> and </w:t>
      </w:r>
      <m:oMath>
        <m:sSubSup>
          <m:sSubSupPr>
            <m:ctrlPr>
              <w:rPr>
                <w:rFonts w:ascii="Cambria Math" w:hAnsi="Cambria Math" w:cs="Times New Roman"/>
                <w:i/>
                <w:szCs w:val="24"/>
              </w:rPr>
            </m:ctrlPr>
          </m:sSubSupPr>
          <m:e>
            <m:r>
              <w:rPr>
                <w:rFonts w:ascii="Cambria Math" w:hAnsi="Cambria Math" w:cs="Times New Roman"/>
                <w:szCs w:val="24"/>
              </w:rPr>
              <m:t>W</m:t>
            </m:r>
          </m:e>
          <m:sub>
            <m:r>
              <w:rPr>
                <w:rFonts w:ascii="Cambria Math" w:hAnsi="Cambria Math" w:cs="Times New Roman"/>
                <w:szCs w:val="24"/>
              </w:rPr>
              <m:t>ARW</m:t>
            </m:r>
          </m:sub>
          <m:sup>
            <m:r>
              <w:rPr>
                <w:rFonts w:ascii="Cambria Math" w:hAnsi="Cambria Math" w:cs="Times New Roman"/>
                <w:szCs w:val="24"/>
              </w:rPr>
              <m:t>wet</m:t>
            </m:r>
          </m:sup>
        </m:sSubSup>
      </m:oMath>
      <w:r w:rsidRPr="00C94B99">
        <w:rPr>
          <w:rFonts w:eastAsiaTheme="minorEastAsia" w:cs="Times New Roman"/>
          <w:szCs w:val="24"/>
        </w:rPr>
        <w:t xml:space="preserve"> </w:t>
      </w:r>
      <w:r w:rsidRPr="00C94B99">
        <w:rPr>
          <w:rFonts w:cs="Times New Roman"/>
          <w:szCs w:val="24"/>
          <w:lang w:val="en-CA"/>
        </w:rPr>
        <w:t>of PG 64-22 and PG 76-28 binder blends with different aggregates. The moisture-induced damage potential was determined by calculating energy ratios (</w:t>
      </w:r>
      <w:r w:rsidRPr="00C94B99">
        <w:rPr>
          <w:rFonts w:cs="Times New Roman"/>
          <w:i/>
          <w:iCs/>
          <w:szCs w:val="24"/>
          <w:lang w:val="en-CA"/>
        </w:rPr>
        <w:t>ER</w:t>
      </w:r>
      <w:r w:rsidRPr="00C94B99">
        <w:rPr>
          <w:rFonts w:cs="Times New Roman"/>
          <w:i/>
          <w:iCs/>
          <w:szCs w:val="24"/>
          <w:vertAlign w:val="subscript"/>
          <w:lang w:val="en-CA"/>
        </w:rPr>
        <w:t>1</w:t>
      </w:r>
      <w:r w:rsidRPr="00C94B99">
        <w:rPr>
          <w:rFonts w:cs="Times New Roman"/>
          <w:szCs w:val="24"/>
          <w:lang w:val="en-CA"/>
        </w:rPr>
        <w:t xml:space="preserve"> and </w:t>
      </w:r>
      <w:r w:rsidRPr="00C94B99">
        <w:rPr>
          <w:rFonts w:cs="Times New Roman"/>
          <w:i/>
          <w:iCs/>
          <w:szCs w:val="24"/>
          <w:lang w:val="en-CA"/>
        </w:rPr>
        <w:t>ER</w:t>
      </w:r>
      <w:r w:rsidRPr="00C94B99">
        <w:rPr>
          <w:rFonts w:cs="Times New Roman"/>
          <w:i/>
          <w:iCs/>
          <w:szCs w:val="24"/>
          <w:vertAlign w:val="subscript"/>
          <w:lang w:val="en-CA"/>
        </w:rPr>
        <w:t>2</w:t>
      </w:r>
      <w:r w:rsidRPr="00C94B99">
        <w:rPr>
          <w:rFonts w:cs="Times New Roman"/>
          <w:szCs w:val="24"/>
          <w:lang w:val="en-CA"/>
        </w:rPr>
        <w:t>) of binder-aggregate systems using Equations (</w:t>
      </w:r>
      <w:r w:rsidR="007F02F6">
        <w:rPr>
          <w:rStyle w:val="fontstyle01"/>
          <w:sz w:val="24"/>
          <w:szCs w:val="24"/>
        </w:rPr>
        <w:t>3.</w:t>
      </w:r>
      <w:r w:rsidRPr="00C94B99">
        <w:rPr>
          <w:rFonts w:cs="Times New Roman"/>
          <w:szCs w:val="24"/>
          <w:lang w:val="en-CA"/>
        </w:rPr>
        <w:t>5) and (</w:t>
      </w:r>
      <w:r w:rsidR="007F02F6">
        <w:rPr>
          <w:rStyle w:val="fontstyle01"/>
          <w:sz w:val="24"/>
          <w:szCs w:val="24"/>
        </w:rPr>
        <w:t>3.</w:t>
      </w:r>
      <w:r w:rsidRPr="00C94B99">
        <w:rPr>
          <w:rFonts w:cs="Times New Roman"/>
          <w:szCs w:val="24"/>
          <w:lang w:val="en-CA"/>
        </w:rPr>
        <w:t xml:space="preserve">6), respectively. The </w:t>
      </w:r>
      <w:r w:rsidRPr="00C94B99">
        <w:rPr>
          <w:rFonts w:cs="Times New Roman"/>
          <w:i/>
          <w:iCs/>
          <w:szCs w:val="24"/>
          <w:lang w:val="en-CA"/>
        </w:rPr>
        <w:t>ER</w:t>
      </w:r>
      <w:r w:rsidRPr="00C94B99">
        <w:rPr>
          <w:rFonts w:cs="Times New Roman"/>
          <w:i/>
          <w:iCs/>
          <w:szCs w:val="24"/>
          <w:vertAlign w:val="subscript"/>
          <w:lang w:val="en-CA"/>
        </w:rPr>
        <w:t>1</w:t>
      </w:r>
      <w:r w:rsidRPr="00C94B99">
        <w:rPr>
          <w:rFonts w:cs="Times New Roman"/>
          <w:szCs w:val="24"/>
          <w:lang w:val="en-CA"/>
        </w:rPr>
        <w:t xml:space="preserve"> and </w:t>
      </w:r>
      <w:r w:rsidRPr="00C94B99">
        <w:rPr>
          <w:rFonts w:cs="Times New Roman"/>
          <w:i/>
          <w:iCs/>
          <w:szCs w:val="24"/>
          <w:lang w:val="en-CA"/>
        </w:rPr>
        <w:t>ER</w:t>
      </w:r>
      <w:r w:rsidRPr="00C94B99">
        <w:rPr>
          <w:rFonts w:cs="Times New Roman"/>
          <w:i/>
          <w:iCs/>
          <w:szCs w:val="24"/>
          <w:vertAlign w:val="subscript"/>
          <w:lang w:val="en-CA"/>
        </w:rPr>
        <w:t>2</w:t>
      </w:r>
      <w:r w:rsidRPr="00C94B99">
        <w:rPr>
          <w:rFonts w:cs="Times New Roman"/>
          <w:szCs w:val="24"/>
          <w:lang w:val="en-CA"/>
        </w:rPr>
        <w:t xml:space="preserve"> of different binder-aggregate combinations are presented in Table </w:t>
      </w:r>
      <w:r w:rsidR="00222DA5">
        <w:rPr>
          <w:rFonts w:cs="Times New Roman"/>
          <w:szCs w:val="24"/>
          <w:lang w:val="en-CA"/>
        </w:rPr>
        <w:t>3.</w:t>
      </w:r>
      <w:r w:rsidRPr="00C94B99">
        <w:rPr>
          <w:rFonts w:cs="Times New Roman"/>
          <w:szCs w:val="24"/>
          <w:lang w:val="en-CA"/>
        </w:rPr>
        <w:t xml:space="preserve">7. The effects of aging, additives and aggregate types on the moisture-induced damage potential were evaluated using Tables </w:t>
      </w:r>
      <w:r w:rsidR="00222DA5">
        <w:rPr>
          <w:rFonts w:cs="Times New Roman"/>
          <w:szCs w:val="24"/>
          <w:lang w:val="en-CA"/>
        </w:rPr>
        <w:t>3.</w:t>
      </w:r>
      <w:r w:rsidRPr="00C94B99">
        <w:rPr>
          <w:rFonts w:cs="Times New Roman"/>
          <w:szCs w:val="24"/>
          <w:lang w:val="en-CA"/>
        </w:rPr>
        <w:t xml:space="preserve">6 and </w:t>
      </w:r>
      <w:r w:rsidR="00222DA5">
        <w:rPr>
          <w:rFonts w:cs="Times New Roman"/>
          <w:szCs w:val="24"/>
          <w:lang w:val="en-CA"/>
        </w:rPr>
        <w:t>3.</w:t>
      </w:r>
      <w:r w:rsidRPr="00C94B99">
        <w:rPr>
          <w:rFonts w:cs="Times New Roman"/>
          <w:szCs w:val="24"/>
          <w:lang w:val="en-CA"/>
        </w:rPr>
        <w:t xml:space="preserve">7. </w:t>
      </w:r>
    </w:p>
    <w:p w14:paraId="3D1B68EA" w14:textId="77777777" w:rsidR="0038132E" w:rsidRPr="00C94B99" w:rsidRDefault="0038132E" w:rsidP="00C94B99">
      <w:pPr>
        <w:pStyle w:val="Heading4"/>
        <w:spacing w:before="0" w:after="0"/>
        <w:rPr>
          <w:szCs w:val="24"/>
          <w:lang w:val="en-CA"/>
        </w:rPr>
      </w:pPr>
      <w:r w:rsidRPr="00C94B99">
        <w:rPr>
          <w:szCs w:val="24"/>
          <w:lang w:val="en-CA"/>
        </w:rPr>
        <w:t>Effect of Aggregate Type</w:t>
      </w:r>
    </w:p>
    <w:p w14:paraId="1C9E8559" w14:textId="5362657A" w:rsidR="00784AA5" w:rsidRPr="00C94B99" w:rsidRDefault="00784AA5" w:rsidP="00C94B99">
      <w:pPr>
        <w:ind w:firstLine="720"/>
        <w:rPr>
          <w:rFonts w:cs="Times New Roman"/>
          <w:szCs w:val="24"/>
        </w:rPr>
      </w:pPr>
      <w:r w:rsidRPr="00C94B99">
        <w:rPr>
          <w:rFonts w:cs="Times New Roman"/>
          <w:szCs w:val="24"/>
          <w:lang w:val="en-CA"/>
        </w:rPr>
        <w:t xml:space="preserve">From Table </w:t>
      </w:r>
      <w:r w:rsidR="00222DA5">
        <w:rPr>
          <w:rFonts w:cs="Times New Roman"/>
          <w:szCs w:val="24"/>
          <w:lang w:val="en-CA"/>
        </w:rPr>
        <w:t>3.</w:t>
      </w:r>
      <w:r w:rsidRPr="00C94B99">
        <w:rPr>
          <w:rFonts w:cs="Times New Roman"/>
          <w:szCs w:val="24"/>
          <w:lang w:val="en-CA"/>
        </w:rPr>
        <w:t xml:space="preserve">6, it can be observed that the type of aggregate has significant influence on the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C94B99">
        <w:rPr>
          <w:rFonts w:cs="Times New Roman"/>
          <w:szCs w:val="24"/>
          <w:lang w:val="en-CA"/>
        </w:rPr>
        <w:t xml:space="preserve"> and </w:t>
      </w:r>
      <m:oMath>
        <m:sSubSup>
          <m:sSubSupPr>
            <m:ctrlPr>
              <w:rPr>
                <w:rFonts w:ascii="Cambria Math" w:hAnsi="Cambria Math" w:cs="Times New Roman"/>
                <w:i/>
                <w:szCs w:val="24"/>
              </w:rPr>
            </m:ctrlPr>
          </m:sSubSupPr>
          <m:e>
            <m:r>
              <w:rPr>
                <w:rFonts w:ascii="Cambria Math" w:hAnsi="Cambria Math" w:cs="Times New Roman"/>
                <w:szCs w:val="24"/>
              </w:rPr>
              <m:t>W</m:t>
            </m:r>
          </m:e>
          <m:sub>
            <m:r>
              <w:rPr>
                <w:rFonts w:ascii="Cambria Math" w:hAnsi="Cambria Math" w:cs="Times New Roman"/>
                <w:szCs w:val="24"/>
              </w:rPr>
              <m:t>ARW</m:t>
            </m:r>
          </m:sub>
          <m:sup>
            <m:r>
              <w:rPr>
                <w:rFonts w:ascii="Cambria Math" w:hAnsi="Cambria Math" w:cs="Times New Roman"/>
                <w:szCs w:val="24"/>
              </w:rPr>
              <m:t>wet</m:t>
            </m:r>
          </m:sup>
        </m:sSubSup>
      </m:oMath>
      <w:r w:rsidRPr="00C94B99">
        <w:rPr>
          <w:rFonts w:cs="Times New Roman"/>
          <w:szCs w:val="24"/>
          <w:lang w:val="en-CA"/>
        </w:rPr>
        <w:t xml:space="preserve"> of binder</w:t>
      </w:r>
      <w:r w:rsidRPr="003B0C2F">
        <w:rPr>
          <w:rFonts w:cs="Times New Roman"/>
          <w:szCs w:val="24"/>
          <w:lang w:val="en-CA"/>
        </w:rPr>
        <w:t xml:space="preserve">-aggregate systems. </w:t>
      </w:r>
      <w:r w:rsidRPr="003B0C2F">
        <w:rPr>
          <w:rFonts w:cs="Times New Roman"/>
          <w:szCs w:val="24"/>
        </w:rPr>
        <w:t xml:space="preserve">For example, the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3B0C2F">
        <w:rPr>
          <w:rFonts w:eastAsiaTheme="minorEastAsia" w:cs="Times New Roman"/>
          <w:szCs w:val="24"/>
          <w:lang w:val="en-GB" w:eastAsia="en-GB"/>
        </w:rPr>
        <w:t xml:space="preserve"> values </w:t>
      </w:r>
      <w:r w:rsidRPr="003B0C2F">
        <w:rPr>
          <w:rFonts w:cs="Times New Roman"/>
          <w:szCs w:val="24"/>
        </w:rPr>
        <w:t xml:space="preserve">of unaged PG 64-22 binder with the L1, L2, L3, G1 and R1 aggregates were 93.5, 109.7, 113.7, 142.9, 86.6 </w:t>
      </w:r>
      <w:r w:rsidRPr="003B0C2F">
        <w:rPr>
          <w:rFonts w:cs="Times New Roman"/>
          <w:szCs w:val="24"/>
          <w:lang w:val="en-CA"/>
        </w:rPr>
        <w:t>mJ/m</w:t>
      </w:r>
      <w:r w:rsidRPr="003B0C2F">
        <w:rPr>
          <w:rFonts w:cs="Times New Roman"/>
          <w:szCs w:val="24"/>
          <w:vertAlign w:val="superscript"/>
          <w:lang w:val="en-CA"/>
        </w:rPr>
        <w:t>2</w:t>
      </w:r>
      <w:r w:rsidRPr="003B0C2F">
        <w:rPr>
          <w:rFonts w:cs="Times New Roman"/>
          <w:szCs w:val="24"/>
          <w:lang w:val="en-CA"/>
        </w:rPr>
        <w:t xml:space="preserve">, respectively. A </w:t>
      </w:r>
      <w:r w:rsidR="00864CA8" w:rsidRPr="003B0C2F">
        <w:rPr>
          <w:rFonts w:cs="Times New Roman"/>
          <w:szCs w:val="24"/>
          <w:lang w:val="en-CA"/>
        </w:rPr>
        <w:t>s</w:t>
      </w:r>
      <w:r w:rsidRPr="003B0C2F">
        <w:rPr>
          <w:rFonts w:cs="Times New Roman"/>
          <w:szCs w:val="24"/>
          <w:lang w:val="en-CA"/>
        </w:rPr>
        <w:t xml:space="preserve">imilar variation with aggregate type can be observed for the </w:t>
      </w:r>
      <m:oMath>
        <m:sSubSup>
          <m:sSubSupPr>
            <m:ctrlPr>
              <w:rPr>
                <w:rFonts w:ascii="Cambria Math" w:hAnsi="Cambria Math" w:cs="Times New Roman"/>
                <w:i/>
                <w:szCs w:val="24"/>
              </w:rPr>
            </m:ctrlPr>
          </m:sSubSupPr>
          <m:e>
            <m:r>
              <w:rPr>
                <w:rFonts w:ascii="Cambria Math" w:hAnsi="Cambria Math" w:cs="Times New Roman"/>
                <w:szCs w:val="24"/>
              </w:rPr>
              <m:t>W</m:t>
            </m:r>
          </m:e>
          <m:sub>
            <m:r>
              <w:rPr>
                <w:rFonts w:ascii="Cambria Math" w:hAnsi="Cambria Math" w:cs="Times New Roman"/>
                <w:szCs w:val="24"/>
              </w:rPr>
              <m:t>ARW</m:t>
            </m:r>
          </m:sub>
          <m:sup>
            <m:r>
              <w:rPr>
                <w:rFonts w:ascii="Cambria Math" w:hAnsi="Cambria Math" w:cs="Times New Roman"/>
                <w:szCs w:val="24"/>
              </w:rPr>
              <m:t>wet</m:t>
            </m:r>
          </m:sup>
        </m:sSubSup>
      </m:oMath>
      <w:r w:rsidRPr="003B0C2F">
        <w:rPr>
          <w:rFonts w:eastAsiaTheme="minorEastAsia" w:cs="Times New Roman"/>
          <w:szCs w:val="24"/>
        </w:rPr>
        <w:t>. As a result, t</w:t>
      </w:r>
      <w:r w:rsidRPr="003B0C2F">
        <w:rPr>
          <w:rFonts w:cs="Times New Roman"/>
          <w:szCs w:val="24"/>
          <w:lang w:val="en-CA"/>
        </w:rPr>
        <w:t>he</w:t>
      </w:r>
      <w:r w:rsidRPr="003B0C2F">
        <w:rPr>
          <w:rFonts w:cs="Times New Roman"/>
          <w:i/>
          <w:szCs w:val="24"/>
        </w:rPr>
        <w:t xml:space="preserve"> </w:t>
      </w:r>
      <w:r w:rsidRPr="003B0C2F">
        <w:rPr>
          <w:rFonts w:cs="Times New Roman"/>
          <w:iCs/>
          <w:szCs w:val="24"/>
        </w:rPr>
        <w:t>energy ratios</w:t>
      </w:r>
      <w:r w:rsidRPr="00C94B99">
        <w:rPr>
          <w:rFonts w:cs="Times New Roman"/>
          <w:iCs/>
          <w:szCs w:val="24"/>
        </w:rPr>
        <w:t>,</w:t>
      </w:r>
      <w:r w:rsidRPr="00C94B99">
        <w:rPr>
          <w:rFonts w:cs="Times New Roman"/>
          <w:i/>
          <w:szCs w:val="24"/>
        </w:rPr>
        <w:t xml:space="preserve"> ER</w:t>
      </w:r>
      <w:r w:rsidRPr="00C94B99">
        <w:rPr>
          <w:rFonts w:cs="Times New Roman"/>
          <w:i/>
          <w:szCs w:val="24"/>
          <w:vertAlign w:val="subscript"/>
        </w:rPr>
        <w:t>1</w:t>
      </w:r>
      <w:r w:rsidRPr="00C94B99">
        <w:rPr>
          <w:rFonts w:cs="Times New Roman"/>
          <w:szCs w:val="24"/>
        </w:rPr>
        <w:t xml:space="preserve"> </w:t>
      </w:r>
      <w:r w:rsidRPr="00C94B99">
        <w:rPr>
          <w:rFonts w:cs="Times New Roman"/>
          <w:szCs w:val="24"/>
          <w:lang w:val="en-CA"/>
        </w:rPr>
        <w:t xml:space="preserve">and </w:t>
      </w:r>
      <w:r w:rsidRPr="00C94B99">
        <w:rPr>
          <w:rFonts w:cs="Times New Roman"/>
          <w:i/>
          <w:szCs w:val="24"/>
        </w:rPr>
        <w:t>ER</w:t>
      </w:r>
      <w:r w:rsidRPr="00C94B99">
        <w:rPr>
          <w:rFonts w:cs="Times New Roman"/>
          <w:i/>
          <w:szCs w:val="24"/>
          <w:vertAlign w:val="subscript"/>
        </w:rPr>
        <w:t>2</w:t>
      </w:r>
      <w:r w:rsidRPr="00C94B99">
        <w:rPr>
          <w:rFonts w:cs="Times New Roman"/>
          <w:iCs/>
          <w:szCs w:val="24"/>
        </w:rPr>
        <w:t>,</w:t>
      </w:r>
      <w:r w:rsidRPr="00C94B99">
        <w:rPr>
          <w:rFonts w:cs="Times New Roman"/>
          <w:szCs w:val="24"/>
          <w:lang w:val="en-CA"/>
        </w:rPr>
        <w:t xml:space="preserve"> varied with the types of aggregate. For example, t</w:t>
      </w:r>
      <w:r w:rsidRPr="00C94B99">
        <w:rPr>
          <w:rFonts w:cs="Times New Roman"/>
          <w:szCs w:val="24"/>
        </w:rPr>
        <w:t xml:space="preserve">he R1 (rhyolite) aggregate produced the highest </w:t>
      </w:r>
      <w:r w:rsidRPr="00C94B99">
        <w:rPr>
          <w:rFonts w:cs="Times New Roman"/>
          <w:iCs/>
          <w:szCs w:val="24"/>
        </w:rPr>
        <w:t xml:space="preserve">energy ratios </w:t>
      </w:r>
      <w:r w:rsidRPr="00C94B99">
        <w:rPr>
          <w:rFonts w:cs="Times New Roman"/>
          <w:szCs w:val="24"/>
        </w:rPr>
        <w:t xml:space="preserve">with the PG 64-22 binder and is expected to perform well to resist moisture susceptibility of a mix. The existence of a large surface area for the R1 aggregate is expected to produce greater bonding potential than other aggregates. Also, the R1 aggregate contains aluminum, iron and magnesium which typically enhance the bonding between binder and aggregate </w:t>
      </w:r>
      <w:r w:rsidRPr="00C94B99">
        <w:rPr>
          <w:rFonts w:cs="Times New Roman"/>
          <w:szCs w:val="24"/>
        </w:rPr>
        <w:fldChar w:fldCharType="begin"/>
      </w:r>
      <w:r w:rsidR="00282238">
        <w:rPr>
          <w:rFonts w:cs="Times New Roman"/>
          <w:szCs w:val="24"/>
        </w:rPr>
        <w:instrText xml:space="preserve"> ADDIN EN.CITE &lt;EndNote&gt;&lt;Cite&gt;&lt;Author&gt;Curtis&lt;/Author&gt;&lt;Year&gt;1993&lt;/Year&gt;&lt;RecNum&gt;12&lt;/RecNum&gt;&lt;DisplayText&gt;(Curtis et al., 1993)&lt;/DisplayText&gt;&lt;record&gt;&lt;rec-number&gt;12&lt;/rec-number&gt;&lt;foreign-keys&gt;&lt;key app="EN" db-id="5xpawzsvnewf08evef25tsax9vr22e0srpzf" timestamp="1617049958"&gt;12&lt;/key&gt;&lt;/foreign-keys&gt;&lt;ref-type name="Report"&gt;27&lt;/ref-type&gt;&lt;contributors&gt;&lt;authors&gt;&lt;author&gt;Curtis, Christine W&lt;/author&gt;&lt;author&gt;Ensley, Keith&lt;/author&gt;&lt;author&gt;Epps, Jon&lt;/author&gt;&lt;/authors&gt;&lt;tertiary-authors&gt;&lt;author&gt;Strategic Highway Research Program, National Research Council&lt;/author&gt;&lt;/tertiary-authors&gt;&lt;/contributors&gt;&lt;titles&gt;&lt;title&gt;Fundamental properties of asphalt-aggregate interactions including adhesion and absorption (SHRP-A-341)&lt;/title&gt;&lt;/titles&gt;&lt;dates&gt;&lt;year&gt;1993&lt;/year&gt;&lt;/dates&gt;&lt;pub-location&gt;Washington, DC.&lt;/pub-location&gt;&lt;urls&gt;&lt;/urls&gt;&lt;/record&gt;&lt;/Cite&gt;&lt;/EndNote&gt;</w:instrText>
      </w:r>
      <w:r w:rsidRPr="00C94B99">
        <w:rPr>
          <w:rFonts w:cs="Times New Roman"/>
          <w:szCs w:val="24"/>
        </w:rPr>
        <w:fldChar w:fldCharType="separate"/>
      </w:r>
      <w:r w:rsidR="00282238">
        <w:rPr>
          <w:rFonts w:cs="Times New Roman"/>
          <w:noProof/>
          <w:szCs w:val="24"/>
        </w:rPr>
        <w:t>(Curtis et al., 1993)</w:t>
      </w:r>
      <w:r w:rsidRPr="00C94B99">
        <w:rPr>
          <w:rFonts w:cs="Times New Roman"/>
          <w:szCs w:val="24"/>
        </w:rPr>
        <w:fldChar w:fldCharType="end"/>
      </w:r>
      <w:r w:rsidRPr="00C94B99">
        <w:rPr>
          <w:rFonts w:cs="Times New Roman"/>
          <w:szCs w:val="24"/>
        </w:rPr>
        <w:t xml:space="preserve">. </w:t>
      </w:r>
    </w:p>
    <w:p w14:paraId="086E7569" w14:textId="43E6F47E" w:rsidR="00784AA5" w:rsidRPr="00C94B99" w:rsidRDefault="00784AA5" w:rsidP="00C94B99">
      <w:pPr>
        <w:ind w:firstLine="720"/>
        <w:rPr>
          <w:rFonts w:cs="Times New Roman"/>
          <w:iCs/>
          <w:szCs w:val="24"/>
        </w:rPr>
      </w:pPr>
      <w:r w:rsidRPr="00C94B99">
        <w:rPr>
          <w:rFonts w:cs="Times New Roman"/>
          <w:szCs w:val="24"/>
        </w:rPr>
        <w:t>Limestone aggregates generally exhibit good bonding quality and resistance to moisture-induced damage. The combinations of the unaged PG 64-22 binder with the L1 and L3 aggregates were ranked as 2</w:t>
      </w:r>
      <w:r w:rsidRPr="00C94B99">
        <w:rPr>
          <w:rFonts w:cs="Times New Roman"/>
          <w:szCs w:val="24"/>
          <w:vertAlign w:val="superscript"/>
        </w:rPr>
        <w:t>nd</w:t>
      </w:r>
      <w:r w:rsidRPr="00C94B99">
        <w:rPr>
          <w:rFonts w:cs="Times New Roman"/>
          <w:szCs w:val="24"/>
        </w:rPr>
        <w:t xml:space="preserve"> and 3</w:t>
      </w:r>
      <w:r w:rsidRPr="00C94B99">
        <w:rPr>
          <w:rFonts w:cs="Times New Roman"/>
          <w:szCs w:val="24"/>
          <w:vertAlign w:val="superscript"/>
        </w:rPr>
        <w:t>rd</w:t>
      </w:r>
      <w:r w:rsidRPr="00C94B99">
        <w:rPr>
          <w:rFonts w:cs="Times New Roman"/>
          <w:szCs w:val="24"/>
        </w:rPr>
        <w:t xml:space="preserve"> with respect to their resistance to moisture-induced damage. The low surface areas for both the L1 and L3 aggregates (Table </w:t>
      </w:r>
      <w:r w:rsidR="00222DA5">
        <w:rPr>
          <w:rFonts w:cs="Times New Roman"/>
          <w:szCs w:val="24"/>
          <w:lang w:val="en-CA"/>
        </w:rPr>
        <w:t>3.</w:t>
      </w:r>
      <w:r w:rsidRPr="00C94B99">
        <w:rPr>
          <w:rFonts w:cs="Times New Roman"/>
          <w:szCs w:val="24"/>
        </w:rPr>
        <w:t xml:space="preserve">5) indicated the presence of fewer active sites on the aggregate surface. However, according to </w:t>
      </w:r>
      <w:r w:rsidRPr="00C94B99">
        <w:rPr>
          <w:rFonts w:cs="Times New Roman"/>
          <w:szCs w:val="24"/>
        </w:rPr>
        <w:fldChar w:fldCharType="begin"/>
      </w:r>
      <w:r w:rsidRPr="00C94B99">
        <w:rPr>
          <w:rFonts w:cs="Times New Roman"/>
          <w:szCs w:val="24"/>
        </w:rPr>
        <w:instrText xml:space="preserve"> ADDIN EN.CITE &lt;EndNote&gt;&lt;Cite AuthorYear="1"&gt;&lt;Author&gt;Curtis&lt;/Author&gt;&lt;Year&gt;1993&lt;/Year&gt;&lt;RecNum&gt;12&lt;/RecNum&gt;&lt;DisplayText&gt;Curtis et al. (1993)&lt;/DisplayText&gt;&lt;record&gt;&lt;rec-number&gt;12&lt;/rec-number&gt;&lt;foreign-keys&gt;&lt;key app="EN" db-id="5xpawzsvnewf08evef25tsax9vr22e0srpzf" timestamp="1617049958"&gt;12&lt;/key&gt;&lt;/foreign-keys&gt;&lt;ref-type name="Report"&gt;27&lt;/ref-type&gt;&lt;contributors&gt;&lt;authors&gt;&lt;author&gt;Curtis, Christine W&lt;/author&gt;&lt;author&gt;Ensley, Keith&lt;/author&gt;&lt;author&gt;Epps, Jon&lt;/author&gt;&lt;/authors&gt;&lt;tertiary-authors&gt;&lt;author&gt;Strategic Highway Research Program, National Research Council&lt;/author&gt;&lt;/tertiary-authors&gt;&lt;/contributors&gt;&lt;titles&gt;&lt;title&gt;Fundamental properties of asphalt-aggregate interactions including adhesion and absorption (SHRP-A-341)&lt;/title&gt;&lt;/titles&gt;&lt;dates&gt;&lt;year&gt;1993&lt;/year&gt;&lt;/dates&gt;&lt;pub-location&gt;Washington, DC.&lt;/pub-location&gt;&lt;urls&gt;&lt;/urls&gt;&lt;/record&gt;&lt;/Cite&gt;&lt;/EndNote&gt;</w:instrText>
      </w:r>
      <w:r w:rsidRPr="00C94B99">
        <w:rPr>
          <w:rFonts w:cs="Times New Roman"/>
          <w:szCs w:val="24"/>
        </w:rPr>
        <w:fldChar w:fldCharType="separate"/>
      </w:r>
      <w:r w:rsidRPr="00C94B99">
        <w:rPr>
          <w:rFonts w:cs="Times New Roman"/>
          <w:noProof/>
          <w:szCs w:val="24"/>
        </w:rPr>
        <w:t>Curtis et al. (1993)</w:t>
      </w:r>
      <w:r w:rsidRPr="00C94B99">
        <w:rPr>
          <w:rFonts w:cs="Times New Roman"/>
          <w:szCs w:val="24"/>
        </w:rPr>
        <w:fldChar w:fldCharType="end"/>
      </w:r>
      <w:r w:rsidRPr="00C94B99">
        <w:rPr>
          <w:rFonts w:cs="Times New Roman"/>
          <w:szCs w:val="24"/>
        </w:rPr>
        <w:t>,</w:t>
      </w:r>
      <w:r w:rsidRPr="00C94B99">
        <w:rPr>
          <w:rFonts w:cs="Times New Roman"/>
          <w:color w:val="FF0000"/>
          <w:szCs w:val="24"/>
        </w:rPr>
        <w:t xml:space="preserve"> </w:t>
      </w:r>
      <w:r w:rsidRPr="00C94B99">
        <w:rPr>
          <w:rFonts w:cs="Times New Roman"/>
          <w:szCs w:val="24"/>
        </w:rPr>
        <w:t xml:space="preserve">the presence of high amount of calcium in limestone aggregate can produce strong active sites. Therefore, the L1 and L3 aggregates are expected to produce mixes with good moisture-induced damage resistance. However, the L2 aggregate showed the lowest </w:t>
      </w:r>
      <w:r w:rsidRPr="00C94B99">
        <w:rPr>
          <w:rFonts w:cs="Times New Roman"/>
          <w:i/>
          <w:iCs/>
          <w:szCs w:val="24"/>
        </w:rPr>
        <w:t>ER</w:t>
      </w:r>
      <w:r w:rsidRPr="00C94B99">
        <w:rPr>
          <w:rFonts w:cs="Times New Roman"/>
          <w:i/>
          <w:iCs/>
          <w:szCs w:val="24"/>
          <w:vertAlign w:val="subscript"/>
        </w:rPr>
        <w:t>1</w:t>
      </w:r>
      <w:r w:rsidRPr="00C94B99">
        <w:rPr>
          <w:rFonts w:cs="Times New Roman"/>
          <w:szCs w:val="24"/>
        </w:rPr>
        <w:t xml:space="preserve"> and </w:t>
      </w:r>
      <w:r w:rsidRPr="00C94B99">
        <w:rPr>
          <w:rFonts w:cs="Times New Roman"/>
          <w:i/>
          <w:iCs/>
          <w:szCs w:val="24"/>
        </w:rPr>
        <w:t>ER</w:t>
      </w:r>
      <w:r w:rsidRPr="00C94B99">
        <w:rPr>
          <w:rFonts w:cs="Times New Roman"/>
          <w:i/>
          <w:iCs/>
          <w:szCs w:val="24"/>
          <w:vertAlign w:val="subscript"/>
        </w:rPr>
        <w:t>2</w:t>
      </w:r>
      <w:r w:rsidRPr="00C94B99">
        <w:rPr>
          <w:rFonts w:cs="Times New Roman"/>
          <w:szCs w:val="24"/>
        </w:rPr>
        <w:t xml:space="preserve"> values among all binder-aggregate combinations. The magnitude of the </w:t>
      </w:r>
      <m:oMath>
        <m:sSubSup>
          <m:sSubSupPr>
            <m:ctrlPr>
              <w:rPr>
                <w:rFonts w:ascii="Cambria Math" w:hAnsi="Cambria Math" w:cs="Times New Roman"/>
                <w:i/>
                <w:szCs w:val="24"/>
              </w:rPr>
            </m:ctrlPr>
          </m:sSubSupPr>
          <m:e>
            <m:r>
              <w:rPr>
                <w:rFonts w:ascii="Cambria Math" w:hAnsi="Cambria Math" w:cs="Times New Roman"/>
                <w:szCs w:val="24"/>
              </w:rPr>
              <m:t>W</m:t>
            </m:r>
          </m:e>
          <m:sub>
            <m:r>
              <w:rPr>
                <w:rFonts w:ascii="Cambria Math" w:hAnsi="Cambria Math" w:cs="Times New Roman"/>
                <w:szCs w:val="24"/>
              </w:rPr>
              <m:t>ARW</m:t>
            </m:r>
          </m:sub>
          <m:sup>
            <m:r>
              <w:rPr>
                <w:rFonts w:ascii="Cambria Math" w:hAnsi="Cambria Math" w:cs="Times New Roman"/>
                <w:szCs w:val="24"/>
              </w:rPr>
              <m:t>wet</m:t>
            </m:r>
          </m:sup>
        </m:sSubSup>
      </m:oMath>
      <w:r w:rsidRPr="00C94B99">
        <w:rPr>
          <w:rFonts w:eastAsiaTheme="minorEastAsia" w:cs="Times New Roman"/>
          <w:szCs w:val="24"/>
        </w:rPr>
        <w:t xml:space="preserve"> was much higher than the magnitude of the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C94B99">
        <w:rPr>
          <w:rFonts w:cs="Times New Roman"/>
          <w:iCs/>
          <w:szCs w:val="24"/>
        </w:rPr>
        <w:t xml:space="preserve">. This indicates that the adhesion bonds produced at the interface of the PG 64-22 and the L2 aggregate will be highly susceptible to moisture. </w:t>
      </w:r>
    </w:p>
    <w:p w14:paraId="109AFAF7" w14:textId="1466694E" w:rsidR="00784AA5" w:rsidRPr="00C94B99" w:rsidRDefault="00784AA5" w:rsidP="00C94B99">
      <w:pPr>
        <w:ind w:firstLine="720"/>
        <w:rPr>
          <w:rFonts w:cs="Times New Roman"/>
          <w:iCs/>
          <w:szCs w:val="24"/>
        </w:rPr>
      </w:pPr>
      <w:r w:rsidRPr="00C94B99">
        <w:rPr>
          <w:rFonts w:cs="Times New Roman"/>
          <w:iCs/>
          <w:szCs w:val="24"/>
        </w:rPr>
        <w:t xml:space="preserve">The G1 (granite) aggregate showed higher moisture susceptibility than the R1, L1 and L3 aggregates. The granite aggregate is mostly silicious and known for its hydrophilic character. Also, it contains high amounts of </w:t>
      </w:r>
      <w:r w:rsidR="009F14DF">
        <w:rPr>
          <w:rFonts w:cs="Times New Roman"/>
          <w:iCs/>
          <w:szCs w:val="24"/>
        </w:rPr>
        <w:t>alkali-felspar</w:t>
      </w:r>
      <w:r w:rsidR="00C83483">
        <w:rPr>
          <w:rFonts w:cs="Times New Roman"/>
          <w:iCs/>
          <w:szCs w:val="24"/>
        </w:rPr>
        <w:t xml:space="preserve">, as </w:t>
      </w:r>
      <w:r w:rsidRPr="00C94B99">
        <w:rPr>
          <w:rFonts w:cs="Times New Roman"/>
          <w:szCs w:val="24"/>
          <w:lang w:val="en-CA"/>
        </w:rPr>
        <w:t>Na</w:t>
      </w:r>
      <w:r w:rsidRPr="00C94B99">
        <w:rPr>
          <w:rFonts w:cs="Times New Roman"/>
          <w:szCs w:val="24"/>
          <w:vertAlign w:val="subscript"/>
          <w:lang w:val="en-CA"/>
        </w:rPr>
        <w:t>2</w:t>
      </w:r>
      <w:r w:rsidRPr="00C94B99">
        <w:rPr>
          <w:rFonts w:cs="Times New Roman"/>
          <w:szCs w:val="24"/>
          <w:lang w:val="en-CA"/>
        </w:rPr>
        <w:t>O and K</w:t>
      </w:r>
      <w:r w:rsidRPr="00C94B99">
        <w:rPr>
          <w:rFonts w:cs="Times New Roman"/>
          <w:szCs w:val="24"/>
          <w:vertAlign w:val="subscript"/>
          <w:lang w:val="en-CA"/>
        </w:rPr>
        <w:t>2</w:t>
      </w:r>
      <w:r w:rsidRPr="00C94B99">
        <w:rPr>
          <w:rFonts w:cs="Times New Roman"/>
          <w:szCs w:val="24"/>
          <w:lang w:val="en-CA"/>
        </w:rPr>
        <w:t>O</w:t>
      </w:r>
      <w:r w:rsidR="00C83483">
        <w:rPr>
          <w:rFonts w:cs="Times New Roman"/>
          <w:szCs w:val="24"/>
          <w:lang w:val="en-CA"/>
        </w:rPr>
        <w:t>,</w:t>
      </w:r>
      <w:r w:rsidRPr="00C94B99">
        <w:rPr>
          <w:rFonts w:cs="Times New Roman"/>
          <w:szCs w:val="24"/>
          <w:lang w:val="en-CA"/>
        </w:rPr>
        <w:t xml:space="preserve"> which were reported to be deleterious for binder-aggregate bonding </w:t>
      </w:r>
      <w:r w:rsidRPr="00C94B99">
        <w:rPr>
          <w:rFonts w:cs="Times New Roman"/>
          <w:szCs w:val="24"/>
        </w:rPr>
        <w:fldChar w:fldCharType="begin"/>
      </w:r>
      <w:r w:rsidR="00282238">
        <w:rPr>
          <w:rFonts w:cs="Times New Roman"/>
          <w:szCs w:val="24"/>
        </w:rPr>
        <w:instrText xml:space="preserve"> ADDIN EN.CITE &lt;EndNote&gt;&lt;Cite&gt;&lt;Author&gt;Curtis&lt;/Author&gt;&lt;Year&gt;1993&lt;/Year&gt;&lt;RecNum&gt;12&lt;/RecNum&gt;&lt;DisplayText&gt;(Curtis et al., 1993)&lt;/DisplayText&gt;&lt;record&gt;&lt;rec-number&gt;12&lt;/rec-number&gt;&lt;foreign-keys&gt;&lt;key app="EN" db-id="5xpawzsvnewf08evef25tsax9vr22e0srpzf" timestamp="1617049958"&gt;12&lt;/key&gt;&lt;/foreign-keys&gt;&lt;ref-type name="Report"&gt;27&lt;/ref-type&gt;&lt;contributors&gt;&lt;authors&gt;&lt;author&gt;Curtis, Christine W&lt;/author&gt;&lt;author&gt;Ensley, Keith&lt;/author&gt;&lt;author&gt;Epps, Jon&lt;/author&gt;&lt;/authors&gt;&lt;tertiary-authors&gt;&lt;author&gt;Strategic Highway Research Program, National Research Council&lt;/author&gt;&lt;/tertiary-authors&gt;&lt;/contributors&gt;&lt;titles&gt;&lt;title&gt;Fundamental properties of asphalt-aggregate interactions including adhesion and absorption (SHRP-A-341)&lt;/title&gt;&lt;/titles&gt;&lt;dates&gt;&lt;year&gt;1993&lt;/year&gt;&lt;/dates&gt;&lt;pub-location&gt;Washington, DC.&lt;/pub-location&gt;&lt;urls&gt;&lt;/urls&gt;&lt;/record&gt;&lt;/Cite&gt;&lt;/EndNote&gt;</w:instrText>
      </w:r>
      <w:r w:rsidRPr="00C94B99">
        <w:rPr>
          <w:rFonts w:cs="Times New Roman"/>
          <w:szCs w:val="24"/>
        </w:rPr>
        <w:fldChar w:fldCharType="separate"/>
      </w:r>
      <w:r w:rsidR="00282238">
        <w:rPr>
          <w:rFonts w:cs="Times New Roman"/>
          <w:noProof/>
          <w:szCs w:val="24"/>
        </w:rPr>
        <w:t>(Curtis et al., 1993)</w:t>
      </w:r>
      <w:r w:rsidRPr="00C94B99">
        <w:rPr>
          <w:rFonts w:cs="Times New Roman"/>
          <w:szCs w:val="24"/>
        </w:rPr>
        <w:fldChar w:fldCharType="end"/>
      </w:r>
      <w:r w:rsidRPr="00C94B99">
        <w:rPr>
          <w:rFonts w:cs="Times New Roman"/>
          <w:szCs w:val="24"/>
          <w:lang w:val="en-CA"/>
        </w:rPr>
        <w:t xml:space="preserve">. As a result, a higher magnitude of the </w:t>
      </w:r>
      <m:oMath>
        <m:sSubSup>
          <m:sSubSupPr>
            <m:ctrlPr>
              <w:rPr>
                <w:rFonts w:ascii="Cambria Math" w:hAnsi="Cambria Math" w:cs="Times New Roman"/>
                <w:i/>
                <w:szCs w:val="24"/>
              </w:rPr>
            </m:ctrlPr>
          </m:sSubSupPr>
          <m:e>
            <m:r>
              <w:rPr>
                <w:rFonts w:ascii="Cambria Math" w:hAnsi="Cambria Math" w:cs="Times New Roman"/>
                <w:szCs w:val="24"/>
              </w:rPr>
              <m:t>W</m:t>
            </m:r>
          </m:e>
          <m:sub>
            <m:r>
              <w:rPr>
                <w:rFonts w:ascii="Cambria Math" w:hAnsi="Cambria Math" w:cs="Times New Roman"/>
                <w:szCs w:val="24"/>
              </w:rPr>
              <m:t>ARW</m:t>
            </m:r>
          </m:sub>
          <m:sup>
            <m:r>
              <w:rPr>
                <w:rFonts w:ascii="Cambria Math" w:hAnsi="Cambria Math" w:cs="Times New Roman"/>
                <w:szCs w:val="24"/>
              </w:rPr>
              <m:t>wet</m:t>
            </m:r>
          </m:sup>
        </m:sSubSup>
      </m:oMath>
      <w:r w:rsidRPr="00C94B99">
        <w:rPr>
          <w:rFonts w:eastAsiaTheme="minorEastAsia" w:cs="Times New Roman"/>
          <w:szCs w:val="24"/>
        </w:rPr>
        <w:t xml:space="preserve"> is expected for mixes with the G1 aggregate in the </w:t>
      </w:r>
      <w:r w:rsidRPr="00C94B99">
        <w:rPr>
          <w:rFonts w:cs="Times New Roman"/>
          <w:iCs/>
          <w:szCs w:val="24"/>
        </w:rPr>
        <w:t>presence of moisture. A similar ranking of aggregates was observed for the PG 64-22 binders under RTFO- and PAV-aging conditions. The PG 76-28 binder exhibited a similar variation in the moisture-induced damage potential with aggregate types. However, for the PG 76-28 binder, the G1 aggregate exhibited the lowest moisture-induced damage resistance than other aggregates. The compatibilities of different aggregates with binder blends containing additives are discussed in the following sections.</w:t>
      </w:r>
    </w:p>
    <w:p w14:paraId="4B34D7AE" w14:textId="1C8CAE80" w:rsidR="0038132E" w:rsidRPr="00C94B99" w:rsidRDefault="00784AA5" w:rsidP="00C94B99">
      <w:pPr>
        <w:ind w:firstLine="720"/>
        <w:rPr>
          <w:rFonts w:cs="Times New Roman"/>
          <w:szCs w:val="24"/>
          <w:lang w:val="en-CA"/>
        </w:rPr>
      </w:pPr>
      <w:r w:rsidRPr="00C94B99">
        <w:rPr>
          <w:rFonts w:cs="Times New Roman"/>
          <w:szCs w:val="24"/>
          <w:lang w:val="en-CA"/>
        </w:rPr>
        <w:t xml:space="preserve">From Tables </w:t>
      </w:r>
      <w:r w:rsidR="00222DA5">
        <w:rPr>
          <w:rFonts w:cs="Times New Roman"/>
          <w:szCs w:val="24"/>
          <w:lang w:val="en-CA"/>
        </w:rPr>
        <w:t>3.</w:t>
      </w:r>
      <w:r w:rsidRPr="00C94B99">
        <w:rPr>
          <w:rFonts w:cs="Times New Roman"/>
          <w:szCs w:val="24"/>
          <w:lang w:val="en-CA"/>
        </w:rPr>
        <w:t xml:space="preserve">6 and </w:t>
      </w:r>
      <w:r w:rsidR="00222DA5">
        <w:rPr>
          <w:rFonts w:cs="Times New Roman"/>
          <w:szCs w:val="24"/>
          <w:lang w:val="en-CA"/>
        </w:rPr>
        <w:t>3.</w:t>
      </w:r>
      <w:r w:rsidRPr="00C94B99">
        <w:rPr>
          <w:rFonts w:cs="Times New Roman"/>
          <w:szCs w:val="24"/>
          <w:lang w:val="en-CA"/>
        </w:rPr>
        <w:t xml:space="preserve">7, it was observed that the influence of the properties of aggregate on the moisture-induced damage potential is significantly higher than the properties of binder. For example, relatively small changes in the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C94B99">
        <w:rPr>
          <w:rFonts w:cs="Times New Roman"/>
          <w:szCs w:val="24"/>
          <w:lang w:val="en-CA"/>
        </w:rPr>
        <w:t xml:space="preserve"> and </w:t>
      </w:r>
      <m:oMath>
        <m:sSubSup>
          <m:sSubSupPr>
            <m:ctrlPr>
              <w:rPr>
                <w:rFonts w:ascii="Cambria Math" w:hAnsi="Cambria Math" w:cs="Times New Roman"/>
                <w:i/>
                <w:szCs w:val="24"/>
              </w:rPr>
            </m:ctrlPr>
          </m:sSubSupPr>
          <m:e>
            <m:r>
              <w:rPr>
                <w:rFonts w:ascii="Cambria Math" w:hAnsi="Cambria Math" w:cs="Times New Roman"/>
                <w:szCs w:val="24"/>
              </w:rPr>
              <m:t>W</m:t>
            </m:r>
          </m:e>
          <m:sub>
            <m:r>
              <w:rPr>
                <w:rFonts w:ascii="Cambria Math" w:hAnsi="Cambria Math" w:cs="Times New Roman"/>
                <w:szCs w:val="24"/>
              </w:rPr>
              <m:t>ARW</m:t>
            </m:r>
          </m:sub>
          <m:sup>
            <m:r>
              <w:rPr>
                <w:rFonts w:ascii="Cambria Math" w:hAnsi="Cambria Math" w:cs="Times New Roman"/>
                <w:szCs w:val="24"/>
              </w:rPr>
              <m:t>wet</m:t>
            </m:r>
          </m:sup>
        </m:sSubSup>
      </m:oMath>
      <w:r w:rsidRPr="00C94B99">
        <w:rPr>
          <w:rFonts w:cs="Times New Roman"/>
          <w:szCs w:val="24"/>
          <w:lang w:val="en-CA"/>
        </w:rPr>
        <w:t xml:space="preserve"> </w:t>
      </w:r>
      <w:r w:rsidRPr="00C94B99">
        <w:rPr>
          <w:rFonts w:eastAsiaTheme="minorEastAsia" w:cs="Times New Roman"/>
          <w:szCs w:val="24"/>
        </w:rPr>
        <w:t xml:space="preserve">were observed </w:t>
      </w:r>
      <w:r w:rsidRPr="00C94B99">
        <w:rPr>
          <w:rFonts w:cs="Times New Roman"/>
          <w:szCs w:val="24"/>
          <w:lang w:val="en-CA"/>
        </w:rPr>
        <w:t xml:space="preserve">among the PG 64-22 binder blends for a given aggregate. However, the differences in the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C94B99">
        <w:rPr>
          <w:rFonts w:cs="Times New Roman"/>
          <w:iCs/>
          <w:szCs w:val="24"/>
        </w:rPr>
        <w:t>and</w:t>
      </w:r>
      <w:r w:rsidRPr="00C94B99">
        <w:rPr>
          <w:rFonts w:cs="Times New Roman"/>
          <w:szCs w:val="24"/>
          <w:lang w:val="en-CA"/>
        </w:rPr>
        <w:t xml:space="preserve"> </w:t>
      </w:r>
      <m:oMath>
        <m:sSubSup>
          <m:sSubSupPr>
            <m:ctrlPr>
              <w:rPr>
                <w:rFonts w:ascii="Cambria Math" w:hAnsi="Cambria Math" w:cs="Times New Roman"/>
                <w:i/>
                <w:szCs w:val="24"/>
              </w:rPr>
            </m:ctrlPr>
          </m:sSubSupPr>
          <m:e>
            <m:r>
              <w:rPr>
                <w:rFonts w:ascii="Cambria Math" w:hAnsi="Cambria Math" w:cs="Times New Roman"/>
                <w:szCs w:val="24"/>
              </w:rPr>
              <m:t>W</m:t>
            </m:r>
          </m:e>
          <m:sub>
            <m:r>
              <w:rPr>
                <w:rFonts w:ascii="Cambria Math" w:hAnsi="Cambria Math" w:cs="Times New Roman"/>
                <w:szCs w:val="24"/>
              </w:rPr>
              <m:t>ARW</m:t>
            </m:r>
          </m:sub>
          <m:sup>
            <m:r>
              <w:rPr>
                <w:rFonts w:ascii="Cambria Math" w:hAnsi="Cambria Math" w:cs="Times New Roman"/>
                <w:szCs w:val="24"/>
              </w:rPr>
              <m:t>wet</m:t>
            </m:r>
          </m:sup>
        </m:sSubSup>
      </m:oMath>
      <w:r w:rsidRPr="00C94B99">
        <w:rPr>
          <w:rFonts w:eastAsiaTheme="minorEastAsia" w:cs="Times New Roman"/>
          <w:szCs w:val="24"/>
        </w:rPr>
        <w:t xml:space="preserve"> values </w:t>
      </w:r>
      <w:r w:rsidRPr="00C94B99">
        <w:rPr>
          <w:rFonts w:cs="Times New Roman"/>
          <w:szCs w:val="24"/>
          <w:lang w:val="en-CA"/>
        </w:rPr>
        <w:t xml:space="preserve">were observed to be much higher among different aggregates for a given binder. A similar finding was observed for the </w:t>
      </w:r>
      <w:r w:rsidRPr="00C94B99">
        <w:rPr>
          <w:rFonts w:cs="Times New Roman"/>
          <w:i/>
          <w:iCs/>
          <w:szCs w:val="24"/>
          <w:lang w:val="en-CA"/>
        </w:rPr>
        <w:t>ER</w:t>
      </w:r>
      <w:r w:rsidRPr="00C94B99">
        <w:rPr>
          <w:rFonts w:cs="Times New Roman"/>
          <w:i/>
          <w:iCs/>
          <w:szCs w:val="24"/>
          <w:vertAlign w:val="subscript"/>
          <w:lang w:val="en-CA"/>
        </w:rPr>
        <w:t>1</w:t>
      </w:r>
      <w:r w:rsidRPr="00C94B99">
        <w:rPr>
          <w:rFonts w:cs="Times New Roman"/>
          <w:i/>
          <w:iCs/>
          <w:szCs w:val="24"/>
          <w:lang w:val="en-CA"/>
        </w:rPr>
        <w:t xml:space="preserve"> </w:t>
      </w:r>
      <w:r w:rsidRPr="00C94B99">
        <w:rPr>
          <w:rFonts w:cs="Times New Roman"/>
          <w:szCs w:val="24"/>
          <w:lang w:val="en-CA"/>
        </w:rPr>
        <w:t xml:space="preserve">and </w:t>
      </w:r>
      <w:r w:rsidRPr="00C94B99">
        <w:rPr>
          <w:rFonts w:cs="Times New Roman"/>
          <w:i/>
          <w:iCs/>
          <w:szCs w:val="24"/>
          <w:lang w:val="en-CA"/>
        </w:rPr>
        <w:t>ER</w:t>
      </w:r>
      <w:r w:rsidRPr="00C94B99">
        <w:rPr>
          <w:rFonts w:cs="Times New Roman"/>
          <w:i/>
          <w:iCs/>
          <w:szCs w:val="24"/>
          <w:vertAlign w:val="subscript"/>
          <w:lang w:val="en-CA"/>
        </w:rPr>
        <w:t>2</w:t>
      </w:r>
      <w:r w:rsidRPr="00C94B99">
        <w:rPr>
          <w:rFonts w:cs="Times New Roman"/>
          <w:szCs w:val="24"/>
          <w:lang w:val="en-CA"/>
        </w:rPr>
        <w:t xml:space="preserve"> parameters. Several studies reported that the properties of aggregates are the most important factor contributing to the binder-aggregate bonding </w:t>
      </w:r>
      <w:r w:rsidRPr="00C94B99">
        <w:rPr>
          <w:rFonts w:cs="Times New Roman"/>
          <w:szCs w:val="24"/>
          <w:lang w:val="en-CA"/>
        </w:rPr>
        <w:fldChar w:fldCharType="begin"/>
      </w:r>
      <w:r w:rsidR="00282238">
        <w:rPr>
          <w:rFonts w:cs="Times New Roman"/>
          <w:szCs w:val="24"/>
          <w:lang w:val="en-CA"/>
        </w:rPr>
        <w:instrText xml:space="preserve"> ADDIN EN.CITE &lt;EndNote&gt;&lt;Cite&gt;&lt;Author&gt;Tarrer&lt;/Author&gt;&lt;Year&gt;1991&lt;/Year&gt;&lt;RecNum&gt;178&lt;/RecNum&gt;&lt;DisplayText&gt;(Tarrer and Wagh, 1991; Curtis et al., 1992)&lt;/DisplayText&gt;&lt;record&gt;&lt;rec-number&gt;178&lt;/rec-number&gt;&lt;foreign-keys&gt;&lt;key app="EN" db-id="d55vzfpwawdafteedfoxsf0lv0v0wp5va2aa" timestamp="1533882349"&gt;178&lt;/key&gt;&lt;/foreign-keys&gt;&lt;ref-type name="Report"&gt;27&lt;/ref-type&gt;&lt;contributors&gt;&lt;authors&gt;&lt;author&gt;Tarrer, AR&lt;/author&gt;&lt;author&gt;Wagh, Vinay&lt;/author&gt;&lt;/authors&gt;&lt;/contributors&gt;&lt;titles&gt;&lt;title&gt;The effect of the physical and chemical characteristics of the aggregate on bonding&lt;/title&gt;&lt;/titles&gt;&lt;dates&gt;&lt;year&gt;1991&lt;/year&gt;&lt;/dates&gt;&lt;publisher&gt;Strategic Highway Research Program, National Research Council Washington, DC, USA&lt;/publisher&gt;&lt;urls&gt;&lt;/urls&gt;&lt;/record&gt;&lt;/Cite&gt;&lt;Cite&gt;&lt;Author&gt;Curtis&lt;/Author&gt;&lt;Year&gt;1992&lt;/Year&gt;&lt;RecNum&gt;59&lt;/RecNum&gt;&lt;record&gt;&lt;rec-number&gt;59&lt;/rec-number&gt;&lt;foreign-keys&gt;&lt;key app="EN" db-id="d55vzfpwawdafteedfoxsf0lv0v0wp5va2aa" timestamp="1514343929"&gt;59&lt;/key&gt;&lt;/foreign-keys&gt;&lt;ref-type name="Journal Article"&gt;17&lt;/ref-type&gt;&lt;contributors&gt;&lt;authors&gt;&lt;author&gt;Curtis, CW&lt;/author&gt;&lt;author&gt;Lytton, RL&lt;/author&gt;&lt;author&gt;Brannan, CJ&lt;/author&gt;&lt;/authors&gt;&lt;/contributors&gt;&lt;titles&gt;&lt;title&gt;Influence of aggregate chemistry on the adsorption and desorption of asphalt&lt;/title&gt;&lt;secondary-title&gt;Transportation Research Record&lt;/secondary-title&gt;&lt;/titles&gt;&lt;periodical&gt;&lt;full-title&gt;Transportation Research Record&lt;/full-title&gt;&lt;/periodical&gt;&lt;number&gt;1362&lt;/number&gt;&lt;dates&gt;&lt;year&gt;1992&lt;/year&gt;&lt;/dates&gt;&lt;isbn&gt;0309054028&lt;/isbn&gt;&lt;urls&gt;&lt;/urls&gt;&lt;/record&gt;&lt;/Cite&gt;&lt;/EndNote&gt;</w:instrText>
      </w:r>
      <w:r w:rsidRPr="00C94B99">
        <w:rPr>
          <w:rFonts w:cs="Times New Roman"/>
          <w:szCs w:val="24"/>
          <w:lang w:val="en-CA"/>
        </w:rPr>
        <w:fldChar w:fldCharType="separate"/>
      </w:r>
      <w:r w:rsidR="00282238">
        <w:rPr>
          <w:rFonts w:cs="Times New Roman"/>
          <w:noProof/>
          <w:szCs w:val="24"/>
          <w:lang w:val="en-CA"/>
        </w:rPr>
        <w:t>(Tarrer and Wagh, 1991; Curtis et al., 1992)</w:t>
      </w:r>
      <w:r w:rsidRPr="00C94B99">
        <w:rPr>
          <w:rFonts w:cs="Times New Roman"/>
          <w:szCs w:val="24"/>
          <w:lang w:val="en-CA"/>
        </w:rPr>
        <w:fldChar w:fldCharType="end"/>
      </w:r>
      <w:r w:rsidR="0038132E" w:rsidRPr="00C94B99">
        <w:rPr>
          <w:rFonts w:cs="Times New Roman"/>
          <w:szCs w:val="24"/>
          <w:lang w:val="en-CA"/>
        </w:rPr>
        <w:t>.</w:t>
      </w:r>
    </w:p>
    <w:p w14:paraId="45431A42" w14:textId="77777777" w:rsidR="0038132E" w:rsidRPr="00C94B99" w:rsidRDefault="0038132E" w:rsidP="00C94B99">
      <w:pPr>
        <w:pStyle w:val="Heading4"/>
        <w:spacing w:before="0" w:after="0"/>
        <w:rPr>
          <w:szCs w:val="24"/>
          <w:lang w:val="en-CA"/>
        </w:rPr>
      </w:pPr>
      <w:bookmarkStart w:id="87" w:name="_Toc6529157"/>
      <w:r w:rsidRPr="00C94B99">
        <w:rPr>
          <w:szCs w:val="24"/>
          <w:lang w:val="en-CA"/>
        </w:rPr>
        <w:t>Effect of Aging</w:t>
      </w:r>
      <w:bookmarkEnd w:id="87"/>
    </w:p>
    <w:p w14:paraId="08BFDA12" w14:textId="02D637A2" w:rsidR="00CF7061" w:rsidRPr="009A3034" w:rsidRDefault="00CF7061" w:rsidP="00CF7061">
      <w:pPr>
        <w:ind w:firstLine="720"/>
        <w:rPr>
          <w:rFonts w:cs="Times New Roman"/>
        </w:rPr>
      </w:pPr>
      <w:r w:rsidRPr="009A3034">
        <w:rPr>
          <w:rFonts w:cs="Times New Roman"/>
        </w:rPr>
        <w:t xml:space="preserve">From Table </w:t>
      </w:r>
      <w:r>
        <w:rPr>
          <w:rFonts w:cs="Times New Roman"/>
        </w:rPr>
        <w:t>3.</w:t>
      </w:r>
      <w:r w:rsidRPr="009A3034">
        <w:rPr>
          <w:rFonts w:cs="Times New Roman"/>
        </w:rPr>
        <w:t xml:space="preserve">6, the </w:t>
      </w:r>
      <m:oMath>
        <m:sSub>
          <m:sSubPr>
            <m:ctrlPr>
              <w:rPr>
                <w:rFonts w:ascii="Cambria Math" w:hAnsi="Cambria Math" w:cs="Times New Roman"/>
                <w:i/>
                <w:lang w:val="en-GB" w:eastAsia="en-GB"/>
              </w:rPr>
            </m:ctrlPr>
          </m:sSubPr>
          <m:e>
            <m:r>
              <w:rPr>
                <w:rFonts w:ascii="Cambria Math" w:hAnsi="Cambria Math" w:cs="Times New Roman"/>
                <w:lang w:val="en-GB" w:eastAsia="en-GB"/>
              </w:rPr>
              <m:t>W</m:t>
            </m:r>
          </m:e>
          <m:sub>
            <m:r>
              <w:rPr>
                <w:rFonts w:ascii="Cambria Math" w:hAnsi="Cambria Math" w:cs="Times New Roman"/>
                <w:lang w:val="en-GB" w:eastAsia="en-GB"/>
              </w:rPr>
              <m:t>AR</m:t>
            </m:r>
          </m:sub>
        </m:sSub>
      </m:oMath>
      <w:r>
        <w:rPr>
          <w:rFonts w:eastAsiaTheme="minorEastAsia" w:cs="Times New Roman"/>
          <w:lang w:val="en-GB" w:eastAsia="en-GB"/>
        </w:rPr>
        <w:t xml:space="preserve"> </w:t>
      </w:r>
      <w:r w:rsidRPr="009A3034">
        <w:rPr>
          <w:rFonts w:cs="Times New Roman"/>
        </w:rPr>
        <w:t xml:space="preserve">for </w:t>
      </w:r>
      <w:r>
        <w:rPr>
          <w:rFonts w:cs="Times New Roman"/>
        </w:rPr>
        <w:t xml:space="preserve">the </w:t>
      </w:r>
      <w:r w:rsidRPr="009A3034">
        <w:rPr>
          <w:rFonts w:cs="Times New Roman"/>
        </w:rPr>
        <w:t xml:space="preserve">PG 64-22 binder with </w:t>
      </w:r>
      <w:r>
        <w:rPr>
          <w:rFonts w:cs="Times New Roman"/>
        </w:rPr>
        <w:t xml:space="preserve">the </w:t>
      </w:r>
      <w:r w:rsidRPr="009A3034">
        <w:rPr>
          <w:rFonts w:cs="Times New Roman"/>
        </w:rPr>
        <w:t>L1 aggregate reduced and</w:t>
      </w:r>
      <w:r>
        <w:rPr>
          <w:rFonts w:cs="Times New Roman"/>
        </w:rPr>
        <w:t xml:space="preserve"> the</w:t>
      </w:r>
      <w:r w:rsidRPr="009A3034">
        <w:rPr>
          <w:rFonts w:cs="Times New Roman"/>
        </w:rPr>
        <w:t xml:space="preserve"> </w:t>
      </w:r>
      <m:oMath>
        <m:sSubSup>
          <m:sSubSupPr>
            <m:ctrlPr>
              <w:rPr>
                <w:rFonts w:ascii="Cambria Math" w:hAnsi="Cambria Math" w:cs="Arial"/>
                <w:i/>
              </w:rPr>
            </m:ctrlPr>
          </m:sSubSupPr>
          <m:e>
            <m:r>
              <w:rPr>
                <w:rFonts w:ascii="Cambria Math" w:hAnsi="Cambria Math" w:cs="Arial"/>
              </w:rPr>
              <m:t>W</m:t>
            </m:r>
          </m:e>
          <m:sub>
            <m:r>
              <w:rPr>
                <w:rFonts w:ascii="Cambria Math" w:hAnsi="Cambria Math" w:cs="Arial"/>
              </w:rPr>
              <m:t>ARW</m:t>
            </m:r>
          </m:sub>
          <m:sup>
            <m:r>
              <w:rPr>
                <w:rFonts w:ascii="Cambria Math" w:hAnsi="Cambria Math" w:cs="Arial"/>
              </w:rPr>
              <m:t>wet</m:t>
            </m:r>
          </m:sup>
        </m:sSubSup>
      </m:oMath>
      <w:r w:rsidRPr="009A3034">
        <w:rPr>
          <w:rFonts w:cs="Times New Roman"/>
        </w:rPr>
        <w:t xml:space="preserve"> increased with RTFO- and PAV-aging. For example, the </w:t>
      </w:r>
      <m:oMath>
        <m:sSub>
          <m:sSubPr>
            <m:ctrlPr>
              <w:rPr>
                <w:rFonts w:ascii="Cambria Math" w:hAnsi="Cambria Math" w:cs="Times New Roman"/>
                <w:i/>
                <w:lang w:val="en-GB" w:eastAsia="en-GB"/>
              </w:rPr>
            </m:ctrlPr>
          </m:sSubPr>
          <m:e>
            <m:r>
              <w:rPr>
                <w:rFonts w:ascii="Cambria Math" w:hAnsi="Cambria Math" w:cs="Times New Roman"/>
                <w:lang w:val="en-GB" w:eastAsia="en-GB"/>
              </w:rPr>
              <m:t>W</m:t>
            </m:r>
          </m:e>
          <m:sub>
            <m:r>
              <w:rPr>
                <w:rFonts w:ascii="Cambria Math" w:hAnsi="Cambria Math" w:cs="Times New Roman"/>
                <w:lang w:val="en-GB" w:eastAsia="en-GB"/>
              </w:rPr>
              <m:t>AR</m:t>
            </m:r>
          </m:sub>
        </m:sSub>
      </m:oMath>
      <w:r>
        <w:rPr>
          <w:rFonts w:eastAsiaTheme="minorEastAsia" w:cs="Times New Roman"/>
          <w:lang w:val="en-GB" w:eastAsia="en-GB"/>
        </w:rPr>
        <w:t xml:space="preserve"> </w:t>
      </w:r>
      <w:r w:rsidRPr="009A3034">
        <w:rPr>
          <w:rFonts w:cs="Times New Roman"/>
        </w:rPr>
        <w:t xml:space="preserve">of </w:t>
      </w:r>
      <w:r>
        <w:rPr>
          <w:rFonts w:cs="Times New Roman"/>
        </w:rPr>
        <w:t xml:space="preserve">the </w:t>
      </w:r>
      <w:r w:rsidRPr="009A3034">
        <w:rPr>
          <w:rFonts w:cs="Times New Roman"/>
        </w:rPr>
        <w:t xml:space="preserve">PG 64-22 binder and </w:t>
      </w:r>
      <w:r>
        <w:rPr>
          <w:rFonts w:cs="Times New Roman"/>
        </w:rPr>
        <w:t xml:space="preserve">the </w:t>
      </w:r>
      <w:r w:rsidRPr="009A3034">
        <w:rPr>
          <w:rFonts w:cs="Times New Roman"/>
        </w:rPr>
        <w:t xml:space="preserve">L1 aggregate reduced from 93.5 </w:t>
      </w:r>
      <w:r w:rsidRPr="009A3034">
        <w:rPr>
          <w:rFonts w:cs="Times New Roman"/>
          <w:lang w:val="en-CA"/>
        </w:rPr>
        <w:t>mJ/m</w:t>
      </w:r>
      <w:r w:rsidRPr="009A3034">
        <w:rPr>
          <w:rFonts w:cs="Times New Roman"/>
          <w:vertAlign w:val="superscript"/>
          <w:lang w:val="en-CA"/>
        </w:rPr>
        <w:t>2</w:t>
      </w:r>
      <w:r w:rsidRPr="009A3034">
        <w:rPr>
          <w:rFonts w:cs="Times New Roman"/>
          <w:lang w:val="en-CA"/>
        </w:rPr>
        <w:t xml:space="preserve"> </w:t>
      </w:r>
      <w:r w:rsidRPr="009A3034">
        <w:rPr>
          <w:rFonts w:cs="Times New Roman"/>
        </w:rPr>
        <w:t>to 87.1</w:t>
      </w:r>
      <w:r w:rsidRPr="009A3034">
        <w:rPr>
          <w:rFonts w:cs="Times New Roman"/>
          <w:lang w:val="en-CA"/>
        </w:rPr>
        <w:t xml:space="preserve"> </w:t>
      </w:r>
      <w:r w:rsidRPr="009A3034">
        <w:rPr>
          <w:rFonts w:cs="Times New Roman"/>
        </w:rPr>
        <w:t xml:space="preserve">and 87.6 </w:t>
      </w:r>
      <w:r w:rsidRPr="009A3034">
        <w:rPr>
          <w:rFonts w:cs="Times New Roman"/>
          <w:lang w:val="en-CA"/>
        </w:rPr>
        <w:t>mJ/m</w:t>
      </w:r>
      <w:r w:rsidRPr="009A3034">
        <w:rPr>
          <w:rFonts w:cs="Times New Roman"/>
          <w:vertAlign w:val="superscript"/>
          <w:lang w:val="en-CA"/>
        </w:rPr>
        <w:t>2</w:t>
      </w:r>
      <w:r w:rsidRPr="009A3034">
        <w:rPr>
          <w:rFonts w:cs="Times New Roman"/>
        </w:rPr>
        <w:t xml:space="preserve"> with RTFO- and PAV-aging. </w:t>
      </w:r>
      <w:r>
        <w:rPr>
          <w:rFonts w:cs="Times New Roman"/>
        </w:rPr>
        <w:t>A s</w:t>
      </w:r>
      <w:r w:rsidRPr="009A3034">
        <w:rPr>
          <w:rFonts w:cs="Times New Roman"/>
        </w:rPr>
        <w:t xml:space="preserve">imilar trend was observed for other aggregates. From Table </w:t>
      </w:r>
      <w:r>
        <w:rPr>
          <w:rFonts w:cs="Times New Roman"/>
        </w:rPr>
        <w:t>3.</w:t>
      </w:r>
      <w:r w:rsidRPr="009A3034">
        <w:rPr>
          <w:rFonts w:cs="Times New Roman"/>
        </w:rPr>
        <w:t xml:space="preserve">7, the </w:t>
      </w:r>
      <w:r w:rsidRPr="009A3034">
        <w:rPr>
          <w:rFonts w:cs="Times New Roman"/>
          <w:i/>
          <w:szCs w:val="24"/>
        </w:rPr>
        <w:t>ER</w:t>
      </w:r>
      <w:r w:rsidRPr="009A3034">
        <w:rPr>
          <w:rFonts w:cs="Times New Roman"/>
          <w:i/>
          <w:szCs w:val="24"/>
          <w:vertAlign w:val="subscript"/>
        </w:rPr>
        <w:t>1</w:t>
      </w:r>
      <w:r w:rsidRPr="009A3034">
        <w:rPr>
          <w:rFonts w:cs="Times New Roman"/>
        </w:rPr>
        <w:t xml:space="preserve"> and </w:t>
      </w:r>
      <w:r w:rsidRPr="006E45EE">
        <w:rPr>
          <w:rFonts w:cs="Times New Roman"/>
          <w:i/>
          <w:iCs/>
        </w:rPr>
        <w:t>ER</w:t>
      </w:r>
      <w:r w:rsidRPr="006E45EE">
        <w:rPr>
          <w:rFonts w:cs="Times New Roman"/>
          <w:i/>
          <w:iCs/>
          <w:vertAlign w:val="subscript"/>
        </w:rPr>
        <w:t>2</w:t>
      </w:r>
      <w:r w:rsidRPr="009A3034">
        <w:rPr>
          <w:rFonts w:cs="Times New Roman"/>
        </w:rPr>
        <w:t xml:space="preserve"> of PG 64-22 binder with all aggregates were observed to reduce with RTFO- and PAV-aging. For example, the </w:t>
      </w:r>
      <w:r w:rsidRPr="009A3034">
        <w:rPr>
          <w:rFonts w:cs="Times New Roman"/>
          <w:i/>
          <w:szCs w:val="24"/>
        </w:rPr>
        <w:t>ER</w:t>
      </w:r>
      <w:r w:rsidRPr="009A3034">
        <w:rPr>
          <w:rFonts w:cs="Times New Roman"/>
          <w:i/>
          <w:szCs w:val="24"/>
          <w:vertAlign w:val="subscript"/>
        </w:rPr>
        <w:t>1</w:t>
      </w:r>
      <w:r w:rsidRPr="009A3034">
        <w:rPr>
          <w:rFonts w:cs="Times New Roman"/>
        </w:rPr>
        <w:t xml:space="preserve"> of PG 64-22 binder with L1 aggregate reduced from 0.75 to 0.67 with RTFO-aging and remain</w:t>
      </w:r>
      <w:r>
        <w:rPr>
          <w:rFonts w:cs="Times New Roman"/>
        </w:rPr>
        <w:t>ed</w:t>
      </w:r>
      <w:r w:rsidRPr="009A3034">
        <w:rPr>
          <w:rFonts w:cs="Times New Roman"/>
        </w:rPr>
        <w:t xml:space="preserve"> same with PAV-aging. </w:t>
      </w:r>
      <w:r w:rsidRPr="009A3034">
        <w:rPr>
          <w:rFonts w:cs="Times New Roman"/>
          <w:lang w:val="en-CA"/>
        </w:rPr>
        <w:t xml:space="preserve">The reduced </w:t>
      </w:r>
      <w:r w:rsidRPr="009A3034">
        <w:rPr>
          <w:rFonts w:cs="Times New Roman"/>
          <w:i/>
          <w:szCs w:val="24"/>
        </w:rPr>
        <w:t>ER</w:t>
      </w:r>
      <w:r w:rsidRPr="009A3034">
        <w:rPr>
          <w:rFonts w:cs="Times New Roman"/>
          <w:i/>
          <w:szCs w:val="24"/>
          <w:vertAlign w:val="subscript"/>
        </w:rPr>
        <w:t>1</w:t>
      </w:r>
      <w:r w:rsidRPr="009A3034">
        <w:rPr>
          <w:rFonts w:cs="Times New Roman"/>
        </w:rPr>
        <w:t xml:space="preserve"> and </w:t>
      </w:r>
      <w:r w:rsidRPr="006E45EE">
        <w:rPr>
          <w:rFonts w:cs="Times New Roman"/>
          <w:i/>
          <w:iCs/>
        </w:rPr>
        <w:t>ER</w:t>
      </w:r>
      <w:r w:rsidRPr="006E45EE">
        <w:rPr>
          <w:rFonts w:cs="Times New Roman"/>
          <w:i/>
          <w:iCs/>
          <w:vertAlign w:val="subscript"/>
        </w:rPr>
        <w:t>2</w:t>
      </w:r>
      <w:r w:rsidRPr="009A3034">
        <w:rPr>
          <w:rFonts w:cs="Times New Roman"/>
        </w:rPr>
        <w:t xml:space="preserve"> indicated an increased possibility of moisture-induced damage with aging for asphalt mix containing PG 64-22 binder. </w:t>
      </w:r>
    </w:p>
    <w:p w14:paraId="431D88F4" w14:textId="721878DC" w:rsidR="00CF7061" w:rsidRPr="009A3034" w:rsidRDefault="00CF7061" w:rsidP="00CF7061">
      <w:pPr>
        <w:ind w:firstLine="720"/>
        <w:rPr>
          <w:rFonts w:cs="Times New Roman"/>
        </w:rPr>
      </w:pPr>
      <w:r w:rsidRPr="009A3034">
        <w:rPr>
          <w:rFonts w:cs="Times New Roman"/>
        </w:rPr>
        <w:t xml:space="preserve">Also, the results of the chemical analysis pointed toward an increased moisture susceptibility with aging for </w:t>
      </w:r>
      <w:r>
        <w:rPr>
          <w:rFonts w:cs="Times New Roman"/>
        </w:rPr>
        <w:t xml:space="preserve">the </w:t>
      </w:r>
      <w:r w:rsidRPr="009A3034">
        <w:rPr>
          <w:rFonts w:cs="Times New Roman"/>
        </w:rPr>
        <w:t xml:space="preserve">PG 64-22 binder. The spectral analysis using the FTIR indicated an increase in the </w:t>
      </w:r>
      <w:r w:rsidRPr="009A3034">
        <w:rPr>
          <w:rFonts w:cs="Times New Roman"/>
          <w:lang w:val="en-CA"/>
        </w:rPr>
        <w:t>S=O</w:t>
      </w:r>
      <w:r>
        <w:rPr>
          <w:rFonts w:cs="Times New Roman"/>
          <w:lang w:val="en-CA"/>
        </w:rPr>
        <w:t xml:space="preserve"> </w:t>
      </w:r>
      <w:r w:rsidRPr="009A3034">
        <w:rPr>
          <w:rFonts w:cs="Times New Roman"/>
          <w:lang w:val="en-CA"/>
        </w:rPr>
        <w:t xml:space="preserve">and </w:t>
      </w:r>
      <w:r>
        <w:rPr>
          <w:rFonts w:cs="Times New Roman"/>
          <w:lang w:val="en-CA"/>
        </w:rPr>
        <w:t xml:space="preserve">C=O (specifically </w:t>
      </w:r>
      <w:r w:rsidRPr="009A3034">
        <w:rPr>
          <w:rFonts w:cs="Times New Roman"/>
          <w:lang w:val="en-CA"/>
        </w:rPr>
        <w:t>carboxylic acid (COOH)</w:t>
      </w:r>
      <w:r>
        <w:rPr>
          <w:rFonts w:cs="Times New Roman"/>
          <w:lang w:val="en-CA"/>
        </w:rPr>
        <w:t>)</w:t>
      </w:r>
      <w:r w:rsidRPr="009A3034">
        <w:rPr>
          <w:rFonts w:cs="Times New Roman"/>
          <w:lang w:val="en-CA"/>
        </w:rPr>
        <w:t xml:space="preserve"> functional groups for </w:t>
      </w:r>
      <w:r>
        <w:rPr>
          <w:rFonts w:cs="Times New Roman"/>
          <w:lang w:val="en-CA"/>
        </w:rPr>
        <w:t xml:space="preserve">the </w:t>
      </w:r>
      <w:r w:rsidRPr="009A3034">
        <w:rPr>
          <w:rFonts w:cs="Times New Roman"/>
          <w:lang w:val="en-CA"/>
        </w:rPr>
        <w:t>PG 64-22 binder with RTFO- and PAV-aging. Although sulfoxide and carboxylic acid have high affinity for aggregate surface, bonds produced from these interactions at the binder-aggregate interface are highly soluble to water</w:t>
      </w:r>
      <w:r>
        <w:rPr>
          <w:rFonts w:cs="Times New Roman"/>
          <w:lang w:val="en-CA"/>
        </w:rPr>
        <w:t xml:space="preserve"> </w:t>
      </w:r>
      <w:r>
        <w:rPr>
          <w:rFonts w:cs="Times New Roman"/>
          <w:lang w:val="en-CA"/>
        </w:rPr>
        <w:fldChar w:fldCharType="begin"/>
      </w:r>
      <w:r w:rsidR="00282238">
        <w:rPr>
          <w:rFonts w:cs="Times New Roman"/>
          <w:lang w:val="en-CA"/>
        </w:rPr>
        <w:instrText xml:space="preserve"> ADDIN EN.CITE &lt;EndNote&gt;&lt;Cite&gt;&lt;Author&gt;Curtis&lt;/Author&gt;&lt;Year&gt;1993&lt;/Year&gt;&lt;RecNum&gt;12&lt;/RecNum&gt;&lt;DisplayText&gt;(Curtis et al., 1993)&lt;/DisplayText&gt;&lt;record&gt;&lt;rec-number&gt;12&lt;/rec-number&gt;&lt;foreign-keys&gt;&lt;key app="EN" db-id="5xpawzsvnewf08evef25tsax9vr22e0srpzf" timestamp="1617049958"&gt;12&lt;/key&gt;&lt;/foreign-keys&gt;&lt;ref-type name="Report"&gt;27&lt;/ref-type&gt;&lt;contributors&gt;&lt;authors&gt;&lt;author&gt;Curtis, Christine W&lt;/author&gt;&lt;author&gt;Ensley, Keith&lt;/author&gt;&lt;author&gt;Epps, Jon&lt;/author&gt;&lt;/authors&gt;&lt;tertiary-authors&gt;&lt;author&gt;Strategic Highway Research Program, National Research Council&lt;/author&gt;&lt;/tertiary-authors&gt;&lt;/contributors&gt;&lt;titles&gt;&lt;title&gt;Fundamental properties of asphalt-aggregate interactions including adhesion and absorption (SHRP-A-341)&lt;/title&gt;&lt;/titles&gt;&lt;dates&gt;&lt;year&gt;1993&lt;/year&gt;&lt;/dates&gt;&lt;pub-location&gt;Washington, DC.&lt;/pub-location&gt;&lt;urls&gt;&lt;/urls&gt;&lt;/record&gt;&lt;/Cite&gt;&lt;/EndNote&gt;</w:instrText>
      </w:r>
      <w:r>
        <w:rPr>
          <w:rFonts w:cs="Times New Roman"/>
          <w:lang w:val="en-CA"/>
        </w:rPr>
        <w:fldChar w:fldCharType="separate"/>
      </w:r>
      <w:r w:rsidR="00282238">
        <w:rPr>
          <w:rFonts w:cs="Times New Roman"/>
          <w:noProof/>
          <w:lang w:val="en-CA"/>
        </w:rPr>
        <w:t>(Curtis et al., 1993)</w:t>
      </w:r>
      <w:r>
        <w:rPr>
          <w:rFonts w:cs="Times New Roman"/>
          <w:lang w:val="en-CA"/>
        </w:rPr>
        <w:fldChar w:fldCharType="end"/>
      </w:r>
      <w:r w:rsidRPr="009A3034">
        <w:rPr>
          <w:rFonts w:cs="Times New Roman"/>
          <w:lang w:val="en-CA"/>
        </w:rPr>
        <w:t>. Therefore, an increase in sulfoxide and carboxylic acid functional groups will create a thermodynamically favorable condition for debonding at the interface, hence will increase potential for moisture-induced damage.</w:t>
      </w:r>
    </w:p>
    <w:p w14:paraId="6EEDAD20" w14:textId="07C1E2B5" w:rsidR="0038132E" w:rsidRPr="00CF7061" w:rsidRDefault="00CF7061" w:rsidP="00CF7061">
      <w:pPr>
        <w:ind w:firstLine="720"/>
        <w:rPr>
          <w:rFonts w:cs="Times New Roman"/>
        </w:rPr>
      </w:pPr>
      <w:r w:rsidRPr="009A3034">
        <w:rPr>
          <w:rFonts w:cs="Times New Roman"/>
        </w:rPr>
        <w:t xml:space="preserve">The </w:t>
      </w:r>
      <m:oMath>
        <m:sSub>
          <m:sSubPr>
            <m:ctrlPr>
              <w:rPr>
                <w:rFonts w:ascii="Cambria Math" w:hAnsi="Cambria Math" w:cs="Times New Roman"/>
                <w:i/>
                <w:lang w:val="en-GB" w:eastAsia="en-GB"/>
              </w:rPr>
            </m:ctrlPr>
          </m:sSubPr>
          <m:e>
            <m:r>
              <w:rPr>
                <w:rFonts w:ascii="Cambria Math" w:hAnsi="Cambria Math" w:cs="Times New Roman"/>
                <w:lang w:val="en-GB" w:eastAsia="en-GB"/>
              </w:rPr>
              <m:t>W</m:t>
            </m:r>
          </m:e>
          <m:sub>
            <m:r>
              <w:rPr>
                <w:rFonts w:ascii="Cambria Math" w:hAnsi="Cambria Math" w:cs="Times New Roman"/>
                <w:lang w:val="en-GB" w:eastAsia="en-GB"/>
              </w:rPr>
              <m:t>AR</m:t>
            </m:r>
          </m:sub>
        </m:sSub>
      </m:oMath>
      <w:r w:rsidRPr="009A3034">
        <w:rPr>
          <w:rFonts w:cs="Times New Roman"/>
        </w:rPr>
        <w:t xml:space="preserve"> of </w:t>
      </w:r>
      <w:r>
        <w:rPr>
          <w:rFonts w:cs="Times New Roman"/>
        </w:rPr>
        <w:t xml:space="preserve">the </w:t>
      </w:r>
      <w:r w:rsidRPr="009A3034">
        <w:rPr>
          <w:rFonts w:cs="Times New Roman"/>
        </w:rPr>
        <w:t xml:space="preserve">PG 76-28 binder with all aggregates exhibited an increase with RTFO-aging and then reduced with PAV-aging. However, the magnitude of the </w:t>
      </w:r>
      <m:oMath>
        <m:sSubSup>
          <m:sSubSupPr>
            <m:ctrlPr>
              <w:rPr>
                <w:rFonts w:ascii="Cambria Math" w:hAnsi="Cambria Math" w:cs="Arial"/>
                <w:i/>
              </w:rPr>
            </m:ctrlPr>
          </m:sSubSupPr>
          <m:e>
            <m:r>
              <w:rPr>
                <w:rFonts w:ascii="Cambria Math" w:hAnsi="Cambria Math" w:cs="Arial"/>
              </w:rPr>
              <m:t>W</m:t>
            </m:r>
          </m:e>
          <m:sub>
            <m:r>
              <w:rPr>
                <w:rFonts w:ascii="Cambria Math" w:hAnsi="Cambria Math" w:cs="Arial"/>
              </w:rPr>
              <m:t>ARW</m:t>
            </m:r>
          </m:sub>
          <m:sup>
            <m:r>
              <w:rPr>
                <w:rFonts w:ascii="Cambria Math" w:hAnsi="Cambria Math" w:cs="Arial"/>
              </w:rPr>
              <m:t>wet</m:t>
            </m:r>
          </m:sup>
        </m:sSubSup>
      </m:oMath>
      <w:r w:rsidRPr="009A3034">
        <w:rPr>
          <w:rFonts w:cs="Times New Roman"/>
        </w:rPr>
        <w:t xml:space="preserve"> for </w:t>
      </w:r>
      <w:r>
        <w:rPr>
          <w:rFonts w:cs="Times New Roman"/>
        </w:rPr>
        <w:t xml:space="preserve">the </w:t>
      </w:r>
      <w:r w:rsidRPr="009A3034">
        <w:rPr>
          <w:rFonts w:cs="Times New Roman"/>
        </w:rPr>
        <w:t xml:space="preserve">PG 76-28 binder-aggregate systems reduced with RTFO-aging and increased with PAV-aging. As a result, for all PG 76-28 binder-aggregate combinations, the </w:t>
      </w:r>
      <w:r w:rsidRPr="00535FBD">
        <w:rPr>
          <w:rFonts w:cs="Times New Roman"/>
          <w:i/>
          <w:iCs/>
        </w:rPr>
        <w:t>ER</w:t>
      </w:r>
      <w:r w:rsidRPr="00535FBD">
        <w:rPr>
          <w:rFonts w:cs="Times New Roman"/>
          <w:i/>
          <w:iCs/>
          <w:vertAlign w:val="subscript"/>
        </w:rPr>
        <w:t>1</w:t>
      </w:r>
      <w:r w:rsidRPr="009A3034">
        <w:rPr>
          <w:rFonts w:cs="Times New Roman"/>
        </w:rPr>
        <w:t xml:space="preserve"> and </w:t>
      </w:r>
      <w:r w:rsidRPr="00535FBD">
        <w:rPr>
          <w:rFonts w:cs="Times New Roman"/>
          <w:i/>
          <w:iCs/>
        </w:rPr>
        <w:t>ER</w:t>
      </w:r>
      <w:r w:rsidRPr="00535FBD">
        <w:rPr>
          <w:rFonts w:cs="Times New Roman"/>
          <w:i/>
          <w:iCs/>
          <w:vertAlign w:val="subscript"/>
        </w:rPr>
        <w:t>2</w:t>
      </w:r>
      <w:r w:rsidRPr="009A3034">
        <w:rPr>
          <w:rFonts w:cs="Times New Roman"/>
        </w:rPr>
        <w:t xml:space="preserve"> increased with RTFO-aging and then reduced with PAV-aging. </w:t>
      </w:r>
      <w:r>
        <w:rPr>
          <w:rFonts w:cs="Times New Roman"/>
        </w:rPr>
        <w:t>Therefore, t</w:t>
      </w:r>
      <w:r w:rsidRPr="009A3034">
        <w:rPr>
          <w:rFonts w:cs="Times New Roman"/>
        </w:rPr>
        <w:t xml:space="preserve">he increase of </w:t>
      </w:r>
      <w:r w:rsidRPr="003741B3">
        <w:rPr>
          <w:rFonts w:cs="Times New Roman"/>
          <w:i/>
          <w:iCs/>
        </w:rPr>
        <w:t>I</w:t>
      </w:r>
      <w:r w:rsidRPr="003741B3">
        <w:rPr>
          <w:rFonts w:cs="Times New Roman"/>
          <w:i/>
          <w:iCs/>
          <w:vertAlign w:val="subscript"/>
        </w:rPr>
        <w:t>CO</w:t>
      </w:r>
      <w:r w:rsidRPr="009A3034">
        <w:rPr>
          <w:rFonts w:cs="Times New Roman"/>
        </w:rPr>
        <w:t xml:space="preserve"> and </w:t>
      </w:r>
      <w:r w:rsidRPr="003741B3">
        <w:rPr>
          <w:rFonts w:cs="Times New Roman"/>
          <w:i/>
          <w:iCs/>
        </w:rPr>
        <w:t>I</w:t>
      </w:r>
      <w:r w:rsidRPr="003741B3">
        <w:rPr>
          <w:rFonts w:cs="Times New Roman"/>
          <w:i/>
          <w:iCs/>
          <w:vertAlign w:val="subscript"/>
        </w:rPr>
        <w:t>SO</w:t>
      </w:r>
      <w:r w:rsidRPr="009A3034">
        <w:rPr>
          <w:rFonts w:cs="Times New Roman"/>
        </w:rPr>
        <w:t xml:space="preserve"> may increase the moisture susceptibility of </w:t>
      </w:r>
      <w:r>
        <w:rPr>
          <w:rFonts w:cs="Times New Roman"/>
        </w:rPr>
        <w:t xml:space="preserve">the </w:t>
      </w:r>
      <w:r w:rsidRPr="009A3034">
        <w:rPr>
          <w:rFonts w:cs="Times New Roman"/>
        </w:rPr>
        <w:t xml:space="preserve">PG 76-28 binder after long-term aging. Also, the interaction of polymer with the aggregate surface is expected to influence the interface bonds. </w:t>
      </w:r>
      <w:r>
        <w:rPr>
          <w:rFonts w:cs="Times New Roman"/>
        </w:rPr>
        <w:t xml:space="preserve"> </w:t>
      </w:r>
    </w:p>
    <w:p w14:paraId="2F178AFA" w14:textId="77777777" w:rsidR="0038132E" w:rsidRPr="00C94B99" w:rsidRDefault="0038132E" w:rsidP="00C94B99">
      <w:pPr>
        <w:pStyle w:val="Heading4"/>
        <w:spacing w:before="0" w:after="0"/>
        <w:rPr>
          <w:szCs w:val="24"/>
          <w:lang w:val="en-CA"/>
        </w:rPr>
      </w:pPr>
      <w:bookmarkStart w:id="88" w:name="_Toc6529153"/>
      <w:r w:rsidRPr="00C94B99">
        <w:rPr>
          <w:szCs w:val="24"/>
          <w:lang w:val="en-CA"/>
        </w:rPr>
        <w:t>Effect of WMA Additive</w:t>
      </w:r>
      <w:bookmarkEnd w:id="88"/>
    </w:p>
    <w:p w14:paraId="027EB248" w14:textId="15DA0940" w:rsidR="00CF47AF" w:rsidRPr="003B0C2F" w:rsidRDefault="00CF47AF" w:rsidP="009E3D50">
      <w:pPr>
        <w:ind w:firstLine="720"/>
        <w:rPr>
          <w:rFonts w:cs="Times New Roman"/>
          <w:szCs w:val="24"/>
          <w:lang w:val="en-CA"/>
        </w:rPr>
      </w:pPr>
      <w:r w:rsidRPr="00C94B99">
        <w:rPr>
          <w:rFonts w:eastAsiaTheme="minorEastAsia" w:cs="Times New Roman"/>
          <w:szCs w:val="24"/>
        </w:rPr>
        <w:t xml:space="preserve">The effect of WMA on the moisture-induced damage performance of asphalt mixes can be evaluated using Tables </w:t>
      </w:r>
      <w:r w:rsidR="00222DA5">
        <w:rPr>
          <w:rFonts w:cs="Times New Roman"/>
          <w:szCs w:val="24"/>
          <w:lang w:val="en-CA"/>
        </w:rPr>
        <w:t>3.</w:t>
      </w:r>
      <w:r w:rsidRPr="00C94B99">
        <w:rPr>
          <w:rFonts w:eastAsiaTheme="minorEastAsia" w:cs="Times New Roman"/>
          <w:szCs w:val="24"/>
        </w:rPr>
        <w:t xml:space="preserve">6 and </w:t>
      </w:r>
      <w:r w:rsidR="00222DA5">
        <w:rPr>
          <w:rFonts w:cs="Times New Roman"/>
          <w:szCs w:val="24"/>
          <w:lang w:val="en-CA"/>
        </w:rPr>
        <w:t>3.</w:t>
      </w:r>
      <w:r w:rsidRPr="00C94B99">
        <w:rPr>
          <w:rFonts w:eastAsiaTheme="minorEastAsia" w:cs="Times New Roman"/>
          <w:szCs w:val="24"/>
        </w:rPr>
        <w:t xml:space="preserve">7. From Table </w:t>
      </w:r>
      <w:r w:rsidR="00222DA5">
        <w:rPr>
          <w:rFonts w:cs="Times New Roman"/>
          <w:szCs w:val="24"/>
          <w:lang w:val="en-CA"/>
        </w:rPr>
        <w:t>3.</w:t>
      </w:r>
      <w:r w:rsidRPr="00C94B99">
        <w:rPr>
          <w:rFonts w:eastAsiaTheme="minorEastAsia" w:cs="Times New Roman"/>
          <w:szCs w:val="24"/>
        </w:rPr>
        <w:t>6, t</w:t>
      </w:r>
      <w:r w:rsidRPr="00C94B99">
        <w:rPr>
          <w:rFonts w:cs="Times New Roman"/>
          <w:szCs w:val="24"/>
          <w:lang w:val="en-CA"/>
        </w:rPr>
        <w:t xml:space="preserve">he PG 64-22 binder with L1 aggregate exhibited a slight increase in the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C94B99">
        <w:rPr>
          <w:rFonts w:eastAsiaTheme="minorEastAsia" w:cs="Times New Roman"/>
          <w:szCs w:val="24"/>
          <w:lang w:val="en-GB" w:eastAsia="en-GB"/>
        </w:rPr>
        <w:t xml:space="preserve"> </w:t>
      </w:r>
      <w:r w:rsidRPr="00C94B99">
        <w:rPr>
          <w:rFonts w:cs="Times New Roman"/>
          <w:szCs w:val="24"/>
          <w:lang w:val="en-CA"/>
        </w:rPr>
        <w:t>from 93.5 to 97.6 mJ/m</w:t>
      </w:r>
      <w:r w:rsidRPr="00C94B99">
        <w:rPr>
          <w:rFonts w:cs="Times New Roman"/>
          <w:szCs w:val="24"/>
          <w:vertAlign w:val="superscript"/>
          <w:lang w:val="en-CA"/>
        </w:rPr>
        <w:t>2</w:t>
      </w:r>
      <w:r w:rsidRPr="00C94B99">
        <w:rPr>
          <w:rFonts w:cs="Times New Roman"/>
          <w:szCs w:val="24"/>
          <w:lang w:val="en-CA"/>
        </w:rPr>
        <w:t xml:space="preserve"> with the addition of 0.5% WMA. The increase in the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C94B99">
        <w:rPr>
          <w:rFonts w:eastAsiaTheme="minorEastAsia" w:cs="Times New Roman"/>
          <w:szCs w:val="24"/>
          <w:lang w:val="en-GB" w:eastAsia="en-GB"/>
        </w:rPr>
        <w:t xml:space="preserve"> </w:t>
      </w:r>
      <w:r w:rsidRPr="00C94B99">
        <w:rPr>
          <w:rFonts w:cs="Times New Roman"/>
          <w:szCs w:val="24"/>
          <w:lang w:val="en-CA"/>
        </w:rPr>
        <w:t xml:space="preserve">with WMA was observed with other aggregate combinations as well. Also, </w:t>
      </w:r>
      <w:r w:rsidRPr="00C94B99">
        <w:rPr>
          <w:rFonts w:cs="Times New Roman"/>
          <w:szCs w:val="24"/>
        </w:rPr>
        <w:t xml:space="preserve">the </w:t>
      </w:r>
      <m:oMath>
        <m:d>
          <m:dPr>
            <m:begChr m:val="|"/>
            <m:endChr m:val="|"/>
            <m:ctrlPr>
              <w:rPr>
                <w:rFonts w:ascii="Cambria Math" w:hAnsi="Cambria Math" w:cs="Times New Roman"/>
                <w:i/>
                <w:szCs w:val="24"/>
              </w:rPr>
            </m:ctrlPr>
          </m:dPr>
          <m:e>
            <m:sSubSup>
              <m:sSubSupPr>
                <m:ctrlPr>
                  <w:rPr>
                    <w:rFonts w:ascii="Cambria Math" w:hAnsi="Cambria Math" w:cs="Times New Roman"/>
                    <w:i/>
                    <w:szCs w:val="24"/>
                  </w:rPr>
                </m:ctrlPr>
              </m:sSubSupPr>
              <m:e>
                <m:r>
                  <w:rPr>
                    <w:rFonts w:ascii="Cambria Math" w:hAnsi="Cambria Math" w:cs="Times New Roman"/>
                    <w:szCs w:val="24"/>
                  </w:rPr>
                  <m:t>W</m:t>
                </m:r>
              </m:e>
              <m:sub>
                <m:r>
                  <w:rPr>
                    <w:rFonts w:ascii="Cambria Math" w:hAnsi="Cambria Math" w:cs="Times New Roman"/>
                    <w:szCs w:val="24"/>
                  </w:rPr>
                  <m:t>ARW</m:t>
                </m:r>
              </m:sub>
              <m:sup>
                <m:r>
                  <w:rPr>
                    <w:rFonts w:ascii="Cambria Math" w:hAnsi="Cambria Math" w:cs="Times New Roman"/>
                    <w:szCs w:val="24"/>
                  </w:rPr>
                  <m:t>wet</m:t>
                </m:r>
              </m:sup>
            </m:sSubSup>
          </m:e>
        </m:d>
      </m:oMath>
      <w:r w:rsidRPr="00C94B99">
        <w:rPr>
          <w:rFonts w:eastAsiaTheme="minorEastAsia" w:cs="Times New Roman"/>
          <w:szCs w:val="24"/>
        </w:rPr>
        <w:t xml:space="preserve"> of </w:t>
      </w:r>
      <w:r w:rsidRPr="00C94B99">
        <w:rPr>
          <w:rFonts w:cs="Times New Roman"/>
          <w:szCs w:val="24"/>
        </w:rPr>
        <w:t xml:space="preserve">PG 64-22 binder with aggregates reduced with the incorporation of </w:t>
      </w:r>
      <w:r w:rsidRPr="003B0C2F">
        <w:rPr>
          <w:rFonts w:cs="Times New Roman"/>
          <w:szCs w:val="24"/>
        </w:rPr>
        <w:t xml:space="preserve">WMA. The FTIR results indicated presence of amine in the binder blends with WMA additives. The presence of amine in the interface can reduce the surface </w:t>
      </w:r>
      <w:r w:rsidR="008C7956" w:rsidRPr="003B0C2F">
        <w:rPr>
          <w:rFonts w:cs="Times New Roman"/>
          <w:szCs w:val="24"/>
        </w:rPr>
        <w:t>energy</w:t>
      </w:r>
      <w:r w:rsidRPr="003B0C2F">
        <w:rPr>
          <w:rFonts w:cs="Times New Roman"/>
          <w:szCs w:val="24"/>
        </w:rPr>
        <w:t xml:space="preserve"> of the aggregate surface and enhance bonding </w:t>
      </w:r>
      <w:r w:rsidRPr="003B0C2F">
        <w:rPr>
          <w:rFonts w:cs="Times New Roman"/>
          <w:szCs w:val="24"/>
        </w:rPr>
        <w:fldChar w:fldCharType="begin"/>
      </w:r>
      <w:r w:rsidR="00282238" w:rsidRPr="003B0C2F">
        <w:rPr>
          <w:rFonts w:cs="Times New Roman"/>
          <w:szCs w:val="24"/>
        </w:rPr>
        <w:instrText xml:space="preserve"> ADDIN EN.CITE &lt;EndNote&gt;&lt;Cite&gt;&lt;Author&gt;Tarrer&lt;/Author&gt;&lt;Year&gt;1991&lt;/Year&gt;&lt;RecNum&gt;210&lt;/RecNum&gt;&lt;DisplayText&gt;(Tarrer and Wagh, 1991)&lt;/DisplayText&gt;&lt;record&gt;&lt;rec-number&gt;210&lt;/rec-number&gt;&lt;foreign-keys&gt;&lt;key app="EN" db-id="d55vzfpwawdafteedfoxsf0lv0v0wp5va2aa" timestamp="1548783026"&gt;210&lt;/key&gt;&lt;/foreign-keys&gt;&lt;ref-type name="Report"&gt;27&lt;/ref-type&gt;&lt;contributors&gt;&lt;authors&gt;&lt;author&gt;Tarrer, AR&lt;/author&gt;&lt;author&gt;Wagh, Vinay&lt;/author&gt;&lt;/authors&gt;&lt;/contributors&gt;&lt;titles&gt;&lt;title&gt;The effect of the physical and chemical characteristics of the aggregate on bonding&lt;/title&gt;&lt;/titles&gt;&lt;dates&gt;&lt;year&gt;1991&lt;/year&gt;&lt;/dates&gt;&lt;publisher&gt;Strategic Highway Research Program, National Research Council Washington, DC …&lt;/publisher&gt;&lt;urls&gt;&lt;/urls&gt;&lt;/record&gt;&lt;/Cite&gt;&lt;/EndNote&gt;</w:instrText>
      </w:r>
      <w:r w:rsidRPr="003B0C2F">
        <w:rPr>
          <w:rFonts w:cs="Times New Roman"/>
          <w:szCs w:val="24"/>
        </w:rPr>
        <w:fldChar w:fldCharType="separate"/>
      </w:r>
      <w:r w:rsidR="00282238" w:rsidRPr="003B0C2F">
        <w:rPr>
          <w:rFonts w:cs="Times New Roman"/>
          <w:noProof/>
          <w:szCs w:val="24"/>
        </w:rPr>
        <w:t>(Tarrer and Wagh, 1991)</w:t>
      </w:r>
      <w:r w:rsidRPr="003B0C2F">
        <w:rPr>
          <w:rFonts w:cs="Times New Roman"/>
          <w:szCs w:val="24"/>
        </w:rPr>
        <w:fldChar w:fldCharType="end"/>
      </w:r>
      <w:r w:rsidRPr="003B0C2F">
        <w:rPr>
          <w:rFonts w:cs="Times New Roman"/>
          <w:szCs w:val="24"/>
        </w:rPr>
        <w:t xml:space="preserve">. Therefore, an increase in the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3B0C2F">
        <w:rPr>
          <w:rFonts w:eastAsiaTheme="minorEastAsia" w:cs="Times New Roman"/>
          <w:szCs w:val="24"/>
          <w:lang w:val="en-GB" w:eastAsia="en-GB"/>
        </w:rPr>
        <w:t xml:space="preserve"> </w:t>
      </w:r>
      <w:r w:rsidRPr="003B0C2F">
        <w:rPr>
          <w:rFonts w:cs="Times New Roman"/>
          <w:szCs w:val="24"/>
          <w:lang w:val="en-CA"/>
        </w:rPr>
        <w:t xml:space="preserve">and decrease in the </w:t>
      </w:r>
      <m:oMath>
        <m:d>
          <m:dPr>
            <m:begChr m:val="|"/>
            <m:endChr m:val="|"/>
            <m:ctrlPr>
              <w:rPr>
                <w:rFonts w:ascii="Cambria Math" w:hAnsi="Cambria Math" w:cs="Times New Roman"/>
                <w:i/>
                <w:szCs w:val="24"/>
              </w:rPr>
            </m:ctrlPr>
          </m:dPr>
          <m:e>
            <m:sSubSup>
              <m:sSubSupPr>
                <m:ctrlPr>
                  <w:rPr>
                    <w:rFonts w:ascii="Cambria Math" w:hAnsi="Cambria Math" w:cs="Times New Roman"/>
                    <w:i/>
                    <w:szCs w:val="24"/>
                  </w:rPr>
                </m:ctrlPr>
              </m:sSubSupPr>
              <m:e>
                <m:r>
                  <w:rPr>
                    <w:rFonts w:ascii="Cambria Math" w:hAnsi="Cambria Math" w:cs="Times New Roman"/>
                    <w:szCs w:val="24"/>
                  </w:rPr>
                  <m:t>W</m:t>
                </m:r>
              </m:e>
              <m:sub>
                <m:r>
                  <w:rPr>
                    <w:rFonts w:ascii="Cambria Math" w:hAnsi="Cambria Math" w:cs="Times New Roman"/>
                    <w:szCs w:val="24"/>
                  </w:rPr>
                  <m:t>ARW</m:t>
                </m:r>
              </m:sub>
              <m:sup>
                <m:r>
                  <w:rPr>
                    <w:rFonts w:ascii="Cambria Math" w:hAnsi="Cambria Math" w:cs="Times New Roman"/>
                    <w:szCs w:val="24"/>
                  </w:rPr>
                  <m:t>wet</m:t>
                </m:r>
              </m:sup>
            </m:sSubSup>
          </m:e>
        </m:d>
      </m:oMath>
      <w:r w:rsidRPr="003B0C2F">
        <w:rPr>
          <w:rFonts w:eastAsiaTheme="minorEastAsia" w:cs="Times New Roman"/>
          <w:szCs w:val="24"/>
        </w:rPr>
        <w:t xml:space="preserve"> was resulted from the action of amine-base. Also, t</w:t>
      </w:r>
      <w:r w:rsidRPr="003B0C2F">
        <w:rPr>
          <w:rFonts w:cs="Times New Roman"/>
          <w:szCs w:val="24"/>
        </w:rPr>
        <w:t xml:space="preserve">he </w:t>
      </w:r>
      <w:r w:rsidRPr="003B0C2F">
        <w:rPr>
          <w:rFonts w:cs="Times New Roman"/>
          <w:i/>
          <w:iCs/>
          <w:szCs w:val="24"/>
        </w:rPr>
        <w:t>ER</w:t>
      </w:r>
      <w:r w:rsidRPr="003B0C2F">
        <w:rPr>
          <w:rFonts w:cs="Times New Roman"/>
          <w:i/>
          <w:iCs/>
          <w:szCs w:val="24"/>
          <w:vertAlign w:val="subscript"/>
        </w:rPr>
        <w:t>1</w:t>
      </w:r>
      <w:r w:rsidRPr="003B0C2F">
        <w:rPr>
          <w:rFonts w:cs="Times New Roman"/>
          <w:szCs w:val="24"/>
        </w:rPr>
        <w:t xml:space="preserve"> and </w:t>
      </w:r>
      <w:r w:rsidRPr="003B0C2F">
        <w:rPr>
          <w:rFonts w:cs="Times New Roman"/>
          <w:i/>
          <w:iCs/>
          <w:szCs w:val="24"/>
        </w:rPr>
        <w:t>ER</w:t>
      </w:r>
      <w:r w:rsidRPr="003B0C2F">
        <w:rPr>
          <w:rFonts w:cs="Times New Roman"/>
          <w:i/>
          <w:iCs/>
          <w:szCs w:val="24"/>
          <w:vertAlign w:val="subscript"/>
        </w:rPr>
        <w:t>2</w:t>
      </w:r>
      <w:r w:rsidRPr="003B0C2F">
        <w:rPr>
          <w:rFonts w:cs="Times New Roman"/>
          <w:szCs w:val="24"/>
        </w:rPr>
        <w:t xml:space="preserve"> values were observed to slightly increase for binder-aggregate systems with WMA additive. Therefore, the addition of WMA is expected to improve resistance to moisture-induced damage. </w:t>
      </w:r>
      <w:r w:rsidR="00E6558D" w:rsidRPr="003B0C2F">
        <w:rPr>
          <w:rFonts w:cs="Times New Roman"/>
          <w:szCs w:val="24"/>
        </w:rPr>
        <w:fldChar w:fldCharType="begin"/>
      </w:r>
      <w:r w:rsidR="00C6718B" w:rsidRPr="003B0C2F">
        <w:rPr>
          <w:rFonts w:cs="Times New Roman"/>
          <w:szCs w:val="24"/>
        </w:rPr>
        <w:instrText xml:space="preserve"> ADDIN EN.CITE &lt;EndNote&gt;&lt;Cite AuthorYear="1"&gt;&lt;Author&gt;Ghabchi&lt;/Author&gt;&lt;Year&gt;2013&lt;/Year&gt;&lt;RecNum&gt;33&lt;/RecNum&gt;&lt;DisplayText&gt;Ghabchi et al. (2013)&lt;/DisplayText&gt;&lt;record&gt;&lt;rec-number&gt;33&lt;/rec-number&gt;&lt;foreign-keys&gt;&lt;key app="EN" db-id="d55vzfpwawdafteedfoxsf0lv0v0wp5va2aa" timestamp="1509901289"&gt;33&lt;/key&gt;&lt;/foreign-keys&gt;&lt;ref-type name="Journal Article"&gt;17&lt;/ref-type&gt;&lt;contributors&gt;&lt;authors&gt;&lt;author&gt;Ghabchi, Rouzbeh&lt;/author&gt;&lt;author&gt;Singh, Dharamveer&lt;/author&gt;&lt;author&gt;Zaman, Musharraf&lt;/author&gt;&lt;author&gt;Tian, Qingyan&lt;/author&gt;&lt;/authors&gt;&lt;/contributors&gt;&lt;titles&gt;&lt;title&gt;Mechanistic Evaluation of the Effect of WMA Additives on Wettability and Moisture Susceptibility Properties of Asphalt Mixes&lt;/title&gt;&lt;secondary-title&gt;Journal of Testing and Evaluation&lt;/secondary-title&gt;&lt;/titles&gt;&lt;periodical&gt;&lt;full-title&gt;Journal of Testing and Evaluation&lt;/full-title&gt;&lt;/periodical&gt;&lt;pages&gt;933-942&lt;/pages&gt;&lt;volume&gt;41&lt;/volume&gt;&lt;number&gt;6&lt;/number&gt;&lt;dates&gt;&lt;year&gt;2013&lt;/year&gt;&lt;/dates&gt;&lt;isbn&gt;0090-3973&lt;/isbn&gt;&lt;urls&gt;&lt;/urls&gt;&lt;/record&gt;&lt;/Cite&gt;&lt;/EndNote&gt;</w:instrText>
      </w:r>
      <w:r w:rsidR="00E6558D" w:rsidRPr="003B0C2F">
        <w:rPr>
          <w:rFonts w:cs="Times New Roman"/>
          <w:szCs w:val="24"/>
        </w:rPr>
        <w:fldChar w:fldCharType="separate"/>
      </w:r>
      <w:r w:rsidR="00C6718B" w:rsidRPr="003B0C2F">
        <w:rPr>
          <w:rFonts w:cs="Times New Roman"/>
          <w:noProof/>
          <w:szCs w:val="24"/>
        </w:rPr>
        <w:t>Ghabchi et al. (2013)</w:t>
      </w:r>
      <w:r w:rsidR="00E6558D" w:rsidRPr="003B0C2F">
        <w:rPr>
          <w:rFonts w:cs="Times New Roman"/>
          <w:szCs w:val="24"/>
        </w:rPr>
        <w:fldChar w:fldCharType="end"/>
      </w:r>
      <w:r w:rsidR="00C6718B" w:rsidRPr="003B0C2F">
        <w:rPr>
          <w:rFonts w:cs="Times New Roman"/>
          <w:szCs w:val="24"/>
        </w:rPr>
        <w:t xml:space="preserve"> </w:t>
      </w:r>
      <w:r w:rsidR="009E3D50" w:rsidRPr="003B0C2F">
        <w:rPr>
          <w:rFonts w:cs="Times New Roman"/>
          <w:szCs w:val="24"/>
        </w:rPr>
        <w:t xml:space="preserve">reported </w:t>
      </w:r>
      <w:r w:rsidR="00381EF5" w:rsidRPr="003B0C2F">
        <w:rPr>
          <w:rFonts w:cs="Times New Roman"/>
          <w:szCs w:val="24"/>
        </w:rPr>
        <w:t xml:space="preserve">a </w:t>
      </w:r>
      <w:r w:rsidR="009E3D50" w:rsidRPr="003B0C2F">
        <w:rPr>
          <w:rFonts w:cs="Times New Roman"/>
          <w:szCs w:val="24"/>
        </w:rPr>
        <w:t>similar reduction of moisture susceptibility potential</w:t>
      </w:r>
      <w:r w:rsidR="001D0700" w:rsidRPr="003B0C2F">
        <w:rPr>
          <w:rFonts w:cs="Times New Roman"/>
          <w:szCs w:val="24"/>
        </w:rPr>
        <w:t xml:space="preserve"> of different binder-aggregate systems with the addition of </w:t>
      </w:r>
      <w:r w:rsidR="00381EF5" w:rsidRPr="003B0C2F">
        <w:rPr>
          <w:rFonts w:cs="Times New Roman"/>
          <w:szCs w:val="24"/>
        </w:rPr>
        <w:t xml:space="preserve">the </w:t>
      </w:r>
      <w:r w:rsidR="00AD68D8" w:rsidRPr="003B0C2F">
        <w:rPr>
          <w:rFonts w:cs="Times New Roman"/>
          <w:szCs w:val="24"/>
        </w:rPr>
        <w:t>same</w:t>
      </w:r>
      <w:r w:rsidR="001D0700" w:rsidRPr="003B0C2F">
        <w:rPr>
          <w:rFonts w:cs="Times New Roman"/>
          <w:szCs w:val="24"/>
        </w:rPr>
        <w:t xml:space="preserve"> </w:t>
      </w:r>
      <w:r w:rsidR="00E6558D" w:rsidRPr="003B0C2F">
        <w:rPr>
          <w:rFonts w:cs="Times New Roman"/>
          <w:szCs w:val="24"/>
        </w:rPr>
        <w:t>WMA additive</w:t>
      </w:r>
      <w:r w:rsidR="009E3D50" w:rsidRPr="003B0C2F">
        <w:rPr>
          <w:rFonts w:cs="Times New Roman"/>
          <w:szCs w:val="24"/>
        </w:rPr>
        <w:t xml:space="preserve">. </w:t>
      </w:r>
      <w:r w:rsidRPr="003B0C2F">
        <w:rPr>
          <w:rFonts w:cs="Times New Roman"/>
          <w:szCs w:val="24"/>
        </w:rPr>
        <w:t>The energy ratios of the PG 64-22+0.5% WMA with all aggregates reduced with RTFO-aging and then increased with PAV-aging. The energy ratios under PAV-aged condition are similar to that of unaged condition. Similar to the PG 64-22 binder, the R1 aggregate exhibited the highest and the L2 aggregate exhibited the lowest resistance to moisture susceptibility with the PG 64-22+0.5% WMA binder.</w:t>
      </w:r>
    </w:p>
    <w:p w14:paraId="456286CA" w14:textId="1EB016F4" w:rsidR="0038132E" w:rsidRPr="00C94B99" w:rsidRDefault="00CF47AF" w:rsidP="00C94B99">
      <w:pPr>
        <w:ind w:firstLine="720"/>
        <w:rPr>
          <w:rFonts w:cs="Times New Roman"/>
          <w:szCs w:val="24"/>
        </w:rPr>
      </w:pPr>
      <w:r w:rsidRPr="003B0C2F">
        <w:rPr>
          <w:rFonts w:cs="Times New Roman"/>
          <w:szCs w:val="24"/>
        </w:rPr>
        <w:t xml:space="preserve">The energy ratios from Table </w:t>
      </w:r>
      <w:r w:rsidR="00222DA5" w:rsidRPr="003B0C2F">
        <w:rPr>
          <w:rFonts w:cs="Times New Roman"/>
          <w:szCs w:val="24"/>
          <w:lang w:val="en-CA"/>
        </w:rPr>
        <w:t>3.</w:t>
      </w:r>
      <w:r w:rsidRPr="003B0C2F">
        <w:rPr>
          <w:rFonts w:cs="Times New Roman"/>
          <w:szCs w:val="24"/>
        </w:rPr>
        <w:t xml:space="preserve">7 indicated that the addition of WMA to the PG 76-28 binder increased the moisture susceptibility of the binder-aggregate system. However, the </w:t>
      </w:r>
      <w:r w:rsidRPr="003B0C2F">
        <w:rPr>
          <w:rFonts w:cs="Times New Roman"/>
          <w:i/>
          <w:iCs/>
          <w:szCs w:val="24"/>
        </w:rPr>
        <w:t>ER</w:t>
      </w:r>
      <w:r w:rsidRPr="003B0C2F">
        <w:rPr>
          <w:rFonts w:cs="Times New Roman"/>
          <w:i/>
          <w:iCs/>
          <w:szCs w:val="24"/>
          <w:vertAlign w:val="subscript"/>
        </w:rPr>
        <w:t>1</w:t>
      </w:r>
      <w:r w:rsidRPr="003B0C2F">
        <w:rPr>
          <w:rFonts w:cs="Times New Roman"/>
          <w:szCs w:val="24"/>
        </w:rPr>
        <w:t xml:space="preserve"> and </w:t>
      </w:r>
      <w:r w:rsidRPr="003B0C2F">
        <w:rPr>
          <w:rFonts w:cs="Times New Roman"/>
          <w:i/>
          <w:iCs/>
          <w:szCs w:val="24"/>
        </w:rPr>
        <w:t>ER</w:t>
      </w:r>
      <w:r w:rsidRPr="003B0C2F">
        <w:rPr>
          <w:rFonts w:cs="Times New Roman"/>
          <w:i/>
          <w:iCs/>
          <w:szCs w:val="24"/>
          <w:vertAlign w:val="subscript"/>
        </w:rPr>
        <w:t>2</w:t>
      </w:r>
      <w:r w:rsidRPr="003B0C2F">
        <w:rPr>
          <w:rFonts w:cs="Times New Roman"/>
          <w:szCs w:val="24"/>
        </w:rPr>
        <w:t xml:space="preserve"> increased with aging indicating an improved resistance to moisture-induced damage. After long-term aging, the asphalt mix with the PG 76-28+0.5% WMA binder is expected to perform similar to the mix with the PG 76-28 binder. According to energy ratio values, the R1 aggregate exhibited</w:t>
      </w:r>
      <w:r w:rsidRPr="00C94B99">
        <w:rPr>
          <w:rFonts w:cs="Times New Roman"/>
          <w:szCs w:val="24"/>
        </w:rPr>
        <w:t xml:space="preserve"> the highest resistance to moisture susceptibility with the PG 76-28+0.5% WMA binder followed by the L1, L3, L2 and G1 aggregates</w:t>
      </w:r>
      <w:r w:rsidR="0038132E" w:rsidRPr="00C94B99">
        <w:rPr>
          <w:rFonts w:cs="Times New Roman"/>
          <w:szCs w:val="24"/>
        </w:rPr>
        <w:t>.</w:t>
      </w:r>
    </w:p>
    <w:p w14:paraId="6FD9D191" w14:textId="77777777" w:rsidR="0038132E" w:rsidRPr="00C94B99" w:rsidRDefault="0038132E" w:rsidP="00C94B99">
      <w:pPr>
        <w:pStyle w:val="Heading4"/>
        <w:spacing w:before="0" w:after="0"/>
        <w:rPr>
          <w:szCs w:val="24"/>
          <w:lang w:val="en-CA"/>
        </w:rPr>
      </w:pPr>
      <w:bookmarkStart w:id="89" w:name="_Toc6529154"/>
      <w:r w:rsidRPr="00C94B99">
        <w:rPr>
          <w:szCs w:val="24"/>
          <w:lang w:val="en-CA"/>
        </w:rPr>
        <w:t>Effect of Antistripping Agent</w:t>
      </w:r>
      <w:bookmarkEnd w:id="89"/>
    </w:p>
    <w:p w14:paraId="1AF6A679" w14:textId="36E62FEE" w:rsidR="00FD71D8" w:rsidRPr="00C94B99" w:rsidRDefault="00FD71D8" w:rsidP="00C94B99">
      <w:pPr>
        <w:ind w:firstLine="720"/>
        <w:rPr>
          <w:rFonts w:cs="Times New Roman"/>
          <w:szCs w:val="24"/>
          <w:lang w:val="en-CA"/>
        </w:rPr>
      </w:pPr>
      <w:r w:rsidRPr="00C94B99">
        <w:rPr>
          <w:rFonts w:cs="Times New Roman"/>
          <w:szCs w:val="24"/>
          <w:lang w:val="en-CA"/>
        </w:rPr>
        <w:t xml:space="preserve">Similar to the WMA, the addition of ASA to the PG 64-22 binder resulted in an increase in the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C94B99">
        <w:rPr>
          <w:rFonts w:eastAsiaTheme="minorEastAsia" w:cs="Times New Roman"/>
          <w:szCs w:val="24"/>
          <w:lang w:val="en-GB" w:eastAsia="en-GB"/>
        </w:rPr>
        <w:t xml:space="preserve"> </w:t>
      </w:r>
      <w:r w:rsidRPr="00C94B99">
        <w:rPr>
          <w:rFonts w:cs="Times New Roman"/>
          <w:szCs w:val="24"/>
          <w:lang w:val="en-CA"/>
        </w:rPr>
        <w:t xml:space="preserve">and energy ratios with all five aggregates. For example, </w:t>
      </w:r>
      <w:r w:rsidR="00963A03">
        <w:rPr>
          <w:rFonts w:cs="Times New Roman"/>
          <w:szCs w:val="24"/>
          <w:lang w:val="en-CA"/>
        </w:rPr>
        <w:t xml:space="preserve">an </w:t>
      </w:r>
      <w:r w:rsidRPr="00C94B99">
        <w:rPr>
          <w:rFonts w:cs="Times New Roman"/>
          <w:szCs w:val="24"/>
          <w:lang w:val="en-CA"/>
        </w:rPr>
        <w:t xml:space="preserve">approximately 7% increase in the </w:t>
      </w:r>
      <w:r w:rsidRPr="00C94B99">
        <w:rPr>
          <w:rFonts w:cs="Times New Roman"/>
          <w:i/>
          <w:iCs/>
          <w:szCs w:val="24"/>
          <w:lang w:val="en-CA"/>
        </w:rPr>
        <w:t>ER</w:t>
      </w:r>
      <w:r w:rsidRPr="00C94B99">
        <w:rPr>
          <w:rFonts w:cs="Times New Roman"/>
          <w:i/>
          <w:iCs/>
          <w:szCs w:val="24"/>
          <w:vertAlign w:val="subscript"/>
          <w:lang w:val="en-CA"/>
        </w:rPr>
        <w:t>1</w:t>
      </w:r>
      <w:r w:rsidRPr="00C94B99">
        <w:rPr>
          <w:rFonts w:cs="Times New Roman"/>
          <w:szCs w:val="24"/>
          <w:lang w:val="en-CA"/>
        </w:rPr>
        <w:t xml:space="preserve"> parameter was observed for the PG 64-22+0.5% ASA with the L1 aggregate. Therefore, use of the PG 64-22+0.5% ASA is expected to produce a mix with improved moisture-induced damage resistant than the neat PG 64-22 binder. The presence of amine-base is responsible for this increase in the resistance to moisture-induced damage. However, a reduction in the </w:t>
      </w:r>
      <w:r w:rsidRPr="00C94B99">
        <w:rPr>
          <w:rFonts w:cs="Times New Roman"/>
          <w:i/>
          <w:szCs w:val="24"/>
          <w:lang w:val="en-CA"/>
        </w:rPr>
        <w:t>ER</w:t>
      </w:r>
      <w:r w:rsidRPr="00C94B99">
        <w:rPr>
          <w:rFonts w:cs="Times New Roman"/>
          <w:i/>
          <w:szCs w:val="24"/>
          <w:vertAlign w:val="subscript"/>
          <w:lang w:val="en-CA"/>
        </w:rPr>
        <w:t>1</w:t>
      </w:r>
      <w:r w:rsidRPr="00C94B99">
        <w:rPr>
          <w:rFonts w:cs="Times New Roman"/>
          <w:szCs w:val="24"/>
          <w:lang w:val="en-CA"/>
        </w:rPr>
        <w:t xml:space="preserve"> value was observed with the thermal degradation of the ASA with RTFO- and PAV-aging. A similar reduction in moisture-induced damage resistance with aging for binders blended with ASA was reported by </w:t>
      </w:r>
      <w:r w:rsidRPr="00C94B99">
        <w:rPr>
          <w:rFonts w:cs="Times New Roman"/>
          <w:szCs w:val="24"/>
          <w:lang w:val="en-CA"/>
        </w:rPr>
        <w:fldChar w:fldCharType="begin"/>
      </w:r>
      <w:r w:rsidR="00D969E0">
        <w:rPr>
          <w:rFonts w:cs="Times New Roman"/>
          <w:szCs w:val="24"/>
          <w:lang w:val="en-CA"/>
        </w:rPr>
        <w:instrText xml:space="preserve"> ADDIN EN.CITE &lt;EndNote&gt;&lt;Cite AuthorYear="1"&gt;&lt;Author&gt;Wasiuddin&lt;/Author&gt;&lt;Year&gt;2007&lt;/Year&gt;&lt;RecNum&gt;82&lt;/RecNum&gt;&lt;DisplayText&gt;Wasiuddin et al. (2007c)&lt;/DisplayText&gt;&lt;record&gt;&lt;rec-number&gt;82&lt;/rec-number&gt;&lt;foreign-keys&gt;&lt;key app="EN" db-id="d55vzfpwawdafteedfoxsf0lv0v0wp5va2aa" timestamp="1519487395"&gt;82&lt;/key&gt;&lt;/foreign-keys&gt;&lt;ref-type name="Journal Article"&gt;17&lt;/ref-type&gt;&lt;contributors&gt;&lt;authors&gt;&lt;author&gt;Wasiuddin, Nazimuddin M&lt;/author&gt;&lt;author&gt;Fogle, Chris M&lt;/author&gt;&lt;author&gt;Zaman, Musharraf M&lt;/author&gt;&lt;author&gt;O’Rear, Edgar A&lt;/author&gt;&lt;/authors&gt;&lt;/contributors&gt;&lt;titles&gt;&lt;title&gt;Effect of Antistrip Additives on Surface Free Energy Characteristics of Asphalt Binders for Moisture-Induced Damage Potential&lt;/title&gt;&lt;secondary-title&gt;Journal of Testing and Evaluation&lt;/secondary-title&gt;&lt;/titles&gt;&lt;periodical&gt;&lt;full-title&gt;Journal of Testing and Evaluation&lt;/full-title&gt;&lt;/periodical&gt;&lt;volume&gt;35&lt;/volume&gt;&lt;number&gt;1&lt;/number&gt;&lt;dates&gt;&lt;year&gt;2007&lt;/year&gt;&lt;/dates&gt;&lt;urls&gt;&lt;/urls&gt;&lt;/record&gt;&lt;/Cite&gt;&lt;/EndNote&gt;</w:instrText>
      </w:r>
      <w:r w:rsidRPr="00C94B99">
        <w:rPr>
          <w:rFonts w:cs="Times New Roman"/>
          <w:szCs w:val="24"/>
          <w:lang w:val="en-CA"/>
        </w:rPr>
        <w:fldChar w:fldCharType="separate"/>
      </w:r>
      <w:r w:rsidR="00D969E0">
        <w:rPr>
          <w:rFonts w:cs="Times New Roman"/>
          <w:noProof/>
          <w:szCs w:val="24"/>
          <w:lang w:val="en-CA"/>
        </w:rPr>
        <w:t>Wasiuddin et al. (2007c)</w:t>
      </w:r>
      <w:r w:rsidRPr="00C94B99">
        <w:rPr>
          <w:rFonts w:cs="Times New Roman"/>
          <w:szCs w:val="24"/>
          <w:lang w:val="en-CA"/>
        </w:rPr>
        <w:fldChar w:fldCharType="end"/>
      </w:r>
      <w:r w:rsidRPr="00C94B99">
        <w:rPr>
          <w:rFonts w:cs="Times New Roman"/>
          <w:szCs w:val="24"/>
          <w:lang w:val="en-CA"/>
        </w:rPr>
        <w:t xml:space="preserve">. From Tables </w:t>
      </w:r>
      <w:r w:rsidR="00222DA5">
        <w:rPr>
          <w:rFonts w:cs="Times New Roman"/>
          <w:szCs w:val="24"/>
          <w:lang w:val="en-CA"/>
        </w:rPr>
        <w:t>3.</w:t>
      </w:r>
      <w:r w:rsidRPr="00C94B99">
        <w:rPr>
          <w:rFonts w:cs="Times New Roman"/>
          <w:szCs w:val="24"/>
          <w:lang w:val="en-CA"/>
        </w:rPr>
        <w:t xml:space="preserve">6 and </w:t>
      </w:r>
      <w:r w:rsidR="00222DA5">
        <w:rPr>
          <w:rFonts w:cs="Times New Roman"/>
          <w:szCs w:val="24"/>
          <w:lang w:val="en-CA"/>
        </w:rPr>
        <w:t>3.</w:t>
      </w:r>
      <w:r w:rsidRPr="00C94B99">
        <w:rPr>
          <w:rFonts w:cs="Times New Roman"/>
          <w:szCs w:val="24"/>
          <w:lang w:val="en-CA"/>
        </w:rPr>
        <w:t xml:space="preserve">7, it was observed that, the use of L2 aggregate with the PG 64-22+0.5% ASA may increase the potential for moisture-induced damage. </w:t>
      </w:r>
    </w:p>
    <w:p w14:paraId="2AD4C14A" w14:textId="035D362B" w:rsidR="0038132E" w:rsidRPr="00C94B99" w:rsidRDefault="00FD71D8" w:rsidP="00C94B99">
      <w:pPr>
        <w:ind w:firstLine="720"/>
        <w:rPr>
          <w:rFonts w:cs="Times New Roman"/>
          <w:szCs w:val="24"/>
          <w:lang w:val="en-CA"/>
        </w:rPr>
      </w:pPr>
      <w:r w:rsidRPr="00C94B99">
        <w:rPr>
          <w:rFonts w:cs="Times New Roman"/>
          <w:szCs w:val="24"/>
          <w:lang w:val="en-CA"/>
        </w:rPr>
        <w:t xml:space="preserve">Similar to the PG 64-22 binder, the addition of ASA to the PG 76-28 binder contributed to the improvement of moisture-induced damage resistance. The trend is similar for all aggregates. The </w:t>
      </w:r>
      <w:r w:rsidRPr="00C94B99">
        <w:rPr>
          <w:rFonts w:cs="Times New Roman"/>
          <w:i/>
          <w:iCs/>
          <w:szCs w:val="24"/>
        </w:rPr>
        <w:t>ER</w:t>
      </w:r>
      <w:r w:rsidRPr="00C94B99">
        <w:rPr>
          <w:rFonts w:cs="Times New Roman"/>
          <w:i/>
          <w:iCs/>
          <w:szCs w:val="24"/>
          <w:vertAlign w:val="subscript"/>
        </w:rPr>
        <w:t>1</w:t>
      </w:r>
      <w:r w:rsidRPr="00C94B99">
        <w:rPr>
          <w:rFonts w:cs="Times New Roman"/>
          <w:szCs w:val="24"/>
        </w:rPr>
        <w:t xml:space="preserve"> and </w:t>
      </w:r>
      <w:r w:rsidRPr="00C94B99">
        <w:rPr>
          <w:rFonts w:cs="Times New Roman"/>
          <w:i/>
          <w:iCs/>
          <w:szCs w:val="24"/>
        </w:rPr>
        <w:t>ER</w:t>
      </w:r>
      <w:r w:rsidRPr="00C94B99">
        <w:rPr>
          <w:rFonts w:cs="Times New Roman"/>
          <w:i/>
          <w:iCs/>
          <w:szCs w:val="24"/>
          <w:vertAlign w:val="subscript"/>
        </w:rPr>
        <w:t>2</w:t>
      </w:r>
      <w:r w:rsidRPr="00C94B99">
        <w:rPr>
          <w:rFonts w:cs="Times New Roman"/>
          <w:szCs w:val="24"/>
        </w:rPr>
        <w:t xml:space="preserve"> </w:t>
      </w:r>
      <w:r w:rsidRPr="00C94B99">
        <w:rPr>
          <w:rFonts w:cs="Times New Roman"/>
          <w:szCs w:val="24"/>
          <w:lang w:val="en-CA"/>
        </w:rPr>
        <w:t>reduced with RTFO-aging indicating a higher susceptibility to moisture-induced damage with aging. No further change in the energy ratios were observed with PAV-aging</w:t>
      </w:r>
      <w:r w:rsidR="0038132E" w:rsidRPr="00C94B99">
        <w:rPr>
          <w:rFonts w:cs="Times New Roman"/>
          <w:szCs w:val="24"/>
          <w:lang w:val="en-CA"/>
        </w:rPr>
        <w:t xml:space="preserve">. </w:t>
      </w:r>
    </w:p>
    <w:p w14:paraId="3F07F179" w14:textId="77777777" w:rsidR="0038132E" w:rsidRPr="00C94B99" w:rsidRDefault="0038132E" w:rsidP="00C94B99">
      <w:pPr>
        <w:pStyle w:val="Heading4"/>
        <w:spacing w:before="0" w:after="0"/>
        <w:rPr>
          <w:szCs w:val="24"/>
          <w:lang w:val="en-CA"/>
        </w:rPr>
      </w:pPr>
      <w:bookmarkStart w:id="90" w:name="_Toc6529155"/>
      <w:r w:rsidRPr="00C94B99">
        <w:rPr>
          <w:szCs w:val="24"/>
          <w:lang w:val="en-CA"/>
        </w:rPr>
        <w:t>Effect of Reclaimed Asphalt Pavement (RAP)</w:t>
      </w:r>
      <w:bookmarkEnd w:id="90"/>
    </w:p>
    <w:p w14:paraId="0014A94C" w14:textId="77777777" w:rsidR="00A608F9" w:rsidRPr="00C94B99" w:rsidRDefault="00A608F9" w:rsidP="00C94B99">
      <w:pPr>
        <w:ind w:firstLine="720"/>
        <w:rPr>
          <w:rFonts w:cs="Times New Roman"/>
          <w:szCs w:val="24"/>
          <w:lang w:val="en-CA"/>
        </w:rPr>
      </w:pPr>
      <w:r w:rsidRPr="00C94B99">
        <w:rPr>
          <w:rFonts w:cs="Times New Roman"/>
          <w:szCs w:val="24"/>
          <w:lang w:val="en-CA"/>
        </w:rPr>
        <w:t xml:space="preserve">The addition of 20% RAP to the PG 64-22 binder exhibited similar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C94B99">
        <w:rPr>
          <w:rFonts w:cs="Times New Roman"/>
          <w:szCs w:val="24"/>
          <w:lang w:val="en-CA"/>
        </w:rPr>
        <w:t xml:space="preserve"> and energy ratios as the PG 64-22 binder without any additive. However, based on energy ratios, the moisture-induced damage potential of a mix containing the PG 64-22+20% RAP is expected to increase with aging. The steady increase of the </w:t>
      </w:r>
      <w:r w:rsidRPr="00C94B99">
        <w:rPr>
          <w:rFonts w:cs="Times New Roman"/>
          <w:i/>
          <w:iCs/>
          <w:szCs w:val="24"/>
        </w:rPr>
        <w:t>I</w:t>
      </w:r>
      <w:r w:rsidRPr="00C94B99">
        <w:rPr>
          <w:rFonts w:cs="Times New Roman"/>
          <w:i/>
          <w:iCs/>
          <w:szCs w:val="24"/>
          <w:vertAlign w:val="subscript"/>
        </w:rPr>
        <w:t>CO</w:t>
      </w:r>
      <w:r w:rsidRPr="00C94B99">
        <w:rPr>
          <w:rFonts w:cs="Times New Roman"/>
          <w:szCs w:val="24"/>
        </w:rPr>
        <w:t xml:space="preserve"> and </w:t>
      </w:r>
      <w:r w:rsidRPr="00C94B99">
        <w:rPr>
          <w:rFonts w:cs="Times New Roman"/>
          <w:i/>
          <w:iCs/>
          <w:szCs w:val="24"/>
        </w:rPr>
        <w:t>I</w:t>
      </w:r>
      <w:r w:rsidRPr="00C94B99">
        <w:rPr>
          <w:rFonts w:cs="Times New Roman"/>
          <w:i/>
          <w:iCs/>
          <w:szCs w:val="24"/>
          <w:vertAlign w:val="subscript"/>
        </w:rPr>
        <w:t>SO</w:t>
      </w:r>
      <w:r w:rsidRPr="00C94B99">
        <w:rPr>
          <w:rFonts w:cs="Times New Roman"/>
          <w:szCs w:val="24"/>
        </w:rPr>
        <w:t xml:space="preserve"> </w:t>
      </w:r>
      <w:r w:rsidRPr="00C94B99">
        <w:rPr>
          <w:rFonts w:cs="Times New Roman"/>
          <w:szCs w:val="24"/>
          <w:lang w:val="en-CA"/>
        </w:rPr>
        <w:t xml:space="preserve">with aging pointed to the generation of water-soluble bonds at the interface when the PG 64-22+20% RAP binder come into contact with an aggregate. Therefore, an increase in the moisture-induced damage potential is expected. According to the </w:t>
      </w:r>
      <w:r w:rsidRPr="00C94B99">
        <w:rPr>
          <w:rFonts w:cs="Times New Roman"/>
          <w:i/>
          <w:iCs/>
          <w:szCs w:val="24"/>
        </w:rPr>
        <w:t>ER</w:t>
      </w:r>
      <w:r w:rsidRPr="00C94B99">
        <w:rPr>
          <w:rFonts w:cs="Times New Roman"/>
          <w:i/>
          <w:iCs/>
          <w:szCs w:val="24"/>
          <w:vertAlign w:val="subscript"/>
        </w:rPr>
        <w:t>1</w:t>
      </w:r>
      <w:r w:rsidRPr="00C94B99">
        <w:rPr>
          <w:rFonts w:cs="Times New Roman"/>
          <w:szCs w:val="24"/>
        </w:rPr>
        <w:t xml:space="preserve"> and </w:t>
      </w:r>
      <w:r w:rsidRPr="00C94B99">
        <w:rPr>
          <w:rFonts w:cs="Times New Roman"/>
          <w:i/>
          <w:iCs/>
          <w:szCs w:val="24"/>
        </w:rPr>
        <w:t>ER</w:t>
      </w:r>
      <w:r w:rsidRPr="00C94B99">
        <w:rPr>
          <w:rFonts w:cs="Times New Roman"/>
          <w:i/>
          <w:iCs/>
          <w:szCs w:val="24"/>
          <w:vertAlign w:val="subscript"/>
        </w:rPr>
        <w:t>2</w:t>
      </w:r>
      <w:r w:rsidRPr="00C94B99">
        <w:rPr>
          <w:rFonts w:cs="Times New Roman"/>
          <w:szCs w:val="24"/>
          <w:lang w:val="en-CA"/>
        </w:rPr>
        <w:t>, the moisture-induced damage resistance of the binder-aggregate combinations with the R1, L1, L3, G1 and L2 were ranked as 1</w:t>
      </w:r>
      <w:r w:rsidRPr="00C94B99">
        <w:rPr>
          <w:rFonts w:cs="Times New Roman"/>
          <w:szCs w:val="24"/>
          <w:vertAlign w:val="superscript"/>
          <w:lang w:val="en-CA"/>
        </w:rPr>
        <w:t>st</w:t>
      </w:r>
      <w:r w:rsidRPr="00C94B99">
        <w:rPr>
          <w:rFonts w:cs="Times New Roman"/>
          <w:szCs w:val="24"/>
          <w:lang w:val="en-CA"/>
        </w:rPr>
        <w:t>, 2</w:t>
      </w:r>
      <w:r w:rsidRPr="00C94B99">
        <w:rPr>
          <w:rFonts w:cs="Times New Roman"/>
          <w:szCs w:val="24"/>
          <w:vertAlign w:val="superscript"/>
          <w:lang w:val="en-CA"/>
        </w:rPr>
        <w:t>nd</w:t>
      </w:r>
      <w:r w:rsidRPr="00C94B99">
        <w:rPr>
          <w:rFonts w:cs="Times New Roman"/>
          <w:szCs w:val="24"/>
          <w:lang w:val="en-CA"/>
        </w:rPr>
        <w:t>, 3</w:t>
      </w:r>
      <w:r w:rsidRPr="00C94B99">
        <w:rPr>
          <w:rFonts w:cs="Times New Roman"/>
          <w:szCs w:val="24"/>
          <w:vertAlign w:val="superscript"/>
          <w:lang w:val="en-CA"/>
        </w:rPr>
        <w:t>rd</w:t>
      </w:r>
      <w:r w:rsidRPr="00C94B99">
        <w:rPr>
          <w:rFonts w:cs="Times New Roman"/>
          <w:szCs w:val="24"/>
          <w:lang w:val="en-CA"/>
        </w:rPr>
        <w:t>, 4</w:t>
      </w:r>
      <w:r w:rsidRPr="00C94B99">
        <w:rPr>
          <w:rFonts w:cs="Times New Roman"/>
          <w:szCs w:val="24"/>
          <w:vertAlign w:val="superscript"/>
          <w:lang w:val="en-CA"/>
        </w:rPr>
        <w:t>th</w:t>
      </w:r>
      <w:r w:rsidRPr="00C94B99">
        <w:rPr>
          <w:rFonts w:cs="Times New Roman"/>
          <w:szCs w:val="24"/>
          <w:lang w:val="en-CA"/>
        </w:rPr>
        <w:t xml:space="preserve"> and 5</w:t>
      </w:r>
      <w:r w:rsidRPr="00C94B99">
        <w:rPr>
          <w:rFonts w:cs="Times New Roman"/>
          <w:szCs w:val="24"/>
          <w:vertAlign w:val="superscript"/>
          <w:lang w:val="en-CA"/>
        </w:rPr>
        <w:t>th</w:t>
      </w:r>
      <w:r w:rsidRPr="00C94B99">
        <w:rPr>
          <w:rFonts w:cs="Times New Roman"/>
          <w:szCs w:val="24"/>
          <w:lang w:val="en-CA"/>
        </w:rPr>
        <w:t xml:space="preserve">, respectively. </w:t>
      </w:r>
    </w:p>
    <w:p w14:paraId="399DF759" w14:textId="33AF6DDA" w:rsidR="0038132E" w:rsidRPr="00C94B99" w:rsidRDefault="00A608F9" w:rsidP="00C94B99">
      <w:pPr>
        <w:ind w:firstLine="720"/>
        <w:rPr>
          <w:rFonts w:cs="Times New Roman"/>
          <w:szCs w:val="24"/>
          <w:lang w:val="en-CA"/>
        </w:rPr>
      </w:pPr>
      <w:r w:rsidRPr="00C94B99">
        <w:rPr>
          <w:rFonts w:cs="Times New Roman"/>
          <w:szCs w:val="24"/>
        </w:rPr>
        <w:t xml:space="preserve">The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C94B99">
        <w:rPr>
          <w:rFonts w:cs="Times New Roman"/>
          <w:szCs w:val="24"/>
        </w:rPr>
        <w:t xml:space="preserve"> increased and the </w:t>
      </w:r>
      <m:oMath>
        <m:sSubSup>
          <m:sSubSupPr>
            <m:ctrlPr>
              <w:rPr>
                <w:rFonts w:ascii="Cambria Math" w:hAnsi="Cambria Math" w:cs="Times New Roman"/>
                <w:i/>
                <w:szCs w:val="24"/>
              </w:rPr>
            </m:ctrlPr>
          </m:sSubSupPr>
          <m:e>
            <m:r>
              <w:rPr>
                <w:rFonts w:ascii="Cambria Math" w:hAnsi="Cambria Math" w:cs="Times New Roman"/>
                <w:szCs w:val="24"/>
              </w:rPr>
              <m:t>|W</m:t>
            </m:r>
          </m:e>
          <m:sub>
            <m:r>
              <w:rPr>
                <w:rFonts w:ascii="Cambria Math" w:hAnsi="Cambria Math" w:cs="Times New Roman"/>
                <w:szCs w:val="24"/>
              </w:rPr>
              <m:t>ARW</m:t>
            </m:r>
          </m:sub>
          <m:sup>
            <m:r>
              <w:rPr>
                <w:rFonts w:ascii="Cambria Math" w:hAnsi="Cambria Math" w:cs="Times New Roman"/>
                <w:szCs w:val="24"/>
              </w:rPr>
              <m:t>wet</m:t>
            </m:r>
          </m:sup>
        </m:sSubSup>
        <m:r>
          <w:rPr>
            <w:rFonts w:ascii="Cambria Math" w:hAnsi="Cambria Math" w:cs="Times New Roman"/>
            <w:szCs w:val="24"/>
          </w:rPr>
          <m:t>|</m:t>
        </m:r>
      </m:oMath>
      <w:r w:rsidRPr="00C94B99">
        <w:rPr>
          <w:rFonts w:cs="Times New Roman"/>
          <w:szCs w:val="24"/>
        </w:rPr>
        <w:t xml:space="preserve"> reduced with the addition of 20% RAP to the PG 76-28 binder. As a result, the </w:t>
      </w:r>
      <w:r w:rsidRPr="00C94B99">
        <w:rPr>
          <w:rFonts w:cs="Times New Roman"/>
          <w:i/>
          <w:iCs/>
          <w:szCs w:val="24"/>
        </w:rPr>
        <w:t>ER</w:t>
      </w:r>
      <w:r w:rsidRPr="00C94B99">
        <w:rPr>
          <w:rFonts w:cs="Times New Roman"/>
          <w:i/>
          <w:iCs/>
          <w:szCs w:val="24"/>
          <w:vertAlign w:val="subscript"/>
        </w:rPr>
        <w:t>1</w:t>
      </w:r>
      <w:r w:rsidRPr="00C94B99">
        <w:rPr>
          <w:rFonts w:cs="Times New Roman"/>
          <w:szCs w:val="24"/>
        </w:rPr>
        <w:t xml:space="preserve"> and </w:t>
      </w:r>
      <w:r w:rsidRPr="00C94B99">
        <w:rPr>
          <w:rFonts w:cs="Times New Roman"/>
          <w:i/>
          <w:iCs/>
          <w:szCs w:val="24"/>
        </w:rPr>
        <w:t>ER</w:t>
      </w:r>
      <w:r w:rsidRPr="00C94B99">
        <w:rPr>
          <w:rFonts w:cs="Times New Roman"/>
          <w:i/>
          <w:iCs/>
          <w:szCs w:val="24"/>
          <w:vertAlign w:val="subscript"/>
        </w:rPr>
        <w:t>2</w:t>
      </w:r>
      <w:r w:rsidRPr="00C94B99">
        <w:rPr>
          <w:rFonts w:cs="Times New Roman"/>
          <w:szCs w:val="24"/>
        </w:rPr>
        <w:t xml:space="preserve"> of all binder-aggregate combinations with the PG 76-28+20% RAP exhibited higher values than the PG 76-28 binder. Also, the moisture-induced damage potential is expected to slightly increase with short- and long-term aging. Also, it was observed that, combining the PG 76-28+20% RAP with the L2 aggregate will result in a high moisture susceptible mix</w:t>
      </w:r>
      <w:r w:rsidR="0038132E" w:rsidRPr="00C94B99">
        <w:rPr>
          <w:rFonts w:cs="Times New Roman"/>
          <w:szCs w:val="24"/>
        </w:rPr>
        <w:t xml:space="preserve">. </w:t>
      </w:r>
    </w:p>
    <w:p w14:paraId="7C26EBC4" w14:textId="77777777" w:rsidR="0038132E" w:rsidRPr="00C94B99" w:rsidRDefault="0038132E" w:rsidP="00C94B99">
      <w:pPr>
        <w:pStyle w:val="Heading4"/>
        <w:spacing w:before="0" w:after="0"/>
        <w:rPr>
          <w:szCs w:val="24"/>
        </w:rPr>
      </w:pPr>
      <w:bookmarkStart w:id="91" w:name="_Toc6529156"/>
      <w:r w:rsidRPr="00C94B99">
        <w:rPr>
          <w:szCs w:val="24"/>
        </w:rPr>
        <w:t>Effect of Polyphosphoric Acid</w:t>
      </w:r>
      <w:bookmarkEnd w:id="91"/>
      <w:r w:rsidRPr="00C94B99">
        <w:rPr>
          <w:szCs w:val="24"/>
        </w:rPr>
        <w:t xml:space="preserve"> (PPA)</w:t>
      </w:r>
    </w:p>
    <w:p w14:paraId="53D01176" w14:textId="2A470EA1" w:rsidR="003F7E75" w:rsidRPr="003B0C2F" w:rsidRDefault="003F7E75" w:rsidP="00C94B99">
      <w:pPr>
        <w:ind w:firstLine="720"/>
        <w:rPr>
          <w:rFonts w:eastAsiaTheme="minorEastAsia" w:cs="Times New Roman"/>
          <w:szCs w:val="24"/>
        </w:rPr>
      </w:pPr>
      <w:r w:rsidRPr="00C94B99">
        <w:rPr>
          <w:rFonts w:cs="Times New Roman"/>
          <w:szCs w:val="24"/>
        </w:rPr>
        <w:t xml:space="preserve">For the PG 64-22 binder, the effect of the addition of 1.5% PPA on the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C94B99">
        <w:rPr>
          <w:rFonts w:cs="Times New Roman"/>
          <w:szCs w:val="24"/>
        </w:rPr>
        <w:t xml:space="preserve"> and </w:t>
      </w:r>
      <m:oMath>
        <m:d>
          <m:dPr>
            <m:begChr m:val="|"/>
            <m:endChr m:val="|"/>
            <m:ctrlPr>
              <w:rPr>
                <w:rFonts w:ascii="Cambria Math" w:hAnsi="Cambria Math" w:cs="Times New Roman"/>
                <w:i/>
                <w:szCs w:val="24"/>
              </w:rPr>
            </m:ctrlPr>
          </m:dPr>
          <m:e>
            <m:sSubSup>
              <m:sSubSupPr>
                <m:ctrlPr>
                  <w:rPr>
                    <w:rFonts w:ascii="Cambria Math" w:hAnsi="Cambria Math" w:cs="Times New Roman"/>
                    <w:i/>
                    <w:szCs w:val="24"/>
                  </w:rPr>
                </m:ctrlPr>
              </m:sSubSupPr>
              <m:e>
                <m:r>
                  <w:rPr>
                    <w:rFonts w:ascii="Cambria Math" w:hAnsi="Cambria Math" w:cs="Times New Roman"/>
                    <w:szCs w:val="24"/>
                  </w:rPr>
                  <m:t>W</m:t>
                </m:r>
              </m:e>
              <m:sub>
                <m:r>
                  <w:rPr>
                    <w:rFonts w:ascii="Cambria Math" w:hAnsi="Cambria Math" w:cs="Times New Roman"/>
                    <w:szCs w:val="24"/>
                  </w:rPr>
                  <m:t>ARW</m:t>
                </m:r>
              </m:sub>
              <m:sup>
                <m:r>
                  <w:rPr>
                    <w:rFonts w:ascii="Cambria Math" w:hAnsi="Cambria Math" w:cs="Times New Roman"/>
                    <w:szCs w:val="24"/>
                  </w:rPr>
                  <m:t>wet</m:t>
                </m:r>
              </m:sup>
            </m:sSubSup>
          </m:e>
        </m:d>
      </m:oMath>
      <w:r w:rsidRPr="00C94B99">
        <w:rPr>
          <w:rFonts w:eastAsiaTheme="minorEastAsia" w:cs="Times New Roman"/>
          <w:szCs w:val="24"/>
        </w:rPr>
        <w:t xml:space="preserve"> </w:t>
      </w:r>
      <w:r w:rsidRPr="00C94B99">
        <w:rPr>
          <w:rFonts w:cs="Times New Roman"/>
          <w:szCs w:val="24"/>
        </w:rPr>
        <w:t xml:space="preserve">was observed to be influenced by the type of aggregate used in the binder-aggregate system. For example, the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C94B99">
        <w:rPr>
          <w:rFonts w:cs="Times New Roman"/>
          <w:szCs w:val="24"/>
        </w:rPr>
        <w:t xml:space="preserve"> for the L2 aggregate with the PG 64-22 binder was 109.7 mJ/m</w:t>
      </w:r>
      <w:r w:rsidRPr="00C94B99">
        <w:rPr>
          <w:rFonts w:cs="Times New Roman"/>
          <w:szCs w:val="24"/>
          <w:vertAlign w:val="superscript"/>
        </w:rPr>
        <w:t>2</w:t>
      </w:r>
      <w:r w:rsidRPr="00C94B99">
        <w:rPr>
          <w:rFonts w:cs="Times New Roman"/>
          <w:szCs w:val="24"/>
        </w:rPr>
        <w:t>, which increased to 112.3 mJ/m</w:t>
      </w:r>
      <w:r w:rsidRPr="00C94B99">
        <w:rPr>
          <w:rFonts w:cs="Times New Roman"/>
          <w:szCs w:val="24"/>
          <w:vertAlign w:val="superscript"/>
        </w:rPr>
        <w:t>2</w:t>
      </w:r>
      <w:r w:rsidRPr="00C94B99">
        <w:rPr>
          <w:rFonts w:cs="Times New Roman"/>
          <w:szCs w:val="24"/>
        </w:rPr>
        <w:t xml:space="preserve"> for PG 64-22+1.5% PPA. However, the use of the R1, G1 and L3 aggregates reduced the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Pr="00C94B99">
        <w:rPr>
          <w:rFonts w:cs="Times New Roman"/>
          <w:szCs w:val="24"/>
        </w:rPr>
        <w:t xml:space="preserve"> with the PG 64-22+1.5% PPA binder. Furthermore, the PPA modification increased t</w:t>
      </w:r>
      <w:r w:rsidRPr="00C94B99">
        <w:rPr>
          <w:rFonts w:eastAsiaTheme="minorEastAsia" w:cs="Times New Roman"/>
          <w:szCs w:val="24"/>
        </w:rPr>
        <w:t xml:space="preserve">he </w:t>
      </w:r>
      <m:oMath>
        <m:d>
          <m:dPr>
            <m:begChr m:val="|"/>
            <m:endChr m:val="|"/>
            <m:ctrlPr>
              <w:rPr>
                <w:rFonts w:ascii="Cambria Math" w:hAnsi="Cambria Math" w:cs="Times New Roman"/>
                <w:i/>
                <w:szCs w:val="24"/>
              </w:rPr>
            </m:ctrlPr>
          </m:dPr>
          <m:e>
            <m:sSubSup>
              <m:sSubSupPr>
                <m:ctrlPr>
                  <w:rPr>
                    <w:rFonts w:ascii="Cambria Math" w:hAnsi="Cambria Math" w:cs="Times New Roman"/>
                    <w:i/>
                    <w:szCs w:val="24"/>
                  </w:rPr>
                </m:ctrlPr>
              </m:sSubSupPr>
              <m:e>
                <m:r>
                  <w:rPr>
                    <w:rFonts w:ascii="Cambria Math" w:hAnsi="Cambria Math" w:cs="Times New Roman"/>
                    <w:szCs w:val="24"/>
                  </w:rPr>
                  <m:t>W</m:t>
                </m:r>
              </m:e>
              <m:sub>
                <m:r>
                  <w:rPr>
                    <w:rFonts w:ascii="Cambria Math" w:hAnsi="Cambria Math" w:cs="Times New Roman"/>
                    <w:szCs w:val="24"/>
                  </w:rPr>
                  <m:t>ARW</m:t>
                </m:r>
              </m:sub>
              <m:sup>
                <m:r>
                  <w:rPr>
                    <w:rFonts w:ascii="Cambria Math" w:hAnsi="Cambria Math" w:cs="Times New Roman"/>
                    <w:szCs w:val="24"/>
                  </w:rPr>
                  <m:t>wet</m:t>
                </m:r>
              </m:sup>
            </m:sSubSup>
          </m:e>
        </m:d>
      </m:oMath>
      <w:r w:rsidRPr="00C94B99">
        <w:rPr>
          <w:rFonts w:eastAsiaTheme="minorEastAsia" w:cs="Times New Roman"/>
          <w:szCs w:val="24"/>
        </w:rPr>
        <w:t xml:space="preserve"> for the L1, L3, G1 and R1 aggregates. The use of the L1, L3, G1 and R1 aggregates with </w:t>
      </w:r>
      <w:r w:rsidRPr="00C94B99">
        <w:rPr>
          <w:rFonts w:cs="Times New Roman"/>
          <w:szCs w:val="24"/>
        </w:rPr>
        <w:t>PG 64-22+1.5% PPA binder</w:t>
      </w:r>
      <w:r w:rsidRPr="00C94B99">
        <w:rPr>
          <w:rFonts w:eastAsiaTheme="minorEastAsia" w:cs="Times New Roman"/>
          <w:szCs w:val="24"/>
        </w:rPr>
        <w:t xml:space="preserve"> resulted in a reduction in the </w:t>
      </w:r>
      <w:r w:rsidRPr="00C94B99">
        <w:rPr>
          <w:rFonts w:cs="Times New Roman"/>
          <w:i/>
          <w:iCs/>
          <w:szCs w:val="24"/>
        </w:rPr>
        <w:t>ER</w:t>
      </w:r>
      <w:r w:rsidRPr="00C94B99">
        <w:rPr>
          <w:rFonts w:cs="Times New Roman"/>
          <w:i/>
          <w:iCs/>
          <w:szCs w:val="24"/>
          <w:vertAlign w:val="subscript"/>
        </w:rPr>
        <w:t>1</w:t>
      </w:r>
      <w:r w:rsidRPr="00C94B99">
        <w:rPr>
          <w:rFonts w:cs="Times New Roman"/>
          <w:szCs w:val="24"/>
        </w:rPr>
        <w:t xml:space="preserve"> and </w:t>
      </w:r>
      <w:r w:rsidRPr="00C94B99">
        <w:rPr>
          <w:rFonts w:cs="Times New Roman"/>
          <w:i/>
          <w:iCs/>
          <w:szCs w:val="24"/>
        </w:rPr>
        <w:t>ER</w:t>
      </w:r>
      <w:r w:rsidRPr="00C94B99">
        <w:rPr>
          <w:rFonts w:cs="Times New Roman"/>
          <w:i/>
          <w:iCs/>
          <w:szCs w:val="24"/>
          <w:vertAlign w:val="subscript"/>
        </w:rPr>
        <w:t>2</w:t>
      </w:r>
      <w:r w:rsidRPr="00C94B99">
        <w:rPr>
          <w:rFonts w:cs="Times New Roman"/>
          <w:szCs w:val="24"/>
        </w:rPr>
        <w:t xml:space="preserve"> </w:t>
      </w:r>
      <w:r w:rsidRPr="00C94B99">
        <w:rPr>
          <w:rFonts w:eastAsiaTheme="minorEastAsia" w:cs="Times New Roman"/>
          <w:szCs w:val="24"/>
        </w:rPr>
        <w:t xml:space="preserve">values indicating an increase in moisture susceptibility. The amounts of reduction in energy ratios were found to be the largest for the R1 aggregate. </w:t>
      </w:r>
      <w:r w:rsidRPr="00C94B99">
        <w:rPr>
          <w:rFonts w:cs="Times New Roman"/>
          <w:szCs w:val="24"/>
        </w:rPr>
        <w:t xml:space="preserve">Other studies have reported similar reduction in moisture-induced damage resistance with PPA modification </w:t>
      </w:r>
      <w:r w:rsidRPr="00C94B99">
        <w:rPr>
          <w:rFonts w:cs="Times New Roman"/>
          <w:szCs w:val="24"/>
        </w:rPr>
        <w:fldChar w:fldCharType="begin"/>
      </w:r>
      <w:r w:rsidR="00282238">
        <w:rPr>
          <w:rFonts w:cs="Times New Roman"/>
          <w:szCs w:val="24"/>
        </w:rPr>
        <w:instrText xml:space="preserve"> ADDIN EN.CITE &lt;EndNote&gt;&lt;Cite&gt;&lt;Author&gt;Reinke&lt;/Author&gt;&lt;Year&gt;2010&lt;/Year&gt;&lt;RecNum&gt;124&lt;/RecNum&gt;&lt;DisplayText&gt;(Reinke and Glidden, 2010; Al-Qadi et al., 2014)&lt;/DisplayText&gt;&lt;record&gt;&lt;rec-number&gt;124&lt;/rec-number&gt;&lt;foreign-keys&gt;&lt;key app="EN" db-id="d55vzfpwawdafteedfoxsf0lv0v0wp5va2aa" timestamp="1521480238"&gt;124&lt;/key&gt;&lt;/foreign-keys&gt;&lt;ref-type name="Journal Article"&gt;17&lt;/ref-type&gt;&lt;contributors&gt;&lt;authors&gt;&lt;author&gt;Reinke, Gerry&lt;/author&gt;&lt;author&gt;Glidden, Stacey&lt;/author&gt;&lt;/authors&gt;&lt;/contributors&gt;&lt;titles&gt;&lt;title&gt;Analytical Procedures for Determining Phosphorus Content in Asphalt Binders and Impact of Aggregate on Quantitative Recovery of Phosphorus from Asphalt Binders&lt;/title&gt;&lt;secondary-title&gt;Asphalt Paving Technology-Proceedings Association of Asphalt Technologists&lt;/secondary-title&gt;&lt;/titles&gt;&lt;periodical&gt;&lt;full-title&gt;Asphalt Paving Technology-Proceedings Association of Asphalt Technologists&lt;/full-title&gt;&lt;/periodical&gt;&lt;pages&gt;695&lt;/pages&gt;&lt;volume&gt;79&lt;/volume&gt;&lt;dates&gt;&lt;year&gt;2010&lt;/year&gt;&lt;/dates&gt;&lt;isbn&gt;0270-2932&lt;/isbn&gt;&lt;urls&gt;&lt;/urls&gt;&lt;/record&gt;&lt;/Cite&gt;&lt;Cite&gt;&lt;Author&gt;Al-Qadi&lt;/Author&gt;&lt;Year&gt;2014&lt;/Year&gt;&lt;RecNum&gt;129&lt;/RecNum&gt;&lt;record&gt;&lt;rec-number&gt;129&lt;/rec-number&gt;&lt;foreign-keys&gt;&lt;key app="EN" db-id="d55vzfpwawdafteedfoxsf0lv0v0wp5va2aa" timestamp="1521482466"&gt;129&lt;/key&gt;&lt;/foreign-keys&gt;&lt;ref-type name="Report"&gt;27&lt;/ref-type&gt;&lt;contributors&gt;&lt;authors&gt;&lt;author&gt;Al-Qadi, Imad L&lt;/author&gt;&lt;author&gt;Abauwad, Ibrahim M&lt;/author&gt;&lt;author&gt;Dhasmana, Heena&lt;/author&gt;&lt;author&gt;Coenen, Aaron R&lt;/author&gt;&lt;/authors&gt;&lt;/contributors&gt;&lt;titles&gt;&lt;title&gt;Effects of Various Asphalt Binder Additives/Modifiers on Moisture-Susceptible Asphaltic Mixtures&lt;/title&gt;&lt;/titles&gt;&lt;dates&gt;&lt;year&gt;2014&lt;/year&gt;&lt;/dates&gt;&lt;publisher&gt;Illinois Center for Transportation&lt;/publisher&gt;&lt;isbn&gt;0197-9191&lt;/isbn&gt;&lt;urls&gt;&lt;/urls&gt;&lt;/record&gt;&lt;/Cite&gt;&lt;/EndNote&gt;</w:instrText>
      </w:r>
      <w:r w:rsidRPr="00C94B99">
        <w:rPr>
          <w:rFonts w:cs="Times New Roman"/>
          <w:szCs w:val="24"/>
        </w:rPr>
        <w:fldChar w:fldCharType="separate"/>
      </w:r>
      <w:r w:rsidR="00282238">
        <w:rPr>
          <w:rFonts w:cs="Times New Roman"/>
          <w:noProof/>
          <w:szCs w:val="24"/>
        </w:rPr>
        <w:t>(Reinke and Glidden, 2010; Al-Qadi et al., 2014)</w:t>
      </w:r>
      <w:r w:rsidRPr="00C94B99">
        <w:rPr>
          <w:rFonts w:cs="Times New Roman"/>
          <w:szCs w:val="24"/>
        </w:rPr>
        <w:fldChar w:fldCharType="end"/>
      </w:r>
      <w:r w:rsidRPr="00C94B99">
        <w:rPr>
          <w:rFonts w:cs="Times New Roman"/>
          <w:szCs w:val="24"/>
        </w:rPr>
        <w:t xml:space="preserve">. </w:t>
      </w:r>
      <w:r w:rsidRPr="00C94B99">
        <w:rPr>
          <w:rFonts w:cs="Times New Roman"/>
          <w:szCs w:val="24"/>
          <w:lang w:val="en-CA"/>
        </w:rPr>
        <w:t xml:space="preserve">The increase of the </w:t>
      </w:r>
      <w:r w:rsidRPr="00C94B99">
        <w:rPr>
          <w:rFonts w:cs="Times New Roman"/>
          <w:i/>
          <w:iCs/>
          <w:szCs w:val="24"/>
        </w:rPr>
        <w:t>I</w:t>
      </w:r>
      <w:r w:rsidRPr="00C94B99">
        <w:rPr>
          <w:rFonts w:cs="Times New Roman"/>
          <w:i/>
          <w:iCs/>
          <w:szCs w:val="24"/>
          <w:vertAlign w:val="subscript"/>
        </w:rPr>
        <w:t>CO</w:t>
      </w:r>
      <w:r w:rsidRPr="00C94B99">
        <w:rPr>
          <w:rFonts w:cs="Times New Roman"/>
          <w:szCs w:val="24"/>
        </w:rPr>
        <w:t xml:space="preserve"> and </w:t>
      </w:r>
      <w:r w:rsidRPr="00C94B99">
        <w:rPr>
          <w:rFonts w:cs="Times New Roman"/>
          <w:i/>
          <w:iCs/>
          <w:szCs w:val="24"/>
        </w:rPr>
        <w:t>I</w:t>
      </w:r>
      <w:r w:rsidRPr="00C94B99">
        <w:rPr>
          <w:rFonts w:cs="Times New Roman"/>
          <w:i/>
          <w:iCs/>
          <w:szCs w:val="24"/>
          <w:vertAlign w:val="subscript"/>
        </w:rPr>
        <w:t>SO</w:t>
      </w:r>
      <w:r w:rsidRPr="00C94B99">
        <w:rPr>
          <w:rFonts w:cs="Times New Roman"/>
          <w:szCs w:val="24"/>
          <w:lang w:val="en-CA"/>
        </w:rPr>
        <w:t xml:space="preserve"> with aging pointed to a higher moisture susceptibility for PPA-modified binder. </w:t>
      </w:r>
      <w:r w:rsidRPr="00C94B99">
        <w:rPr>
          <w:rFonts w:eastAsiaTheme="minorEastAsia" w:cs="Times New Roman"/>
          <w:szCs w:val="24"/>
        </w:rPr>
        <w:t xml:space="preserve">However, the L2 aggregate exhibited an increase in the </w:t>
      </w:r>
      <w:r w:rsidRPr="00C94B99">
        <w:rPr>
          <w:rFonts w:cs="Times New Roman"/>
          <w:i/>
          <w:iCs/>
          <w:szCs w:val="24"/>
        </w:rPr>
        <w:t>ER</w:t>
      </w:r>
      <w:r w:rsidRPr="00C94B99">
        <w:rPr>
          <w:rFonts w:cs="Times New Roman"/>
          <w:i/>
          <w:iCs/>
          <w:szCs w:val="24"/>
          <w:vertAlign w:val="subscript"/>
        </w:rPr>
        <w:t>1</w:t>
      </w:r>
      <w:r w:rsidRPr="00C94B99">
        <w:rPr>
          <w:rFonts w:cs="Times New Roman"/>
          <w:szCs w:val="24"/>
        </w:rPr>
        <w:t xml:space="preserve"> and </w:t>
      </w:r>
      <w:r w:rsidRPr="00C94B99">
        <w:rPr>
          <w:rFonts w:cs="Times New Roman"/>
          <w:i/>
          <w:iCs/>
          <w:szCs w:val="24"/>
        </w:rPr>
        <w:t>ER</w:t>
      </w:r>
      <w:r w:rsidRPr="00C94B99">
        <w:rPr>
          <w:rFonts w:cs="Times New Roman"/>
          <w:i/>
          <w:iCs/>
          <w:szCs w:val="24"/>
          <w:vertAlign w:val="subscript"/>
        </w:rPr>
        <w:t>2</w:t>
      </w:r>
      <w:r w:rsidRPr="00C94B99">
        <w:rPr>
          <w:rFonts w:eastAsiaTheme="minorEastAsia" w:cs="Times New Roman"/>
          <w:szCs w:val="24"/>
        </w:rPr>
        <w:t xml:space="preserve">. The </w:t>
      </w:r>
      <w:r w:rsidRPr="003B0C2F">
        <w:rPr>
          <w:rFonts w:eastAsiaTheme="minorEastAsia" w:cs="Times New Roman"/>
          <w:szCs w:val="24"/>
        </w:rPr>
        <w:t xml:space="preserve">interaction of the high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R</m:t>
            </m:r>
          </m:sub>
          <m:sup>
            <m:r>
              <w:rPr>
                <w:rFonts w:ascii="Cambria Math" w:hAnsi="Cambria Math" w:cs="Times New Roman"/>
                <w:szCs w:val="24"/>
                <w:lang w:val="en-GB" w:eastAsia="en-GB"/>
              </w:rPr>
              <m:t>+</m:t>
            </m:r>
          </m:sup>
        </m:sSubSup>
      </m:oMath>
      <w:r w:rsidRPr="003B0C2F">
        <w:rPr>
          <w:rFonts w:cs="Times New Roman"/>
          <w:iCs/>
          <w:szCs w:val="24"/>
        </w:rPr>
        <w:t xml:space="preserve"> </w:t>
      </w:r>
      <w:r w:rsidRPr="003B0C2F">
        <w:rPr>
          <w:rFonts w:eastAsiaTheme="minorEastAsia" w:cs="Times New Roman"/>
          <w:szCs w:val="24"/>
        </w:rPr>
        <w:t xml:space="preserve">component of the L2 aggregate with the high </w:t>
      </w:r>
      <m:oMath>
        <m:sSubSup>
          <m:sSubSupPr>
            <m:ctrlPr>
              <w:rPr>
                <w:rFonts w:ascii="Cambria Math" w:hAnsi="Cambria Math" w:cs="Times New Roman"/>
                <w:i/>
                <w:szCs w:val="24"/>
                <w:lang w:val="en-GB" w:eastAsia="en-GB"/>
              </w:rPr>
            </m:ctrlPr>
          </m:sSubSupPr>
          <m:e>
            <m:r>
              <m:rPr>
                <m:sty m:val="p"/>
              </m:rPr>
              <w:rPr>
                <w:rFonts w:ascii="Cambria Math" w:hAnsi="Cambria Math" w:cs="Times New Roman"/>
                <w:szCs w:val="24"/>
              </w:rPr>
              <m:t>Γ</m:t>
            </m:r>
          </m:e>
          <m:sub>
            <m:r>
              <w:rPr>
                <w:rFonts w:ascii="Cambria Math" w:hAnsi="Cambria Math" w:cs="Times New Roman"/>
                <w:szCs w:val="24"/>
              </w:rPr>
              <m:t>A</m:t>
            </m:r>
          </m:sub>
          <m:sup>
            <m:r>
              <w:rPr>
                <w:rFonts w:ascii="Cambria Math" w:hAnsi="Cambria Math" w:cs="Times New Roman"/>
                <w:szCs w:val="24"/>
                <w:lang w:val="en-GB" w:eastAsia="en-GB"/>
              </w:rPr>
              <m:t>-</m:t>
            </m:r>
          </m:sup>
        </m:sSubSup>
      </m:oMath>
      <w:r w:rsidRPr="003B0C2F">
        <w:rPr>
          <w:rFonts w:cs="Times New Roman"/>
          <w:iCs/>
          <w:szCs w:val="24"/>
        </w:rPr>
        <w:t xml:space="preserve"> component of the PPA-modified binder is responsible for this increase.</w:t>
      </w:r>
      <w:r w:rsidRPr="003B0C2F">
        <w:rPr>
          <w:rFonts w:eastAsiaTheme="minorEastAsia" w:cs="Times New Roman"/>
          <w:szCs w:val="24"/>
        </w:rPr>
        <w:t xml:space="preserve"> </w:t>
      </w:r>
    </w:p>
    <w:p w14:paraId="5009FDB2" w14:textId="5325DA0C" w:rsidR="0038132E" w:rsidRPr="00C94B99" w:rsidRDefault="008B28A3" w:rsidP="00C94B99">
      <w:pPr>
        <w:ind w:firstLine="720"/>
        <w:rPr>
          <w:rFonts w:eastAsiaTheme="minorEastAsia" w:cs="Times New Roman"/>
          <w:szCs w:val="24"/>
        </w:rPr>
      </w:pPr>
      <w:r w:rsidRPr="003B0C2F">
        <w:rPr>
          <w:rFonts w:eastAsiaTheme="minorEastAsia" w:cs="Times New Roman"/>
          <w:szCs w:val="24"/>
        </w:rPr>
        <w:t xml:space="preserve">For </w:t>
      </w:r>
      <w:r w:rsidR="008E51E7" w:rsidRPr="003B0C2F">
        <w:rPr>
          <w:rFonts w:eastAsiaTheme="minorEastAsia" w:cs="Times New Roman"/>
          <w:szCs w:val="24"/>
        </w:rPr>
        <w:t xml:space="preserve">PPA-modified </w:t>
      </w:r>
      <w:r w:rsidR="00F66635" w:rsidRPr="003B0C2F">
        <w:rPr>
          <w:rFonts w:eastAsiaTheme="minorEastAsia" w:cs="Times New Roman"/>
          <w:szCs w:val="24"/>
        </w:rPr>
        <w:t xml:space="preserve">PG 64-22 </w:t>
      </w:r>
      <w:r w:rsidR="008E51E7" w:rsidRPr="003B0C2F">
        <w:rPr>
          <w:rFonts w:eastAsiaTheme="minorEastAsia" w:cs="Times New Roman"/>
          <w:szCs w:val="24"/>
        </w:rPr>
        <w:t>binder, t</w:t>
      </w:r>
      <w:r w:rsidR="003F7E75" w:rsidRPr="003B0C2F">
        <w:rPr>
          <w:rFonts w:eastAsiaTheme="minorEastAsia" w:cs="Times New Roman"/>
          <w:szCs w:val="24"/>
        </w:rPr>
        <w:t xml:space="preserve">he binder-aggregate systems containing the G1 and R1 aggregates exhibited a steady reduction in the </w:t>
      </w:r>
      <w:r w:rsidR="003F7E75" w:rsidRPr="003B0C2F">
        <w:rPr>
          <w:rFonts w:cs="Times New Roman"/>
          <w:i/>
          <w:iCs/>
          <w:szCs w:val="24"/>
        </w:rPr>
        <w:t>ER</w:t>
      </w:r>
      <w:r w:rsidR="003F7E75" w:rsidRPr="003B0C2F">
        <w:rPr>
          <w:rFonts w:cs="Times New Roman"/>
          <w:i/>
          <w:iCs/>
          <w:szCs w:val="24"/>
          <w:vertAlign w:val="subscript"/>
        </w:rPr>
        <w:t>1</w:t>
      </w:r>
      <w:r w:rsidR="003F7E75" w:rsidRPr="003B0C2F">
        <w:rPr>
          <w:rFonts w:cs="Times New Roman"/>
          <w:szCs w:val="24"/>
        </w:rPr>
        <w:t xml:space="preserve"> and </w:t>
      </w:r>
      <w:r w:rsidR="003F7E75" w:rsidRPr="003B0C2F">
        <w:rPr>
          <w:rFonts w:cs="Times New Roman"/>
          <w:i/>
          <w:iCs/>
          <w:szCs w:val="24"/>
        </w:rPr>
        <w:t>ER</w:t>
      </w:r>
      <w:r w:rsidR="003F7E75" w:rsidRPr="003B0C2F">
        <w:rPr>
          <w:rFonts w:cs="Times New Roman"/>
          <w:i/>
          <w:iCs/>
          <w:szCs w:val="24"/>
          <w:vertAlign w:val="subscript"/>
        </w:rPr>
        <w:t>2</w:t>
      </w:r>
      <w:r w:rsidR="003F7E75" w:rsidRPr="003B0C2F">
        <w:rPr>
          <w:rFonts w:cs="Times New Roman"/>
          <w:szCs w:val="24"/>
        </w:rPr>
        <w:t xml:space="preserve"> </w:t>
      </w:r>
      <w:r w:rsidR="003F7E75" w:rsidRPr="003B0C2F">
        <w:rPr>
          <w:rFonts w:eastAsiaTheme="minorEastAsia" w:cs="Times New Roman"/>
          <w:szCs w:val="24"/>
        </w:rPr>
        <w:t>values with RTFO-</w:t>
      </w:r>
      <w:r w:rsidR="008E51E7" w:rsidRPr="003B0C2F">
        <w:rPr>
          <w:rFonts w:eastAsiaTheme="minorEastAsia" w:cs="Times New Roman"/>
          <w:szCs w:val="24"/>
        </w:rPr>
        <w:t xml:space="preserve"> </w:t>
      </w:r>
      <w:r w:rsidR="003F7E75" w:rsidRPr="003B0C2F">
        <w:rPr>
          <w:rFonts w:eastAsiaTheme="minorEastAsia" w:cs="Times New Roman"/>
          <w:szCs w:val="24"/>
        </w:rPr>
        <w:t>and PAV-aging. However, all three limestone aggregates (L1, L2 and L3) exhibited an increase in energy ratios with RTFO-aging followed by a reduction with PAV-aging.</w:t>
      </w:r>
      <w:r w:rsidR="00521F79" w:rsidRPr="003B0C2F">
        <w:rPr>
          <w:rFonts w:eastAsiaTheme="minorEastAsia" w:cs="Times New Roman"/>
          <w:szCs w:val="24"/>
        </w:rPr>
        <w:t xml:space="preserve"> T</w:t>
      </w:r>
      <w:r w:rsidR="009C0C25" w:rsidRPr="003B0C2F">
        <w:rPr>
          <w:rFonts w:eastAsiaTheme="minorEastAsia" w:cs="Times New Roman"/>
          <w:szCs w:val="24"/>
        </w:rPr>
        <w:t xml:space="preserve">he </w:t>
      </w:r>
      <w:r w:rsidR="00D24211" w:rsidRPr="003B0C2F">
        <w:rPr>
          <w:rFonts w:eastAsiaTheme="minorEastAsia" w:cs="Times New Roman"/>
          <w:szCs w:val="24"/>
        </w:rPr>
        <w:t xml:space="preserve">relatively </w:t>
      </w:r>
      <w:r w:rsidR="009C0C25" w:rsidRPr="003B0C2F">
        <w:rPr>
          <w:rFonts w:eastAsiaTheme="minorEastAsia" w:cs="Times New Roman"/>
          <w:szCs w:val="24"/>
        </w:rPr>
        <w:t xml:space="preserve">high </w:t>
      </w:r>
      <m:oMath>
        <m:sSubSup>
          <m:sSubSupPr>
            <m:ctrlPr>
              <w:rPr>
                <w:rFonts w:ascii="Cambria Math" w:hAnsi="Cambria Math" w:cs="Times New Roman"/>
                <w:i/>
                <w:lang w:val="en-GB" w:eastAsia="en-GB"/>
              </w:rPr>
            </m:ctrlPr>
          </m:sSubSupPr>
          <m:e>
            <m:r>
              <m:rPr>
                <m:sty m:val="p"/>
              </m:rPr>
              <w:rPr>
                <w:rFonts w:ascii="Cambria Math" w:hAnsi="Cambria Math" w:cs="Times New Roman"/>
              </w:rPr>
              <m:t>Γ</m:t>
            </m:r>
          </m:e>
          <m:sub>
            <m:r>
              <w:rPr>
                <w:rFonts w:ascii="Cambria Math" w:hAnsi="Cambria Math" w:cs="Times New Roman"/>
              </w:rPr>
              <m:t>A</m:t>
            </m:r>
          </m:sub>
          <m:sup>
            <m:r>
              <w:rPr>
                <w:rFonts w:ascii="Cambria Math" w:hAnsi="Cambria Math" w:cs="Times New Roman"/>
                <w:lang w:val="en-GB" w:eastAsia="en-GB"/>
              </w:rPr>
              <m:t>-</m:t>
            </m:r>
          </m:sup>
        </m:sSubSup>
      </m:oMath>
      <w:r w:rsidR="009C0C25" w:rsidRPr="003B0C2F">
        <w:rPr>
          <w:rFonts w:eastAsiaTheme="minorEastAsia" w:cs="Times New Roman"/>
          <w:lang w:val="en-GB" w:eastAsia="en-GB"/>
        </w:rPr>
        <w:t xml:space="preserve"> component of </w:t>
      </w:r>
      <w:r w:rsidR="0080193F" w:rsidRPr="003B0C2F">
        <w:rPr>
          <w:rFonts w:eastAsiaTheme="minorEastAsia" w:cs="Times New Roman"/>
          <w:szCs w:val="24"/>
        </w:rPr>
        <w:t>the</w:t>
      </w:r>
      <w:r w:rsidR="004A21A4" w:rsidRPr="003B0C2F">
        <w:rPr>
          <w:rFonts w:eastAsiaTheme="minorEastAsia" w:cs="Times New Roman"/>
          <w:szCs w:val="24"/>
        </w:rPr>
        <w:t xml:space="preserve"> </w:t>
      </w:r>
      <w:r w:rsidR="00521F79" w:rsidRPr="003B0C2F">
        <w:rPr>
          <w:rFonts w:eastAsiaTheme="minorEastAsia" w:cs="Times New Roman"/>
          <w:szCs w:val="24"/>
        </w:rPr>
        <w:t xml:space="preserve">RTFO-aged </w:t>
      </w:r>
      <w:r w:rsidR="00D24211" w:rsidRPr="003B0C2F">
        <w:rPr>
          <w:rFonts w:eastAsiaTheme="minorEastAsia" w:cs="Times New Roman"/>
          <w:szCs w:val="24"/>
        </w:rPr>
        <w:t>PPA-modified binder comb</w:t>
      </w:r>
      <w:r w:rsidR="00521F79" w:rsidRPr="003B0C2F">
        <w:rPr>
          <w:rFonts w:eastAsiaTheme="minorEastAsia" w:cs="Times New Roman"/>
          <w:szCs w:val="24"/>
        </w:rPr>
        <w:t xml:space="preserve">ined with the </w:t>
      </w:r>
      <w:r w:rsidR="004A21A4" w:rsidRPr="003B0C2F">
        <w:rPr>
          <w:rFonts w:eastAsiaTheme="minorEastAsia" w:cs="Times New Roman"/>
          <w:szCs w:val="24"/>
        </w:rPr>
        <w:t xml:space="preserve">high </w:t>
      </w:r>
      <m:oMath>
        <m:sSubSup>
          <m:sSubSupPr>
            <m:ctrlPr>
              <w:rPr>
                <w:rFonts w:ascii="Cambria Math" w:hAnsi="Cambria Math" w:cs="Times New Roman"/>
                <w:i/>
                <w:lang w:val="en-GB" w:eastAsia="en-GB"/>
              </w:rPr>
            </m:ctrlPr>
          </m:sSubSupPr>
          <m:e>
            <m:r>
              <m:rPr>
                <m:sty m:val="p"/>
              </m:rPr>
              <w:rPr>
                <w:rFonts w:ascii="Cambria Math" w:hAnsi="Cambria Math" w:cs="Times New Roman"/>
              </w:rPr>
              <m:t>Γ</m:t>
            </m:r>
          </m:e>
          <m:sub>
            <m:r>
              <w:rPr>
                <w:rFonts w:ascii="Cambria Math" w:hAnsi="Cambria Math" w:cs="Times New Roman"/>
              </w:rPr>
              <m:t>R</m:t>
            </m:r>
          </m:sub>
          <m:sup>
            <m:r>
              <w:rPr>
                <w:rFonts w:ascii="Cambria Math" w:hAnsi="Cambria Math" w:cs="Times New Roman"/>
                <w:lang w:val="en-GB" w:eastAsia="en-GB"/>
              </w:rPr>
              <m:t>+</m:t>
            </m:r>
          </m:sup>
        </m:sSubSup>
      </m:oMath>
      <w:r w:rsidR="004A21A4" w:rsidRPr="003B0C2F">
        <w:rPr>
          <w:rFonts w:eastAsiaTheme="minorEastAsia" w:cs="Times New Roman"/>
          <w:lang w:val="en-GB" w:eastAsia="en-GB"/>
        </w:rPr>
        <w:t xml:space="preserve"> component of </w:t>
      </w:r>
      <w:r w:rsidR="00521F79" w:rsidRPr="003B0C2F">
        <w:rPr>
          <w:rFonts w:eastAsiaTheme="minorEastAsia" w:cs="Times New Roman"/>
          <w:lang w:val="en-GB" w:eastAsia="en-GB"/>
        </w:rPr>
        <w:t>limestone aggregates</w:t>
      </w:r>
      <w:r w:rsidR="002514E6" w:rsidRPr="003B0C2F">
        <w:rPr>
          <w:rFonts w:eastAsiaTheme="minorEastAsia" w:cs="Times New Roman"/>
          <w:lang w:val="en-GB" w:eastAsia="en-GB"/>
        </w:rPr>
        <w:t xml:space="preserve"> result</w:t>
      </w:r>
      <w:r w:rsidR="00381EF5" w:rsidRPr="003B0C2F">
        <w:rPr>
          <w:rFonts w:eastAsiaTheme="minorEastAsia" w:cs="Times New Roman"/>
          <w:lang w:val="en-GB" w:eastAsia="en-GB"/>
        </w:rPr>
        <w:t>ed</w:t>
      </w:r>
      <w:r w:rsidR="002514E6" w:rsidRPr="003B0C2F">
        <w:rPr>
          <w:rFonts w:eastAsiaTheme="minorEastAsia" w:cs="Times New Roman"/>
          <w:lang w:val="en-GB" w:eastAsia="en-GB"/>
        </w:rPr>
        <w:t xml:space="preserve"> in </w:t>
      </w:r>
      <w:r w:rsidR="00192B69" w:rsidRPr="003B0C2F">
        <w:rPr>
          <w:rFonts w:eastAsiaTheme="minorEastAsia" w:cs="Times New Roman"/>
          <w:lang w:val="en-GB" w:eastAsia="en-GB"/>
        </w:rPr>
        <w:t xml:space="preserve">higher </w:t>
      </w:r>
      <m:oMath>
        <m:sSub>
          <m:sSubPr>
            <m:ctrlPr>
              <w:rPr>
                <w:rFonts w:ascii="Cambria Math" w:hAnsi="Cambria Math" w:cs="Times New Roman"/>
                <w:i/>
                <w:szCs w:val="24"/>
                <w:lang w:val="en-GB" w:eastAsia="en-GB"/>
              </w:rPr>
            </m:ctrlPr>
          </m:sSubPr>
          <m:e>
            <m:r>
              <w:rPr>
                <w:rFonts w:ascii="Cambria Math" w:hAnsi="Cambria Math" w:cs="Times New Roman"/>
                <w:szCs w:val="24"/>
                <w:lang w:val="en-GB" w:eastAsia="en-GB"/>
              </w:rPr>
              <m:t>W</m:t>
            </m:r>
          </m:e>
          <m:sub>
            <m:r>
              <w:rPr>
                <w:rFonts w:ascii="Cambria Math" w:hAnsi="Cambria Math" w:cs="Times New Roman"/>
                <w:szCs w:val="24"/>
                <w:lang w:val="en-GB" w:eastAsia="en-GB"/>
              </w:rPr>
              <m:t>AR</m:t>
            </m:r>
          </m:sub>
        </m:sSub>
      </m:oMath>
      <w:r w:rsidR="00192B69" w:rsidRPr="003B0C2F">
        <w:rPr>
          <w:rFonts w:eastAsiaTheme="minorEastAsia" w:cs="Times New Roman"/>
          <w:lang w:val="en-GB" w:eastAsia="en-GB"/>
        </w:rPr>
        <w:t xml:space="preserve"> than the unaged condition</w:t>
      </w:r>
      <w:r w:rsidR="006712F3" w:rsidRPr="003B0C2F">
        <w:rPr>
          <w:rFonts w:eastAsiaTheme="minorEastAsia" w:cs="Times New Roman"/>
          <w:lang w:val="en-GB" w:eastAsia="en-GB"/>
        </w:rPr>
        <w:t xml:space="preserve">, </w:t>
      </w:r>
      <w:r w:rsidR="00381EF5" w:rsidRPr="003B0C2F">
        <w:rPr>
          <w:rFonts w:eastAsiaTheme="minorEastAsia" w:cs="Times New Roman"/>
          <w:lang w:val="en-GB" w:eastAsia="en-GB"/>
        </w:rPr>
        <w:t xml:space="preserve">and, </w:t>
      </w:r>
      <w:r w:rsidR="00F64CB0" w:rsidRPr="003B0C2F">
        <w:rPr>
          <w:rFonts w:eastAsiaTheme="minorEastAsia" w:cs="Times New Roman"/>
          <w:lang w:val="en-GB" w:eastAsia="en-GB"/>
        </w:rPr>
        <w:t>hence</w:t>
      </w:r>
      <w:r w:rsidR="00381EF5" w:rsidRPr="003B0C2F">
        <w:rPr>
          <w:rFonts w:eastAsiaTheme="minorEastAsia" w:cs="Times New Roman"/>
          <w:lang w:val="en-GB" w:eastAsia="en-GB"/>
        </w:rPr>
        <w:t>,</w:t>
      </w:r>
      <w:r w:rsidR="00F64CB0" w:rsidRPr="003B0C2F">
        <w:rPr>
          <w:rFonts w:eastAsiaTheme="minorEastAsia" w:cs="Times New Roman"/>
          <w:lang w:val="en-GB" w:eastAsia="en-GB"/>
        </w:rPr>
        <w:t xml:space="preserve"> an increase in </w:t>
      </w:r>
      <w:r w:rsidR="006712F3" w:rsidRPr="003B0C2F">
        <w:rPr>
          <w:rFonts w:eastAsiaTheme="minorEastAsia" w:cs="Times New Roman"/>
          <w:lang w:val="en-GB" w:eastAsia="en-GB"/>
        </w:rPr>
        <w:t>energy ratios</w:t>
      </w:r>
      <w:r w:rsidR="00F64CB0" w:rsidRPr="003B0C2F">
        <w:rPr>
          <w:rFonts w:eastAsiaTheme="minorEastAsia" w:cs="Times New Roman"/>
          <w:lang w:val="en-GB" w:eastAsia="en-GB"/>
        </w:rPr>
        <w:t>.</w:t>
      </w:r>
      <w:r w:rsidR="006712F3" w:rsidRPr="003B0C2F">
        <w:rPr>
          <w:rFonts w:eastAsiaTheme="minorEastAsia" w:cs="Times New Roman"/>
          <w:lang w:val="en-GB" w:eastAsia="en-GB"/>
        </w:rPr>
        <w:t xml:space="preserve"> </w:t>
      </w:r>
      <w:r w:rsidR="00C80BD9" w:rsidRPr="003B0C2F">
        <w:rPr>
          <w:rFonts w:eastAsiaTheme="minorEastAsia" w:cs="Times New Roman"/>
          <w:lang w:val="en-GB" w:eastAsia="en-GB"/>
        </w:rPr>
        <w:t xml:space="preserve">However, </w:t>
      </w:r>
      <w:r w:rsidR="009E55B1" w:rsidRPr="003B0C2F">
        <w:rPr>
          <w:rFonts w:eastAsiaTheme="minorEastAsia" w:cs="Times New Roman"/>
          <w:lang w:val="en-GB" w:eastAsia="en-GB"/>
        </w:rPr>
        <w:t xml:space="preserve">the </w:t>
      </w:r>
      <m:oMath>
        <m:sSubSup>
          <m:sSubSupPr>
            <m:ctrlPr>
              <w:rPr>
                <w:rFonts w:ascii="Cambria Math" w:hAnsi="Cambria Math" w:cs="Times New Roman"/>
                <w:i/>
                <w:lang w:val="en-GB" w:eastAsia="en-GB"/>
              </w:rPr>
            </m:ctrlPr>
          </m:sSubSupPr>
          <m:e>
            <m:r>
              <m:rPr>
                <m:sty m:val="p"/>
              </m:rPr>
              <w:rPr>
                <w:rFonts w:ascii="Cambria Math" w:hAnsi="Cambria Math" w:cs="Times New Roman"/>
              </w:rPr>
              <m:t>Γ</m:t>
            </m:r>
          </m:e>
          <m:sub>
            <m:r>
              <w:rPr>
                <w:rFonts w:ascii="Cambria Math" w:hAnsi="Cambria Math" w:cs="Times New Roman"/>
              </w:rPr>
              <m:t>A</m:t>
            </m:r>
          </m:sub>
          <m:sup>
            <m:r>
              <w:rPr>
                <w:rFonts w:ascii="Cambria Math" w:hAnsi="Cambria Math" w:cs="Times New Roman"/>
                <w:lang w:val="en-GB" w:eastAsia="en-GB"/>
              </w:rPr>
              <m:t>+</m:t>
            </m:r>
          </m:sup>
        </m:sSubSup>
      </m:oMath>
      <w:r w:rsidR="009E55B1" w:rsidRPr="003B0C2F">
        <w:rPr>
          <w:rFonts w:eastAsiaTheme="minorEastAsia" w:cs="Times New Roman"/>
          <w:lang w:val="en-GB" w:eastAsia="en-GB"/>
        </w:rPr>
        <w:t xml:space="preserve"> component of the PPA-modified binder reduced significantly</w:t>
      </w:r>
      <w:r w:rsidR="00746C1A" w:rsidRPr="003B0C2F">
        <w:rPr>
          <w:rFonts w:eastAsiaTheme="minorEastAsia" w:cs="Times New Roman"/>
          <w:lang w:val="en-GB" w:eastAsia="en-GB"/>
        </w:rPr>
        <w:t xml:space="preserve"> </w:t>
      </w:r>
      <w:r w:rsidR="00A4576C" w:rsidRPr="003B0C2F">
        <w:rPr>
          <w:rFonts w:eastAsiaTheme="minorEastAsia" w:cs="Times New Roman"/>
          <w:lang w:val="en-GB" w:eastAsia="en-GB"/>
        </w:rPr>
        <w:t xml:space="preserve">after PAV-aging, which </w:t>
      </w:r>
      <w:r w:rsidR="00746C1A" w:rsidRPr="003B0C2F">
        <w:rPr>
          <w:rFonts w:eastAsiaTheme="minorEastAsia" w:cs="Times New Roman"/>
          <w:lang w:val="en-GB" w:eastAsia="en-GB"/>
        </w:rPr>
        <w:t>led to</w:t>
      </w:r>
      <w:r w:rsidR="00A4576C" w:rsidRPr="003B0C2F">
        <w:rPr>
          <w:rFonts w:eastAsiaTheme="minorEastAsia" w:cs="Times New Roman"/>
          <w:lang w:val="en-GB" w:eastAsia="en-GB"/>
        </w:rPr>
        <w:t xml:space="preserve"> an</w:t>
      </w:r>
      <w:r w:rsidR="00746C1A" w:rsidRPr="003B0C2F">
        <w:rPr>
          <w:rFonts w:eastAsiaTheme="minorEastAsia" w:cs="Times New Roman"/>
          <w:lang w:val="en-GB" w:eastAsia="en-GB"/>
        </w:rPr>
        <w:t xml:space="preserve"> increase in </w:t>
      </w:r>
      <w:r w:rsidR="00A4576C" w:rsidRPr="003B0C2F">
        <w:rPr>
          <w:rFonts w:eastAsiaTheme="minorEastAsia" w:cs="Times New Roman"/>
          <w:lang w:val="en-GB" w:eastAsia="en-GB"/>
        </w:rPr>
        <w:t>moisture-induced damage potential with limestone aggregates.</w:t>
      </w:r>
      <w:r w:rsidR="00746C1A" w:rsidRPr="003B0C2F">
        <w:rPr>
          <w:rFonts w:eastAsiaTheme="minorEastAsia" w:cs="Times New Roman"/>
          <w:lang w:val="en-GB" w:eastAsia="en-GB"/>
        </w:rPr>
        <w:t xml:space="preserve"> </w:t>
      </w:r>
      <w:r w:rsidR="003F7E75" w:rsidRPr="003B0C2F">
        <w:rPr>
          <w:rFonts w:eastAsiaTheme="minorEastAsia" w:cs="Times New Roman"/>
          <w:szCs w:val="24"/>
        </w:rPr>
        <w:t xml:space="preserve">Therefore, </w:t>
      </w:r>
      <w:r w:rsidR="003F7E75" w:rsidRPr="003B0C2F">
        <w:rPr>
          <w:rFonts w:cs="Times New Roman"/>
          <w:szCs w:val="24"/>
        </w:rPr>
        <w:t>it can be concluded that, with time and aging, the addition of PPA will reduce the resistance of an asphalt mix to moisture-induced damage</w:t>
      </w:r>
      <w:r w:rsidR="0038132E" w:rsidRPr="00C94B99">
        <w:rPr>
          <w:rFonts w:cs="Times New Roman"/>
          <w:szCs w:val="24"/>
        </w:rPr>
        <w:t>.</w:t>
      </w:r>
    </w:p>
    <w:p w14:paraId="2A5674E6" w14:textId="64A1A953" w:rsidR="0038132E" w:rsidRPr="00C94B99" w:rsidRDefault="0038132E" w:rsidP="00E57694">
      <w:pPr>
        <w:pStyle w:val="Heading2"/>
      </w:pPr>
      <w:r w:rsidRPr="00C94B99">
        <w:t xml:space="preserve"> </w:t>
      </w:r>
      <w:bookmarkStart w:id="92" w:name="_Toc71728435"/>
      <w:r w:rsidRPr="00C94B99">
        <w:t>CONCLUSIONS</w:t>
      </w:r>
      <w:bookmarkEnd w:id="92"/>
    </w:p>
    <w:p w14:paraId="43FEC05A" w14:textId="77777777" w:rsidR="001A066D" w:rsidRPr="00C94B99" w:rsidRDefault="001A066D" w:rsidP="00C94B99">
      <w:pPr>
        <w:ind w:firstLine="720"/>
        <w:rPr>
          <w:rFonts w:cs="Times New Roman"/>
          <w:szCs w:val="24"/>
        </w:rPr>
      </w:pPr>
      <w:r w:rsidRPr="00C94B99">
        <w:rPr>
          <w:rFonts w:cs="Times New Roman"/>
          <w:szCs w:val="24"/>
        </w:rPr>
        <w:t>In this study, chemical and thermodynamic properties of asphalt binder and aggregates were used to evaluate the compatibility of binder-aggregate system. The FTIR test results were used to characterize the functional groups of the binder blends. The XRF test results were used to determine the elemental compositions of both binders and aggregates. The SFE components of the binder blends and aggregates were determined using dynamic Wilhelmy plate and universal sorption device test. Effects of aggregate types, aging and additives on the moisture-induced damage potential were identified by investigating the changes in chemical and thermodynamic properties. Important findings from the present study are as follows:</w:t>
      </w:r>
    </w:p>
    <w:p w14:paraId="1F261F27" w14:textId="77777777" w:rsidR="001A066D" w:rsidRPr="00C94B99" w:rsidRDefault="001A066D" w:rsidP="00C94B99">
      <w:pPr>
        <w:pStyle w:val="ListParagraph"/>
        <w:numPr>
          <w:ilvl w:val="0"/>
          <w:numId w:val="4"/>
        </w:numPr>
        <w:contextualSpacing w:val="0"/>
      </w:pPr>
      <w:r w:rsidRPr="00C94B99">
        <w:t>The properties of aggregates have significantly higher influence on the moisture-induced damage potential of a mix than the properties of binder.</w:t>
      </w:r>
    </w:p>
    <w:p w14:paraId="1485E892" w14:textId="77777777" w:rsidR="001A066D" w:rsidRPr="00C94B99" w:rsidRDefault="001A066D" w:rsidP="00C94B99">
      <w:pPr>
        <w:pStyle w:val="ListParagraph"/>
        <w:numPr>
          <w:ilvl w:val="0"/>
          <w:numId w:val="4"/>
        </w:numPr>
        <w:contextualSpacing w:val="0"/>
      </w:pPr>
      <w:r w:rsidRPr="00C94B99">
        <w:t>Based on the chemical analysis and surface free energy method, the rhyolite (R1) and limestone (L1 and L3) aggregates are expected to exhibit good resistance to moisture-induced damage when used in a mix. The test results indicated poor moisture-induced damage resistance for L2 limestone and G1 granite aggregate.</w:t>
      </w:r>
    </w:p>
    <w:p w14:paraId="7037F4DD" w14:textId="77777777" w:rsidR="001A066D" w:rsidRPr="00C94B99" w:rsidRDefault="001A066D" w:rsidP="00C94B99">
      <w:pPr>
        <w:pStyle w:val="ListParagraph"/>
        <w:numPr>
          <w:ilvl w:val="0"/>
          <w:numId w:val="4"/>
        </w:numPr>
        <w:contextualSpacing w:val="0"/>
      </w:pPr>
      <w:r w:rsidRPr="00C94B99">
        <w:t>The analyses of FTIR spectra provided valuable information on the functional groups present in the binders. Also, the FTIR test was able to detect the additives and modifiers used in binders.</w:t>
      </w:r>
    </w:p>
    <w:p w14:paraId="2DB9BB98" w14:textId="77777777" w:rsidR="001A066D" w:rsidRPr="00C94B99" w:rsidRDefault="001A066D" w:rsidP="00C94B99">
      <w:pPr>
        <w:pStyle w:val="ListParagraph"/>
        <w:numPr>
          <w:ilvl w:val="0"/>
          <w:numId w:val="4"/>
        </w:numPr>
        <w:contextualSpacing w:val="0"/>
      </w:pPr>
      <w:r w:rsidRPr="00C94B99">
        <w:t>A general increasing trend of the carbonyl and sulfoxide functionalities for binders with short and long-term aging was observed from the FTIR analyses. The increase in these functional groups may produce water soluble bonds at the interface making it susceptible to moisture.</w:t>
      </w:r>
    </w:p>
    <w:p w14:paraId="495E930E" w14:textId="77777777" w:rsidR="001A066D" w:rsidRPr="00C94B99" w:rsidRDefault="001A066D" w:rsidP="00C94B99">
      <w:pPr>
        <w:pStyle w:val="ListParagraph"/>
        <w:numPr>
          <w:ilvl w:val="0"/>
          <w:numId w:val="4"/>
        </w:numPr>
        <w:contextualSpacing w:val="0"/>
      </w:pPr>
      <w:r w:rsidRPr="00C94B99">
        <w:t>The addition of WMA and ASA are expected to reduce moisture susceptibility of asphalt mix. The presence of amine group in both WMA and ASA is expected to enhance bonding between binder and aggregate.</w:t>
      </w:r>
    </w:p>
    <w:p w14:paraId="79938A84" w14:textId="77777777" w:rsidR="00CD626C" w:rsidRPr="003B0C2F" w:rsidRDefault="001A066D" w:rsidP="00CD626C">
      <w:pPr>
        <w:pStyle w:val="ListParagraph"/>
        <w:numPr>
          <w:ilvl w:val="0"/>
          <w:numId w:val="4"/>
        </w:numPr>
        <w:contextualSpacing w:val="0"/>
      </w:pPr>
      <w:r w:rsidRPr="00C94B99">
        <w:t xml:space="preserve">Use of 20% RAP is expected improve the resistance to moisture-induced damage. However, the performance the binder blend with RAP may deteriorate with aging. In general (except L2 </w:t>
      </w:r>
      <w:r w:rsidRPr="003B0C2F">
        <w:t>aggregate), PPA modification increased the potential for moisture-induced damage of a binder-aggregate system.</w:t>
      </w:r>
    </w:p>
    <w:p w14:paraId="2A765404" w14:textId="1B6181F8" w:rsidR="00CD626C" w:rsidRPr="003B0C2F" w:rsidRDefault="00E506D8" w:rsidP="00CD626C">
      <w:pPr>
        <w:pStyle w:val="ListParagraph"/>
        <w:numPr>
          <w:ilvl w:val="0"/>
          <w:numId w:val="4"/>
        </w:numPr>
        <w:contextualSpacing w:val="0"/>
      </w:pPr>
      <w:r w:rsidRPr="003B0C2F">
        <w:t>T</w:t>
      </w:r>
      <w:r w:rsidR="005141E3" w:rsidRPr="003B0C2F">
        <w:t xml:space="preserve">he </w:t>
      </w:r>
      <w:r w:rsidR="00C634E8" w:rsidRPr="003B0C2F">
        <w:t>quantification of adhesive stre</w:t>
      </w:r>
      <w:r w:rsidR="0003345B" w:rsidRPr="003B0C2F">
        <w:t xml:space="preserve">ngth through </w:t>
      </w:r>
      <w:r w:rsidR="00381EF5" w:rsidRPr="003B0C2F">
        <w:t xml:space="preserve">the </w:t>
      </w:r>
      <w:r w:rsidR="0003345B" w:rsidRPr="003B0C2F">
        <w:t xml:space="preserve">SFE method and interfacial bonding through chemical analyses </w:t>
      </w:r>
      <w:r w:rsidR="0036454F" w:rsidRPr="003B0C2F">
        <w:t xml:space="preserve">will help better understand the </w:t>
      </w:r>
      <w:r w:rsidR="005C12D4" w:rsidRPr="003B0C2F">
        <w:t xml:space="preserve">performance of a binder-aggregate system in </w:t>
      </w:r>
      <w:r w:rsidRPr="003B0C2F">
        <w:t xml:space="preserve">the presence of moisture. </w:t>
      </w:r>
    </w:p>
    <w:p w14:paraId="39783DDE" w14:textId="248A1EF6" w:rsidR="0038132E" w:rsidRPr="003B0C2F" w:rsidRDefault="001A066D" w:rsidP="00CD626C">
      <w:pPr>
        <w:ind w:firstLine="720"/>
      </w:pPr>
      <w:r w:rsidRPr="003B0C2F">
        <w:t xml:space="preserve">The current study explored the mechanisms of moisture-induced damage of different binder-aggregate combinations </w:t>
      </w:r>
      <w:r w:rsidR="0040686F" w:rsidRPr="003B0C2F">
        <w:t>under</w:t>
      </w:r>
      <w:r w:rsidRPr="003B0C2F">
        <w:t xml:space="preserve"> different aging conditions. </w:t>
      </w:r>
      <w:r w:rsidR="00801671" w:rsidRPr="003B0C2F">
        <w:t xml:space="preserve">The study was limited to the limestone, granite and </w:t>
      </w:r>
      <w:r w:rsidR="00BA68AE" w:rsidRPr="003B0C2F">
        <w:t>rhyolite aggregate</w:t>
      </w:r>
      <w:r w:rsidR="0097708B" w:rsidRPr="003B0C2F">
        <w:t>s</w:t>
      </w:r>
      <w:r w:rsidR="00BA68AE" w:rsidRPr="003B0C2F">
        <w:t xml:space="preserve"> commonly used in the production of </w:t>
      </w:r>
      <w:r w:rsidR="0097708B" w:rsidRPr="003B0C2F">
        <w:t>asphalt mixes in Oklahoma</w:t>
      </w:r>
      <w:r w:rsidR="00BA68AE" w:rsidRPr="003B0C2F">
        <w:t>.</w:t>
      </w:r>
      <w:r w:rsidR="00801671" w:rsidRPr="003B0C2F">
        <w:t xml:space="preserve"> </w:t>
      </w:r>
      <w:r w:rsidR="00B575A9" w:rsidRPr="003B0C2F">
        <w:t xml:space="preserve">The moisture-induced damage </w:t>
      </w:r>
      <w:r w:rsidR="003351B6" w:rsidRPr="003B0C2F">
        <w:t>performance</w:t>
      </w:r>
      <w:r w:rsidR="00B575A9" w:rsidRPr="003B0C2F">
        <w:t xml:space="preserve"> </w:t>
      </w:r>
      <w:r w:rsidR="003351B6" w:rsidRPr="003B0C2F">
        <w:t>of asphalt</w:t>
      </w:r>
      <w:r w:rsidR="00FB071B" w:rsidRPr="003B0C2F">
        <w:t xml:space="preserve"> mixes produced with aggregates from other sources </w:t>
      </w:r>
      <w:r w:rsidR="003351B6" w:rsidRPr="003B0C2F">
        <w:t>can be different</w:t>
      </w:r>
      <w:r w:rsidR="00FD1454" w:rsidRPr="003B0C2F">
        <w:t xml:space="preserve"> depending on their mineralogical and surface composition</w:t>
      </w:r>
      <w:r w:rsidR="00630C42" w:rsidRPr="003B0C2F">
        <w:t>s</w:t>
      </w:r>
      <w:r w:rsidR="00FD1454" w:rsidRPr="003B0C2F">
        <w:t>.</w:t>
      </w:r>
      <w:r w:rsidR="008577E7" w:rsidRPr="003B0C2F">
        <w:t xml:space="preserve"> Therefore, </w:t>
      </w:r>
      <w:r w:rsidR="0040686F" w:rsidRPr="003B0C2F">
        <w:t xml:space="preserve">future studies should address </w:t>
      </w:r>
      <w:r w:rsidR="00AC0BCE" w:rsidRPr="003B0C2F">
        <w:t xml:space="preserve"> moisture-induced damage evaluation </w:t>
      </w:r>
      <w:r w:rsidR="0040686F" w:rsidRPr="003B0C2F">
        <w:t xml:space="preserve">of other aggregates and selection of </w:t>
      </w:r>
      <w:r w:rsidR="00A03EE3" w:rsidRPr="003B0C2F">
        <w:t xml:space="preserve"> binder-aggregate combination</w:t>
      </w:r>
      <w:r w:rsidR="0040686F" w:rsidRPr="003B0C2F">
        <w:t>s</w:t>
      </w:r>
      <w:r w:rsidR="00A03EE3" w:rsidRPr="003B0C2F">
        <w:t>.</w:t>
      </w:r>
      <w:r w:rsidR="00C11BB8" w:rsidRPr="003B0C2F">
        <w:t xml:space="preserve"> Also, f</w:t>
      </w:r>
      <w:r w:rsidRPr="003B0C2F">
        <w:t>uture studies are needed to compare the findings of the present study with laboratory produced mixes. Also, comparison with field performance will enhance the reliability of the test results</w:t>
      </w:r>
      <w:r w:rsidR="0038132E" w:rsidRPr="003B0C2F">
        <w:t>.</w:t>
      </w:r>
    </w:p>
    <w:p w14:paraId="2A94EE55" w14:textId="77777777" w:rsidR="005507C6" w:rsidRPr="003B0C2F" w:rsidRDefault="005507C6" w:rsidP="00FF43D6">
      <w:pPr>
        <w:pStyle w:val="Caption"/>
        <w:spacing w:line="480" w:lineRule="auto"/>
        <w:jc w:val="center"/>
      </w:pPr>
    </w:p>
    <w:p w14:paraId="30D908FF" w14:textId="77777777" w:rsidR="005507C6" w:rsidRPr="003B0C2F" w:rsidRDefault="005507C6" w:rsidP="00FF43D6">
      <w:pPr>
        <w:pStyle w:val="Caption"/>
        <w:spacing w:line="480" w:lineRule="auto"/>
        <w:jc w:val="center"/>
      </w:pPr>
    </w:p>
    <w:p w14:paraId="1C1F2BBB" w14:textId="77777777" w:rsidR="005507C6" w:rsidRPr="003B0C2F" w:rsidRDefault="005507C6" w:rsidP="00FF43D6">
      <w:pPr>
        <w:pStyle w:val="Caption"/>
        <w:spacing w:line="480" w:lineRule="auto"/>
        <w:jc w:val="center"/>
      </w:pPr>
    </w:p>
    <w:p w14:paraId="32AF0DA2" w14:textId="77777777" w:rsidR="005507C6" w:rsidRPr="003B0C2F" w:rsidRDefault="005507C6" w:rsidP="00FF43D6">
      <w:pPr>
        <w:pStyle w:val="Caption"/>
        <w:spacing w:line="480" w:lineRule="auto"/>
        <w:jc w:val="center"/>
      </w:pPr>
    </w:p>
    <w:p w14:paraId="34DE7371" w14:textId="77777777" w:rsidR="005507C6" w:rsidRPr="003B0C2F" w:rsidRDefault="005507C6" w:rsidP="00FF43D6">
      <w:pPr>
        <w:pStyle w:val="Caption"/>
        <w:spacing w:line="480" w:lineRule="auto"/>
        <w:jc w:val="center"/>
      </w:pPr>
    </w:p>
    <w:p w14:paraId="6791256B" w14:textId="77777777" w:rsidR="005507C6" w:rsidRPr="003B0C2F" w:rsidRDefault="005507C6" w:rsidP="00FF43D6">
      <w:pPr>
        <w:pStyle w:val="Caption"/>
        <w:spacing w:line="480" w:lineRule="auto"/>
        <w:jc w:val="center"/>
      </w:pPr>
    </w:p>
    <w:p w14:paraId="55F176D4" w14:textId="77777777" w:rsidR="005507C6" w:rsidRPr="003B0C2F" w:rsidRDefault="005507C6" w:rsidP="00FF43D6">
      <w:pPr>
        <w:pStyle w:val="Caption"/>
        <w:spacing w:line="480" w:lineRule="auto"/>
        <w:jc w:val="center"/>
      </w:pPr>
    </w:p>
    <w:p w14:paraId="615CDCCF" w14:textId="77777777" w:rsidR="005507C6" w:rsidRPr="003B0C2F" w:rsidRDefault="005507C6" w:rsidP="00FF43D6">
      <w:pPr>
        <w:pStyle w:val="Caption"/>
        <w:spacing w:line="480" w:lineRule="auto"/>
        <w:jc w:val="center"/>
      </w:pPr>
    </w:p>
    <w:p w14:paraId="076A6143" w14:textId="2687E8B0" w:rsidR="00437EFE" w:rsidRPr="003B0C2F" w:rsidRDefault="001E7461" w:rsidP="00981C32">
      <w:pPr>
        <w:pStyle w:val="Caption"/>
        <w:spacing w:line="360" w:lineRule="auto"/>
        <w:jc w:val="center"/>
      </w:pPr>
      <w:bookmarkStart w:id="93" w:name="_Toc71330987"/>
      <w:r w:rsidRPr="003B0C2F">
        <w:t xml:space="preserve">Table </w:t>
      </w:r>
      <w:fldSimple w:instr=" STYLEREF 1 \s ">
        <w:r w:rsidR="005050F0">
          <w:rPr>
            <w:noProof/>
          </w:rPr>
          <w:t>3</w:t>
        </w:r>
      </w:fldSimple>
      <w:r w:rsidR="00700639" w:rsidRPr="003B0C2F">
        <w:t>.</w:t>
      </w:r>
      <w:fldSimple w:instr=" SEQ Table \* ARABIC \s 1 ">
        <w:r w:rsidR="005050F0">
          <w:rPr>
            <w:noProof/>
          </w:rPr>
          <w:t>1</w:t>
        </w:r>
      </w:fldSimple>
      <w:r w:rsidR="00966B5E" w:rsidRPr="003B0C2F">
        <w:t xml:space="preserve"> </w:t>
      </w:r>
      <w:r w:rsidR="00437EFE" w:rsidRPr="003B0C2F">
        <w:t>Elemental compositions of PG 64-22 and PG 76-28 binder blends from XRF tests</w:t>
      </w:r>
      <w:bookmarkEnd w:id="93"/>
    </w:p>
    <w:tbl>
      <w:tblPr>
        <w:tblW w:w="98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00"/>
        <w:gridCol w:w="736"/>
        <w:gridCol w:w="576"/>
        <w:gridCol w:w="496"/>
        <w:gridCol w:w="576"/>
        <w:gridCol w:w="496"/>
        <w:gridCol w:w="656"/>
        <w:gridCol w:w="576"/>
        <w:gridCol w:w="576"/>
        <w:gridCol w:w="416"/>
        <w:gridCol w:w="496"/>
        <w:gridCol w:w="421"/>
        <w:gridCol w:w="496"/>
        <w:gridCol w:w="416"/>
        <w:gridCol w:w="416"/>
        <w:gridCol w:w="714"/>
      </w:tblGrid>
      <w:tr w:rsidR="00437EFE" w:rsidRPr="003B0C2F" w14:paraId="3872D950" w14:textId="77777777" w:rsidTr="00002F2F">
        <w:trPr>
          <w:trHeight w:val="233"/>
        </w:trPr>
        <w:tc>
          <w:tcPr>
            <w:tcW w:w="1800" w:type="dxa"/>
            <w:vMerge w:val="restart"/>
            <w:shd w:val="clear" w:color="auto" w:fill="auto"/>
            <w:noWrap/>
            <w:vAlign w:val="center"/>
            <w:hideMark/>
          </w:tcPr>
          <w:p w14:paraId="1721FFB0" w14:textId="77777777" w:rsidR="00437EFE" w:rsidRPr="003B0C2F" w:rsidRDefault="00437EFE" w:rsidP="00650395">
            <w:pPr>
              <w:spacing w:line="240" w:lineRule="auto"/>
              <w:jc w:val="center"/>
              <w:rPr>
                <w:rFonts w:eastAsia="Times New Roman" w:cs="Times New Roman"/>
                <w:b/>
                <w:bCs/>
                <w:color w:val="000000"/>
                <w:sz w:val="16"/>
                <w:szCs w:val="16"/>
              </w:rPr>
            </w:pPr>
            <w:r w:rsidRPr="003B0C2F">
              <w:rPr>
                <w:rFonts w:eastAsia="Times New Roman" w:cs="Times New Roman"/>
                <w:b/>
                <w:bCs/>
                <w:color w:val="000000"/>
                <w:sz w:val="16"/>
                <w:szCs w:val="16"/>
              </w:rPr>
              <w:t>Binder Type</w:t>
            </w:r>
          </w:p>
        </w:tc>
        <w:tc>
          <w:tcPr>
            <w:tcW w:w="736" w:type="dxa"/>
            <w:vAlign w:val="center"/>
          </w:tcPr>
          <w:p w14:paraId="0E5ACD32" w14:textId="77777777" w:rsidR="00437EFE" w:rsidRPr="003B0C2F" w:rsidRDefault="00437EFE" w:rsidP="00650395">
            <w:pPr>
              <w:spacing w:line="240" w:lineRule="auto"/>
              <w:jc w:val="center"/>
              <w:rPr>
                <w:rFonts w:eastAsia="Times New Roman" w:cs="Times New Roman"/>
                <w:b/>
                <w:bCs/>
                <w:color w:val="000000"/>
                <w:sz w:val="16"/>
                <w:szCs w:val="16"/>
              </w:rPr>
            </w:pPr>
          </w:p>
        </w:tc>
        <w:tc>
          <w:tcPr>
            <w:tcW w:w="6613" w:type="dxa"/>
            <w:gridSpan w:val="13"/>
            <w:shd w:val="clear" w:color="auto" w:fill="auto"/>
            <w:noWrap/>
            <w:vAlign w:val="center"/>
            <w:hideMark/>
          </w:tcPr>
          <w:p w14:paraId="4C7EAADD" w14:textId="77777777" w:rsidR="00437EFE" w:rsidRPr="003B0C2F" w:rsidRDefault="00437EFE" w:rsidP="00650395">
            <w:pPr>
              <w:spacing w:line="240" w:lineRule="auto"/>
              <w:jc w:val="center"/>
              <w:rPr>
                <w:rFonts w:eastAsia="Times New Roman" w:cs="Times New Roman"/>
                <w:b/>
                <w:bCs/>
                <w:color w:val="000000"/>
                <w:sz w:val="16"/>
                <w:szCs w:val="16"/>
              </w:rPr>
            </w:pPr>
            <w:r w:rsidRPr="003B0C2F">
              <w:rPr>
                <w:rFonts w:eastAsia="Times New Roman" w:cs="Times New Roman"/>
                <w:b/>
                <w:bCs/>
                <w:color w:val="000000"/>
                <w:sz w:val="16"/>
                <w:szCs w:val="16"/>
              </w:rPr>
              <w:t>Elements Detected (ppm)</w:t>
            </w:r>
          </w:p>
        </w:tc>
        <w:tc>
          <w:tcPr>
            <w:tcW w:w="692" w:type="dxa"/>
            <w:shd w:val="clear" w:color="auto" w:fill="auto"/>
            <w:noWrap/>
            <w:vAlign w:val="center"/>
            <w:hideMark/>
          </w:tcPr>
          <w:p w14:paraId="589D7F72" w14:textId="0EDFCC3C" w:rsidR="00981C32" w:rsidRPr="003B0C2F" w:rsidRDefault="00981C32" w:rsidP="00650395">
            <w:pPr>
              <w:spacing w:line="240" w:lineRule="auto"/>
              <w:jc w:val="center"/>
              <w:rPr>
                <w:rFonts w:eastAsia="Times New Roman" w:cs="Times New Roman"/>
                <w:b/>
                <w:bCs/>
                <w:color w:val="000000"/>
                <w:sz w:val="16"/>
                <w:szCs w:val="16"/>
              </w:rPr>
            </w:pPr>
            <w:r w:rsidRPr="003B0C2F">
              <w:rPr>
                <w:rFonts w:eastAsia="Times New Roman" w:cs="Times New Roman"/>
                <w:b/>
                <w:bCs/>
                <w:color w:val="000000"/>
                <w:sz w:val="16"/>
                <w:szCs w:val="16"/>
              </w:rPr>
              <w:t>H</w:t>
            </w:r>
            <w:r w:rsidR="002F39DA" w:rsidRPr="003B0C2F">
              <w:rPr>
                <w:rFonts w:eastAsia="Times New Roman" w:cs="Times New Roman"/>
                <w:b/>
                <w:bCs/>
                <w:color w:val="000000"/>
                <w:sz w:val="16"/>
                <w:szCs w:val="16"/>
              </w:rPr>
              <w:t>ydro</w:t>
            </w:r>
            <w:r w:rsidRPr="003B0C2F">
              <w:rPr>
                <w:rFonts w:eastAsia="Times New Roman" w:cs="Times New Roman"/>
                <w:b/>
                <w:bCs/>
                <w:color w:val="000000"/>
                <w:sz w:val="16"/>
                <w:szCs w:val="16"/>
              </w:rPr>
              <w:t>-</w:t>
            </w:r>
          </w:p>
          <w:p w14:paraId="326DC6DD" w14:textId="724B94EF" w:rsidR="00437EFE" w:rsidRPr="003B0C2F" w:rsidRDefault="002F39DA" w:rsidP="00650395">
            <w:pPr>
              <w:spacing w:line="240" w:lineRule="auto"/>
              <w:jc w:val="center"/>
              <w:rPr>
                <w:rFonts w:eastAsia="Times New Roman" w:cs="Times New Roman"/>
                <w:b/>
                <w:bCs/>
                <w:color w:val="000000"/>
                <w:sz w:val="16"/>
                <w:szCs w:val="16"/>
              </w:rPr>
            </w:pPr>
            <w:r w:rsidRPr="003B0C2F">
              <w:rPr>
                <w:rFonts w:eastAsia="Times New Roman" w:cs="Times New Roman"/>
                <w:b/>
                <w:bCs/>
                <w:color w:val="000000"/>
                <w:sz w:val="16"/>
                <w:szCs w:val="16"/>
              </w:rPr>
              <w:t>carbon</w:t>
            </w:r>
            <w:r w:rsidR="00437EFE" w:rsidRPr="003B0C2F">
              <w:rPr>
                <w:rFonts w:eastAsia="Times New Roman" w:cs="Times New Roman"/>
                <w:b/>
                <w:bCs/>
                <w:color w:val="000000"/>
                <w:sz w:val="16"/>
                <w:szCs w:val="16"/>
              </w:rPr>
              <w:t xml:space="preserve"> (%)</w:t>
            </w:r>
          </w:p>
        </w:tc>
      </w:tr>
      <w:tr w:rsidR="0095292D" w:rsidRPr="003B0C2F" w14:paraId="6EFCC972" w14:textId="77777777" w:rsidTr="00002F2F">
        <w:trPr>
          <w:trHeight w:val="233"/>
        </w:trPr>
        <w:tc>
          <w:tcPr>
            <w:tcW w:w="1800" w:type="dxa"/>
            <w:vMerge/>
            <w:vAlign w:val="center"/>
            <w:hideMark/>
          </w:tcPr>
          <w:p w14:paraId="2907A16A" w14:textId="77777777" w:rsidR="00437EFE" w:rsidRPr="003B0C2F" w:rsidRDefault="00437EFE" w:rsidP="00650395">
            <w:pPr>
              <w:spacing w:line="240" w:lineRule="auto"/>
              <w:jc w:val="center"/>
              <w:rPr>
                <w:rFonts w:eastAsia="Times New Roman" w:cs="Times New Roman"/>
                <w:b/>
                <w:bCs/>
                <w:color w:val="000000"/>
                <w:sz w:val="16"/>
                <w:szCs w:val="16"/>
              </w:rPr>
            </w:pPr>
          </w:p>
        </w:tc>
        <w:tc>
          <w:tcPr>
            <w:tcW w:w="736" w:type="dxa"/>
            <w:vAlign w:val="center"/>
          </w:tcPr>
          <w:p w14:paraId="24C820B3" w14:textId="77777777" w:rsidR="00437EFE" w:rsidRPr="003B0C2F" w:rsidRDefault="00437EFE" w:rsidP="00650395">
            <w:pPr>
              <w:spacing w:line="240" w:lineRule="auto"/>
              <w:jc w:val="center"/>
              <w:rPr>
                <w:rFonts w:eastAsia="Times New Roman" w:cs="Times New Roman"/>
                <w:b/>
                <w:bCs/>
                <w:color w:val="000000"/>
                <w:sz w:val="16"/>
                <w:szCs w:val="16"/>
              </w:rPr>
            </w:pPr>
            <w:r w:rsidRPr="003B0C2F">
              <w:rPr>
                <w:rFonts w:eastAsia="Times New Roman" w:cs="Times New Roman"/>
                <w:b/>
                <w:bCs/>
                <w:color w:val="000000"/>
                <w:sz w:val="16"/>
                <w:szCs w:val="16"/>
              </w:rPr>
              <w:t>S</w:t>
            </w:r>
          </w:p>
        </w:tc>
        <w:tc>
          <w:tcPr>
            <w:tcW w:w="576" w:type="dxa"/>
            <w:shd w:val="clear" w:color="auto" w:fill="auto"/>
            <w:noWrap/>
            <w:vAlign w:val="center"/>
            <w:hideMark/>
          </w:tcPr>
          <w:p w14:paraId="2C9B278E" w14:textId="77777777" w:rsidR="00437EFE" w:rsidRPr="003B0C2F" w:rsidRDefault="00437EFE" w:rsidP="00650395">
            <w:pPr>
              <w:spacing w:line="240" w:lineRule="auto"/>
              <w:jc w:val="center"/>
              <w:rPr>
                <w:rFonts w:eastAsia="Times New Roman" w:cs="Times New Roman"/>
                <w:b/>
                <w:bCs/>
                <w:color w:val="000000"/>
                <w:sz w:val="16"/>
                <w:szCs w:val="16"/>
              </w:rPr>
            </w:pPr>
            <w:r w:rsidRPr="003B0C2F">
              <w:rPr>
                <w:rFonts w:eastAsia="Times New Roman" w:cs="Times New Roman"/>
                <w:b/>
                <w:bCs/>
                <w:color w:val="000000"/>
                <w:sz w:val="16"/>
                <w:szCs w:val="16"/>
              </w:rPr>
              <w:t>Al</w:t>
            </w:r>
          </w:p>
        </w:tc>
        <w:tc>
          <w:tcPr>
            <w:tcW w:w="496" w:type="dxa"/>
            <w:vAlign w:val="center"/>
          </w:tcPr>
          <w:p w14:paraId="574932B9" w14:textId="77777777" w:rsidR="00437EFE" w:rsidRPr="003B0C2F" w:rsidRDefault="00437EFE" w:rsidP="00650395">
            <w:pPr>
              <w:spacing w:line="240" w:lineRule="auto"/>
              <w:jc w:val="center"/>
              <w:rPr>
                <w:rFonts w:eastAsia="Times New Roman" w:cs="Times New Roman"/>
                <w:b/>
                <w:bCs/>
                <w:color w:val="000000"/>
                <w:sz w:val="16"/>
                <w:szCs w:val="16"/>
              </w:rPr>
            </w:pPr>
            <w:r w:rsidRPr="003B0C2F">
              <w:rPr>
                <w:rFonts w:eastAsia="Times New Roman" w:cs="Times New Roman"/>
                <w:b/>
                <w:bCs/>
                <w:color w:val="000000"/>
                <w:sz w:val="16"/>
                <w:szCs w:val="16"/>
              </w:rPr>
              <w:t>Ca</w:t>
            </w:r>
          </w:p>
        </w:tc>
        <w:tc>
          <w:tcPr>
            <w:tcW w:w="576" w:type="dxa"/>
            <w:shd w:val="clear" w:color="auto" w:fill="auto"/>
            <w:noWrap/>
            <w:vAlign w:val="center"/>
            <w:hideMark/>
          </w:tcPr>
          <w:p w14:paraId="2E2BCFA1" w14:textId="77777777" w:rsidR="00437EFE" w:rsidRPr="003B0C2F" w:rsidRDefault="00437EFE" w:rsidP="00650395">
            <w:pPr>
              <w:spacing w:line="240" w:lineRule="auto"/>
              <w:jc w:val="center"/>
              <w:rPr>
                <w:rFonts w:eastAsia="Times New Roman" w:cs="Times New Roman"/>
                <w:b/>
                <w:bCs/>
                <w:color w:val="000000"/>
                <w:sz w:val="16"/>
                <w:szCs w:val="16"/>
              </w:rPr>
            </w:pPr>
            <w:r w:rsidRPr="003B0C2F">
              <w:rPr>
                <w:rFonts w:eastAsia="Times New Roman" w:cs="Times New Roman"/>
                <w:b/>
                <w:bCs/>
                <w:color w:val="000000"/>
                <w:sz w:val="16"/>
                <w:szCs w:val="16"/>
              </w:rPr>
              <w:t>Si</w:t>
            </w:r>
          </w:p>
        </w:tc>
        <w:tc>
          <w:tcPr>
            <w:tcW w:w="496" w:type="dxa"/>
            <w:vAlign w:val="center"/>
          </w:tcPr>
          <w:p w14:paraId="61C926F5" w14:textId="77777777" w:rsidR="00437EFE" w:rsidRPr="003B0C2F" w:rsidRDefault="00437EFE" w:rsidP="00650395">
            <w:pPr>
              <w:spacing w:line="240" w:lineRule="auto"/>
              <w:jc w:val="center"/>
              <w:rPr>
                <w:rFonts w:eastAsia="Times New Roman" w:cs="Times New Roman"/>
                <w:b/>
                <w:bCs/>
                <w:color w:val="000000"/>
                <w:sz w:val="16"/>
                <w:szCs w:val="16"/>
              </w:rPr>
            </w:pPr>
            <w:r w:rsidRPr="003B0C2F">
              <w:rPr>
                <w:rFonts w:eastAsia="Times New Roman" w:cs="Times New Roman"/>
                <w:b/>
                <w:bCs/>
                <w:color w:val="000000"/>
                <w:sz w:val="16"/>
                <w:szCs w:val="16"/>
              </w:rPr>
              <w:t>Cl</w:t>
            </w:r>
          </w:p>
        </w:tc>
        <w:tc>
          <w:tcPr>
            <w:tcW w:w="656" w:type="dxa"/>
            <w:shd w:val="clear" w:color="auto" w:fill="auto"/>
            <w:noWrap/>
            <w:vAlign w:val="center"/>
            <w:hideMark/>
          </w:tcPr>
          <w:p w14:paraId="7CE86C2D" w14:textId="77777777" w:rsidR="00437EFE" w:rsidRPr="003B0C2F" w:rsidRDefault="00437EFE" w:rsidP="00650395">
            <w:pPr>
              <w:spacing w:line="240" w:lineRule="auto"/>
              <w:jc w:val="center"/>
              <w:rPr>
                <w:rFonts w:eastAsia="Times New Roman" w:cs="Times New Roman"/>
                <w:b/>
                <w:bCs/>
                <w:color w:val="000000"/>
                <w:sz w:val="16"/>
                <w:szCs w:val="16"/>
              </w:rPr>
            </w:pPr>
            <w:r w:rsidRPr="003B0C2F">
              <w:rPr>
                <w:rFonts w:eastAsia="Times New Roman" w:cs="Times New Roman"/>
                <w:b/>
                <w:bCs/>
                <w:color w:val="000000"/>
                <w:sz w:val="16"/>
                <w:szCs w:val="16"/>
              </w:rPr>
              <w:t>P</w:t>
            </w:r>
          </w:p>
        </w:tc>
        <w:tc>
          <w:tcPr>
            <w:tcW w:w="576" w:type="dxa"/>
            <w:shd w:val="clear" w:color="auto" w:fill="auto"/>
            <w:noWrap/>
            <w:vAlign w:val="center"/>
          </w:tcPr>
          <w:p w14:paraId="7B8AFF1E" w14:textId="77777777" w:rsidR="00437EFE" w:rsidRPr="003B0C2F" w:rsidRDefault="00437EFE" w:rsidP="00650395">
            <w:pPr>
              <w:spacing w:line="240" w:lineRule="auto"/>
              <w:jc w:val="center"/>
              <w:rPr>
                <w:rFonts w:eastAsia="Times New Roman" w:cs="Times New Roman"/>
                <w:b/>
                <w:bCs/>
                <w:color w:val="000000"/>
                <w:sz w:val="16"/>
                <w:szCs w:val="16"/>
              </w:rPr>
            </w:pPr>
            <w:r w:rsidRPr="003B0C2F">
              <w:rPr>
                <w:rFonts w:eastAsia="Times New Roman" w:cs="Times New Roman"/>
                <w:b/>
                <w:bCs/>
                <w:color w:val="000000"/>
                <w:sz w:val="16"/>
                <w:szCs w:val="16"/>
              </w:rPr>
              <w:t>Fe</w:t>
            </w:r>
          </w:p>
        </w:tc>
        <w:tc>
          <w:tcPr>
            <w:tcW w:w="576" w:type="dxa"/>
            <w:shd w:val="clear" w:color="auto" w:fill="auto"/>
            <w:noWrap/>
            <w:vAlign w:val="center"/>
          </w:tcPr>
          <w:p w14:paraId="1E6A1D02" w14:textId="77777777" w:rsidR="00437EFE" w:rsidRPr="003B0C2F" w:rsidRDefault="00437EFE" w:rsidP="00650395">
            <w:pPr>
              <w:spacing w:line="240" w:lineRule="auto"/>
              <w:jc w:val="center"/>
              <w:rPr>
                <w:rFonts w:eastAsia="Times New Roman" w:cs="Times New Roman"/>
                <w:b/>
                <w:bCs/>
                <w:color w:val="000000"/>
                <w:sz w:val="16"/>
                <w:szCs w:val="16"/>
              </w:rPr>
            </w:pPr>
            <w:r w:rsidRPr="003B0C2F">
              <w:rPr>
                <w:rFonts w:eastAsia="Times New Roman" w:cs="Times New Roman"/>
                <w:b/>
                <w:bCs/>
                <w:color w:val="000000"/>
                <w:sz w:val="16"/>
                <w:szCs w:val="16"/>
              </w:rPr>
              <w:t>V</w:t>
            </w:r>
          </w:p>
        </w:tc>
        <w:tc>
          <w:tcPr>
            <w:tcW w:w="416" w:type="dxa"/>
            <w:shd w:val="clear" w:color="auto" w:fill="auto"/>
            <w:noWrap/>
            <w:vAlign w:val="center"/>
          </w:tcPr>
          <w:p w14:paraId="67E799FC" w14:textId="77777777" w:rsidR="00437EFE" w:rsidRPr="003B0C2F" w:rsidRDefault="00437EFE" w:rsidP="00650395">
            <w:pPr>
              <w:spacing w:line="240" w:lineRule="auto"/>
              <w:jc w:val="center"/>
              <w:rPr>
                <w:rFonts w:eastAsia="Times New Roman" w:cs="Times New Roman"/>
                <w:b/>
                <w:bCs/>
                <w:color w:val="000000"/>
                <w:sz w:val="16"/>
                <w:szCs w:val="16"/>
              </w:rPr>
            </w:pPr>
            <w:r w:rsidRPr="003B0C2F">
              <w:rPr>
                <w:rFonts w:eastAsia="Times New Roman" w:cs="Times New Roman"/>
                <w:b/>
                <w:bCs/>
                <w:color w:val="000000"/>
                <w:sz w:val="16"/>
                <w:szCs w:val="16"/>
              </w:rPr>
              <w:t>Zn</w:t>
            </w:r>
          </w:p>
        </w:tc>
        <w:tc>
          <w:tcPr>
            <w:tcW w:w="496" w:type="dxa"/>
            <w:shd w:val="clear" w:color="auto" w:fill="auto"/>
            <w:noWrap/>
            <w:vAlign w:val="center"/>
          </w:tcPr>
          <w:p w14:paraId="3B0B4498" w14:textId="77777777" w:rsidR="00437EFE" w:rsidRPr="003B0C2F" w:rsidRDefault="00437EFE" w:rsidP="00650395">
            <w:pPr>
              <w:spacing w:line="240" w:lineRule="auto"/>
              <w:jc w:val="center"/>
              <w:rPr>
                <w:rFonts w:eastAsia="Times New Roman" w:cs="Times New Roman"/>
                <w:b/>
                <w:bCs/>
                <w:color w:val="000000"/>
                <w:sz w:val="16"/>
                <w:szCs w:val="16"/>
              </w:rPr>
            </w:pPr>
            <w:r w:rsidRPr="003B0C2F">
              <w:rPr>
                <w:rFonts w:eastAsia="Times New Roman" w:cs="Times New Roman"/>
                <w:b/>
                <w:bCs/>
                <w:color w:val="000000"/>
                <w:sz w:val="16"/>
                <w:szCs w:val="16"/>
              </w:rPr>
              <w:t>Ni</w:t>
            </w:r>
          </w:p>
        </w:tc>
        <w:tc>
          <w:tcPr>
            <w:tcW w:w="421" w:type="dxa"/>
            <w:shd w:val="clear" w:color="auto" w:fill="auto"/>
            <w:noWrap/>
            <w:vAlign w:val="center"/>
          </w:tcPr>
          <w:p w14:paraId="3A535236" w14:textId="77777777" w:rsidR="00437EFE" w:rsidRPr="003B0C2F" w:rsidRDefault="00437EFE" w:rsidP="00650395">
            <w:pPr>
              <w:spacing w:line="240" w:lineRule="auto"/>
              <w:jc w:val="center"/>
              <w:rPr>
                <w:rFonts w:eastAsia="Times New Roman" w:cs="Times New Roman"/>
                <w:b/>
                <w:bCs/>
                <w:color w:val="000000"/>
                <w:sz w:val="16"/>
                <w:szCs w:val="16"/>
              </w:rPr>
            </w:pPr>
            <w:r w:rsidRPr="003B0C2F">
              <w:rPr>
                <w:rFonts w:eastAsia="Times New Roman" w:cs="Times New Roman"/>
                <w:b/>
                <w:bCs/>
                <w:color w:val="000000"/>
                <w:sz w:val="16"/>
                <w:szCs w:val="16"/>
              </w:rPr>
              <w:t>Cu</w:t>
            </w:r>
          </w:p>
        </w:tc>
        <w:tc>
          <w:tcPr>
            <w:tcW w:w="496" w:type="dxa"/>
            <w:shd w:val="clear" w:color="auto" w:fill="auto"/>
            <w:noWrap/>
            <w:vAlign w:val="center"/>
          </w:tcPr>
          <w:p w14:paraId="2985B70A" w14:textId="77777777" w:rsidR="00437EFE" w:rsidRPr="003B0C2F" w:rsidRDefault="00437EFE" w:rsidP="00650395">
            <w:pPr>
              <w:spacing w:line="240" w:lineRule="auto"/>
              <w:jc w:val="center"/>
              <w:rPr>
                <w:rFonts w:eastAsia="Times New Roman" w:cs="Times New Roman"/>
                <w:b/>
                <w:bCs/>
                <w:color w:val="000000"/>
                <w:sz w:val="16"/>
                <w:szCs w:val="16"/>
              </w:rPr>
            </w:pPr>
            <w:r w:rsidRPr="003B0C2F">
              <w:rPr>
                <w:rFonts w:eastAsia="Times New Roman" w:cs="Times New Roman"/>
                <w:b/>
                <w:bCs/>
                <w:color w:val="000000"/>
                <w:sz w:val="16"/>
                <w:szCs w:val="16"/>
              </w:rPr>
              <w:t>Sn</w:t>
            </w:r>
          </w:p>
        </w:tc>
        <w:tc>
          <w:tcPr>
            <w:tcW w:w="416" w:type="dxa"/>
            <w:shd w:val="clear" w:color="auto" w:fill="auto"/>
            <w:noWrap/>
            <w:vAlign w:val="center"/>
          </w:tcPr>
          <w:p w14:paraId="09CBB0CF" w14:textId="77777777" w:rsidR="00437EFE" w:rsidRPr="003B0C2F" w:rsidRDefault="00437EFE" w:rsidP="00650395">
            <w:pPr>
              <w:spacing w:line="240" w:lineRule="auto"/>
              <w:jc w:val="center"/>
              <w:rPr>
                <w:rFonts w:eastAsia="Times New Roman" w:cs="Times New Roman"/>
                <w:b/>
                <w:bCs/>
                <w:color w:val="000000"/>
                <w:sz w:val="16"/>
                <w:szCs w:val="16"/>
              </w:rPr>
            </w:pPr>
            <w:r w:rsidRPr="003B0C2F">
              <w:rPr>
                <w:rFonts w:eastAsia="Times New Roman" w:cs="Times New Roman"/>
                <w:b/>
                <w:bCs/>
                <w:color w:val="000000"/>
                <w:sz w:val="16"/>
                <w:szCs w:val="16"/>
              </w:rPr>
              <w:t>Pb</w:t>
            </w:r>
          </w:p>
        </w:tc>
        <w:tc>
          <w:tcPr>
            <w:tcW w:w="416" w:type="dxa"/>
            <w:shd w:val="clear" w:color="auto" w:fill="auto"/>
            <w:noWrap/>
            <w:vAlign w:val="center"/>
          </w:tcPr>
          <w:p w14:paraId="664AB530" w14:textId="77777777" w:rsidR="00437EFE" w:rsidRPr="003B0C2F" w:rsidRDefault="00437EFE" w:rsidP="00650395">
            <w:pPr>
              <w:spacing w:line="240" w:lineRule="auto"/>
              <w:jc w:val="center"/>
              <w:rPr>
                <w:rFonts w:eastAsia="Times New Roman" w:cs="Times New Roman"/>
                <w:b/>
                <w:bCs/>
                <w:color w:val="000000"/>
                <w:sz w:val="16"/>
                <w:szCs w:val="16"/>
              </w:rPr>
            </w:pPr>
            <w:r w:rsidRPr="003B0C2F">
              <w:rPr>
                <w:rFonts w:eastAsia="Times New Roman" w:cs="Times New Roman"/>
                <w:b/>
                <w:bCs/>
                <w:color w:val="000000"/>
                <w:sz w:val="16"/>
                <w:szCs w:val="16"/>
              </w:rPr>
              <w:t>Sr</w:t>
            </w:r>
          </w:p>
        </w:tc>
        <w:tc>
          <w:tcPr>
            <w:tcW w:w="692" w:type="dxa"/>
            <w:vAlign w:val="center"/>
            <w:hideMark/>
          </w:tcPr>
          <w:p w14:paraId="5B15D0EC" w14:textId="77777777" w:rsidR="00437EFE" w:rsidRPr="003B0C2F" w:rsidRDefault="00437EFE" w:rsidP="00650395">
            <w:pPr>
              <w:spacing w:line="240" w:lineRule="auto"/>
              <w:jc w:val="center"/>
              <w:rPr>
                <w:rFonts w:eastAsia="Times New Roman" w:cs="Times New Roman"/>
                <w:b/>
                <w:bCs/>
                <w:color w:val="000000"/>
                <w:sz w:val="16"/>
                <w:szCs w:val="16"/>
              </w:rPr>
            </w:pPr>
          </w:p>
        </w:tc>
      </w:tr>
      <w:tr w:rsidR="0095292D" w:rsidRPr="003B0C2F" w14:paraId="2E4DF0D4" w14:textId="77777777" w:rsidTr="00002F2F">
        <w:trPr>
          <w:trHeight w:val="233"/>
        </w:trPr>
        <w:tc>
          <w:tcPr>
            <w:tcW w:w="1800" w:type="dxa"/>
            <w:shd w:val="clear" w:color="auto" w:fill="auto"/>
            <w:noWrap/>
            <w:vAlign w:val="center"/>
            <w:hideMark/>
          </w:tcPr>
          <w:p w14:paraId="72C900D7"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PG 64-22</w:t>
            </w:r>
          </w:p>
        </w:tc>
        <w:tc>
          <w:tcPr>
            <w:tcW w:w="736" w:type="dxa"/>
            <w:vAlign w:val="center"/>
          </w:tcPr>
          <w:p w14:paraId="24321DA3"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46507.0</w:t>
            </w:r>
          </w:p>
        </w:tc>
        <w:tc>
          <w:tcPr>
            <w:tcW w:w="576" w:type="dxa"/>
            <w:shd w:val="clear" w:color="auto" w:fill="auto"/>
            <w:noWrap/>
            <w:vAlign w:val="center"/>
            <w:hideMark/>
          </w:tcPr>
          <w:p w14:paraId="31A7AE7D"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331.0</w:t>
            </w:r>
          </w:p>
        </w:tc>
        <w:tc>
          <w:tcPr>
            <w:tcW w:w="496" w:type="dxa"/>
            <w:vAlign w:val="center"/>
          </w:tcPr>
          <w:p w14:paraId="08DDB4B3"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13.0</w:t>
            </w:r>
          </w:p>
        </w:tc>
        <w:tc>
          <w:tcPr>
            <w:tcW w:w="576" w:type="dxa"/>
            <w:shd w:val="clear" w:color="auto" w:fill="auto"/>
            <w:noWrap/>
            <w:vAlign w:val="center"/>
            <w:hideMark/>
          </w:tcPr>
          <w:p w14:paraId="3C69EED9"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78.2</w:t>
            </w:r>
          </w:p>
        </w:tc>
        <w:tc>
          <w:tcPr>
            <w:tcW w:w="496" w:type="dxa"/>
            <w:vAlign w:val="center"/>
          </w:tcPr>
          <w:p w14:paraId="46FCE109"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60.1</w:t>
            </w:r>
          </w:p>
        </w:tc>
        <w:tc>
          <w:tcPr>
            <w:tcW w:w="656" w:type="dxa"/>
            <w:shd w:val="clear" w:color="auto" w:fill="auto"/>
            <w:noWrap/>
            <w:vAlign w:val="center"/>
            <w:hideMark/>
          </w:tcPr>
          <w:p w14:paraId="6E51E6D1"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120.0</w:t>
            </w:r>
          </w:p>
        </w:tc>
        <w:tc>
          <w:tcPr>
            <w:tcW w:w="576" w:type="dxa"/>
            <w:shd w:val="clear" w:color="auto" w:fill="auto"/>
            <w:noWrap/>
            <w:vAlign w:val="center"/>
          </w:tcPr>
          <w:p w14:paraId="5710C3E1"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39.0</w:t>
            </w:r>
          </w:p>
        </w:tc>
        <w:tc>
          <w:tcPr>
            <w:tcW w:w="576" w:type="dxa"/>
            <w:shd w:val="clear" w:color="auto" w:fill="auto"/>
            <w:noWrap/>
            <w:vAlign w:val="center"/>
          </w:tcPr>
          <w:p w14:paraId="39377491"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183.0</w:t>
            </w:r>
          </w:p>
        </w:tc>
        <w:tc>
          <w:tcPr>
            <w:tcW w:w="416" w:type="dxa"/>
            <w:shd w:val="clear" w:color="auto" w:fill="auto"/>
            <w:noWrap/>
            <w:vAlign w:val="center"/>
          </w:tcPr>
          <w:p w14:paraId="1F7FB2BF"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3.4</w:t>
            </w:r>
          </w:p>
        </w:tc>
        <w:tc>
          <w:tcPr>
            <w:tcW w:w="496" w:type="dxa"/>
            <w:shd w:val="clear" w:color="auto" w:fill="auto"/>
            <w:noWrap/>
            <w:vAlign w:val="center"/>
          </w:tcPr>
          <w:p w14:paraId="00F91B96"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78.2</w:t>
            </w:r>
          </w:p>
        </w:tc>
        <w:tc>
          <w:tcPr>
            <w:tcW w:w="421" w:type="dxa"/>
            <w:shd w:val="clear" w:color="auto" w:fill="auto"/>
            <w:noWrap/>
            <w:vAlign w:val="center"/>
          </w:tcPr>
          <w:p w14:paraId="6FA406EE"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3.0</w:t>
            </w:r>
          </w:p>
        </w:tc>
        <w:tc>
          <w:tcPr>
            <w:tcW w:w="496" w:type="dxa"/>
            <w:shd w:val="clear" w:color="auto" w:fill="auto"/>
            <w:noWrap/>
            <w:vAlign w:val="center"/>
          </w:tcPr>
          <w:p w14:paraId="02AAD692"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13.8</w:t>
            </w:r>
          </w:p>
        </w:tc>
        <w:tc>
          <w:tcPr>
            <w:tcW w:w="416" w:type="dxa"/>
            <w:shd w:val="clear" w:color="auto" w:fill="auto"/>
            <w:noWrap/>
            <w:vAlign w:val="center"/>
          </w:tcPr>
          <w:p w14:paraId="6EF652AA"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0.0</w:t>
            </w:r>
          </w:p>
        </w:tc>
        <w:tc>
          <w:tcPr>
            <w:tcW w:w="416" w:type="dxa"/>
            <w:shd w:val="clear" w:color="auto" w:fill="auto"/>
            <w:noWrap/>
            <w:vAlign w:val="center"/>
          </w:tcPr>
          <w:p w14:paraId="7ACE235E"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0.0</w:t>
            </w:r>
          </w:p>
        </w:tc>
        <w:tc>
          <w:tcPr>
            <w:tcW w:w="692" w:type="dxa"/>
            <w:shd w:val="clear" w:color="auto" w:fill="auto"/>
            <w:noWrap/>
            <w:vAlign w:val="center"/>
            <w:hideMark/>
          </w:tcPr>
          <w:p w14:paraId="512FB55F"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95.3</w:t>
            </w:r>
          </w:p>
        </w:tc>
      </w:tr>
      <w:tr w:rsidR="0095292D" w:rsidRPr="003B0C2F" w14:paraId="2411D954" w14:textId="77777777" w:rsidTr="00002F2F">
        <w:trPr>
          <w:trHeight w:val="233"/>
        </w:trPr>
        <w:tc>
          <w:tcPr>
            <w:tcW w:w="1800" w:type="dxa"/>
            <w:shd w:val="clear" w:color="auto" w:fill="auto"/>
            <w:noWrap/>
            <w:vAlign w:val="center"/>
            <w:hideMark/>
          </w:tcPr>
          <w:p w14:paraId="7F1CBD65"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PG 64-22 + 0.5% WMA</w:t>
            </w:r>
          </w:p>
        </w:tc>
        <w:tc>
          <w:tcPr>
            <w:tcW w:w="736" w:type="dxa"/>
            <w:vAlign w:val="center"/>
          </w:tcPr>
          <w:p w14:paraId="0C9AB75E"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47192.0</w:t>
            </w:r>
          </w:p>
        </w:tc>
        <w:tc>
          <w:tcPr>
            <w:tcW w:w="576" w:type="dxa"/>
            <w:shd w:val="clear" w:color="auto" w:fill="auto"/>
            <w:noWrap/>
            <w:vAlign w:val="center"/>
            <w:hideMark/>
          </w:tcPr>
          <w:p w14:paraId="26794560"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375.0</w:t>
            </w:r>
          </w:p>
        </w:tc>
        <w:tc>
          <w:tcPr>
            <w:tcW w:w="496" w:type="dxa"/>
            <w:vAlign w:val="center"/>
          </w:tcPr>
          <w:p w14:paraId="15673E82"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12.7</w:t>
            </w:r>
          </w:p>
        </w:tc>
        <w:tc>
          <w:tcPr>
            <w:tcW w:w="576" w:type="dxa"/>
            <w:shd w:val="clear" w:color="auto" w:fill="auto"/>
            <w:noWrap/>
            <w:vAlign w:val="center"/>
            <w:hideMark/>
          </w:tcPr>
          <w:p w14:paraId="34D5B168"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89.7</w:t>
            </w:r>
          </w:p>
        </w:tc>
        <w:tc>
          <w:tcPr>
            <w:tcW w:w="496" w:type="dxa"/>
            <w:vAlign w:val="center"/>
          </w:tcPr>
          <w:p w14:paraId="0503B4C2"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65.7</w:t>
            </w:r>
          </w:p>
        </w:tc>
        <w:tc>
          <w:tcPr>
            <w:tcW w:w="656" w:type="dxa"/>
            <w:shd w:val="clear" w:color="auto" w:fill="auto"/>
            <w:noWrap/>
            <w:vAlign w:val="center"/>
            <w:hideMark/>
          </w:tcPr>
          <w:p w14:paraId="7A3A1F02"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122.0</w:t>
            </w:r>
          </w:p>
        </w:tc>
        <w:tc>
          <w:tcPr>
            <w:tcW w:w="576" w:type="dxa"/>
            <w:shd w:val="clear" w:color="auto" w:fill="auto"/>
            <w:noWrap/>
            <w:vAlign w:val="center"/>
          </w:tcPr>
          <w:p w14:paraId="22C49A32"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38.9</w:t>
            </w:r>
          </w:p>
        </w:tc>
        <w:tc>
          <w:tcPr>
            <w:tcW w:w="576" w:type="dxa"/>
            <w:shd w:val="clear" w:color="auto" w:fill="auto"/>
            <w:noWrap/>
            <w:vAlign w:val="center"/>
          </w:tcPr>
          <w:p w14:paraId="6B5C3D6A"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185.0</w:t>
            </w:r>
          </w:p>
        </w:tc>
        <w:tc>
          <w:tcPr>
            <w:tcW w:w="416" w:type="dxa"/>
            <w:shd w:val="clear" w:color="auto" w:fill="auto"/>
            <w:noWrap/>
            <w:vAlign w:val="center"/>
          </w:tcPr>
          <w:p w14:paraId="4CACEFC3"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3.4</w:t>
            </w:r>
          </w:p>
        </w:tc>
        <w:tc>
          <w:tcPr>
            <w:tcW w:w="496" w:type="dxa"/>
            <w:shd w:val="clear" w:color="auto" w:fill="auto"/>
            <w:noWrap/>
            <w:vAlign w:val="center"/>
          </w:tcPr>
          <w:p w14:paraId="2176E72E"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78.3</w:t>
            </w:r>
          </w:p>
        </w:tc>
        <w:tc>
          <w:tcPr>
            <w:tcW w:w="421" w:type="dxa"/>
            <w:shd w:val="clear" w:color="auto" w:fill="auto"/>
            <w:noWrap/>
            <w:vAlign w:val="center"/>
          </w:tcPr>
          <w:p w14:paraId="698F934B"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3.5</w:t>
            </w:r>
          </w:p>
        </w:tc>
        <w:tc>
          <w:tcPr>
            <w:tcW w:w="496" w:type="dxa"/>
            <w:shd w:val="clear" w:color="auto" w:fill="auto"/>
            <w:noWrap/>
            <w:vAlign w:val="center"/>
          </w:tcPr>
          <w:p w14:paraId="44129E4E"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12.2</w:t>
            </w:r>
          </w:p>
        </w:tc>
        <w:tc>
          <w:tcPr>
            <w:tcW w:w="416" w:type="dxa"/>
            <w:shd w:val="clear" w:color="auto" w:fill="auto"/>
            <w:noWrap/>
            <w:vAlign w:val="center"/>
          </w:tcPr>
          <w:p w14:paraId="194FEC0E"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0.0</w:t>
            </w:r>
          </w:p>
        </w:tc>
        <w:tc>
          <w:tcPr>
            <w:tcW w:w="416" w:type="dxa"/>
            <w:shd w:val="clear" w:color="auto" w:fill="auto"/>
            <w:noWrap/>
            <w:vAlign w:val="center"/>
          </w:tcPr>
          <w:p w14:paraId="2A1FA722"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0.0</w:t>
            </w:r>
          </w:p>
        </w:tc>
        <w:tc>
          <w:tcPr>
            <w:tcW w:w="692" w:type="dxa"/>
            <w:shd w:val="clear" w:color="auto" w:fill="auto"/>
            <w:noWrap/>
            <w:vAlign w:val="center"/>
            <w:hideMark/>
          </w:tcPr>
          <w:p w14:paraId="1B5B9939"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95.2</w:t>
            </w:r>
          </w:p>
        </w:tc>
      </w:tr>
      <w:tr w:rsidR="0095292D" w:rsidRPr="003B0C2F" w14:paraId="5880011F" w14:textId="77777777" w:rsidTr="00002F2F">
        <w:trPr>
          <w:trHeight w:val="233"/>
        </w:trPr>
        <w:tc>
          <w:tcPr>
            <w:tcW w:w="1800" w:type="dxa"/>
            <w:shd w:val="clear" w:color="auto" w:fill="auto"/>
            <w:noWrap/>
            <w:vAlign w:val="center"/>
            <w:hideMark/>
          </w:tcPr>
          <w:p w14:paraId="5BCB3924"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PG 64-22 + 0.5% ASA</w:t>
            </w:r>
          </w:p>
        </w:tc>
        <w:tc>
          <w:tcPr>
            <w:tcW w:w="736" w:type="dxa"/>
            <w:vAlign w:val="center"/>
          </w:tcPr>
          <w:p w14:paraId="1E5BFAD0"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46722.0</w:t>
            </w:r>
          </w:p>
        </w:tc>
        <w:tc>
          <w:tcPr>
            <w:tcW w:w="576" w:type="dxa"/>
            <w:shd w:val="clear" w:color="auto" w:fill="auto"/>
            <w:noWrap/>
            <w:vAlign w:val="center"/>
            <w:hideMark/>
          </w:tcPr>
          <w:p w14:paraId="49B1C425"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350.0</w:t>
            </w:r>
          </w:p>
        </w:tc>
        <w:tc>
          <w:tcPr>
            <w:tcW w:w="496" w:type="dxa"/>
            <w:vAlign w:val="center"/>
          </w:tcPr>
          <w:p w14:paraId="43BE9D54"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9.8</w:t>
            </w:r>
          </w:p>
        </w:tc>
        <w:tc>
          <w:tcPr>
            <w:tcW w:w="576" w:type="dxa"/>
            <w:shd w:val="clear" w:color="auto" w:fill="auto"/>
            <w:noWrap/>
            <w:vAlign w:val="center"/>
            <w:hideMark/>
          </w:tcPr>
          <w:p w14:paraId="02A669D9"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80.8</w:t>
            </w:r>
          </w:p>
        </w:tc>
        <w:tc>
          <w:tcPr>
            <w:tcW w:w="496" w:type="dxa"/>
            <w:vAlign w:val="center"/>
          </w:tcPr>
          <w:p w14:paraId="45376480"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64.7</w:t>
            </w:r>
          </w:p>
        </w:tc>
        <w:tc>
          <w:tcPr>
            <w:tcW w:w="656" w:type="dxa"/>
            <w:shd w:val="clear" w:color="auto" w:fill="auto"/>
            <w:noWrap/>
            <w:vAlign w:val="center"/>
            <w:hideMark/>
          </w:tcPr>
          <w:p w14:paraId="791764F4"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122.0</w:t>
            </w:r>
          </w:p>
        </w:tc>
        <w:tc>
          <w:tcPr>
            <w:tcW w:w="576" w:type="dxa"/>
            <w:shd w:val="clear" w:color="auto" w:fill="auto"/>
            <w:noWrap/>
            <w:vAlign w:val="center"/>
          </w:tcPr>
          <w:p w14:paraId="1188EF69"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42.4</w:t>
            </w:r>
          </w:p>
        </w:tc>
        <w:tc>
          <w:tcPr>
            <w:tcW w:w="576" w:type="dxa"/>
            <w:shd w:val="clear" w:color="auto" w:fill="auto"/>
            <w:noWrap/>
            <w:vAlign w:val="center"/>
          </w:tcPr>
          <w:p w14:paraId="4D5551E8"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182.0</w:t>
            </w:r>
          </w:p>
        </w:tc>
        <w:tc>
          <w:tcPr>
            <w:tcW w:w="416" w:type="dxa"/>
            <w:shd w:val="clear" w:color="auto" w:fill="auto"/>
            <w:noWrap/>
            <w:vAlign w:val="center"/>
          </w:tcPr>
          <w:p w14:paraId="5D34050D"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3.7</w:t>
            </w:r>
          </w:p>
        </w:tc>
        <w:tc>
          <w:tcPr>
            <w:tcW w:w="496" w:type="dxa"/>
            <w:shd w:val="clear" w:color="auto" w:fill="auto"/>
            <w:noWrap/>
            <w:vAlign w:val="center"/>
          </w:tcPr>
          <w:p w14:paraId="2FB2A069"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78.0</w:t>
            </w:r>
          </w:p>
        </w:tc>
        <w:tc>
          <w:tcPr>
            <w:tcW w:w="421" w:type="dxa"/>
            <w:shd w:val="clear" w:color="auto" w:fill="auto"/>
            <w:noWrap/>
            <w:vAlign w:val="center"/>
          </w:tcPr>
          <w:p w14:paraId="72C0AA11"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3.2</w:t>
            </w:r>
          </w:p>
        </w:tc>
        <w:tc>
          <w:tcPr>
            <w:tcW w:w="496" w:type="dxa"/>
            <w:shd w:val="clear" w:color="auto" w:fill="auto"/>
            <w:noWrap/>
            <w:vAlign w:val="center"/>
          </w:tcPr>
          <w:p w14:paraId="64494AC8"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14.2</w:t>
            </w:r>
          </w:p>
        </w:tc>
        <w:tc>
          <w:tcPr>
            <w:tcW w:w="416" w:type="dxa"/>
            <w:shd w:val="clear" w:color="auto" w:fill="auto"/>
            <w:noWrap/>
            <w:vAlign w:val="center"/>
          </w:tcPr>
          <w:p w14:paraId="6AC6B731"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0.0</w:t>
            </w:r>
          </w:p>
        </w:tc>
        <w:tc>
          <w:tcPr>
            <w:tcW w:w="416" w:type="dxa"/>
            <w:shd w:val="clear" w:color="auto" w:fill="auto"/>
            <w:noWrap/>
            <w:vAlign w:val="center"/>
          </w:tcPr>
          <w:p w14:paraId="646EB927"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0.0</w:t>
            </w:r>
          </w:p>
        </w:tc>
        <w:tc>
          <w:tcPr>
            <w:tcW w:w="692" w:type="dxa"/>
            <w:shd w:val="clear" w:color="auto" w:fill="auto"/>
            <w:noWrap/>
            <w:vAlign w:val="center"/>
            <w:hideMark/>
          </w:tcPr>
          <w:p w14:paraId="06C1EBCE"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95.2</w:t>
            </w:r>
          </w:p>
        </w:tc>
      </w:tr>
      <w:tr w:rsidR="0095292D" w:rsidRPr="003B0C2F" w14:paraId="45E553A8" w14:textId="77777777" w:rsidTr="00002F2F">
        <w:trPr>
          <w:trHeight w:val="233"/>
        </w:trPr>
        <w:tc>
          <w:tcPr>
            <w:tcW w:w="1800" w:type="dxa"/>
            <w:shd w:val="clear" w:color="auto" w:fill="auto"/>
            <w:noWrap/>
            <w:vAlign w:val="center"/>
            <w:hideMark/>
          </w:tcPr>
          <w:p w14:paraId="41B7E072"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PG 64-22 + 20% RAP</w:t>
            </w:r>
          </w:p>
        </w:tc>
        <w:tc>
          <w:tcPr>
            <w:tcW w:w="736" w:type="dxa"/>
            <w:vAlign w:val="center"/>
          </w:tcPr>
          <w:p w14:paraId="462A5B9E"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44699.0</w:t>
            </w:r>
          </w:p>
        </w:tc>
        <w:tc>
          <w:tcPr>
            <w:tcW w:w="576" w:type="dxa"/>
            <w:shd w:val="clear" w:color="auto" w:fill="auto"/>
            <w:noWrap/>
            <w:vAlign w:val="center"/>
            <w:hideMark/>
          </w:tcPr>
          <w:p w14:paraId="62098CF2"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345.0</w:t>
            </w:r>
          </w:p>
        </w:tc>
        <w:tc>
          <w:tcPr>
            <w:tcW w:w="496" w:type="dxa"/>
            <w:vAlign w:val="center"/>
          </w:tcPr>
          <w:p w14:paraId="237103DF"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8.3</w:t>
            </w:r>
          </w:p>
        </w:tc>
        <w:tc>
          <w:tcPr>
            <w:tcW w:w="576" w:type="dxa"/>
            <w:shd w:val="clear" w:color="auto" w:fill="auto"/>
            <w:noWrap/>
            <w:vAlign w:val="center"/>
            <w:hideMark/>
          </w:tcPr>
          <w:p w14:paraId="41AE4154"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73.3</w:t>
            </w:r>
          </w:p>
        </w:tc>
        <w:tc>
          <w:tcPr>
            <w:tcW w:w="496" w:type="dxa"/>
            <w:vAlign w:val="center"/>
          </w:tcPr>
          <w:p w14:paraId="550CF9A6"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56.3</w:t>
            </w:r>
          </w:p>
        </w:tc>
        <w:tc>
          <w:tcPr>
            <w:tcW w:w="656" w:type="dxa"/>
            <w:shd w:val="clear" w:color="auto" w:fill="auto"/>
            <w:noWrap/>
            <w:vAlign w:val="center"/>
            <w:hideMark/>
          </w:tcPr>
          <w:p w14:paraId="6DD22FBE"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120.0</w:t>
            </w:r>
          </w:p>
        </w:tc>
        <w:tc>
          <w:tcPr>
            <w:tcW w:w="576" w:type="dxa"/>
            <w:shd w:val="clear" w:color="auto" w:fill="auto"/>
            <w:noWrap/>
            <w:vAlign w:val="center"/>
          </w:tcPr>
          <w:p w14:paraId="337E6F14"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38.8</w:t>
            </w:r>
          </w:p>
        </w:tc>
        <w:tc>
          <w:tcPr>
            <w:tcW w:w="576" w:type="dxa"/>
            <w:shd w:val="clear" w:color="auto" w:fill="auto"/>
            <w:noWrap/>
            <w:vAlign w:val="center"/>
          </w:tcPr>
          <w:p w14:paraId="14783134"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179.0</w:t>
            </w:r>
          </w:p>
        </w:tc>
        <w:tc>
          <w:tcPr>
            <w:tcW w:w="416" w:type="dxa"/>
            <w:shd w:val="clear" w:color="auto" w:fill="auto"/>
            <w:noWrap/>
            <w:vAlign w:val="center"/>
          </w:tcPr>
          <w:p w14:paraId="620450AF"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3.0</w:t>
            </w:r>
          </w:p>
        </w:tc>
        <w:tc>
          <w:tcPr>
            <w:tcW w:w="496" w:type="dxa"/>
            <w:shd w:val="clear" w:color="auto" w:fill="auto"/>
            <w:noWrap/>
            <w:vAlign w:val="center"/>
          </w:tcPr>
          <w:p w14:paraId="5A983DA3"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76.0</w:t>
            </w:r>
          </w:p>
        </w:tc>
        <w:tc>
          <w:tcPr>
            <w:tcW w:w="421" w:type="dxa"/>
            <w:shd w:val="clear" w:color="auto" w:fill="auto"/>
            <w:noWrap/>
            <w:vAlign w:val="center"/>
          </w:tcPr>
          <w:p w14:paraId="1D817DEB"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3.4</w:t>
            </w:r>
          </w:p>
        </w:tc>
        <w:tc>
          <w:tcPr>
            <w:tcW w:w="496" w:type="dxa"/>
            <w:shd w:val="clear" w:color="auto" w:fill="auto"/>
            <w:noWrap/>
            <w:vAlign w:val="center"/>
          </w:tcPr>
          <w:p w14:paraId="0BC862D6"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14.2</w:t>
            </w:r>
          </w:p>
        </w:tc>
        <w:tc>
          <w:tcPr>
            <w:tcW w:w="416" w:type="dxa"/>
            <w:shd w:val="clear" w:color="auto" w:fill="auto"/>
            <w:noWrap/>
            <w:vAlign w:val="center"/>
          </w:tcPr>
          <w:p w14:paraId="218463A4"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0.0</w:t>
            </w:r>
          </w:p>
        </w:tc>
        <w:tc>
          <w:tcPr>
            <w:tcW w:w="416" w:type="dxa"/>
            <w:shd w:val="clear" w:color="auto" w:fill="auto"/>
            <w:noWrap/>
            <w:vAlign w:val="center"/>
          </w:tcPr>
          <w:p w14:paraId="6EEF5162"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0.0</w:t>
            </w:r>
          </w:p>
        </w:tc>
        <w:tc>
          <w:tcPr>
            <w:tcW w:w="692" w:type="dxa"/>
            <w:shd w:val="clear" w:color="auto" w:fill="auto"/>
            <w:noWrap/>
            <w:vAlign w:val="center"/>
            <w:hideMark/>
          </w:tcPr>
          <w:p w14:paraId="6E120F64"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95.4</w:t>
            </w:r>
          </w:p>
        </w:tc>
      </w:tr>
      <w:tr w:rsidR="0095292D" w:rsidRPr="003B0C2F" w14:paraId="251113F8" w14:textId="77777777" w:rsidTr="00002F2F">
        <w:trPr>
          <w:trHeight w:val="233"/>
        </w:trPr>
        <w:tc>
          <w:tcPr>
            <w:tcW w:w="1800" w:type="dxa"/>
            <w:shd w:val="clear" w:color="auto" w:fill="auto"/>
            <w:noWrap/>
            <w:vAlign w:val="center"/>
          </w:tcPr>
          <w:p w14:paraId="09C73644"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PG 64-22 + 1.5% P1</w:t>
            </w:r>
          </w:p>
        </w:tc>
        <w:tc>
          <w:tcPr>
            <w:tcW w:w="736" w:type="dxa"/>
            <w:vAlign w:val="center"/>
          </w:tcPr>
          <w:p w14:paraId="3A798733"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45979.0</w:t>
            </w:r>
          </w:p>
        </w:tc>
        <w:tc>
          <w:tcPr>
            <w:tcW w:w="576" w:type="dxa"/>
            <w:shd w:val="clear" w:color="auto" w:fill="auto"/>
            <w:noWrap/>
            <w:vAlign w:val="center"/>
          </w:tcPr>
          <w:p w14:paraId="634487B7"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335.0</w:t>
            </w:r>
          </w:p>
        </w:tc>
        <w:tc>
          <w:tcPr>
            <w:tcW w:w="496" w:type="dxa"/>
            <w:vAlign w:val="center"/>
          </w:tcPr>
          <w:p w14:paraId="57176FAA"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10.3</w:t>
            </w:r>
          </w:p>
        </w:tc>
        <w:tc>
          <w:tcPr>
            <w:tcW w:w="576" w:type="dxa"/>
            <w:shd w:val="clear" w:color="auto" w:fill="auto"/>
            <w:noWrap/>
            <w:vAlign w:val="center"/>
          </w:tcPr>
          <w:p w14:paraId="3923B416"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75.7</w:t>
            </w:r>
          </w:p>
        </w:tc>
        <w:tc>
          <w:tcPr>
            <w:tcW w:w="496" w:type="dxa"/>
            <w:vAlign w:val="center"/>
          </w:tcPr>
          <w:p w14:paraId="29C075FA"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55.1</w:t>
            </w:r>
          </w:p>
        </w:tc>
        <w:tc>
          <w:tcPr>
            <w:tcW w:w="656" w:type="dxa"/>
            <w:shd w:val="clear" w:color="auto" w:fill="auto"/>
            <w:noWrap/>
            <w:vAlign w:val="center"/>
          </w:tcPr>
          <w:p w14:paraId="577AC452"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3423.0</w:t>
            </w:r>
          </w:p>
        </w:tc>
        <w:tc>
          <w:tcPr>
            <w:tcW w:w="576" w:type="dxa"/>
            <w:shd w:val="clear" w:color="auto" w:fill="auto"/>
            <w:noWrap/>
            <w:vAlign w:val="center"/>
          </w:tcPr>
          <w:p w14:paraId="1BCA6917"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38.2</w:t>
            </w:r>
          </w:p>
        </w:tc>
        <w:tc>
          <w:tcPr>
            <w:tcW w:w="576" w:type="dxa"/>
            <w:shd w:val="clear" w:color="auto" w:fill="auto"/>
            <w:noWrap/>
            <w:vAlign w:val="center"/>
          </w:tcPr>
          <w:p w14:paraId="3F2E4F07"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180.0</w:t>
            </w:r>
          </w:p>
        </w:tc>
        <w:tc>
          <w:tcPr>
            <w:tcW w:w="416" w:type="dxa"/>
            <w:shd w:val="clear" w:color="auto" w:fill="auto"/>
            <w:noWrap/>
            <w:vAlign w:val="center"/>
          </w:tcPr>
          <w:p w14:paraId="6E9A97CE"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3.2</w:t>
            </w:r>
          </w:p>
        </w:tc>
        <w:tc>
          <w:tcPr>
            <w:tcW w:w="496" w:type="dxa"/>
            <w:shd w:val="clear" w:color="auto" w:fill="auto"/>
            <w:noWrap/>
            <w:vAlign w:val="center"/>
          </w:tcPr>
          <w:p w14:paraId="3BBEB8FD"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76.7</w:t>
            </w:r>
          </w:p>
        </w:tc>
        <w:tc>
          <w:tcPr>
            <w:tcW w:w="421" w:type="dxa"/>
            <w:shd w:val="clear" w:color="auto" w:fill="auto"/>
            <w:noWrap/>
            <w:vAlign w:val="center"/>
          </w:tcPr>
          <w:p w14:paraId="1ECBA531"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3.0</w:t>
            </w:r>
          </w:p>
        </w:tc>
        <w:tc>
          <w:tcPr>
            <w:tcW w:w="496" w:type="dxa"/>
            <w:shd w:val="clear" w:color="auto" w:fill="auto"/>
            <w:noWrap/>
            <w:vAlign w:val="center"/>
          </w:tcPr>
          <w:p w14:paraId="058D1621"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22.0</w:t>
            </w:r>
          </w:p>
        </w:tc>
        <w:tc>
          <w:tcPr>
            <w:tcW w:w="416" w:type="dxa"/>
            <w:shd w:val="clear" w:color="auto" w:fill="auto"/>
            <w:noWrap/>
            <w:vAlign w:val="center"/>
          </w:tcPr>
          <w:p w14:paraId="1096B4DA"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0.0</w:t>
            </w:r>
          </w:p>
        </w:tc>
        <w:tc>
          <w:tcPr>
            <w:tcW w:w="416" w:type="dxa"/>
            <w:shd w:val="clear" w:color="auto" w:fill="auto"/>
            <w:noWrap/>
            <w:vAlign w:val="center"/>
          </w:tcPr>
          <w:p w14:paraId="00A4BFE7"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0.0</w:t>
            </w:r>
          </w:p>
        </w:tc>
        <w:tc>
          <w:tcPr>
            <w:tcW w:w="692" w:type="dxa"/>
            <w:shd w:val="clear" w:color="auto" w:fill="auto"/>
            <w:noWrap/>
            <w:vAlign w:val="center"/>
          </w:tcPr>
          <w:p w14:paraId="4B62B6F1" w14:textId="77777777" w:rsidR="00437EFE" w:rsidRPr="003B0C2F" w:rsidRDefault="00437EFE" w:rsidP="00650395">
            <w:pPr>
              <w:spacing w:line="240" w:lineRule="auto"/>
              <w:jc w:val="center"/>
              <w:rPr>
                <w:rFonts w:eastAsia="Times New Roman" w:cs="Times New Roman"/>
                <w:color w:val="000000"/>
                <w:sz w:val="16"/>
                <w:szCs w:val="16"/>
              </w:rPr>
            </w:pPr>
            <w:r w:rsidRPr="003B0C2F">
              <w:rPr>
                <w:rFonts w:eastAsia="Times New Roman" w:cs="Times New Roman"/>
                <w:color w:val="000000"/>
                <w:sz w:val="16"/>
                <w:szCs w:val="16"/>
              </w:rPr>
              <w:t>96.9</w:t>
            </w:r>
          </w:p>
        </w:tc>
      </w:tr>
      <w:tr w:rsidR="0095292D" w:rsidRPr="003B0C2F" w14:paraId="78557F2E" w14:textId="77777777" w:rsidTr="00002F2F">
        <w:trPr>
          <w:trHeight w:val="233"/>
        </w:trPr>
        <w:tc>
          <w:tcPr>
            <w:tcW w:w="1800" w:type="dxa"/>
            <w:shd w:val="clear" w:color="auto" w:fill="auto"/>
            <w:noWrap/>
            <w:vAlign w:val="center"/>
            <w:hideMark/>
          </w:tcPr>
          <w:p w14:paraId="1B37DCEC"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PG 76-28</w:t>
            </w:r>
          </w:p>
        </w:tc>
        <w:tc>
          <w:tcPr>
            <w:tcW w:w="736" w:type="dxa"/>
            <w:vAlign w:val="center"/>
          </w:tcPr>
          <w:p w14:paraId="49231CAE"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28666.0</w:t>
            </w:r>
          </w:p>
        </w:tc>
        <w:tc>
          <w:tcPr>
            <w:tcW w:w="576" w:type="dxa"/>
            <w:shd w:val="clear" w:color="auto" w:fill="auto"/>
            <w:noWrap/>
            <w:vAlign w:val="center"/>
            <w:hideMark/>
          </w:tcPr>
          <w:p w14:paraId="63101BF8"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241.0</w:t>
            </w:r>
          </w:p>
        </w:tc>
        <w:tc>
          <w:tcPr>
            <w:tcW w:w="496" w:type="dxa"/>
            <w:vAlign w:val="center"/>
          </w:tcPr>
          <w:p w14:paraId="7C0DF459"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26.1</w:t>
            </w:r>
          </w:p>
        </w:tc>
        <w:tc>
          <w:tcPr>
            <w:tcW w:w="576" w:type="dxa"/>
            <w:shd w:val="clear" w:color="auto" w:fill="auto"/>
            <w:noWrap/>
            <w:vAlign w:val="center"/>
            <w:hideMark/>
          </w:tcPr>
          <w:p w14:paraId="3E63F2D1"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116.0</w:t>
            </w:r>
          </w:p>
        </w:tc>
        <w:tc>
          <w:tcPr>
            <w:tcW w:w="496" w:type="dxa"/>
            <w:vAlign w:val="center"/>
          </w:tcPr>
          <w:p w14:paraId="1B6718C4"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46.3</w:t>
            </w:r>
          </w:p>
        </w:tc>
        <w:tc>
          <w:tcPr>
            <w:tcW w:w="656" w:type="dxa"/>
            <w:shd w:val="clear" w:color="auto" w:fill="auto"/>
            <w:noWrap/>
            <w:vAlign w:val="center"/>
            <w:hideMark/>
          </w:tcPr>
          <w:p w14:paraId="5D2DCCB3"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80.1</w:t>
            </w:r>
          </w:p>
        </w:tc>
        <w:tc>
          <w:tcPr>
            <w:tcW w:w="576" w:type="dxa"/>
            <w:shd w:val="clear" w:color="auto" w:fill="auto"/>
            <w:noWrap/>
            <w:vAlign w:val="center"/>
          </w:tcPr>
          <w:p w14:paraId="4112E364"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183.0</w:t>
            </w:r>
          </w:p>
        </w:tc>
        <w:tc>
          <w:tcPr>
            <w:tcW w:w="576" w:type="dxa"/>
            <w:shd w:val="clear" w:color="auto" w:fill="auto"/>
            <w:noWrap/>
            <w:vAlign w:val="center"/>
          </w:tcPr>
          <w:p w14:paraId="0CAA508B"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45.2</w:t>
            </w:r>
          </w:p>
        </w:tc>
        <w:tc>
          <w:tcPr>
            <w:tcW w:w="416" w:type="dxa"/>
            <w:shd w:val="clear" w:color="auto" w:fill="auto"/>
            <w:noWrap/>
            <w:vAlign w:val="center"/>
          </w:tcPr>
          <w:p w14:paraId="7CE09678"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8.4</w:t>
            </w:r>
          </w:p>
        </w:tc>
        <w:tc>
          <w:tcPr>
            <w:tcW w:w="496" w:type="dxa"/>
            <w:shd w:val="clear" w:color="auto" w:fill="auto"/>
            <w:noWrap/>
            <w:vAlign w:val="center"/>
          </w:tcPr>
          <w:p w14:paraId="4EF97FB7"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25.2</w:t>
            </w:r>
          </w:p>
        </w:tc>
        <w:tc>
          <w:tcPr>
            <w:tcW w:w="421" w:type="dxa"/>
            <w:shd w:val="clear" w:color="auto" w:fill="auto"/>
            <w:noWrap/>
            <w:vAlign w:val="center"/>
          </w:tcPr>
          <w:p w14:paraId="54A56EB7"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3.3</w:t>
            </w:r>
          </w:p>
        </w:tc>
        <w:tc>
          <w:tcPr>
            <w:tcW w:w="496" w:type="dxa"/>
            <w:shd w:val="clear" w:color="auto" w:fill="auto"/>
            <w:noWrap/>
            <w:vAlign w:val="center"/>
          </w:tcPr>
          <w:p w14:paraId="69953726"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14.5</w:t>
            </w:r>
          </w:p>
        </w:tc>
        <w:tc>
          <w:tcPr>
            <w:tcW w:w="416" w:type="dxa"/>
            <w:shd w:val="clear" w:color="auto" w:fill="auto"/>
            <w:noWrap/>
            <w:vAlign w:val="center"/>
          </w:tcPr>
          <w:p w14:paraId="1C719063"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2.5</w:t>
            </w:r>
          </w:p>
        </w:tc>
        <w:tc>
          <w:tcPr>
            <w:tcW w:w="416" w:type="dxa"/>
            <w:shd w:val="clear" w:color="auto" w:fill="auto"/>
            <w:noWrap/>
            <w:vAlign w:val="center"/>
          </w:tcPr>
          <w:p w14:paraId="4BBCE8CD"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1.2</w:t>
            </w:r>
          </w:p>
        </w:tc>
        <w:tc>
          <w:tcPr>
            <w:tcW w:w="692" w:type="dxa"/>
            <w:shd w:val="clear" w:color="auto" w:fill="auto"/>
            <w:noWrap/>
            <w:vAlign w:val="center"/>
            <w:hideMark/>
          </w:tcPr>
          <w:p w14:paraId="293BDB36"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97.1</w:t>
            </w:r>
          </w:p>
        </w:tc>
      </w:tr>
      <w:tr w:rsidR="0095292D" w:rsidRPr="003B0C2F" w14:paraId="6423DE24" w14:textId="77777777" w:rsidTr="00002F2F">
        <w:trPr>
          <w:trHeight w:val="233"/>
        </w:trPr>
        <w:tc>
          <w:tcPr>
            <w:tcW w:w="1800" w:type="dxa"/>
            <w:shd w:val="clear" w:color="auto" w:fill="auto"/>
            <w:noWrap/>
            <w:vAlign w:val="center"/>
            <w:hideMark/>
          </w:tcPr>
          <w:p w14:paraId="02FCFC61"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PG 76-28 + 0.5% WMA</w:t>
            </w:r>
          </w:p>
        </w:tc>
        <w:tc>
          <w:tcPr>
            <w:tcW w:w="736" w:type="dxa"/>
            <w:vAlign w:val="center"/>
          </w:tcPr>
          <w:p w14:paraId="3E6AC1AC"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28936.0</w:t>
            </w:r>
          </w:p>
        </w:tc>
        <w:tc>
          <w:tcPr>
            <w:tcW w:w="576" w:type="dxa"/>
            <w:shd w:val="clear" w:color="auto" w:fill="auto"/>
            <w:noWrap/>
            <w:vAlign w:val="center"/>
            <w:hideMark/>
          </w:tcPr>
          <w:p w14:paraId="2094B250"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273.0</w:t>
            </w:r>
          </w:p>
        </w:tc>
        <w:tc>
          <w:tcPr>
            <w:tcW w:w="496" w:type="dxa"/>
            <w:vAlign w:val="center"/>
          </w:tcPr>
          <w:p w14:paraId="038974D8"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33.8</w:t>
            </w:r>
          </w:p>
        </w:tc>
        <w:tc>
          <w:tcPr>
            <w:tcW w:w="576" w:type="dxa"/>
            <w:shd w:val="clear" w:color="auto" w:fill="auto"/>
            <w:noWrap/>
            <w:vAlign w:val="center"/>
            <w:hideMark/>
          </w:tcPr>
          <w:p w14:paraId="4B542469"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117.0</w:t>
            </w:r>
          </w:p>
        </w:tc>
        <w:tc>
          <w:tcPr>
            <w:tcW w:w="496" w:type="dxa"/>
            <w:vAlign w:val="center"/>
          </w:tcPr>
          <w:p w14:paraId="7605B4D8"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51.3</w:t>
            </w:r>
          </w:p>
        </w:tc>
        <w:tc>
          <w:tcPr>
            <w:tcW w:w="656" w:type="dxa"/>
            <w:shd w:val="clear" w:color="auto" w:fill="auto"/>
            <w:noWrap/>
            <w:vAlign w:val="center"/>
            <w:hideMark/>
          </w:tcPr>
          <w:p w14:paraId="53F7C777"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83.2</w:t>
            </w:r>
          </w:p>
        </w:tc>
        <w:tc>
          <w:tcPr>
            <w:tcW w:w="576" w:type="dxa"/>
            <w:shd w:val="clear" w:color="auto" w:fill="auto"/>
            <w:noWrap/>
            <w:vAlign w:val="center"/>
          </w:tcPr>
          <w:p w14:paraId="63AC09F4"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181.0</w:t>
            </w:r>
          </w:p>
        </w:tc>
        <w:tc>
          <w:tcPr>
            <w:tcW w:w="576" w:type="dxa"/>
            <w:shd w:val="clear" w:color="auto" w:fill="auto"/>
            <w:noWrap/>
            <w:vAlign w:val="center"/>
          </w:tcPr>
          <w:p w14:paraId="5A06BACB"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47.2</w:t>
            </w:r>
          </w:p>
        </w:tc>
        <w:tc>
          <w:tcPr>
            <w:tcW w:w="416" w:type="dxa"/>
            <w:shd w:val="clear" w:color="auto" w:fill="auto"/>
            <w:noWrap/>
            <w:vAlign w:val="center"/>
          </w:tcPr>
          <w:p w14:paraId="4F38DFD4"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9.0</w:t>
            </w:r>
          </w:p>
        </w:tc>
        <w:tc>
          <w:tcPr>
            <w:tcW w:w="496" w:type="dxa"/>
            <w:shd w:val="clear" w:color="auto" w:fill="auto"/>
            <w:noWrap/>
            <w:vAlign w:val="center"/>
          </w:tcPr>
          <w:p w14:paraId="53EF98F0"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26.0</w:t>
            </w:r>
          </w:p>
        </w:tc>
        <w:tc>
          <w:tcPr>
            <w:tcW w:w="421" w:type="dxa"/>
            <w:shd w:val="clear" w:color="auto" w:fill="auto"/>
            <w:noWrap/>
            <w:vAlign w:val="center"/>
          </w:tcPr>
          <w:p w14:paraId="29CB0F9F"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3.2</w:t>
            </w:r>
          </w:p>
        </w:tc>
        <w:tc>
          <w:tcPr>
            <w:tcW w:w="496" w:type="dxa"/>
            <w:shd w:val="clear" w:color="auto" w:fill="auto"/>
            <w:noWrap/>
            <w:vAlign w:val="center"/>
          </w:tcPr>
          <w:p w14:paraId="6E2317D5"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12.9</w:t>
            </w:r>
          </w:p>
        </w:tc>
        <w:tc>
          <w:tcPr>
            <w:tcW w:w="416" w:type="dxa"/>
            <w:shd w:val="clear" w:color="auto" w:fill="auto"/>
            <w:noWrap/>
            <w:vAlign w:val="center"/>
          </w:tcPr>
          <w:p w14:paraId="535634BF"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2.6</w:t>
            </w:r>
          </w:p>
        </w:tc>
        <w:tc>
          <w:tcPr>
            <w:tcW w:w="416" w:type="dxa"/>
            <w:shd w:val="clear" w:color="auto" w:fill="auto"/>
            <w:noWrap/>
            <w:vAlign w:val="center"/>
          </w:tcPr>
          <w:p w14:paraId="2D3272A8"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1.3</w:t>
            </w:r>
          </w:p>
        </w:tc>
        <w:tc>
          <w:tcPr>
            <w:tcW w:w="692" w:type="dxa"/>
            <w:shd w:val="clear" w:color="auto" w:fill="auto"/>
            <w:noWrap/>
            <w:vAlign w:val="center"/>
            <w:hideMark/>
          </w:tcPr>
          <w:p w14:paraId="036566C2"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97.0</w:t>
            </w:r>
          </w:p>
        </w:tc>
      </w:tr>
      <w:tr w:rsidR="0095292D" w:rsidRPr="003B0C2F" w14:paraId="41EB8D42" w14:textId="77777777" w:rsidTr="00002F2F">
        <w:trPr>
          <w:trHeight w:val="233"/>
        </w:trPr>
        <w:tc>
          <w:tcPr>
            <w:tcW w:w="1800" w:type="dxa"/>
            <w:shd w:val="clear" w:color="auto" w:fill="auto"/>
            <w:noWrap/>
            <w:vAlign w:val="center"/>
            <w:hideMark/>
          </w:tcPr>
          <w:p w14:paraId="4F0DF7B9"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PG 76-28 + 0.5% ASA</w:t>
            </w:r>
          </w:p>
        </w:tc>
        <w:tc>
          <w:tcPr>
            <w:tcW w:w="736" w:type="dxa"/>
            <w:vAlign w:val="center"/>
          </w:tcPr>
          <w:p w14:paraId="65E55C95"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29109.0</w:t>
            </w:r>
          </w:p>
        </w:tc>
        <w:tc>
          <w:tcPr>
            <w:tcW w:w="576" w:type="dxa"/>
            <w:shd w:val="clear" w:color="auto" w:fill="auto"/>
            <w:noWrap/>
            <w:vAlign w:val="center"/>
            <w:hideMark/>
          </w:tcPr>
          <w:p w14:paraId="2B1D9AF2"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248.0</w:t>
            </w:r>
          </w:p>
        </w:tc>
        <w:tc>
          <w:tcPr>
            <w:tcW w:w="496" w:type="dxa"/>
            <w:vAlign w:val="center"/>
          </w:tcPr>
          <w:p w14:paraId="29CDEF16"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28.3</w:t>
            </w:r>
          </w:p>
        </w:tc>
        <w:tc>
          <w:tcPr>
            <w:tcW w:w="576" w:type="dxa"/>
            <w:shd w:val="clear" w:color="auto" w:fill="auto"/>
            <w:noWrap/>
            <w:vAlign w:val="center"/>
            <w:hideMark/>
          </w:tcPr>
          <w:p w14:paraId="5C59E92B"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123.0</w:t>
            </w:r>
          </w:p>
        </w:tc>
        <w:tc>
          <w:tcPr>
            <w:tcW w:w="496" w:type="dxa"/>
            <w:vAlign w:val="center"/>
          </w:tcPr>
          <w:p w14:paraId="00531016"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50.2</w:t>
            </w:r>
          </w:p>
        </w:tc>
        <w:tc>
          <w:tcPr>
            <w:tcW w:w="656" w:type="dxa"/>
            <w:shd w:val="clear" w:color="auto" w:fill="auto"/>
            <w:noWrap/>
            <w:vAlign w:val="center"/>
            <w:hideMark/>
          </w:tcPr>
          <w:p w14:paraId="0D9CB9F8"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78.9</w:t>
            </w:r>
          </w:p>
        </w:tc>
        <w:tc>
          <w:tcPr>
            <w:tcW w:w="576" w:type="dxa"/>
            <w:shd w:val="clear" w:color="auto" w:fill="auto"/>
            <w:noWrap/>
            <w:vAlign w:val="center"/>
          </w:tcPr>
          <w:p w14:paraId="50970562"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181.0</w:t>
            </w:r>
          </w:p>
        </w:tc>
        <w:tc>
          <w:tcPr>
            <w:tcW w:w="576" w:type="dxa"/>
            <w:shd w:val="clear" w:color="auto" w:fill="auto"/>
            <w:noWrap/>
            <w:vAlign w:val="center"/>
          </w:tcPr>
          <w:p w14:paraId="4CB661D7"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43.5</w:t>
            </w:r>
          </w:p>
        </w:tc>
        <w:tc>
          <w:tcPr>
            <w:tcW w:w="416" w:type="dxa"/>
            <w:shd w:val="clear" w:color="auto" w:fill="auto"/>
            <w:noWrap/>
            <w:vAlign w:val="center"/>
          </w:tcPr>
          <w:p w14:paraId="0BD44DF9"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8.1</w:t>
            </w:r>
          </w:p>
        </w:tc>
        <w:tc>
          <w:tcPr>
            <w:tcW w:w="496" w:type="dxa"/>
            <w:shd w:val="clear" w:color="auto" w:fill="auto"/>
            <w:noWrap/>
            <w:vAlign w:val="center"/>
          </w:tcPr>
          <w:p w14:paraId="6AC00D44"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25.4</w:t>
            </w:r>
          </w:p>
        </w:tc>
        <w:tc>
          <w:tcPr>
            <w:tcW w:w="421" w:type="dxa"/>
            <w:shd w:val="clear" w:color="auto" w:fill="auto"/>
            <w:noWrap/>
            <w:vAlign w:val="center"/>
          </w:tcPr>
          <w:p w14:paraId="64C9D24D"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3.5</w:t>
            </w:r>
          </w:p>
        </w:tc>
        <w:tc>
          <w:tcPr>
            <w:tcW w:w="496" w:type="dxa"/>
            <w:shd w:val="clear" w:color="auto" w:fill="auto"/>
            <w:noWrap/>
            <w:vAlign w:val="center"/>
          </w:tcPr>
          <w:p w14:paraId="2D95C3B1"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14.5</w:t>
            </w:r>
          </w:p>
        </w:tc>
        <w:tc>
          <w:tcPr>
            <w:tcW w:w="416" w:type="dxa"/>
            <w:shd w:val="clear" w:color="auto" w:fill="auto"/>
            <w:noWrap/>
            <w:vAlign w:val="center"/>
          </w:tcPr>
          <w:p w14:paraId="65813078"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2.3</w:t>
            </w:r>
          </w:p>
        </w:tc>
        <w:tc>
          <w:tcPr>
            <w:tcW w:w="416" w:type="dxa"/>
            <w:shd w:val="clear" w:color="auto" w:fill="auto"/>
            <w:noWrap/>
            <w:vAlign w:val="center"/>
          </w:tcPr>
          <w:p w14:paraId="282D5D43"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1.3</w:t>
            </w:r>
          </w:p>
        </w:tc>
        <w:tc>
          <w:tcPr>
            <w:tcW w:w="692" w:type="dxa"/>
            <w:shd w:val="clear" w:color="auto" w:fill="auto"/>
            <w:noWrap/>
            <w:vAlign w:val="center"/>
            <w:hideMark/>
          </w:tcPr>
          <w:p w14:paraId="6F5F9BDE"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97.0</w:t>
            </w:r>
          </w:p>
        </w:tc>
      </w:tr>
      <w:tr w:rsidR="0095292D" w:rsidRPr="003B0C2F" w14:paraId="1A6B8F55" w14:textId="77777777" w:rsidTr="00002F2F">
        <w:trPr>
          <w:trHeight w:val="233"/>
        </w:trPr>
        <w:tc>
          <w:tcPr>
            <w:tcW w:w="1800" w:type="dxa"/>
            <w:shd w:val="clear" w:color="auto" w:fill="auto"/>
            <w:noWrap/>
            <w:vAlign w:val="center"/>
            <w:hideMark/>
          </w:tcPr>
          <w:p w14:paraId="0496EF54"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PG 76-28 + 20% RAP</w:t>
            </w:r>
          </w:p>
        </w:tc>
        <w:tc>
          <w:tcPr>
            <w:tcW w:w="736" w:type="dxa"/>
            <w:vAlign w:val="center"/>
          </w:tcPr>
          <w:p w14:paraId="2D680E88"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27730.0</w:t>
            </w:r>
          </w:p>
        </w:tc>
        <w:tc>
          <w:tcPr>
            <w:tcW w:w="576" w:type="dxa"/>
            <w:shd w:val="clear" w:color="auto" w:fill="auto"/>
            <w:noWrap/>
            <w:vAlign w:val="center"/>
            <w:hideMark/>
          </w:tcPr>
          <w:p w14:paraId="0C0246E9"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259.0</w:t>
            </w:r>
          </w:p>
        </w:tc>
        <w:tc>
          <w:tcPr>
            <w:tcW w:w="496" w:type="dxa"/>
            <w:vAlign w:val="center"/>
          </w:tcPr>
          <w:p w14:paraId="4E670168"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20.9</w:t>
            </w:r>
          </w:p>
        </w:tc>
        <w:tc>
          <w:tcPr>
            <w:tcW w:w="576" w:type="dxa"/>
            <w:shd w:val="clear" w:color="auto" w:fill="auto"/>
            <w:noWrap/>
            <w:vAlign w:val="center"/>
            <w:hideMark/>
          </w:tcPr>
          <w:p w14:paraId="60ADC56D"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105.0</w:t>
            </w:r>
          </w:p>
        </w:tc>
        <w:tc>
          <w:tcPr>
            <w:tcW w:w="496" w:type="dxa"/>
            <w:vAlign w:val="center"/>
          </w:tcPr>
          <w:p w14:paraId="057BCDDA"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47.7</w:t>
            </w:r>
          </w:p>
        </w:tc>
        <w:tc>
          <w:tcPr>
            <w:tcW w:w="656" w:type="dxa"/>
            <w:shd w:val="clear" w:color="auto" w:fill="auto"/>
            <w:noWrap/>
            <w:vAlign w:val="center"/>
            <w:hideMark/>
          </w:tcPr>
          <w:p w14:paraId="7994E335"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83.5</w:t>
            </w:r>
          </w:p>
        </w:tc>
        <w:tc>
          <w:tcPr>
            <w:tcW w:w="576" w:type="dxa"/>
            <w:shd w:val="clear" w:color="auto" w:fill="auto"/>
            <w:noWrap/>
            <w:vAlign w:val="center"/>
          </w:tcPr>
          <w:p w14:paraId="5FDD5F3D"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151.0</w:t>
            </w:r>
          </w:p>
        </w:tc>
        <w:tc>
          <w:tcPr>
            <w:tcW w:w="576" w:type="dxa"/>
            <w:shd w:val="clear" w:color="auto" w:fill="auto"/>
            <w:noWrap/>
            <w:vAlign w:val="center"/>
          </w:tcPr>
          <w:p w14:paraId="4A9B9215"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71.1</w:t>
            </w:r>
          </w:p>
        </w:tc>
        <w:tc>
          <w:tcPr>
            <w:tcW w:w="416" w:type="dxa"/>
            <w:shd w:val="clear" w:color="auto" w:fill="auto"/>
            <w:noWrap/>
            <w:vAlign w:val="center"/>
          </w:tcPr>
          <w:p w14:paraId="4D40112F"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7.4</w:t>
            </w:r>
          </w:p>
        </w:tc>
        <w:tc>
          <w:tcPr>
            <w:tcW w:w="496" w:type="dxa"/>
            <w:shd w:val="clear" w:color="auto" w:fill="auto"/>
            <w:noWrap/>
            <w:vAlign w:val="center"/>
          </w:tcPr>
          <w:p w14:paraId="2DE024F2"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35.4</w:t>
            </w:r>
          </w:p>
        </w:tc>
        <w:tc>
          <w:tcPr>
            <w:tcW w:w="421" w:type="dxa"/>
            <w:shd w:val="clear" w:color="auto" w:fill="auto"/>
            <w:noWrap/>
            <w:vAlign w:val="center"/>
          </w:tcPr>
          <w:p w14:paraId="0AF62ED6"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3.9</w:t>
            </w:r>
          </w:p>
        </w:tc>
        <w:tc>
          <w:tcPr>
            <w:tcW w:w="496" w:type="dxa"/>
            <w:shd w:val="clear" w:color="auto" w:fill="auto"/>
            <w:noWrap/>
            <w:vAlign w:val="center"/>
          </w:tcPr>
          <w:p w14:paraId="216F6FD5"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15.9</w:t>
            </w:r>
          </w:p>
        </w:tc>
        <w:tc>
          <w:tcPr>
            <w:tcW w:w="416" w:type="dxa"/>
            <w:shd w:val="clear" w:color="auto" w:fill="auto"/>
            <w:noWrap/>
            <w:vAlign w:val="center"/>
          </w:tcPr>
          <w:p w14:paraId="4B21F8AC"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1.7</w:t>
            </w:r>
          </w:p>
        </w:tc>
        <w:tc>
          <w:tcPr>
            <w:tcW w:w="416" w:type="dxa"/>
            <w:shd w:val="clear" w:color="auto" w:fill="auto"/>
            <w:noWrap/>
            <w:vAlign w:val="center"/>
          </w:tcPr>
          <w:p w14:paraId="714DC476"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1.0</w:t>
            </w:r>
          </w:p>
        </w:tc>
        <w:tc>
          <w:tcPr>
            <w:tcW w:w="692" w:type="dxa"/>
            <w:shd w:val="clear" w:color="auto" w:fill="auto"/>
            <w:noWrap/>
            <w:vAlign w:val="center"/>
            <w:hideMark/>
          </w:tcPr>
          <w:p w14:paraId="4F76C4DF" w14:textId="77777777" w:rsidR="00437EFE" w:rsidRPr="003B0C2F" w:rsidRDefault="00437EFE" w:rsidP="00650395">
            <w:pPr>
              <w:spacing w:line="240" w:lineRule="auto"/>
              <w:jc w:val="center"/>
              <w:rPr>
                <w:rFonts w:eastAsia="Times New Roman" w:cs="Times New Roman"/>
                <w:sz w:val="16"/>
                <w:szCs w:val="16"/>
              </w:rPr>
            </w:pPr>
            <w:r w:rsidRPr="003B0C2F">
              <w:rPr>
                <w:rFonts w:eastAsia="Times New Roman" w:cs="Times New Roman"/>
                <w:sz w:val="16"/>
                <w:szCs w:val="16"/>
              </w:rPr>
              <w:t>96.9</w:t>
            </w:r>
          </w:p>
        </w:tc>
      </w:tr>
    </w:tbl>
    <w:p w14:paraId="31E5CD97" w14:textId="77777777" w:rsidR="001E7461" w:rsidRPr="003B0C2F" w:rsidRDefault="001E7461" w:rsidP="00DC3BE9">
      <w:pPr>
        <w:pStyle w:val="Caption"/>
      </w:pPr>
    </w:p>
    <w:p w14:paraId="5142785A" w14:textId="1AF8FCA6" w:rsidR="00535704" w:rsidRPr="003B0C2F" w:rsidRDefault="001E7461" w:rsidP="00FF43D6">
      <w:pPr>
        <w:pStyle w:val="Caption"/>
        <w:spacing w:line="360" w:lineRule="auto"/>
        <w:jc w:val="center"/>
      </w:pPr>
      <w:bookmarkStart w:id="94" w:name="_Toc71330988"/>
      <w:r w:rsidRPr="003B0C2F">
        <w:t xml:space="preserve">Table </w:t>
      </w:r>
      <w:fldSimple w:instr=" STYLEREF 1 \s ">
        <w:r w:rsidR="005050F0">
          <w:rPr>
            <w:noProof/>
          </w:rPr>
          <w:t>3</w:t>
        </w:r>
      </w:fldSimple>
      <w:r w:rsidR="00700639" w:rsidRPr="003B0C2F">
        <w:t>.</w:t>
      </w:r>
      <w:fldSimple w:instr=" SEQ Table \* ARABIC \s 1 ">
        <w:r w:rsidR="005050F0">
          <w:rPr>
            <w:noProof/>
          </w:rPr>
          <w:t>2</w:t>
        </w:r>
      </w:fldSimple>
      <w:r w:rsidRPr="003B0C2F">
        <w:t xml:space="preserve"> </w:t>
      </w:r>
      <w:r w:rsidR="00535704" w:rsidRPr="003B0C2F">
        <w:t>Contact angles of PG 64-22 and PG 76-28 binder blends with probe liquids</w:t>
      </w:r>
      <w:bookmarkEnd w:id="94"/>
    </w:p>
    <w:tbl>
      <w:tblPr>
        <w:tblW w:w="87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5"/>
        <w:gridCol w:w="849"/>
        <w:gridCol w:w="764"/>
        <w:gridCol w:w="595"/>
        <w:gridCol w:w="764"/>
        <w:gridCol w:w="595"/>
        <w:gridCol w:w="728"/>
        <w:gridCol w:w="622"/>
        <w:gridCol w:w="807"/>
        <w:gridCol w:w="709"/>
        <w:gridCol w:w="594"/>
        <w:gridCol w:w="566"/>
        <w:gridCol w:w="6"/>
      </w:tblGrid>
      <w:tr w:rsidR="00535704" w:rsidRPr="003B0C2F" w14:paraId="4ABE8ABA" w14:textId="77777777" w:rsidTr="00FF43D6">
        <w:trPr>
          <w:trHeight w:val="203"/>
        </w:trPr>
        <w:tc>
          <w:tcPr>
            <w:tcW w:w="1185" w:type="dxa"/>
            <w:vMerge w:val="restart"/>
            <w:shd w:val="clear" w:color="auto" w:fill="auto"/>
            <w:noWrap/>
            <w:vAlign w:val="center"/>
            <w:hideMark/>
          </w:tcPr>
          <w:p w14:paraId="7E0FE8AD" w14:textId="77777777" w:rsidR="00535704" w:rsidRPr="003B0C2F" w:rsidRDefault="00535704" w:rsidP="00650395">
            <w:pPr>
              <w:spacing w:line="240" w:lineRule="auto"/>
              <w:jc w:val="center"/>
              <w:rPr>
                <w:rFonts w:eastAsia="Times New Roman" w:cs="Times New Roman"/>
                <w:b/>
                <w:bCs/>
                <w:color w:val="000000"/>
                <w:sz w:val="20"/>
                <w:szCs w:val="20"/>
              </w:rPr>
            </w:pPr>
            <w:r w:rsidRPr="003B0C2F">
              <w:rPr>
                <w:rFonts w:eastAsia="Times New Roman" w:cs="Times New Roman"/>
                <w:b/>
                <w:bCs/>
                <w:color w:val="000000"/>
                <w:sz w:val="20"/>
                <w:szCs w:val="20"/>
              </w:rPr>
              <w:t>Binder Type</w:t>
            </w:r>
          </w:p>
        </w:tc>
        <w:tc>
          <w:tcPr>
            <w:tcW w:w="849" w:type="dxa"/>
            <w:vMerge w:val="restart"/>
            <w:shd w:val="clear" w:color="auto" w:fill="auto"/>
            <w:noWrap/>
            <w:vAlign w:val="center"/>
            <w:hideMark/>
          </w:tcPr>
          <w:p w14:paraId="435E3D84" w14:textId="77777777" w:rsidR="00535704" w:rsidRPr="003B0C2F" w:rsidRDefault="00535704" w:rsidP="00650395">
            <w:pPr>
              <w:spacing w:line="240" w:lineRule="auto"/>
              <w:jc w:val="center"/>
              <w:rPr>
                <w:rFonts w:eastAsia="Times New Roman" w:cs="Times New Roman"/>
                <w:b/>
                <w:bCs/>
                <w:color w:val="000000"/>
                <w:sz w:val="20"/>
                <w:szCs w:val="20"/>
              </w:rPr>
            </w:pPr>
            <w:r w:rsidRPr="003B0C2F">
              <w:rPr>
                <w:rFonts w:eastAsia="Times New Roman" w:cs="Times New Roman"/>
                <w:b/>
                <w:bCs/>
                <w:color w:val="000000"/>
                <w:sz w:val="20"/>
                <w:szCs w:val="20"/>
              </w:rPr>
              <w:t>Aging</w:t>
            </w:r>
          </w:p>
        </w:tc>
        <w:tc>
          <w:tcPr>
            <w:tcW w:w="6688" w:type="dxa"/>
            <w:gridSpan w:val="11"/>
            <w:shd w:val="clear" w:color="auto" w:fill="auto"/>
            <w:noWrap/>
            <w:vAlign w:val="bottom"/>
            <w:hideMark/>
          </w:tcPr>
          <w:p w14:paraId="116AD6C9" w14:textId="77777777" w:rsidR="00535704" w:rsidRPr="003B0C2F" w:rsidRDefault="00535704" w:rsidP="00650395">
            <w:pPr>
              <w:spacing w:line="240" w:lineRule="auto"/>
              <w:jc w:val="center"/>
              <w:rPr>
                <w:rFonts w:eastAsia="Times New Roman" w:cs="Times New Roman"/>
                <w:b/>
                <w:bCs/>
                <w:color w:val="000000"/>
                <w:sz w:val="20"/>
                <w:szCs w:val="20"/>
              </w:rPr>
            </w:pPr>
            <w:r w:rsidRPr="003B0C2F">
              <w:rPr>
                <w:rFonts w:eastAsia="Times New Roman" w:cs="Times New Roman"/>
                <w:b/>
                <w:bCs/>
                <w:color w:val="000000"/>
                <w:sz w:val="20"/>
                <w:szCs w:val="20"/>
              </w:rPr>
              <w:t>Contact Angle (°)</w:t>
            </w:r>
          </w:p>
        </w:tc>
      </w:tr>
      <w:tr w:rsidR="00535704" w:rsidRPr="003B0C2F" w14:paraId="0304ADDE" w14:textId="77777777" w:rsidTr="00FF43D6">
        <w:trPr>
          <w:trHeight w:val="203"/>
        </w:trPr>
        <w:tc>
          <w:tcPr>
            <w:tcW w:w="1185" w:type="dxa"/>
            <w:vMerge/>
            <w:shd w:val="clear" w:color="auto" w:fill="auto"/>
            <w:vAlign w:val="center"/>
            <w:hideMark/>
          </w:tcPr>
          <w:p w14:paraId="0ADCD3C5" w14:textId="77777777" w:rsidR="00535704" w:rsidRPr="003B0C2F" w:rsidRDefault="00535704" w:rsidP="00650395">
            <w:pPr>
              <w:spacing w:line="240" w:lineRule="auto"/>
              <w:rPr>
                <w:rFonts w:eastAsia="Times New Roman" w:cs="Times New Roman"/>
                <w:b/>
                <w:bCs/>
                <w:color w:val="000000"/>
                <w:sz w:val="20"/>
                <w:szCs w:val="20"/>
              </w:rPr>
            </w:pPr>
          </w:p>
        </w:tc>
        <w:tc>
          <w:tcPr>
            <w:tcW w:w="849" w:type="dxa"/>
            <w:vMerge/>
            <w:shd w:val="clear" w:color="auto" w:fill="auto"/>
            <w:vAlign w:val="center"/>
            <w:hideMark/>
          </w:tcPr>
          <w:p w14:paraId="54B4EA02" w14:textId="77777777" w:rsidR="00535704" w:rsidRPr="003B0C2F" w:rsidRDefault="00535704" w:rsidP="00650395">
            <w:pPr>
              <w:spacing w:line="240" w:lineRule="auto"/>
              <w:rPr>
                <w:rFonts w:eastAsia="Times New Roman" w:cs="Times New Roman"/>
                <w:b/>
                <w:bCs/>
                <w:color w:val="000000"/>
                <w:sz w:val="20"/>
                <w:szCs w:val="20"/>
              </w:rPr>
            </w:pPr>
          </w:p>
        </w:tc>
        <w:tc>
          <w:tcPr>
            <w:tcW w:w="1359" w:type="dxa"/>
            <w:gridSpan w:val="2"/>
            <w:shd w:val="clear" w:color="auto" w:fill="auto"/>
            <w:noWrap/>
            <w:vAlign w:val="center"/>
            <w:hideMark/>
          </w:tcPr>
          <w:p w14:paraId="3B822678" w14:textId="77777777" w:rsidR="00535704" w:rsidRPr="003B0C2F" w:rsidRDefault="00535704" w:rsidP="00650395">
            <w:pPr>
              <w:spacing w:line="240" w:lineRule="auto"/>
              <w:jc w:val="center"/>
              <w:rPr>
                <w:rFonts w:eastAsia="Times New Roman" w:cs="Times New Roman"/>
                <w:b/>
                <w:bCs/>
                <w:color w:val="000000"/>
                <w:sz w:val="20"/>
                <w:szCs w:val="20"/>
              </w:rPr>
            </w:pPr>
            <w:r w:rsidRPr="003B0C2F">
              <w:rPr>
                <w:rFonts w:eastAsia="Times New Roman" w:cs="Times New Roman"/>
                <w:b/>
                <w:bCs/>
                <w:color w:val="000000"/>
                <w:sz w:val="20"/>
                <w:szCs w:val="20"/>
              </w:rPr>
              <w:t>Water</w:t>
            </w:r>
          </w:p>
        </w:tc>
        <w:tc>
          <w:tcPr>
            <w:tcW w:w="1359" w:type="dxa"/>
            <w:gridSpan w:val="2"/>
            <w:shd w:val="clear" w:color="auto" w:fill="auto"/>
            <w:noWrap/>
            <w:vAlign w:val="center"/>
            <w:hideMark/>
          </w:tcPr>
          <w:p w14:paraId="0B0A97F9" w14:textId="45AF2963" w:rsidR="00535704" w:rsidRPr="003B0C2F" w:rsidRDefault="00535704" w:rsidP="00650395">
            <w:pPr>
              <w:spacing w:line="240" w:lineRule="auto"/>
              <w:jc w:val="center"/>
              <w:rPr>
                <w:rFonts w:eastAsia="Times New Roman" w:cs="Times New Roman"/>
                <w:b/>
                <w:bCs/>
                <w:color w:val="000000"/>
                <w:sz w:val="20"/>
                <w:szCs w:val="20"/>
              </w:rPr>
            </w:pPr>
            <w:r w:rsidRPr="003B0C2F">
              <w:rPr>
                <w:rFonts w:eastAsia="Times New Roman" w:cs="Times New Roman"/>
                <w:b/>
                <w:bCs/>
                <w:color w:val="000000"/>
                <w:sz w:val="20"/>
                <w:szCs w:val="20"/>
              </w:rPr>
              <w:t>Glycer</w:t>
            </w:r>
            <w:r w:rsidR="00B5178C" w:rsidRPr="003B0C2F">
              <w:rPr>
                <w:rFonts w:eastAsia="Times New Roman" w:cs="Times New Roman"/>
                <w:b/>
                <w:bCs/>
                <w:color w:val="000000"/>
                <w:sz w:val="20"/>
                <w:szCs w:val="20"/>
              </w:rPr>
              <w:t>ol</w:t>
            </w:r>
          </w:p>
        </w:tc>
        <w:tc>
          <w:tcPr>
            <w:tcW w:w="1350" w:type="dxa"/>
            <w:gridSpan w:val="2"/>
            <w:shd w:val="clear" w:color="auto" w:fill="auto"/>
            <w:noWrap/>
            <w:vAlign w:val="center"/>
            <w:hideMark/>
          </w:tcPr>
          <w:p w14:paraId="3074DEC9" w14:textId="77777777" w:rsidR="00535704" w:rsidRPr="003B0C2F" w:rsidRDefault="00535704" w:rsidP="00650395">
            <w:pPr>
              <w:spacing w:line="240" w:lineRule="auto"/>
              <w:jc w:val="center"/>
              <w:rPr>
                <w:rFonts w:eastAsia="Times New Roman" w:cs="Times New Roman"/>
                <w:b/>
                <w:bCs/>
                <w:color w:val="000000"/>
                <w:sz w:val="20"/>
                <w:szCs w:val="20"/>
              </w:rPr>
            </w:pPr>
            <w:r w:rsidRPr="003B0C2F">
              <w:rPr>
                <w:rFonts w:eastAsia="Times New Roman" w:cs="Times New Roman"/>
                <w:b/>
                <w:bCs/>
                <w:color w:val="000000"/>
                <w:sz w:val="20"/>
                <w:szCs w:val="20"/>
              </w:rPr>
              <w:t>Formamide</w:t>
            </w:r>
          </w:p>
        </w:tc>
        <w:tc>
          <w:tcPr>
            <w:tcW w:w="1454" w:type="dxa"/>
            <w:gridSpan w:val="2"/>
            <w:shd w:val="clear" w:color="auto" w:fill="auto"/>
            <w:noWrap/>
            <w:vAlign w:val="center"/>
            <w:hideMark/>
          </w:tcPr>
          <w:p w14:paraId="0E9388C2" w14:textId="77777777" w:rsidR="00535704" w:rsidRPr="003B0C2F" w:rsidRDefault="00535704" w:rsidP="00650395">
            <w:pPr>
              <w:spacing w:line="240" w:lineRule="auto"/>
              <w:jc w:val="center"/>
              <w:rPr>
                <w:rFonts w:eastAsia="Times New Roman" w:cs="Times New Roman"/>
                <w:b/>
                <w:bCs/>
                <w:color w:val="000000"/>
                <w:sz w:val="20"/>
                <w:szCs w:val="20"/>
              </w:rPr>
            </w:pPr>
            <w:r w:rsidRPr="003B0C2F">
              <w:rPr>
                <w:rFonts w:eastAsia="Times New Roman" w:cs="Times New Roman"/>
                <w:b/>
                <w:bCs/>
                <w:color w:val="000000"/>
                <w:sz w:val="20"/>
                <w:szCs w:val="20"/>
              </w:rPr>
              <w:t>Diiodomethane</w:t>
            </w:r>
          </w:p>
        </w:tc>
        <w:tc>
          <w:tcPr>
            <w:tcW w:w="1163" w:type="dxa"/>
            <w:gridSpan w:val="3"/>
            <w:shd w:val="clear" w:color="auto" w:fill="auto"/>
            <w:noWrap/>
            <w:vAlign w:val="center"/>
            <w:hideMark/>
          </w:tcPr>
          <w:p w14:paraId="4CF235BF" w14:textId="77777777" w:rsidR="00535704" w:rsidRPr="003B0C2F" w:rsidRDefault="00535704" w:rsidP="00650395">
            <w:pPr>
              <w:spacing w:line="240" w:lineRule="auto"/>
              <w:jc w:val="center"/>
              <w:rPr>
                <w:rFonts w:eastAsia="Times New Roman" w:cs="Times New Roman"/>
                <w:b/>
                <w:bCs/>
                <w:color w:val="000000"/>
                <w:sz w:val="20"/>
                <w:szCs w:val="20"/>
              </w:rPr>
            </w:pPr>
            <w:r w:rsidRPr="003B0C2F">
              <w:rPr>
                <w:rFonts w:eastAsia="Times New Roman" w:cs="Times New Roman"/>
                <w:b/>
                <w:bCs/>
                <w:color w:val="000000"/>
                <w:sz w:val="20"/>
                <w:szCs w:val="20"/>
              </w:rPr>
              <w:t>Ethylene Glycol</w:t>
            </w:r>
          </w:p>
        </w:tc>
      </w:tr>
      <w:tr w:rsidR="00535704" w:rsidRPr="003B0C2F" w14:paraId="3D6D9D04" w14:textId="77777777" w:rsidTr="00FF43D6">
        <w:trPr>
          <w:gridAfter w:val="1"/>
          <w:wAfter w:w="13" w:type="dxa"/>
          <w:trHeight w:val="203"/>
        </w:trPr>
        <w:tc>
          <w:tcPr>
            <w:tcW w:w="1185" w:type="dxa"/>
            <w:vMerge/>
            <w:shd w:val="clear" w:color="auto" w:fill="auto"/>
            <w:vAlign w:val="center"/>
            <w:hideMark/>
          </w:tcPr>
          <w:p w14:paraId="658ECA14" w14:textId="77777777" w:rsidR="00535704" w:rsidRPr="003B0C2F" w:rsidRDefault="00535704" w:rsidP="00650395">
            <w:pPr>
              <w:spacing w:line="240" w:lineRule="auto"/>
              <w:rPr>
                <w:rFonts w:eastAsia="Times New Roman" w:cs="Times New Roman"/>
                <w:color w:val="000000"/>
                <w:sz w:val="20"/>
                <w:szCs w:val="20"/>
              </w:rPr>
            </w:pPr>
          </w:p>
        </w:tc>
        <w:tc>
          <w:tcPr>
            <w:tcW w:w="849" w:type="dxa"/>
            <w:vMerge/>
            <w:shd w:val="clear" w:color="auto" w:fill="auto"/>
            <w:vAlign w:val="center"/>
            <w:hideMark/>
          </w:tcPr>
          <w:p w14:paraId="31EB5675" w14:textId="77777777" w:rsidR="00535704" w:rsidRPr="003B0C2F" w:rsidRDefault="00535704" w:rsidP="00650395">
            <w:pPr>
              <w:spacing w:line="240" w:lineRule="auto"/>
              <w:rPr>
                <w:rFonts w:eastAsia="Times New Roman" w:cs="Times New Roman"/>
                <w:color w:val="000000"/>
                <w:sz w:val="20"/>
                <w:szCs w:val="20"/>
              </w:rPr>
            </w:pPr>
          </w:p>
        </w:tc>
        <w:tc>
          <w:tcPr>
            <w:tcW w:w="764" w:type="dxa"/>
            <w:shd w:val="clear" w:color="auto" w:fill="auto"/>
            <w:noWrap/>
            <w:vAlign w:val="center"/>
            <w:hideMark/>
          </w:tcPr>
          <w:p w14:paraId="2C609448" w14:textId="77777777" w:rsidR="00535704" w:rsidRPr="003B0C2F" w:rsidRDefault="00535704" w:rsidP="00650395">
            <w:pPr>
              <w:spacing w:line="240" w:lineRule="auto"/>
              <w:jc w:val="center"/>
              <w:rPr>
                <w:rFonts w:eastAsia="Times New Roman" w:cs="Times New Roman"/>
                <w:b/>
                <w:bCs/>
                <w:color w:val="000000"/>
                <w:sz w:val="20"/>
                <w:szCs w:val="20"/>
              </w:rPr>
            </w:pPr>
            <w:r w:rsidRPr="003B0C2F">
              <w:rPr>
                <w:rFonts w:eastAsia="Times New Roman" w:cs="Times New Roman"/>
                <w:b/>
                <w:bCs/>
                <w:color w:val="000000"/>
                <w:sz w:val="20"/>
                <w:szCs w:val="20"/>
              </w:rPr>
              <w:t>Avg</w:t>
            </w:r>
          </w:p>
        </w:tc>
        <w:tc>
          <w:tcPr>
            <w:tcW w:w="594" w:type="dxa"/>
            <w:shd w:val="clear" w:color="auto" w:fill="auto"/>
            <w:noWrap/>
            <w:vAlign w:val="center"/>
            <w:hideMark/>
          </w:tcPr>
          <w:p w14:paraId="10255677" w14:textId="77777777" w:rsidR="00535704" w:rsidRPr="003B0C2F" w:rsidRDefault="00535704" w:rsidP="00650395">
            <w:pPr>
              <w:spacing w:line="240" w:lineRule="auto"/>
              <w:jc w:val="center"/>
              <w:rPr>
                <w:rFonts w:eastAsia="Times New Roman" w:cs="Times New Roman"/>
                <w:b/>
                <w:bCs/>
                <w:color w:val="000000"/>
                <w:sz w:val="20"/>
                <w:szCs w:val="20"/>
              </w:rPr>
            </w:pPr>
            <w:r w:rsidRPr="003B0C2F">
              <w:rPr>
                <w:rFonts w:eastAsia="Times New Roman" w:cs="Times New Roman"/>
                <w:b/>
                <w:bCs/>
                <w:color w:val="000000"/>
                <w:sz w:val="20"/>
                <w:szCs w:val="20"/>
              </w:rPr>
              <w:t>SD</w:t>
            </w:r>
          </w:p>
        </w:tc>
        <w:tc>
          <w:tcPr>
            <w:tcW w:w="764" w:type="dxa"/>
            <w:shd w:val="clear" w:color="auto" w:fill="auto"/>
            <w:noWrap/>
            <w:vAlign w:val="center"/>
            <w:hideMark/>
          </w:tcPr>
          <w:p w14:paraId="0372D193" w14:textId="77777777" w:rsidR="00535704" w:rsidRPr="003B0C2F" w:rsidRDefault="00535704" w:rsidP="00650395">
            <w:pPr>
              <w:spacing w:line="240" w:lineRule="auto"/>
              <w:jc w:val="center"/>
              <w:rPr>
                <w:rFonts w:eastAsia="Times New Roman" w:cs="Times New Roman"/>
                <w:b/>
                <w:bCs/>
                <w:color w:val="000000"/>
                <w:sz w:val="20"/>
                <w:szCs w:val="20"/>
              </w:rPr>
            </w:pPr>
            <w:r w:rsidRPr="003B0C2F">
              <w:rPr>
                <w:rFonts w:eastAsia="Times New Roman" w:cs="Times New Roman"/>
                <w:b/>
                <w:bCs/>
                <w:color w:val="000000"/>
                <w:sz w:val="20"/>
                <w:szCs w:val="20"/>
              </w:rPr>
              <w:t>Avg</w:t>
            </w:r>
          </w:p>
        </w:tc>
        <w:tc>
          <w:tcPr>
            <w:tcW w:w="594" w:type="dxa"/>
            <w:shd w:val="clear" w:color="auto" w:fill="auto"/>
            <w:noWrap/>
            <w:vAlign w:val="center"/>
            <w:hideMark/>
          </w:tcPr>
          <w:p w14:paraId="66DEACAC" w14:textId="77777777" w:rsidR="00535704" w:rsidRPr="003B0C2F" w:rsidRDefault="00535704" w:rsidP="00650395">
            <w:pPr>
              <w:spacing w:line="240" w:lineRule="auto"/>
              <w:jc w:val="center"/>
              <w:rPr>
                <w:rFonts w:eastAsia="Times New Roman" w:cs="Times New Roman"/>
                <w:b/>
                <w:bCs/>
                <w:color w:val="000000"/>
                <w:sz w:val="20"/>
                <w:szCs w:val="20"/>
              </w:rPr>
            </w:pPr>
            <w:r w:rsidRPr="003B0C2F">
              <w:rPr>
                <w:rFonts w:eastAsia="Times New Roman" w:cs="Times New Roman"/>
                <w:b/>
                <w:bCs/>
                <w:color w:val="000000"/>
                <w:sz w:val="20"/>
                <w:szCs w:val="20"/>
              </w:rPr>
              <w:t>SD</w:t>
            </w:r>
          </w:p>
        </w:tc>
        <w:tc>
          <w:tcPr>
            <w:tcW w:w="728" w:type="dxa"/>
            <w:shd w:val="clear" w:color="auto" w:fill="auto"/>
            <w:noWrap/>
            <w:vAlign w:val="center"/>
            <w:hideMark/>
          </w:tcPr>
          <w:p w14:paraId="07932C23" w14:textId="77777777" w:rsidR="00535704" w:rsidRPr="003B0C2F" w:rsidRDefault="00535704" w:rsidP="00650395">
            <w:pPr>
              <w:spacing w:line="240" w:lineRule="auto"/>
              <w:jc w:val="center"/>
              <w:rPr>
                <w:rFonts w:eastAsia="Times New Roman" w:cs="Times New Roman"/>
                <w:b/>
                <w:bCs/>
                <w:color w:val="000000"/>
                <w:sz w:val="20"/>
                <w:szCs w:val="20"/>
              </w:rPr>
            </w:pPr>
            <w:r w:rsidRPr="003B0C2F">
              <w:rPr>
                <w:rFonts w:eastAsia="Times New Roman" w:cs="Times New Roman"/>
                <w:b/>
                <w:bCs/>
                <w:color w:val="000000"/>
                <w:sz w:val="20"/>
                <w:szCs w:val="20"/>
              </w:rPr>
              <w:t>Avg</w:t>
            </w:r>
          </w:p>
        </w:tc>
        <w:tc>
          <w:tcPr>
            <w:tcW w:w="622" w:type="dxa"/>
            <w:shd w:val="clear" w:color="auto" w:fill="auto"/>
            <w:noWrap/>
            <w:vAlign w:val="center"/>
            <w:hideMark/>
          </w:tcPr>
          <w:p w14:paraId="3410F28A" w14:textId="77777777" w:rsidR="00535704" w:rsidRPr="003B0C2F" w:rsidRDefault="00535704" w:rsidP="00650395">
            <w:pPr>
              <w:spacing w:line="240" w:lineRule="auto"/>
              <w:jc w:val="center"/>
              <w:rPr>
                <w:rFonts w:eastAsia="Times New Roman" w:cs="Times New Roman"/>
                <w:b/>
                <w:bCs/>
                <w:color w:val="000000"/>
                <w:sz w:val="20"/>
                <w:szCs w:val="20"/>
              </w:rPr>
            </w:pPr>
            <w:r w:rsidRPr="003B0C2F">
              <w:rPr>
                <w:rFonts w:eastAsia="Times New Roman" w:cs="Times New Roman"/>
                <w:b/>
                <w:bCs/>
                <w:color w:val="000000"/>
                <w:sz w:val="20"/>
                <w:szCs w:val="20"/>
              </w:rPr>
              <w:t>SD</w:t>
            </w:r>
          </w:p>
        </w:tc>
        <w:tc>
          <w:tcPr>
            <w:tcW w:w="774" w:type="dxa"/>
            <w:shd w:val="clear" w:color="auto" w:fill="auto"/>
            <w:noWrap/>
            <w:vAlign w:val="center"/>
            <w:hideMark/>
          </w:tcPr>
          <w:p w14:paraId="093557FA" w14:textId="77777777" w:rsidR="00535704" w:rsidRPr="003B0C2F" w:rsidRDefault="00535704" w:rsidP="00650395">
            <w:pPr>
              <w:spacing w:line="240" w:lineRule="auto"/>
              <w:jc w:val="center"/>
              <w:rPr>
                <w:rFonts w:eastAsia="Times New Roman" w:cs="Times New Roman"/>
                <w:b/>
                <w:bCs/>
                <w:color w:val="000000"/>
                <w:sz w:val="20"/>
                <w:szCs w:val="20"/>
              </w:rPr>
            </w:pPr>
            <w:r w:rsidRPr="003B0C2F">
              <w:rPr>
                <w:rFonts w:eastAsia="Times New Roman" w:cs="Times New Roman"/>
                <w:b/>
                <w:bCs/>
                <w:color w:val="000000"/>
                <w:sz w:val="20"/>
                <w:szCs w:val="20"/>
              </w:rPr>
              <w:t>Avg</w:t>
            </w:r>
          </w:p>
        </w:tc>
        <w:tc>
          <w:tcPr>
            <w:tcW w:w="679" w:type="dxa"/>
            <w:shd w:val="clear" w:color="auto" w:fill="auto"/>
            <w:noWrap/>
            <w:vAlign w:val="center"/>
            <w:hideMark/>
          </w:tcPr>
          <w:p w14:paraId="5E7CBC01" w14:textId="77777777" w:rsidR="00535704" w:rsidRPr="003B0C2F" w:rsidRDefault="00535704" w:rsidP="00650395">
            <w:pPr>
              <w:spacing w:line="240" w:lineRule="auto"/>
              <w:jc w:val="center"/>
              <w:rPr>
                <w:rFonts w:eastAsia="Times New Roman" w:cs="Times New Roman"/>
                <w:b/>
                <w:bCs/>
                <w:color w:val="000000"/>
                <w:sz w:val="20"/>
                <w:szCs w:val="20"/>
              </w:rPr>
            </w:pPr>
            <w:r w:rsidRPr="003B0C2F">
              <w:rPr>
                <w:rFonts w:eastAsia="Times New Roman" w:cs="Times New Roman"/>
                <w:b/>
                <w:bCs/>
                <w:color w:val="000000"/>
                <w:sz w:val="20"/>
                <w:szCs w:val="20"/>
              </w:rPr>
              <w:t>SD</w:t>
            </w:r>
          </w:p>
        </w:tc>
        <w:tc>
          <w:tcPr>
            <w:tcW w:w="594" w:type="dxa"/>
            <w:shd w:val="clear" w:color="auto" w:fill="auto"/>
            <w:noWrap/>
            <w:vAlign w:val="center"/>
            <w:hideMark/>
          </w:tcPr>
          <w:p w14:paraId="72455651" w14:textId="77777777" w:rsidR="00535704" w:rsidRPr="003B0C2F" w:rsidRDefault="00535704" w:rsidP="00650395">
            <w:pPr>
              <w:spacing w:line="240" w:lineRule="auto"/>
              <w:jc w:val="center"/>
              <w:rPr>
                <w:rFonts w:eastAsia="Times New Roman" w:cs="Times New Roman"/>
                <w:b/>
                <w:bCs/>
                <w:color w:val="000000"/>
                <w:sz w:val="20"/>
                <w:szCs w:val="20"/>
              </w:rPr>
            </w:pPr>
            <w:r w:rsidRPr="003B0C2F">
              <w:rPr>
                <w:rFonts w:eastAsia="Times New Roman" w:cs="Times New Roman"/>
                <w:b/>
                <w:bCs/>
                <w:color w:val="000000"/>
                <w:sz w:val="20"/>
                <w:szCs w:val="20"/>
              </w:rPr>
              <w:t>Avg</w:t>
            </w:r>
          </w:p>
        </w:tc>
        <w:tc>
          <w:tcPr>
            <w:tcW w:w="562" w:type="dxa"/>
            <w:shd w:val="clear" w:color="auto" w:fill="auto"/>
            <w:noWrap/>
            <w:vAlign w:val="center"/>
            <w:hideMark/>
          </w:tcPr>
          <w:p w14:paraId="690D471A" w14:textId="77777777" w:rsidR="00535704" w:rsidRPr="003B0C2F" w:rsidRDefault="00535704" w:rsidP="00650395">
            <w:pPr>
              <w:spacing w:line="240" w:lineRule="auto"/>
              <w:jc w:val="center"/>
              <w:rPr>
                <w:rFonts w:eastAsia="Times New Roman" w:cs="Times New Roman"/>
                <w:b/>
                <w:bCs/>
                <w:color w:val="000000"/>
                <w:sz w:val="20"/>
                <w:szCs w:val="20"/>
              </w:rPr>
            </w:pPr>
            <w:r w:rsidRPr="003B0C2F">
              <w:rPr>
                <w:rFonts w:eastAsia="Times New Roman" w:cs="Times New Roman"/>
                <w:b/>
                <w:bCs/>
                <w:color w:val="000000"/>
                <w:sz w:val="20"/>
                <w:szCs w:val="20"/>
              </w:rPr>
              <w:t>SD</w:t>
            </w:r>
          </w:p>
        </w:tc>
      </w:tr>
      <w:tr w:rsidR="00535704" w:rsidRPr="003B0C2F" w14:paraId="14FCDA1D" w14:textId="77777777" w:rsidTr="00FF43D6">
        <w:trPr>
          <w:gridAfter w:val="1"/>
          <w:wAfter w:w="13" w:type="dxa"/>
          <w:trHeight w:val="203"/>
        </w:trPr>
        <w:tc>
          <w:tcPr>
            <w:tcW w:w="1185" w:type="dxa"/>
            <w:vMerge w:val="restart"/>
            <w:shd w:val="clear" w:color="auto" w:fill="auto"/>
            <w:noWrap/>
            <w:vAlign w:val="center"/>
            <w:hideMark/>
          </w:tcPr>
          <w:p w14:paraId="312D83DC"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PG 64-22</w:t>
            </w:r>
          </w:p>
        </w:tc>
        <w:tc>
          <w:tcPr>
            <w:tcW w:w="849" w:type="dxa"/>
            <w:shd w:val="clear" w:color="auto" w:fill="auto"/>
            <w:noWrap/>
            <w:vAlign w:val="center"/>
            <w:hideMark/>
          </w:tcPr>
          <w:p w14:paraId="3A286DDB"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unaged</w:t>
            </w:r>
          </w:p>
        </w:tc>
        <w:tc>
          <w:tcPr>
            <w:tcW w:w="764" w:type="dxa"/>
            <w:shd w:val="clear" w:color="auto" w:fill="auto"/>
            <w:noWrap/>
            <w:vAlign w:val="center"/>
            <w:hideMark/>
          </w:tcPr>
          <w:p w14:paraId="3C0B49B8"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107.4</w:t>
            </w:r>
          </w:p>
        </w:tc>
        <w:tc>
          <w:tcPr>
            <w:tcW w:w="594" w:type="dxa"/>
            <w:shd w:val="clear" w:color="auto" w:fill="auto"/>
            <w:noWrap/>
            <w:vAlign w:val="center"/>
            <w:hideMark/>
          </w:tcPr>
          <w:p w14:paraId="1817E58C"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0.70</w:t>
            </w:r>
          </w:p>
        </w:tc>
        <w:tc>
          <w:tcPr>
            <w:tcW w:w="764" w:type="dxa"/>
            <w:shd w:val="clear" w:color="auto" w:fill="auto"/>
            <w:noWrap/>
            <w:vAlign w:val="center"/>
            <w:hideMark/>
          </w:tcPr>
          <w:p w14:paraId="67CDED32"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94.4</w:t>
            </w:r>
          </w:p>
        </w:tc>
        <w:tc>
          <w:tcPr>
            <w:tcW w:w="594" w:type="dxa"/>
            <w:shd w:val="clear" w:color="auto" w:fill="auto"/>
            <w:noWrap/>
            <w:vAlign w:val="center"/>
            <w:hideMark/>
          </w:tcPr>
          <w:p w14:paraId="62117FFD"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0.07</w:t>
            </w:r>
          </w:p>
        </w:tc>
        <w:tc>
          <w:tcPr>
            <w:tcW w:w="728" w:type="dxa"/>
            <w:shd w:val="clear" w:color="auto" w:fill="auto"/>
            <w:noWrap/>
            <w:vAlign w:val="center"/>
            <w:hideMark/>
          </w:tcPr>
          <w:p w14:paraId="5467EB2B"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90.6</w:t>
            </w:r>
          </w:p>
        </w:tc>
        <w:tc>
          <w:tcPr>
            <w:tcW w:w="622" w:type="dxa"/>
            <w:shd w:val="clear" w:color="auto" w:fill="auto"/>
            <w:noWrap/>
            <w:vAlign w:val="center"/>
            <w:hideMark/>
          </w:tcPr>
          <w:p w14:paraId="31B5BDCB"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0.22</w:t>
            </w:r>
          </w:p>
        </w:tc>
        <w:tc>
          <w:tcPr>
            <w:tcW w:w="774" w:type="dxa"/>
            <w:shd w:val="clear" w:color="auto" w:fill="auto"/>
            <w:noWrap/>
            <w:vAlign w:val="center"/>
            <w:hideMark/>
          </w:tcPr>
          <w:p w14:paraId="243EE12D"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85.0</w:t>
            </w:r>
          </w:p>
        </w:tc>
        <w:tc>
          <w:tcPr>
            <w:tcW w:w="679" w:type="dxa"/>
            <w:shd w:val="clear" w:color="auto" w:fill="auto"/>
            <w:noWrap/>
            <w:vAlign w:val="center"/>
            <w:hideMark/>
          </w:tcPr>
          <w:p w14:paraId="1B513951"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0.94</w:t>
            </w:r>
          </w:p>
        </w:tc>
        <w:tc>
          <w:tcPr>
            <w:tcW w:w="594" w:type="dxa"/>
            <w:shd w:val="clear" w:color="auto" w:fill="auto"/>
            <w:noWrap/>
            <w:vAlign w:val="center"/>
            <w:hideMark/>
          </w:tcPr>
          <w:p w14:paraId="16109439"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78.6</w:t>
            </w:r>
          </w:p>
        </w:tc>
        <w:tc>
          <w:tcPr>
            <w:tcW w:w="562" w:type="dxa"/>
            <w:shd w:val="clear" w:color="auto" w:fill="auto"/>
            <w:noWrap/>
            <w:vAlign w:val="center"/>
            <w:hideMark/>
          </w:tcPr>
          <w:p w14:paraId="1513003D"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0.21</w:t>
            </w:r>
          </w:p>
        </w:tc>
      </w:tr>
      <w:tr w:rsidR="00535704" w:rsidRPr="003B0C2F" w14:paraId="2D5019FD" w14:textId="77777777" w:rsidTr="00FF43D6">
        <w:trPr>
          <w:gridAfter w:val="1"/>
          <w:wAfter w:w="13" w:type="dxa"/>
          <w:trHeight w:val="203"/>
        </w:trPr>
        <w:tc>
          <w:tcPr>
            <w:tcW w:w="1185" w:type="dxa"/>
            <w:vMerge/>
            <w:shd w:val="clear" w:color="auto" w:fill="auto"/>
            <w:vAlign w:val="center"/>
            <w:hideMark/>
          </w:tcPr>
          <w:p w14:paraId="4348359E" w14:textId="77777777" w:rsidR="00535704" w:rsidRPr="003B0C2F" w:rsidRDefault="00535704" w:rsidP="00650395">
            <w:pPr>
              <w:spacing w:line="240" w:lineRule="auto"/>
              <w:rPr>
                <w:rFonts w:eastAsia="Times New Roman" w:cs="Times New Roman"/>
                <w:color w:val="000000"/>
                <w:sz w:val="20"/>
                <w:szCs w:val="20"/>
              </w:rPr>
            </w:pPr>
          </w:p>
        </w:tc>
        <w:tc>
          <w:tcPr>
            <w:tcW w:w="849" w:type="dxa"/>
            <w:shd w:val="clear" w:color="auto" w:fill="auto"/>
            <w:noWrap/>
            <w:vAlign w:val="center"/>
            <w:hideMark/>
          </w:tcPr>
          <w:p w14:paraId="443DD93F"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RTFO</w:t>
            </w:r>
          </w:p>
        </w:tc>
        <w:tc>
          <w:tcPr>
            <w:tcW w:w="764" w:type="dxa"/>
            <w:shd w:val="clear" w:color="auto" w:fill="auto"/>
            <w:noWrap/>
            <w:vAlign w:val="center"/>
            <w:hideMark/>
          </w:tcPr>
          <w:p w14:paraId="13C4207A"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107.9</w:t>
            </w:r>
          </w:p>
        </w:tc>
        <w:tc>
          <w:tcPr>
            <w:tcW w:w="594" w:type="dxa"/>
            <w:shd w:val="clear" w:color="auto" w:fill="auto"/>
            <w:noWrap/>
            <w:vAlign w:val="center"/>
            <w:hideMark/>
          </w:tcPr>
          <w:p w14:paraId="661EB2F2"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0.10</w:t>
            </w:r>
          </w:p>
        </w:tc>
        <w:tc>
          <w:tcPr>
            <w:tcW w:w="764" w:type="dxa"/>
            <w:shd w:val="clear" w:color="auto" w:fill="auto"/>
            <w:noWrap/>
            <w:vAlign w:val="center"/>
            <w:hideMark/>
          </w:tcPr>
          <w:p w14:paraId="42C3EAD2"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94.3</w:t>
            </w:r>
          </w:p>
        </w:tc>
        <w:tc>
          <w:tcPr>
            <w:tcW w:w="594" w:type="dxa"/>
            <w:shd w:val="clear" w:color="auto" w:fill="auto"/>
            <w:noWrap/>
            <w:vAlign w:val="center"/>
            <w:hideMark/>
          </w:tcPr>
          <w:p w14:paraId="71144C42"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0.11</w:t>
            </w:r>
          </w:p>
        </w:tc>
        <w:tc>
          <w:tcPr>
            <w:tcW w:w="728" w:type="dxa"/>
            <w:shd w:val="clear" w:color="auto" w:fill="auto"/>
            <w:noWrap/>
            <w:vAlign w:val="center"/>
            <w:hideMark/>
          </w:tcPr>
          <w:p w14:paraId="32BE753E"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90.5</w:t>
            </w:r>
          </w:p>
        </w:tc>
        <w:tc>
          <w:tcPr>
            <w:tcW w:w="622" w:type="dxa"/>
            <w:shd w:val="clear" w:color="auto" w:fill="auto"/>
            <w:noWrap/>
            <w:vAlign w:val="center"/>
            <w:hideMark/>
          </w:tcPr>
          <w:p w14:paraId="4FA48957"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0.13</w:t>
            </w:r>
          </w:p>
        </w:tc>
        <w:tc>
          <w:tcPr>
            <w:tcW w:w="774" w:type="dxa"/>
            <w:shd w:val="clear" w:color="auto" w:fill="auto"/>
            <w:noWrap/>
            <w:vAlign w:val="center"/>
            <w:hideMark/>
          </w:tcPr>
          <w:p w14:paraId="7635A2D2"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78.7</w:t>
            </w:r>
          </w:p>
        </w:tc>
        <w:tc>
          <w:tcPr>
            <w:tcW w:w="679" w:type="dxa"/>
            <w:shd w:val="clear" w:color="auto" w:fill="auto"/>
            <w:noWrap/>
            <w:vAlign w:val="center"/>
            <w:hideMark/>
          </w:tcPr>
          <w:p w14:paraId="02B458CA"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0.57</w:t>
            </w:r>
          </w:p>
        </w:tc>
        <w:tc>
          <w:tcPr>
            <w:tcW w:w="594" w:type="dxa"/>
            <w:shd w:val="clear" w:color="auto" w:fill="auto"/>
            <w:noWrap/>
            <w:vAlign w:val="center"/>
            <w:hideMark/>
          </w:tcPr>
          <w:p w14:paraId="5BBEF2A8"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78.4</w:t>
            </w:r>
          </w:p>
        </w:tc>
        <w:tc>
          <w:tcPr>
            <w:tcW w:w="562" w:type="dxa"/>
            <w:shd w:val="clear" w:color="auto" w:fill="auto"/>
            <w:noWrap/>
            <w:vAlign w:val="center"/>
            <w:hideMark/>
          </w:tcPr>
          <w:p w14:paraId="476FF67E"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0.62</w:t>
            </w:r>
          </w:p>
        </w:tc>
      </w:tr>
      <w:tr w:rsidR="00535704" w:rsidRPr="003B0C2F" w14:paraId="488FF88D" w14:textId="77777777" w:rsidTr="00FF43D6">
        <w:trPr>
          <w:gridAfter w:val="1"/>
          <w:wAfter w:w="13" w:type="dxa"/>
          <w:trHeight w:val="203"/>
        </w:trPr>
        <w:tc>
          <w:tcPr>
            <w:tcW w:w="1185" w:type="dxa"/>
            <w:vMerge/>
            <w:shd w:val="clear" w:color="auto" w:fill="auto"/>
            <w:vAlign w:val="center"/>
            <w:hideMark/>
          </w:tcPr>
          <w:p w14:paraId="7501CD0F" w14:textId="77777777" w:rsidR="00535704" w:rsidRPr="003B0C2F" w:rsidRDefault="00535704" w:rsidP="00650395">
            <w:pPr>
              <w:spacing w:line="240" w:lineRule="auto"/>
              <w:rPr>
                <w:rFonts w:eastAsia="Times New Roman" w:cs="Times New Roman"/>
                <w:color w:val="000000"/>
                <w:sz w:val="20"/>
                <w:szCs w:val="20"/>
              </w:rPr>
            </w:pPr>
          </w:p>
        </w:tc>
        <w:tc>
          <w:tcPr>
            <w:tcW w:w="849" w:type="dxa"/>
            <w:shd w:val="clear" w:color="auto" w:fill="auto"/>
            <w:noWrap/>
            <w:vAlign w:val="center"/>
            <w:hideMark/>
          </w:tcPr>
          <w:p w14:paraId="6124A398"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PAV</w:t>
            </w:r>
          </w:p>
        </w:tc>
        <w:tc>
          <w:tcPr>
            <w:tcW w:w="764" w:type="dxa"/>
            <w:shd w:val="clear" w:color="auto" w:fill="auto"/>
            <w:noWrap/>
            <w:vAlign w:val="center"/>
            <w:hideMark/>
          </w:tcPr>
          <w:p w14:paraId="55A4F4D4"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107.1</w:t>
            </w:r>
          </w:p>
        </w:tc>
        <w:tc>
          <w:tcPr>
            <w:tcW w:w="594" w:type="dxa"/>
            <w:shd w:val="clear" w:color="auto" w:fill="auto"/>
            <w:noWrap/>
            <w:vAlign w:val="center"/>
            <w:hideMark/>
          </w:tcPr>
          <w:p w14:paraId="34515776"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0.59</w:t>
            </w:r>
          </w:p>
        </w:tc>
        <w:tc>
          <w:tcPr>
            <w:tcW w:w="764" w:type="dxa"/>
            <w:shd w:val="clear" w:color="auto" w:fill="auto"/>
            <w:noWrap/>
            <w:vAlign w:val="center"/>
            <w:hideMark/>
          </w:tcPr>
          <w:p w14:paraId="2F9519AB"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95.2</w:t>
            </w:r>
          </w:p>
        </w:tc>
        <w:tc>
          <w:tcPr>
            <w:tcW w:w="594" w:type="dxa"/>
            <w:shd w:val="clear" w:color="auto" w:fill="auto"/>
            <w:noWrap/>
            <w:vAlign w:val="center"/>
            <w:hideMark/>
          </w:tcPr>
          <w:p w14:paraId="060679C2"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0.19</w:t>
            </w:r>
          </w:p>
        </w:tc>
        <w:tc>
          <w:tcPr>
            <w:tcW w:w="728" w:type="dxa"/>
            <w:shd w:val="clear" w:color="auto" w:fill="auto"/>
            <w:noWrap/>
            <w:vAlign w:val="center"/>
            <w:hideMark/>
          </w:tcPr>
          <w:p w14:paraId="4179C9A3"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91.2</w:t>
            </w:r>
          </w:p>
        </w:tc>
        <w:tc>
          <w:tcPr>
            <w:tcW w:w="622" w:type="dxa"/>
            <w:shd w:val="clear" w:color="auto" w:fill="auto"/>
            <w:noWrap/>
            <w:vAlign w:val="center"/>
            <w:hideMark/>
          </w:tcPr>
          <w:p w14:paraId="78395AF6"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0.21</w:t>
            </w:r>
          </w:p>
        </w:tc>
        <w:tc>
          <w:tcPr>
            <w:tcW w:w="774" w:type="dxa"/>
            <w:shd w:val="clear" w:color="auto" w:fill="auto"/>
            <w:noWrap/>
            <w:vAlign w:val="center"/>
            <w:hideMark/>
          </w:tcPr>
          <w:p w14:paraId="4B638D06"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80.8</w:t>
            </w:r>
          </w:p>
        </w:tc>
        <w:tc>
          <w:tcPr>
            <w:tcW w:w="679" w:type="dxa"/>
            <w:shd w:val="clear" w:color="auto" w:fill="auto"/>
            <w:noWrap/>
            <w:vAlign w:val="center"/>
            <w:hideMark/>
          </w:tcPr>
          <w:p w14:paraId="4525EA2F"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0.34</w:t>
            </w:r>
          </w:p>
        </w:tc>
        <w:tc>
          <w:tcPr>
            <w:tcW w:w="594" w:type="dxa"/>
            <w:shd w:val="clear" w:color="auto" w:fill="auto"/>
            <w:noWrap/>
            <w:vAlign w:val="center"/>
            <w:hideMark/>
          </w:tcPr>
          <w:p w14:paraId="5A95E018"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78.8</w:t>
            </w:r>
          </w:p>
        </w:tc>
        <w:tc>
          <w:tcPr>
            <w:tcW w:w="562" w:type="dxa"/>
            <w:shd w:val="clear" w:color="auto" w:fill="auto"/>
            <w:noWrap/>
            <w:vAlign w:val="center"/>
            <w:hideMark/>
          </w:tcPr>
          <w:p w14:paraId="42C2DC73"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0.41</w:t>
            </w:r>
          </w:p>
        </w:tc>
      </w:tr>
      <w:tr w:rsidR="00535704" w:rsidRPr="003B0C2F" w14:paraId="0FCAEFF2" w14:textId="77777777" w:rsidTr="00FF43D6">
        <w:trPr>
          <w:gridAfter w:val="1"/>
          <w:wAfter w:w="13" w:type="dxa"/>
          <w:trHeight w:val="203"/>
        </w:trPr>
        <w:tc>
          <w:tcPr>
            <w:tcW w:w="1185" w:type="dxa"/>
            <w:vMerge w:val="restart"/>
            <w:shd w:val="clear" w:color="auto" w:fill="auto"/>
            <w:vAlign w:val="center"/>
            <w:hideMark/>
          </w:tcPr>
          <w:p w14:paraId="563F0BB8"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PG 64-22 + 0.5% WMA</w:t>
            </w:r>
          </w:p>
        </w:tc>
        <w:tc>
          <w:tcPr>
            <w:tcW w:w="849" w:type="dxa"/>
            <w:shd w:val="clear" w:color="auto" w:fill="auto"/>
            <w:noWrap/>
            <w:vAlign w:val="center"/>
            <w:hideMark/>
          </w:tcPr>
          <w:p w14:paraId="4BB16B28"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unaged</w:t>
            </w:r>
          </w:p>
        </w:tc>
        <w:tc>
          <w:tcPr>
            <w:tcW w:w="764" w:type="dxa"/>
            <w:shd w:val="clear" w:color="auto" w:fill="auto"/>
            <w:noWrap/>
            <w:vAlign w:val="center"/>
            <w:hideMark/>
          </w:tcPr>
          <w:p w14:paraId="7068CB26"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104.7</w:t>
            </w:r>
          </w:p>
        </w:tc>
        <w:tc>
          <w:tcPr>
            <w:tcW w:w="594" w:type="dxa"/>
            <w:shd w:val="clear" w:color="auto" w:fill="auto"/>
            <w:noWrap/>
            <w:vAlign w:val="center"/>
            <w:hideMark/>
          </w:tcPr>
          <w:p w14:paraId="7F46670A"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0.67</w:t>
            </w:r>
          </w:p>
        </w:tc>
        <w:tc>
          <w:tcPr>
            <w:tcW w:w="764" w:type="dxa"/>
            <w:shd w:val="clear" w:color="auto" w:fill="auto"/>
            <w:noWrap/>
            <w:vAlign w:val="center"/>
            <w:hideMark/>
          </w:tcPr>
          <w:p w14:paraId="4AEBDCC0"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93.4</w:t>
            </w:r>
          </w:p>
        </w:tc>
        <w:tc>
          <w:tcPr>
            <w:tcW w:w="594" w:type="dxa"/>
            <w:shd w:val="clear" w:color="auto" w:fill="auto"/>
            <w:noWrap/>
            <w:vAlign w:val="center"/>
            <w:hideMark/>
          </w:tcPr>
          <w:p w14:paraId="55807DCD"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0.16</w:t>
            </w:r>
          </w:p>
        </w:tc>
        <w:tc>
          <w:tcPr>
            <w:tcW w:w="728" w:type="dxa"/>
            <w:shd w:val="clear" w:color="auto" w:fill="auto"/>
            <w:noWrap/>
            <w:vAlign w:val="center"/>
            <w:hideMark/>
          </w:tcPr>
          <w:p w14:paraId="3D670953"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88.1</w:t>
            </w:r>
          </w:p>
        </w:tc>
        <w:tc>
          <w:tcPr>
            <w:tcW w:w="622" w:type="dxa"/>
            <w:shd w:val="clear" w:color="auto" w:fill="auto"/>
            <w:noWrap/>
            <w:vAlign w:val="center"/>
            <w:hideMark/>
          </w:tcPr>
          <w:p w14:paraId="34DD858D"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0.85</w:t>
            </w:r>
          </w:p>
        </w:tc>
        <w:tc>
          <w:tcPr>
            <w:tcW w:w="774" w:type="dxa"/>
            <w:shd w:val="clear" w:color="auto" w:fill="auto"/>
            <w:noWrap/>
            <w:vAlign w:val="center"/>
            <w:hideMark/>
          </w:tcPr>
          <w:p w14:paraId="3159483E"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84.1</w:t>
            </w:r>
          </w:p>
        </w:tc>
        <w:tc>
          <w:tcPr>
            <w:tcW w:w="679" w:type="dxa"/>
            <w:shd w:val="clear" w:color="auto" w:fill="auto"/>
            <w:noWrap/>
            <w:vAlign w:val="center"/>
            <w:hideMark/>
          </w:tcPr>
          <w:p w14:paraId="49353A14"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1.36</w:t>
            </w:r>
          </w:p>
        </w:tc>
        <w:tc>
          <w:tcPr>
            <w:tcW w:w="594" w:type="dxa"/>
            <w:shd w:val="clear" w:color="auto" w:fill="auto"/>
            <w:noWrap/>
            <w:vAlign w:val="center"/>
            <w:hideMark/>
          </w:tcPr>
          <w:p w14:paraId="1A01FD04"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75.1</w:t>
            </w:r>
          </w:p>
        </w:tc>
        <w:tc>
          <w:tcPr>
            <w:tcW w:w="562" w:type="dxa"/>
            <w:shd w:val="clear" w:color="auto" w:fill="auto"/>
            <w:noWrap/>
            <w:vAlign w:val="center"/>
            <w:hideMark/>
          </w:tcPr>
          <w:p w14:paraId="59543D92"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0.37</w:t>
            </w:r>
          </w:p>
        </w:tc>
      </w:tr>
      <w:tr w:rsidR="00535704" w:rsidRPr="003B0C2F" w14:paraId="49188204" w14:textId="77777777" w:rsidTr="00FF43D6">
        <w:trPr>
          <w:gridAfter w:val="1"/>
          <w:wAfter w:w="13" w:type="dxa"/>
          <w:trHeight w:val="203"/>
        </w:trPr>
        <w:tc>
          <w:tcPr>
            <w:tcW w:w="1185" w:type="dxa"/>
            <w:vMerge/>
            <w:shd w:val="clear" w:color="auto" w:fill="auto"/>
            <w:vAlign w:val="center"/>
            <w:hideMark/>
          </w:tcPr>
          <w:p w14:paraId="7763CB96" w14:textId="77777777" w:rsidR="00535704" w:rsidRPr="003B0C2F" w:rsidRDefault="00535704" w:rsidP="00650395">
            <w:pPr>
              <w:spacing w:line="240" w:lineRule="auto"/>
              <w:rPr>
                <w:rFonts w:eastAsia="Times New Roman" w:cs="Times New Roman"/>
                <w:color w:val="000000"/>
                <w:sz w:val="20"/>
                <w:szCs w:val="20"/>
              </w:rPr>
            </w:pPr>
          </w:p>
        </w:tc>
        <w:tc>
          <w:tcPr>
            <w:tcW w:w="849" w:type="dxa"/>
            <w:shd w:val="clear" w:color="auto" w:fill="auto"/>
            <w:noWrap/>
            <w:vAlign w:val="center"/>
            <w:hideMark/>
          </w:tcPr>
          <w:p w14:paraId="4A862DEE"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RTFO</w:t>
            </w:r>
          </w:p>
        </w:tc>
        <w:tc>
          <w:tcPr>
            <w:tcW w:w="764" w:type="dxa"/>
            <w:shd w:val="clear" w:color="auto" w:fill="auto"/>
            <w:noWrap/>
            <w:vAlign w:val="center"/>
            <w:hideMark/>
          </w:tcPr>
          <w:p w14:paraId="189CE7CB"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107.7</w:t>
            </w:r>
          </w:p>
        </w:tc>
        <w:tc>
          <w:tcPr>
            <w:tcW w:w="594" w:type="dxa"/>
            <w:shd w:val="clear" w:color="auto" w:fill="auto"/>
            <w:noWrap/>
            <w:vAlign w:val="center"/>
            <w:hideMark/>
          </w:tcPr>
          <w:p w14:paraId="5675128A"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0.16</w:t>
            </w:r>
          </w:p>
        </w:tc>
        <w:tc>
          <w:tcPr>
            <w:tcW w:w="764" w:type="dxa"/>
            <w:shd w:val="clear" w:color="auto" w:fill="auto"/>
            <w:noWrap/>
            <w:vAlign w:val="center"/>
            <w:hideMark/>
          </w:tcPr>
          <w:p w14:paraId="64551006"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94.1</w:t>
            </w:r>
          </w:p>
        </w:tc>
        <w:tc>
          <w:tcPr>
            <w:tcW w:w="594" w:type="dxa"/>
            <w:shd w:val="clear" w:color="auto" w:fill="auto"/>
            <w:noWrap/>
            <w:vAlign w:val="center"/>
            <w:hideMark/>
          </w:tcPr>
          <w:p w14:paraId="2E54927E"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0.36</w:t>
            </w:r>
          </w:p>
        </w:tc>
        <w:tc>
          <w:tcPr>
            <w:tcW w:w="728" w:type="dxa"/>
            <w:shd w:val="clear" w:color="auto" w:fill="auto"/>
            <w:noWrap/>
            <w:vAlign w:val="center"/>
            <w:hideMark/>
          </w:tcPr>
          <w:p w14:paraId="7D84BD38"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89.8</w:t>
            </w:r>
          </w:p>
        </w:tc>
        <w:tc>
          <w:tcPr>
            <w:tcW w:w="622" w:type="dxa"/>
            <w:shd w:val="clear" w:color="auto" w:fill="auto"/>
            <w:noWrap/>
            <w:vAlign w:val="center"/>
            <w:hideMark/>
          </w:tcPr>
          <w:p w14:paraId="685BF830"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0.38</w:t>
            </w:r>
          </w:p>
        </w:tc>
        <w:tc>
          <w:tcPr>
            <w:tcW w:w="774" w:type="dxa"/>
            <w:shd w:val="clear" w:color="auto" w:fill="auto"/>
            <w:noWrap/>
            <w:vAlign w:val="center"/>
            <w:hideMark/>
          </w:tcPr>
          <w:p w14:paraId="2B4D4A8A"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80.3</w:t>
            </w:r>
          </w:p>
        </w:tc>
        <w:tc>
          <w:tcPr>
            <w:tcW w:w="679" w:type="dxa"/>
            <w:shd w:val="clear" w:color="auto" w:fill="auto"/>
            <w:noWrap/>
            <w:vAlign w:val="center"/>
            <w:hideMark/>
          </w:tcPr>
          <w:p w14:paraId="4F3168B3"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1.39</w:t>
            </w:r>
          </w:p>
        </w:tc>
        <w:tc>
          <w:tcPr>
            <w:tcW w:w="594" w:type="dxa"/>
            <w:shd w:val="clear" w:color="auto" w:fill="auto"/>
            <w:noWrap/>
            <w:vAlign w:val="center"/>
            <w:hideMark/>
          </w:tcPr>
          <w:p w14:paraId="358A6954"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78.8</w:t>
            </w:r>
          </w:p>
        </w:tc>
        <w:tc>
          <w:tcPr>
            <w:tcW w:w="562" w:type="dxa"/>
            <w:shd w:val="clear" w:color="auto" w:fill="auto"/>
            <w:noWrap/>
            <w:vAlign w:val="center"/>
            <w:hideMark/>
          </w:tcPr>
          <w:p w14:paraId="19F78E3D"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0.08</w:t>
            </w:r>
          </w:p>
        </w:tc>
      </w:tr>
      <w:tr w:rsidR="00535704" w:rsidRPr="003B0C2F" w14:paraId="0577232C" w14:textId="77777777" w:rsidTr="00FF43D6">
        <w:trPr>
          <w:gridAfter w:val="1"/>
          <w:wAfter w:w="13" w:type="dxa"/>
          <w:trHeight w:val="203"/>
        </w:trPr>
        <w:tc>
          <w:tcPr>
            <w:tcW w:w="1185" w:type="dxa"/>
            <w:vMerge/>
            <w:shd w:val="clear" w:color="auto" w:fill="auto"/>
            <w:vAlign w:val="center"/>
            <w:hideMark/>
          </w:tcPr>
          <w:p w14:paraId="4C40B4B6" w14:textId="77777777" w:rsidR="00535704" w:rsidRPr="003B0C2F" w:rsidRDefault="00535704" w:rsidP="00650395">
            <w:pPr>
              <w:spacing w:line="240" w:lineRule="auto"/>
              <w:rPr>
                <w:rFonts w:eastAsia="Times New Roman" w:cs="Times New Roman"/>
                <w:color w:val="000000"/>
                <w:sz w:val="20"/>
                <w:szCs w:val="20"/>
              </w:rPr>
            </w:pPr>
          </w:p>
        </w:tc>
        <w:tc>
          <w:tcPr>
            <w:tcW w:w="849" w:type="dxa"/>
            <w:shd w:val="clear" w:color="auto" w:fill="auto"/>
            <w:noWrap/>
            <w:vAlign w:val="center"/>
            <w:hideMark/>
          </w:tcPr>
          <w:p w14:paraId="69617B1D"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PAV</w:t>
            </w:r>
          </w:p>
        </w:tc>
        <w:tc>
          <w:tcPr>
            <w:tcW w:w="764" w:type="dxa"/>
            <w:shd w:val="clear" w:color="auto" w:fill="auto"/>
            <w:noWrap/>
            <w:vAlign w:val="center"/>
            <w:hideMark/>
          </w:tcPr>
          <w:p w14:paraId="5BBCEEEF"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107.5</w:t>
            </w:r>
          </w:p>
        </w:tc>
        <w:tc>
          <w:tcPr>
            <w:tcW w:w="594" w:type="dxa"/>
            <w:shd w:val="clear" w:color="auto" w:fill="auto"/>
            <w:noWrap/>
            <w:vAlign w:val="center"/>
            <w:hideMark/>
          </w:tcPr>
          <w:p w14:paraId="7A273A23"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0.74</w:t>
            </w:r>
          </w:p>
        </w:tc>
        <w:tc>
          <w:tcPr>
            <w:tcW w:w="764" w:type="dxa"/>
            <w:shd w:val="clear" w:color="auto" w:fill="auto"/>
            <w:noWrap/>
            <w:vAlign w:val="center"/>
            <w:hideMark/>
          </w:tcPr>
          <w:p w14:paraId="4DEE3F75"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94.9</w:t>
            </w:r>
          </w:p>
        </w:tc>
        <w:tc>
          <w:tcPr>
            <w:tcW w:w="594" w:type="dxa"/>
            <w:shd w:val="clear" w:color="auto" w:fill="auto"/>
            <w:noWrap/>
            <w:vAlign w:val="center"/>
            <w:hideMark/>
          </w:tcPr>
          <w:p w14:paraId="48055753"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0.20</w:t>
            </w:r>
          </w:p>
        </w:tc>
        <w:tc>
          <w:tcPr>
            <w:tcW w:w="728" w:type="dxa"/>
            <w:shd w:val="clear" w:color="auto" w:fill="auto"/>
            <w:noWrap/>
            <w:vAlign w:val="center"/>
            <w:hideMark/>
          </w:tcPr>
          <w:p w14:paraId="0FF3F39B"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91.0</w:t>
            </w:r>
          </w:p>
        </w:tc>
        <w:tc>
          <w:tcPr>
            <w:tcW w:w="622" w:type="dxa"/>
            <w:shd w:val="clear" w:color="auto" w:fill="auto"/>
            <w:noWrap/>
            <w:vAlign w:val="center"/>
            <w:hideMark/>
          </w:tcPr>
          <w:p w14:paraId="1CD53CBB"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0.27</w:t>
            </w:r>
          </w:p>
        </w:tc>
        <w:tc>
          <w:tcPr>
            <w:tcW w:w="774" w:type="dxa"/>
            <w:shd w:val="clear" w:color="auto" w:fill="auto"/>
            <w:noWrap/>
            <w:vAlign w:val="center"/>
            <w:hideMark/>
          </w:tcPr>
          <w:p w14:paraId="3B8786FC"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88.4</w:t>
            </w:r>
          </w:p>
        </w:tc>
        <w:tc>
          <w:tcPr>
            <w:tcW w:w="679" w:type="dxa"/>
            <w:shd w:val="clear" w:color="auto" w:fill="auto"/>
            <w:noWrap/>
            <w:vAlign w:val="center"/>
            <w:hideMark/>
          </w:tcPr>
          <w:p w14:paraId="59523C19"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0.81</w:t>
            </w:r>
          </w:p>
        </w:tc>
        <w:tc>
          <w:tcPr>
            <w:tcW w:w="594" w:type="dxa"/>
            <w:shd w:val="clear" w:color="auto" w:fill="auto"/>
            <w:noWrap/>
            <w:vAlign w:val="center"/>
            <w:hideMark/>
          </w:tcPr>
          <w:p w14:paraId="42D88105"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78.6</w:t>
            </w:r>
          </w:p>
        </w:tc>
        <w:tc>
          <w:tcPr>
            <w:tcW w:w="562" w:type="dxa"/>
            <w:shd w:val="clear" w:color="auto" w:fill="auto"/>
            <w:noWrap/>
            <w:vAlign w:val="center"/>
            <w:hideMark/>
          </w:tcPr>
          <w:p w14:paraId="06DA72EA"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0.39</w:t>
            </w:r>
          </w:p>
        </w:tc>
      </w:tr>
      <w:tr w:rsidR="00535704" w:rsidRPr="003B0C2F" w14:paraId="73746EF6" w14:textId="77777777" w:rsidTr="00FF43D6">
        <w:trPr>
          <w:gridAfter w:val="1"/>
          <w:wAfter w:w="13" w:type="dxa"/>
          <w:trHeight w:val="203"/>
        </w:trPr>
        <w:tc>
          <w:tcPr>
            <w:tcW w:w="1185" w:type="dxa"/>
            <w:vMerge w:val="restart"/>
            <w:shd w:val="clear" w:color="auto" w:fill="auto"/>
            <w:vAlign w:val="center"/>
            <w:hideMark/>
          </w:tcPr>
          <w:p w14:paraId="468D103F"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PG 64-22 + 0.5% ASA</w:t>
            </w:r>
          </w:p>
        </w:tc>
        <w:tc>
          <w:tcPr>
            <w:tcW w:w="849" w:type="dxa"/>
            <w:shd w:val="clear" w:color="auto" w:fill="auto"/>
            <w:noWrap/>
            <w:vAlign w:val="center"/>
            <w:hideMark/>
          </w:tcPr>
          <w:p w14:paraId="2CB522BF"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unaged</w:t>
            </w:r>
          </w:p>
        </w:tc>
        <w:tc>
          <w:tcPr>
            <w:tcW w:w="764" w:type="dxa"/>
            <w:shd w:val="clear" w:color="auto" w:fill="auto"/>
            <w:noWrap/>
            <w:vAlign w:val="center"/>
            <w:hideMark/>
          </w:tcPr>
          <w:p w14:paraId="3C02B568"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102.2</w:t>
            </w:r>
          </w:p>
        </w:tc>
        <w:tc>
          <w:tcPr>
            <w:tcW w:w="594" w:type="dxa"/>
            <w:shd w:val="clear" w:color="auto" w:fill="auto"/>
            <w:noWrap/>
            <w:vAlign w:val="center"/>
            <w:hideMark/>
          </w:tcPr>
          <w:p w14:paraId="4EF61D37"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1.55</w:t>
            </w:r>
          </w:p>
        </w:tc>
        <w:tc>
          <w:tcPr>
            <w:tcW w:w="764" w:type="dxa"/>
            <w:shd w:val="clear" w:color="auto" w:fill="auto"/>
            <w:noWrap/>
            <w:vAlign w:val="center"/>
            <w:hideMark/>
          </w:tcPr>
          <w:p w14:paraId="52CB96EE"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92.4</w:t>
            </w:r>
          </w:p>
        </w:tc>
        <w:tc>
          <w:tcPr>
            <w:tcW w:w="594" w:type="dxa"/>
            <w:shd w:val="clear" w:color="auto" w:fill="auto"/>
            <w:noWrap/>
            <w:vAlign w:val="center"/>
            <w:hideMark/>
          </w:tcPr>
          <w:p w14:paraId="6769FB08"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0.68</w:t>
            </w:r>
          </w:p>
        </w:tc>
        <w:tc>
          <w:tcPr>
            <w:tcW w:w="728" w:type="dxa"/>
            <w:shd w:val="clear" w:color="auto" w:fill="auto"/>
            <w:noWrap/>
            <w:vAlign w:val="center"/>
            <w:hideMark/>
          </w:tcPr>
          <w:p w14:paraId="67D04230"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87.8</w:t>
            </w:r>
          </w:p>
        </w:tc>
        <w:tc>
          <w:tcPr>
            <w:tcW w:w="622" w:type="dxa"/>
            <w:shd w:val="clear" w:color="auto" w:fill="auto"/>
            <w:noWrap/>
            <w:vAlign w:val="center"/>
            <w:hideMark/>
          </w:tcPr>
          <w:p w14:paraId="3B8814F0"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0.44</w:t>
            </w:r>
          </w:p>
        </w:tc>
        <w:tc>
          <w:tcPr>
            <w:tcW w:w="774" w:type="dxa"/>
            <w:shd w:val="clear" w:color="auto" w:fill="auto"/>
            <w:noWrap/>
            <w:vAlign w:val="center"/>
            <w:hideMark/>
          </w:tcPr>
          <w:p w14:paraId="6E980B6F"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84.5</w:t>
            </w:r>
          </w:p>
        </w:tc>
        <w:tc>
          <w:tcPr>
            <w:tcW w:w="679" w:type="dxa"/>
            <w:shd w:val="clear" w:color="auto" w:fill="auto"/>
            <w:noWrap/>
            <w:vAlign w:val="center"/>
            <w:hideMark/>
          </w:tcPr>
          <w:p w14:paraId="59FB8FC4"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0.46</w:t>
            </w:r>
          </w:p>
        </w:tc>
        <w:tc>
          <w:tcPr>
            <w:tcW w:w="594" w:type="dxa"/>
            <w:shd w:val="clear" w:color="auto" w:fill="auto"/>
            <w:noWrap/>
            <w:vAlign w:val="center"/>
            <w:hideMark/>
          </w:tcPr>
          <w:p w14:paraId="22C74884"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76.1</w:t>
            </w:r>
          </w:p>
        </w:tc>
        <w:tc>
          <w:tcPr>
            <w:tcW w:w="562" w:type="dxa"/>
            <w:shd w:val="clear" w:color="auto" w:fill="auto"/>
            <w:noWrap/>
            <w:vAlign w:val="center"/>
            <w:hideMark/>
          </w:tcPr>
          <w:p w14:paraId="5235C286"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0.28</w:t>
            </w:r>
          </w:p>
        </w:tc>
      </w:tr>
      <w:tr w:rsidR="00535704" w:rsidRPr="003B0C2F" w14:paraId="2B2E05CF" w14:textId="77777777" w:rsidTr="00FF43D6">
        <w:trPr>
          <w:gridAfter w:val="1"/>
          <w:wAfter w:w="13" w:type="dxa"/>
          <w:trHeight w:val="203"/>
        </w:trPr>
        <w:tc>
          <w:tcPr>
            <w:tcW w:w="1185" w:type="dxa"/>
            <w:vMerge/>
            <w:shd w:val="clear" w:color="auto" w:fill="auto"/>
            <w:vAlign w:val="center"/>
            <w:hideMark/>
          </w:tcPr>
          <w:p w14:paraId="54D1BCDE" w14:textId="77777777" w:rsidR="00535704" w:rsidRPr="003B0C2F" w:rsidRDefault="00535704" w:rsidP="00650395">
            <w:pPr>
              <w:spacing w:line="240" w:lineRule="auto"/>
              <w:rPr>
                <w:rFonts w:eastAsia="Times New Roman" w:cs="Times New Roman"/>
                <w:color w:val="000000"/>
                <w:sz w:val="20"/>
                <w:szCs w:val="20"/>
              </w:rPr>
            </w:pPr>
          </w:p>
        </w:tc>
        <w:tc>
          <w:tcPr>
            <w:tcW w:w="849" w:type="dxa"/>
            <w:shd w:val="clear" w:color="auto" w:fill="auto"/>
            <w:noWrap/>
            <w:vAlign w:val="center"/>
            <w:hideMark/>
          </w:tcPr>
          <w:p w14:paraId="0D4760E6"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RTFO</w:t>
            </w:r>
          </w:p>
        </w:tc>
        <w:tc>
          <w:tcPr>
            <w:tcW w:w="764" w:type="dxa"/>
            <w:shd w:val="clear" w:color="auto" w:fill="auto"/>
            <w:noWrap/>
            <w:vAlign w:val="center"/>
            <w:hideMark/>
          </w:tcPr>
          <w:p w14:paraId="065D1FA4"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107.0</w:t>
            </w:r>
          </w:p>
        </w:tc>
        <w:tc>
          <w:tcPr>
            <w:tcW w:w="594" w:type="dxa"/>
            <w:shd w:val="clear" w:color="auto" w:fill="auto"/>
            <w:noWrap/>
            <w:vAlign w:val="center"/>
            <w:hideMark/>
          </w:tcPr>
          <w:p w14:paraId="3D938004"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0.09</w:t>
            </w:r>
          </w:p>
        </w:tc>
        <w:tc>
          <w:tcPr>
            <w:tcW w:w="764" w:type="dxa"/>
            <w:shd w:val="clear" w:color="auto" w:fill="auto"/>
            <w:noWrap/>
            <w:vAlign w:val="center"/>
            <w:hideMark/>
          </w:tcPr>
          <w:p w14:paraId="5EA2DE16"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93.9</w:t>
            </w:r>
          </w:p>
        </w:tc>
        <w:tc>
          <w:tcPr>
            <w:tcW w:w="594" w:type="dxa"/>
            <w:shd w:val="clear" w:color="auto" w:fill="auto"/>
            <w:noWrap/>
            <w:vAlign w:val="center"/>
            <w:hideMark/>
          </w:tcPr>
          <w:p w14:paraId="292EDA85"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0.14</w:t>
            </w:r>
          </w:p>
        </w:tc>
        <w:tc>
          <w:tcPr>
            <w:tcW w:w="728" w:type="dxa"/>
            <w:shd w:val="clear" w:color="auto" w:fill="auto"/>
            <w:noWrap/>
            <w:vAlign w:val="center"/>
            <w:hideMark/>
          </w:tcPr>
          <w:p w14:paraId="0581E2B5"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89.7</w:t>
            </w:r>
          </w:p>
        </w:tc>
        <w:tc>
          <w:tcPr>
            <w:tcW w:w="622" w:type="dxa"/>
            <w:shd w:val="clear" w:color="auto" w:fill="auto"/>
            <w:noWrap/>
            <w:vAlign w:val="center"/>
            <w:hideMark/>
          </w:tcPr>
          <w:p w14:paraId="62E2EAAE"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0.32</w:t>
            </w:r>
          </w:p>
        </w:tc>
        <w:tc>
          <w:tcPr>
            <w:tcW w:w="774" w:type="dxa"/>
            <w:shd w:val="clear" w:color="auto" w:fill="auto"/>
            <w:noWrap/>
            <w:vAlign w:val="center"/>
            <w:hideMark/>
          </w:tcPr>
          <w:p w14:paraId="36520681"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80.0</w:t>
            </w:r>
          </w:p>
        </w:tc>
        <w:tc>
          <w:tcPr>
            <w:tcW w:w="679" w:type="dxa"/>
            <w:shd w:val="clear" w:color="auto" w:fill="auto"/>
            <w:noWrap/>
            <w:vAlign w:val="center"/>
            <w:hideMark/>
          </w:tcPr>
          <w:p w14:paraId="03D04EEB"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0.99</w:t>
            </w:r>
          </w:p>
        </w:tc>
        <w:tc>
          <w:tcPr>
            <w:tcW w:w="594" w:type="dxa"/>
            <w:shd w:val="clear" w:color="auto" w:fill="auto"/>
            <w:noWrap/>
            <w:vAlign w:val="center"/>
            <w:hideMark/>
          </w:tcPr>
          <w:p w14:paraId="69704EDB"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78.2</w:t>
            </w:r>
          </w:p>
        </w:tc>
        <w:tc>
          <w:tcPr>
            <w:tcW w:w="562" w:type="dxa"/>
            <w:shd w:val="clear" w:color="auto" w:fill="auto"/>
            <w:noWrap/>
            <w:vAlign w:val="center"/>
            <w:hideMark/>
          </w:tcPr>
          <w:p w14:paraId="148E1E53"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0.58</w:t>
            </w:r>
          </w:p>
        </w:tc>
      </w:tr>
      <w:tr w:rsidR="00535704" w:rsidRPr="003B0C2F" w14:paraId="7F9BFD89" w14:textId="77777777" w:rsidTr="00FF43D6">
        <w:trPr>
          <w:gridAfter w:val="1"/>
          <w:wAfter w:w="13" w:type="dxa"/>
          <w:trHeight w:val="203"/>
        </w:trPr>
        <w:tc>
          <w:tcPr>
            <w:tcW w:w="1185" w:type="dxa"/>
            <w:vMerge/>
            <w:shd w:val="clear" w:color="auto" w:fill="auto"/>
            <w:vAlign w:val="center"/>
            <w:hideMark/>
          </w:tcPr>
          <w:p w14:paraId="1FA19DC2" w14:textId="77777777" w:rsidR="00535704" w:rsidRPr="003B0C2F" w:rsidRDefault="00535704" w:rsidP="00650395">
            <w:pPr>
              <w:spacing w:line="240" w:lineRule="auto"/>
              <w:rPr>
                <w:rFonts w:eastAsia="Times New Roman" w:cs="Times New Roman"/>
                <w:color w:val="000000"/>
                <w:sz w:val="20"/>
                <w:szCs w:val="20"/>
              </w:rPr>
            </w:pPr>
          </w:p>
        </w:tc>
        <w:tc>
          <w:tcPr>
            <w:tcW w:w="849" w:type="dxa"/>
            <w:shd w:val="clear" w:color="auto" w:fill="auto"/>
            <w:noWrap/>
            <w:vAlign w:val="center"/>
            <w:hideMark/>
          </w:tcPr>
          <w:p w14:paraId="162DE0DD"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PAV</w:t>
            </w:r>
          </w:p>
        </w:tc>
        <w:tc>
          <w:tcPr>
            <w:tcW w:w="764" w:type="dxa"/>
            <w:shd w:val="clear" w:color="auto" w:fill="auto"/>
            <w:noWrap/>
            <w:vAlign w:val="center"/>
            <w:hideMark/>
          </w:tcPr>
          <w:p w14:paraId="79183967"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107.3</w:t>
            </w:r>
          </w:p>
        </w:tc>
        <w:tc>
          <w:tcPr>
            <w:tcW w:w="594" w:type="dxa"/>
            <w:shd w:val="clear" w:color="auto" w:fill="auto"/>
            <w:noWrap/>
            <w:vAlign w:val="center"/>
            <w:hideMark/>
          </w:tcPr>
          <w:p w14:paraId="315F0A52"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0.62</w:t>
            </w:r>
          </w:p>
        </w:tc>
        <w:tc>
          <w:tcPr>
            <w:tcW w:w="764" w:type="dxa"/>
            <w:shd w:val="clear" w:color="auto" w:fill="auto"/>
            <w:noWrap/>
            <w:vAlign w:val="center"/>
            <w:hideMark/>
          </w:tcPr>
          <w:p w14:paraId="261BC6D4"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94.7</w:t>
            </w:r>
          </w:p>
        </w:tc>
        <w:tc>
          <w:tcPr>
            <w:tcW w:w="594" w:type="dxa"/>
            <w:shd w:val="clear" w:color="auto" w:fill="auto"/>
            <w:noWrap/>
            <w:vAlign w:val="center"/>
            <w:hideMark/>
          </w:tcPr>
          <w:p w14:paraId="12A78118"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0.26</w:t>
            </w:r>
          </w:p>
        </w:tc>
        <w:tc>
          <w:tcPr>
            <w:tcW w:w="728" w:type="dxa"/>
            <w:shd w:val="clear" w:color="auto" w:fill="auto"/>
            <w:noWrap/>
            <w:vAlign w:val="center"/>
            <w:hideMark/>
          </w:tcPr>
          <w:p w14:paraId="3F103389"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91.0</w:t>
            </w:r>
          </w:p>
        </w:tc>
        <w:tc>
          <w:tcPr>
            <w:tcW w:w="622" w:type="dxa"/>
            <w:shd w:val="clear" w:color="auto" w:fill="auto"/>
            <w:noWrap/>
            <w:vAlign w:val="center"/>
            <w:hideMark/>
          </w:tcPr>
          <w:p w14:paraId="6B95E2FD"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0.34</w:t>
            </w:r>
          </w:p>
        </w:tc>
        <w:tc>
          <w:tcPr>
            <w:tcW w:w="774" w:type="dxa"/>
            <w:shd w:val="clear" w:color="auto" w:fill="auto"/>
            <w:noWrap/>
            <w:vAlign w:val="center"/>
            <w:hideMark/>
          </w:tcPr>
          <w:p w14:paraId="7031E40A"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81.4</w:t>
            </w:r>
          </w:p>
        </w:tc>
        <w:tc>
          <w:tcPr>
            <w:tcW w:w="679" w:type="dxa"/>
            <w:shd w:val="clear" w:color="auto" w:fill="auto"/>
            <w:noWrap/>
            <w:vAlign w:val="center"/>
            <w:hideMark/>
          </w:tcPr>
          <w:p w14:paraId="450655A2"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0.43</w:t>
            </w:r>
          </w:p>
        </w:tc>
        <w:tc>
          <w:tcPr>
            <w:tcW w:w="594" w:type="dxa"/>
            <w:shd w:val="clear" w:color="auto" w:fill="auto"/>
            <w:noWrap/>
            <w:vAlign w:val="center"/>
            <w:hideMark/>
          </w:tcPr>
          <w:p w14:paraId="1F100763"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76.8</w:t>
            </w:r>
          </w:p>
        </w:tc>
        <w:tc>
          <w:tcPr>
            <w:tcW w:w="562" w:type="dxa"/>
            <w:shd w:val="clear" w:color="auto" w:fill="auto"/>
            <w:noWrap/>
            <w:vAlign w:val="center"/>
            <w:hideMark/>
          </w:tcPr>
          <w:p w14:paraId="44F82B25"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1.90</w:t>
            </w:r>
          </w:p>
        </w:tc>
      </w:tr>
      <w:tr w:rsidR="00535704" w:rsidRPr="003B0C2F" w14:paraId="43B1DC72" w14:textId="77777777" w:rsidTr="00FF43D6">
        <w:trPr>
          <w:gridAfter w:val="1"/>
          <w:wAfter w:w="13" w:type="dxa"/>
          <w:trHeight w:val="203"/>
        </w:trPr>
        <w:tc>
          <w:tcPr>
            <w:tcW w:w="1185" w:type="dxa"/>
            <w:vMerge w:val="restart"/>
            <w:shd w:val="clear" w:color="auto" w:fill="auto"/>
            <w:vAlign w:val="center"/>
            <w:hideMark/>
          </w:tcPr>
          <w:p w14:paraId="1E5A5B78"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PG 64-22 + 20% RAP</w:t>
            </w:r>
          </w:p>
        </w:tc>
        <w:tc>
          <w:tcPr>
            <w:tcW w:w="849" w:type="dxa"/>
            <w:shd w:val="clear" w:color="auto" w:fill="auto"/>
            <w:noWrap/>
            <w:vAlign w:val="center"/>
            <w:hideMark/>
          </w:tcPr>
          <w:p w14:paraId="0B73D740"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unaged</w:t>
            </w:r>
          </w:p>
        </w:tc>
        <w:tc>
          <w:tcPr>
            <w:tcW w:w="764" w:type="dxa"/>
            <w:shd w:val="clear" w:color="auto" w:fill="auto"/>
            <w:noWrap/>
            <w:vAlign w:val="center"/>
            <w:hideMark/>
          </w:tcPr>
          <w:p w14:paraId="76155EC1"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105.5</w:t>
            </w:r>
          </w:p>
        </w:tc>
        <w:tc>
          <w:tcPr>
            <w:tcW w:w="594" w:type="dxa"/>
            <w:shd w:val="clear" w:color="auto" w:fill="auto"/>
            <w:noWrap/>
            <w:vAlign w:val="center"/>
            <w:hideMark/>
          </w:tcPr>
          <w:p w14:paraId="2CE10E45"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0.58</w:t>
            </w:r>
          </w:p>
        </w:tc>
        <w:tc>
          <w:tcPr>
            <w:tcW w:w="764" w:type="dxa"/>
            <w:shd w:val="clear" w:color="auto" w:fill="auto"/>
            <w:noWrap/>
            <w:vAlign w:val="center"/>
            <w:hideMark/>
          </w:tcPr>
          <w:p w14:paraId="50ED4628"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93.1</w:t>
            </w:r>
          </w:p>
        </w:tc>
        <w:tc>
          <w:tcPr>
            <w:tcW w:w="594" w:type="dxa"/>
            <w:shd w:val="clear" w:color="auto" w:fill="auto"/>
            <w:noWrap/>
            <w:vAlign w:val="center"/>
            <w:hideMark/>
          </w:tcPr>
          <w:p w14:paraId="39A9453F"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0.22</w:t>
            </w:r>
          </w:p>
        </w:tc>
        <w:tc>
          <w:tcPr>
            <w:tcW w:w="728" w:type="dxa"/>
            <w:shd w:val="clear" w:color="auto" w:fill="auto"/>
            <w:noWrap/>
            <w:vAlign w:val="center"/>
            <w:hideMark/>
          </w:tcPr>
          <w:p w14:paraId="2DD25E20"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89.3</w:t>
            </w:r>
          </w:p>
        </w:tc>
        <w:tc>
          <w:tcPr>
            <w:tcW w:w="622" w:type="dxa"/>
            <w:shd w:val="clear" w:color="auto" w:fill="auto"/>
            <w:noWrap/>
            <w:vAlign w:val="center"/>
            <w:hideMark/>
          </w:tcPr>
          <w:p w14:paraId="7A71BC1A"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0.17</w:t>
            </w:r>
          </w:p>
        </w:tc>
        <w:tc>
          <w:tcPr>
            <w:tcW w:w="774" w:type="dxa"/>
            <w:shd w:val="clear" w:color="auto" w:fill="auto"/>
            <w:noWrap/>
            <w:vAlign w:val="center"/>
            <w:hideMark/>
          </w:tcPr>
          <w:p w14:paraId="784A2069"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82.7</w:t>
            </w:r>
          </w:p>
        </w:tc>
        <w:tc>
          <w:tcPr>
            <w:tcW w:w="679" w:type="dxa"/>
            <w:shd w:val="clear" w:color="auto" w:fill="auto"/>
            <w:noWrap/>
            <w:vAlign w:val="center"/>
            <w:hideMark/>
          </w:tcPr>
          <w:p w14:paraId="4ECA5CCC"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2.05</w:t>
            </w:r>
          </w:p>
        </w:tc>
        <w:tc>
          <w:tcPr>
            <w:tcW w:w="594" w:type="dxa"/>
            <w:shd w:val="clear" w:color="auto" w:fill="auto"/>
            <w:noWrap/>
            <w:vAlign w:val="center"/>
            <w:hideMark/>
          </w:tcPr>
          <w:p w14:paraId="4456D34E"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78.4</w:t>
            </w:r>
          </w:p>
        </w:tc>
        <w:tc>
          <w:tcPr>
            <w:tcW w:w="562" w:type="dxa"/>
            <w:shd w:val="clear" w:color="auto" w:fill="auto"/>
            <w:noWrap/>
            <w:vAlign w:val="center"/>
            <w:hideMark/>
          </w:tcPr>
          <w:p w14:paraId="51F51EF7"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0.40</w:t>
            </w:r>
          </w:p>
        </w:tc>
      </w:tr>
      <w:tr w:rsidR="00535704" w:rsidRPr="003B0C2F" w14:paraId="3BA45482" w14:textId="77777777" w:rsidTr="00FF43D6">
        <w:trPr>
          <w:gridAfter w:val="1"/>
          <w:wAfter w:w="13" w:type="dxa"/>
          <w:trHeight w:val="203"/>
        </w:trPr>
        <w:tc>
          <w:tcPr>
            <w:tcW w:w="1185" w:type="dxa"/>
            <w:vMerge/>
            <w:shd w:val="clear" w:color="auto" w:fill="auto"/>
            <w:vAlign w:val="center"/>
            <w:hideMark/>
          </w:tcPr>
          <w:p w14:paraId="1962DEC7" w14:textId="77777777" w:rsidR="00535704" w:rsidRPr="003B0C2F" w:rsidRDefault="00535704" w:rsidP="00650395">
            <w:pPr>
              <w:spacing w:line="240" w:lineRule="auto"/>
              <w:rPr>
                <w:rFonts w:eastAsia="Times New Roman" w:cs="Times New Roman"/>
                <w:color w:val="000000"/>
                <w:sz w:val="20"/>
                <w:szCs w:val="20"/>
              </w:rPr>
            </w:pPr>
          </w:p>
        </w:tc>
        <w:tc>
          <w:tcPr>
            <w:tcW w:w="849" w:type="dxa"/>
            <w:shd w:val="clear" w:color="auto" w:fill="auto"/>
            <w:noWrap/>
            <w:vAlign w:val="center"/>
            <w:hideMark/>
          </w:tcPr>
          <w:p w14:paraId="01093836"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RTFO</w:t>
            </w:r>
          </w:p>
        </w:tc>
        <w:tc>
          <w:tcPr>
            <w:tcW w:w="764" w:type="dxa"/>
            <w:shd w:val="clear" w:color="auto" w:fill="auto"/>
            <w:noWrap/>
            <w:vAlign w:val="center"/>
            <w:hideMark/>
          </w:tcPr>
          <w:p w14:paraId="59BE20C5"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107.1</w:t>
            </w:r>
          </w:p>
        </w:tc>
        <w:tc>
          <w:tcPr>
            <w:tcW w:w="594" w:type="dxa"/>
            <w:shd w:val="clear" w:color="auto" w:fill="auto"/>
            <w:noWrap/>
            <w:vAlign w:val="center"/>
            <w:hideMark/>
          </w:tcPr>
          <w:p w14:paraId="6DFC0566"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0.26</w:t>
            </w:r>
          </w:p>
        </w:tc>
        <w:tc>
          <w:tcPr>
            <w:tcW w:w="764" w:type="dxa"/>
            <w:shd w:val="clear" w:color="auto" w:fill="auto"/>
            <w:noWrap/>
            <w:vAlign w:val="center"/>
            <w:hideMark/>
          </w:tcPr>
          <w:p w14:paraId="78680B91"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93.1</w:t>
            </w:r>
          </w:p>
        </w:tc>
        <w:tc>
          <w:tcPr>
            <w:tcW w:w="594" w:type="dxa"/>
            <w:shd w:val="clear" w:color="auto" w:fill="auto"/>
            <w:noWrap/>
            <w:vAlign w:val="center"/>
            <w:hideMark/>
          </w:tcPr>
          <w:p w14:paraId="4A90C112"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0.18</w:t>
            </w:r>
          </w:p>
        </w:tc>
        <w:tc>
          <w:tcPr>
            <w:tcW w:w="728" w:type="dxa"/>
            <w:shd w:val="clear" w:color="auto" w:fill="auto"/>
            <w:noWrap/>
            <w:vAlign w:val="center"/>
            <w:hideMark/>
          </w:tcPr>
          <w:p w14:paraId="2E4BB212"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89.2</w:t>
            </w:r>
          </w:p>
        </w:tc>
        <w:tc>
          <w:tcPr>
            <w:tcW w:w="622" w:type="dxa"/>
            <w:shd w:val="clear" w:color="auto" w:fill="auto"/>
            <w:noWrap/>
            <w:vAlign w:val="center"/>
            <w:hideMark/>
          </w:tcPr>
          <w:p w14:paraId="28FB30E9"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0.21</w:t>
            </w:r>
          </w:p>
        </w:tc>
        <w:tc>
          <w:tcPr>
            <w:tcW w:w="774" w:type="dxa"/>
            <w:shd w:val="clear" w:color="auto" w:fill="auto"/>
            <w:noWrap/>
            <w:vAlign w:val="center"/>
            <w:hideMark/>
          </w:tcPr>
          <w:p w14:paraId="4790225A"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81.4</w:t>
            </w:r>
          </w:p>
        </w:tc>
        <w:tc>
          <w:tcPr>
            <w:tcW w:w="679" w:type="dxa"/>
            <w:shd w:val="clear" w:color="auto" w:fill="auto"/>
            <w:noWrap/>
            <w:vAlign w:val="center"/>
            <w:hideMark/>
          </w:tcPr>
          <w:p w14:paraId="7F82AA03"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0.70</w:t>
            </w:r>
          </w:p>
        </w:tc>
        <w:tc>
          <w:tcPr>
            <w:tcW w:w="594" w:type="dxa"/>
            <w:shd w:val="clear" w:color="auto" w:fill="auto"/>
            <w:noWrap/>
            <w:vAlign w:val="center"/>
            <w:hideMark/>
          </w:tcPr>
          <w:p w14:paraId="52C134B1"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78.5</w:t>
            </w:r>
          </w:p>
        </w:tc>
        <w:tc>
          <w:tcPr>
            <w:tcW w:w="562" w:type="dxa"/>
            <w:shd w:val="clear" w:color="auto" w:fill="auto"/>
            <w:noWrap/>
            <w:vAlign w:val="center"/>
            <w:hideMark/>
          </w:tcPr>
          <w:p w14:paraId="590F5107"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0.24</w:t>
            </w:r>
          </w:p>
        </w:tc>
      </w:tr>
      <w:tr w:rsidR="00535704" w:rsidRPr="003B0C2F" w14:paraId="1E39B82F" w14:textId="77777777" w:rsidTr="00FF43D6">
        <w:trPr>
          <w:gridAfter w:val="1"/>
          <w:wAfter w:w="13" w:type="dxa"/>
          <w:trHeight w:val="203"/>
        </w:trPr>
        <w:tc>
          <w:tcPr>
            <w:tcW w:w="1185" w:type="dxa"/>
            <w:vMerge/>
            <w:shd w:val="clear" w:color="auto" w:fill="auto"/>
            <w:vAlign w:val="center"/>
            <w:hideMark/>
          </w:tcPr>
          <w:p w14:paraId="2A4AC656" w14:textId="77777777" w:rsidR="00535704" w:rsidRPr="003B0C2F" w:rsidRDefault="00535704" w:rsidP="00650395">
            <w:pPr>
              <w:spacing w:line="240" w:lineRule="auto"/>
              <w:rPr>
                <w:rFonts w:eastAsia="Times New Roman" w:cs="Times New Roman"/>
                <w:color w:val="000000"/>
                <w:sz w:val="20"/>
                <w:szCs w:val="20"/>
              </w:rPr>
            </w:pPr>
          </w:p>
        </w:tc>
        <w:tc>
          <w:tcPr>
            <w:tcW w:w="849" w:type="dxa"/>
            <w:shd w:val="clear" w:color="auto" w:fill="auto"/>
            <w:noWrap/>
            <w:vAlign w:val="center"/>
            <w:hideMark/>
          </w:tcPr>
          <w:p w14:paraId="11A7932F"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PAV</w:t>
            </w:r>
          </w:p>
        </w:tc>
        <w:tc>
          <w:tcPr>
            <w:tcW w:w="764" w:type="dxa"/>
            <w:shd w:val="clear" w:color="auto" w:fill="auto"/>
            <w:noWrap/>
            <w:vAlign w:val="center"/>
            <w:hideMark/>
          </w:tcPr>
          <w:p w14:paraId="64C61F8E"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107.0</w:t>
            </w:r>
          </w:p>
        </w:tc>
        <w:tc>
          <w:tcPr>
            <w:tcW w:w="594" w:type="dxa"/>
            <w:shd w:val="clear" w:color="auto" w:fill="auto"/>
            <w:noWrap/>
            <w:vAlign w:val="center"/>
            <w:hideMark/>
          </w:tcPr>
          <w:p w14:paraId="1FB56E3E"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0.55</w:t>
            </w:r>
          </w:p>
        </w:tc>
        <w:tc>
          <w:tcPr>
            <w:tcW w:w="764" w:type="dxa"/>
            <w:shd w:val="clear" w:color="auto" w:fill="auto"/>
            <w:noWrap/>
            <w:vAlign w:val="center"/>
            <w:hideMark/>
          </w:tcPr>
          <w:p w14:paraId="0E530A55"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95.1</w:t>
            </w:r>
          </w:p>
        </w:tc>
        <w:tc>
          <w:tcPr>
            <w:tcW w:w="594" w:type="dxa"/>
            <w:shd w:val="clear" w:color="auto" w:fill="auto"/>
            <w:noWrap/>
            <w:vAlign w:val="center"/>
            <w:hideMark/>
          </w:tcPr>
          <w:p w14:paraId="22C00F23"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0.12</w:t>
            </w:r>
          </w:p>
        </w:tc>
        <w:tc>
          <w:tcPr>
            <w:tcW w:w="728" w:type="dxa"/>
            <w:shd w:val="clear" w:color="auto" w:fill="auto"/>
            <w:noWrap/>
            <w:vAlign w:val="center"/>
            <w:hideMark/>
          </w:tcPr>
          <w:p w14:paraId="3D11644B"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91.7</w:t>
            </w:r>
          </w:p>
        </w:tc>
        <w:tc>
          <w:tcPr>
            <w:tcW w:w="622" w:type="dxa"/>
            <w:shd w:val="clear" w:color="auto" w:fill="auto"/>
            <w:noWrap/>
            <w:vAlign w:val="center"/>
            <w:hideMark/>
          </w:tcPr>
          <w:p w14:paraId="5F415C06"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0.80</w:t>
            </w:r>
          </w:p>
        </w:tc>
        <w:tc>
          <w:tcPr>
            <w:tcW w:w="774" w:type="dxa"/>
            <w:shd w:val="clear" w:color="auto" w:fill="auto"/>
            <w:noWrap/>
            <w:vAlign w:val="center"/>
            <w:hideMark/>
          </w:tcPr>
          <w:p w14:paraId="697436A8"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76.7</w:t>
            </w:r>
          </w:p>
        </w:tc>
        <w:tc>
          <w:tcPr>
            <w:tcW w:w="679" w:type="dxa"/>
            <w:shd w:val="clear" w:color="auto" w:fill="auto"/>
            <w:noWrap/>
            <w:vAlign w:val="center"/>
            <w:hideMark/>
          </w:tcPr>
          <w:p w14:paraId="2A61BB20"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0.23</w:t>
            </w:r>
          </w:p>
        </w:tc>
        <w:tc>
          <w:tcPr>
            <w:tcW w:w="594" w:type="dxa"/>
            <w:shd w:val="clear" w:color="auto" w:fill="auto"/>
            <w:noWrap/>
            <w:vAlign w:val="center"/>
            <w:hideMark/>
          </w:tcPr>
          <w:p w14:paraId="02548A47"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78.4</w:t>
            </w:r>
          </w:p>
        </w:tc>
        <w:tc>
          <w:tcPr>
            <w:tcW w:w="562" w:type="dxa"/>
            <w:shd w:val="clear" w:color="auto" w:fill="auto"/>
            <w:noWrap/>
            <w:vAlign w:val="center"/>
            <w:hideMark/>
          </w:tcPr>
          <w:p w14:paraId="00497C7F"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0.56</w:t>
            </w:r>
          </w:p>
        </w:tc>
      </w:tr>
      <w:tr w:rsidR="00535704" w:rsidRPr="003B0C2F" w14:paraId="0853A3E8" w14:textId="77777777" w:rsidTr="00FF43D6">
        <w:trPr>
          <w:gridAfter w:val="1"/>
          <w:wAfter w:w="13" w:type="dxa"/>
          <w:trHeight w:val="203"/>
        </w:trPr>
        <w:tc>
          <w:tcPr>
            <w:tcW w:w="1185" w:type="dxa"/>
            <w:vMerge w:val="restart"/>
            <w:shd w:val="clear" w:color="auto" w:fill="auto"/>
            <w:vAlign w:val="center"/>
            <w:hideMark/>
          </w:tcPr>
          <w:p w14:paraId="275B9559"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PG 64-22 + 1.5% PPA</w:t>
            </w:r>
          </w:p>
        </w:tc>
        <w:tc>
          <w:tcPr>
            <w:tcW w:w="849" w:type="dxa"/>
            <w:shd w:val="clear" w:color="auto" w:fill="auto"/>
            <w:noWrap/>
            <w:vAlign w:val="center"/>
            <w:hideMark/>
          </w:tcPr>
          <w:p w14:paraId="7F7D3C56"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unaged</w:t>
            </w:r>
          </w:p>
        </w:tc>
        <w:tc>
          <w:tcPr>
            <w:tcW w:w="764" w:type="dxa"/>
            <w:shd w:val="clear" w:color="auto" w:fill="auto"/>
            <w:noWrap/>
            <w:vAlign w:val="center"/>
            <w:hideMark/>
          </w:tcPr>
          <w:p w14:paraId="0280BA9D"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106.5</w:t>
            </w:r>
          </w:p>
        </w:tc>
        <w:tc>
          <w:tcPr>
            <w:tcW w:w="594" w:type="dxa"/>
            <w:shd w:val="clear" w:color="auto" w:fill="auto"/>
            <w:noWrap/>
            <w:vAlign w:val="center"/>
            <w:hideMark/>
          </w:tcPr>
          <w:p w14:paraId="1F83C6D2"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0.55</w:t>
            </w:r>
          </w:p>
        </w:tc>
        <w:tc>
          <w:tcPr>
            <w:tcW w:w="764" w:type="dxa"/>
            <w:shd w:val="clear" w:color="auto" w:fill="auto"/>
            <w:noWrap/>
            <w:vAlign w:val="center"/>
            <w:hideMark/>
          </w:tcPr>
          <w:p w14:paraId="1D6F1918"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94.1</w:t>
            </w:r>
          </w:p>
        </w:tc>
        <w:tc>
          <w:tcPr>
            <w:tcW w:w="594" w:type="dxa"/>
            <w:shd w:val="clear" w:color="auto" w:fill="auto"/>
            <w:noWrap/>
            <w:vAlign w:val="center"/>
            <w:hideMark/>
          </w:tcPr>
          <w:p w14:paraId="4A227E0B"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0.63</w:t>
            </w:r>
          </w:p>
        </w:tc>
        <w:tc>
          <w:tcPr>
            <w:tcW w:w="728" w:type="dxa"/>
            <w:shd w:val="clear" w:color="auto" w:fill="auto"/>
            <w:noWrap/>
            <w:vAlign w:val="center"/>
            <w:hideMark/>
          </w:tcPr>
          <w:p w14:paraId="284A3B0C"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90.5</w:t>
            </w:r>
          </w:p>
        </w:tc>
        <w:tc>
          <w:tcPr>
            <w:tcW w:w="622" w:type="dxa"/>
            <w:shd w:val="clear" w:color="auto" w:fill="auto"/>
            <w:noWrap/>
            <w:vAlign w:val="center"/>
            <w:hideMark/>
          </w:tcPr>
          <w:p w14:paraId="42C80709"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0.35</w:t>
            </w:r>
          </w:p>
        </w:tc>
        <w:tc>
          <w:tcPr>
            <w:tcW w:w="774" w:type="dxa"/>
            <w:shd w:val="clear" w:color="auto" w:fill="auto"/>
            <w:noWrap/>
            <w:vAlign w:val="center"/>
            <w:hideMark/>
          </w:tcPr>
          <w:p w14:paraId="0EC2CFA5"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86.6</w:t>
            </w:r>
          </w:p>
        </w:tc>
        <w:tc>
          <w:tcPr>
            <w:tcW w:w="679" w:type="dxa"/>
            <w:shd w:val="clear" w:color="auto" w:fill="auto"/>
            <w:noWrap/>
            <w:vAlign w:val="center"/>
            <w:hideMark/>
          </w:tcPr>
          <w:p w14:paraId="62A4AB94"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0.70</w:t>
            </w:r>
          </w:p>
        </w:tc>
        <w:tc>
          <w:tcPr>
            <w:tcW w:w="594" w:type="dxa"/>
            <w:shd w:val="clear" w:color="auto" w:fill="auto"/>
            <w:noWrap/>
            <w:vAlign w:val="center"/>
            <w:hideMark/>
          </w:tcPr>
          <w:p w14:paraId="62574746"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82.0</w:t>
            </w:r>
          </w:p>
        </w:tc>
        <w:tc>
          <w:tcPr>
            <w:tcW w:w="562" w:type="dxa"/>
            <w:shd w:val="clear" w:color="auto" w:fill="auto"/>
            <w:noWrap/>
            <w:vAlign w:val="center"/>
            <w:hideMark/>
          </w:tcPr>
          <w:p w14:paraId="49562198"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0.54</w:t>
            </w:r>
          </w:p>
        </w:tc>
      </w:tr>
      <w:tr w:rsidR="00535704" w:rsidRPr="003B0C2F" w14:paraId="04A99961" w14:textId="77777777" w:rsidTr="00FF43D6">
        <w:trPr>
          <w:gridAfter w:val="1"/>
          <w:wAfter w:w="13" w:type="dxa"/>
          <w:trHeight w:val="203"/>
        </w:trPr>
        <w:tc>
          <w:tcPr>
            <w:tcW w:w="1185" w:type="dxa"/>
            <w:vMerge/>
            <w:shd w:val="clear" w:color="auto" w:fill="auto"/>
            <w:vAlign w:val="center"/>
            <w:hideMark/>
          </w:tcPr>
          <w:p w14:paraId="0BC3AD0A" w14:textId="77777777" w:rsidR="00535704" w:rsidRPr="003B0C2F" w:rsidRDefault="00535704" w:rsidP="00650395">
            <w:pPr>
              <w:spacing w:line="240" w:lineRule="auto"/>
              <w:rPr>
                <w:rFonts w:eastAsia="Times New Roman" w:cs="Times New Roman"/>
                <w:color w:val="000000"/>
                <w:sz w:val="20"/>
                <w:szCs w:val="20"/>
              </w:rPr>
            </w:pPr>
          </w:p>
        </w:tc>
        <w:tc>
          <w:tcPr>
            <w:tcW w:w="849" w:type="dxa"/>
            <w:shd w:val="clear" w:color="auto" w:fill="auto"/>
            <w:noWrap/>
            <w:vAlign w:val="center"/>
            <w:hideMark/>
          </w:tcPr>
          <w:p w14:paraId="6CD1FD1F"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RTFO</w:t>
            </w:r>
          </w:p>
        </w:tc>
        <w:tc>
          <w:tcPr>
            <w:tcW w:w="764" w:type="dxa"/>
            <w:shd w:val="clear" w:color="auto" w:fill="auto"/>
            <w:noWrap/>
            <w:vAlign w:val="center"/>
            <w:hideMark/>
          </w:tcPr>
          <w:p w14:paraId="4EE879B5"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101.0</w:t>
            </w:r>
          </w:p>
        </w:tc>
        <w:tc>
          <w:tcPr>
            <w:tcW w:w="594" w:type="dxa"/>
            <w:shd w:val="clear" w:color="auto" w:fill="auto"/>
            <w:noWrap/>
            <w:vAlign w:val="center"/>
            <w:hideMark/>
          </w:tcPr>
          <w:p w14:paraId="479200E0"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0.03</w:t>
            </w:r>
          </w:p>
        </w:tc>
        <w:tc>
          <w:tcPr>
            <w:tcW w:w="764" w:type="dxa"/>
            <w:shd w:val="clear" w:color="auto" w:fill="auto"/>
            <w:noWrap/>
            <w:vAlign w:val="center"/>
            <w:hideMark/>
          </w:tcPr>
          <w:p w14:paraId="47386F56"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91.9</w:t>
            </w:r>
          </w:p>
        </w:tc>
        <w:tc>
          <w:tcPr>
            <w:tcW w:w="594" w:type="dxa"/>
            <w:shd w:val="clear" w:color="auto" w:fill="auto"/>
            <w:noWrap/>
            <w:vAlign w:val="center"/>
            <w:hideMark/>
          </w:tcPr>
          <w:p w14:paraId="5B14078A"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0.62</w:t>
            </w:r>
          </w:p>
        </w:tc>
        <w:tc>
          <w:tcPr>
            <w:tcW w:w="728" w:type="dxa"/>
            <w:shd w:val="clear" w:color="auto" w:fill="auto"/>
            <w:noWrap/>
            <w:vAlign w:val="center"/>
            <w:hideMark/>
          </w:tcPr>
          <w:p w14:paraId="2A72160C"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w:t>
            </w:r>
          </w:p>
        </w:tc>
        <w:tc>
          <w:tcPr>
            <w:tcW w:w="622" w:type="dxa"/>
            <w:shd w:val="clear" w:color="auto" w:fill="auto"/>
            <w:noWrap/>
            <w:vAlign w:val="center"/>
            <w:hideMark/>
          </w:tcPr>
          <w:p w14:paraId="75C486D3"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w:t>
            </w:r>
          </w:p>
        </w:tc>
        <w:tc>
          <w:tcPr>
            <w:tcW w:w="774" w:type="dxa"/>
            <w:shd w:val="clear" w:color="auto" w:fill="auto"/>
            <w:noWrap/>
            <w:vAlign w:val="center"/>
            <w:hideMark/>
          </w:tcPr>
          <w:p w14:paraId="0F753CE6"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w:t>
            </w:r>
          </w:p>
        </w:tc>
        <w:tc>
          <w:tcPr>
            <w:tcW w:w="679" w:type="dxa"/>
            <w:shd w:val="clear" w:color="auto" w:fill="auto"/>
            <w:noWrap/>
            <w:vAlign w:val="center"/>
            <w:hideMark/>
          </w:tcPr>
          <w:p w14:paraId="1FADFAEE"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w:t>
            </w:r>
          </w:p>
        </w:tc>
        <w:tc>
          <w:tcPr>
            <w:tcW w:w="594" w:type="dxa"/>
            <w:shd w:val="clear" w:color="auto" w:fill="auto"/>
            <w:noWrap/>
            <w:vAlign w:val="center"/>
            <w:hideMark/>
          </w:tcPr>
          <w:p w14:paraId="708038DA"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77.9</w:t>
            </w:r>
          </w:p>
        </w:tc>
        <w:tc>
          <w:tcPr>
            <w:tcW w:w="562" w:type="dxa"/>
            <w:shd w:val="clear" w:color="auto" w:fill="auto"/>
            <w:noWrap/>
            <w:vAlign w:val="center"/>
            <w:hideMark/>
          </w:tcPr>
          <w:p w14:paraId="0211EC79"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0.31</w:t>
            </w:r>
          </w:p>
        </w:tc>
      </w:tr>
      <w:tr w:rsidR="00535704" w:rsidRPr="003B0C2F" w14:paraId="08A2223E" w14:textId="77777777" w:rsidTr="00FF43D6">
        <w:trPr>
          <w:gridAfter w:val="1"/>
          <w:wAfter w:w="13" w:type="dxa"/>
          <w:trHeight w:val="203"/>
        </w:trPr>
        <w:tc>
          <w:tcPr>
            <w:tcW w:w="1185" w:type="dxa"/>
            <w:vMerge/>
            <w:shd w:val="clear" w:color="auto" w:fill="auto"/>
            <w:vAlign w:val="center"/>
            <w:hideMark/>
          </w:tcPr>
          <w:p w14:paraId="796DD349" w14:textId="77777777" w:rsidR="00535704" w:rsidRPr="003B0C2F" w:rsidRDefault="00535704" w:rsidP="00650395">
            <w:pPr>
              <w:spacing w:line="240" w:lineRule="auto"/>
              <w:rPr>
                <w:rFonts w:eastAsia="Times New Roman" w:cs="Times New Roman"/>
                <w:color w:val="000000"/>
                <w:sz w:val="20"/>
                <w:szCs w:val="20"/>
              </w:rPr>
            </w:pPr>
          </w:p>
        </w:tc>
        <w:tc>
          <w:tcPr>
            <w:tcW w:w="849" w:type="dxa"/>
            <w:shd w:val="clear" w:color="auto" w:fill="auto"/>
            <w:noWrap/>
            <w:vAlign w:val="center"/>
            <w:hideMark/>
          </w:tcPr>
          <w:p w14:paraId="054F9F6F"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PAV</w:t>
            </w:r>
          </w:p>
        </w:tc>
        <w:tc>
          <w:tcPr>
            <w:tcW w:w="764" w:type="dxa"/>
            <w:shd w:val="clear" w:color="auto" w:fill="auto"/>
            <w:noWrap/>
            <w:vAlign w:val="center"/>
            <w:hideMark/>
          </w:tcPr>
          <w:p w14:paraId="5AA41CB2"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100.7</w:t>
            </w:r>
          </w:p>
        </w:tc>
        <w:tc>
          <w:tcPr>
            <w:tcW w:w="594" w:type="dxa"/>
            <w:shd w:val="clear" w:color="auto" w:fill="auto"/>
            <w:noWrap/>
            <w:vAlign w:val="center"/>
            <w:hideMark/>
          </w:tcPr>
          <w:p w14:paraId="64EDBB6B"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0.93</w:t>
            </w:r>
          </w:p>
        </w:tc>
        <w:tc>
          <w:tcPr>
            <w:tcW w:w="764" w:type="dxa"/>
            <w:shd w:val="clear" w:color="auto" w:fill="auto"/>
            <w:noWrap/>
            <w:vAlign w:val="center"/>
            <w:hideMark/>
          </w:tcPr>
          <w:p w14:paraId="0F3BE126"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93.2</w:t>
            </w:r>
          </w:p>
        </w:tc>
        <w:tc>
          <w:tcPr>
            <w:tcW w:w="594" w:type="dxa"/>
            <w:shd w:val="clear" w:color="auto" w:fill="auto"/>
            <w:noWrap/>
            <w:vAlign w:val="center"/>
            <w:hideMark/>
          </w:tcPr>
          <w:p w14:paraId="07392A27"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0.91</w:t>
            </w:r>
          </w:p>
        </w:tc>
        <w:tc>
          <w:tcPr>
            <w:tcW w:w="728" w:type="dxa"/>
            <w:shd w:val="clear" w:color="auto" w:fill="auto"/>
            <w:noWrap/>
            <w:vAlign w:val="center"/>
            <w:hideMark/>
          </w:tcPr>
          <w:p w14:paraId="3712C840"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w:t>
            </w:r>
          </w:p>
        </w:tc>
        <w:tc>
          <w:tcPr>
            <w:tcW w:w="622" w:type="dxa"/>
            <w:shd w:val="clear" w:color="auto" w:fill="auto"/>
            <w:noWrap/>
            <w:vAlign w:val="center"/>
            <w:hideMark/>
          </w:tcPr>
          <w:p w14:paraId="66990DEC"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w:t>
            </w:r>
          </w:p>
        </w:tc>
        <w:tc>
          <w:tcPr>
            <w:tcW w:w="774" w:type="dxa"/>
            <w:shd w:val="clear" w:color="auto" w:fill="auto"/>
            <w:noWrap/>
            <w:vAlign w:val="center"/>
            <w:hideMark/>
          </w:tcPr>
          <w:p w14:paraId="18B80C4D"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w:t>
            </w:r>
          </w:p>
        </w:tc>
        <w:tc>
          <w:tcPr>
            <w:tcW w:w="679" w:type="dxa"/>
            <w:shd w:val="clear" w:color="auto" w:fill="auto"/>
            <w:noWrap/>
            <w:vAlign w:val="center"/>
            <w:hideMark/>
          </w:tcPr>
          <w:p w14:paraId="67BC9939"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w:t>
            </w:r>
          </w:p>
        </w:tc>
        <w:tc>
          <w:tcPr>
            <w:tcW w:w="594" w:type="dxa"/>
            <w:shd w:val="clear" w:color="auto" w:fill="auto"/>
            <w:noWrap/>
            <w:vAlign w:val="center"/>
            <w:hideMark/>
          </w:tcPr>
          <w:p w14:paraId="494F02D6"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76.8</w:t>
            </w:r>
          </w:p>
        </w:tc>
        <w:tc>
          <w:tcPr>
            <w:tcW w:w="562" w:type="dxa"/>
            <w:shd w:val="clear" w:color="auto" w:fill="auto"/>
            <w:noWrap/>
            <w:vAlign w:val="center"/>
            <w:hideMark/>
          </w:tcPr>
          <w:p w14:paraId="772CB17E"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0.30</w:t>
            </w:r>
          </w:p>
        </w:tc>
      </w:tr>
      <w:tr w:rsidR="00535704" w:rsidRPr="003B0C2F" w14:paraId="0C9576D6" w14:textId="77777777" w:rsidTr="00FF43D6">
        <w:trPr>
          <w:gridAfter w:val="1"/>
          <w:wAfter w:w="13" w:type="dxa"/>
          <w:trHeight w:val="203"/>
        </w:trPr>
        <w:tc>
          <w:tcPr>
            <w:tcW w:w="1185" w:type="dxa"/>
            <w:vMerge w:val="restart"/>
            <w:shd w:val="clear" w:color="auto" w:fill="auto"/>
            <w:noWrap/>
            <w:vAlign w:val="center"/>
            <w:hideMark/>
          </w:tcPr>
          <w:p w14:paraId="4F08548D"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PG 76-28</w:t>
            </w:r>
          </w:p>
        </w:tc>
        <w:tc>
          <w:tcPr>
            <w:tcW w:w="849" w:type="dxa"/>
            <w:shd w:val="clear" w:color="auto" w:fill="auto"/>
            <w:noWrap/>
            <w:vAlign w:val="center"/>
            <w:hideMark/>
          </w:tcPr>
          <w:p w14:paraId="0DA08FA0"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unaged</w:t>
            </w:r>
          </w:p>
        </w:tc>
        <w:tc>
          <w:tcPr>
            <w:tcW w:w="764" w:type="dxa"/>
            <w:shd w:val="clear" w:color="auto" w:fill="auto"/>
            <w:noWrap/>
            <w:vAlign w:val="center"/>
            <w:hideMark/>
          </w:tcPr>
          <w:p w14:paraId="63B29DE7"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107.2</w:t>
            </w:r>
          </w:p>
        </w:tc>
        <w:tc>
          <w:tcPr>
            <w:tcW w:w="594" w:type="dxa"/>
            <w:shd w:val="clear" w:color="auto" w:fill="auto"/>
            <w:noWrap/>
            <w:vAlign w:val="center"/>
            <w:hideMark/>
          </w:tcPr>
          <w:p w14:paraId="56608A46"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2.03</w:t>
            </w:r>
          </w:p>
        </w:tc>
        <w:tc>
          <w:tcPr>
            <w:tcW w:w="764" w:type="dxa"/>
            <w:shd w:val="clear" w:color="auto" w:fill="auto"/>
            <w:noWrap/>
            <w:vAlign w:val="center"/>
            <w:hideMark/>
          </w:tcPr>
          <w:p w14:paraId="50A573B9"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105.5</w:t>
            </w:r>
          </w:p>
        </w:tc>
        <w:tc>
          <w:tcPr>
            <w:tcW w:w="594" w:type="dxa"/>
            <w:shd w:val="clear" w:color="auto" w:fill="auto"/>
            <w:noWrap/>
            <w:vAlign w:val="center"/>
            <w:hideMark/>
          </w:tcPr>
          <w:p w14:paraId="7655674E"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0.78</w:t>
            </w:r>
          </w:p>
        </w:tc>
        <w:tc>
          <w:tcPr>
            <w:tcW w:w="728" w:type="dxa"/>
            <w:shd w:val="clear" w:color="auto" w:fill="auto"/>
            <w:noWrap/>
            <w:vAlign w:val="center"/>
            <w:hideMark/>
          </w:tcPr>
          <w:p w14:paraId="45691924"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101.2</w:t>
            </w:r>
          </w:p>
        </w:tc>
        <w:tc>
          <w:tcPr>
            <w:tcW w:w="622" w:type="dxa"/>
            <w:shd w:val="clear" w:color="auto" w:fill="auto"/>
            <w:noWrap/>
            <w:vAlign w:val="center"/>
            <w:hideMark/>
          </w:tcPr>
          <w:p w14:paraId="6BF65304"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1.94</w:t>
            </w:r>
          </w:p>
        </w:tc>
        <w:tc>
          <w:tcPr>
            <w:tcW w:w="774" w:type="dxa"/>
            <w:shd w:val="clear" w:color="auto" w:fill="auto"/>
            <w:noWrap/>
            <w:vAlign w:val="center"/>
            <w:hideMark/>
          </w:tcPr>
          <w:p w14:paraId="63DBB198"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96.3</w:t>
            </w:r>
          </w:p>
        </w:tc>
        <w:tc>
          <w:tcPr>
            <w:tcW w:w="679" w:type="dxa"/>
            <w:shd w:val="clear" w:color="auto" w:fill="auto"/>
            <w:noWrap/>
            <w:vAlign w:val="center"/>
            <w:hideMark/>
          </w:tcPr>
          <w:p w14:paraId="7E38F8D8"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0.99</w:t>
            </w:r>
          </w:p>
        </w:tc>
        <w:tc>
          <w:tcPr>
            <w:tcW w:w="594" w:type="dxa"/>
            <w:shd w:val="clear" w:color="auto" w:fill="auto"/>
            <w:noWrap/>
            <w:vAlign w:val="center"/>
            <w:hideMark/>
          </w:tcPr>
          <w:p w14:paraId="6AAF747F"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94.1</w:t>
            </w:r>
          </w:p>
        </w:tc>
        <w:tc>
          <w:tcPr>
            <w:tcW w:w="562" w:type="dxa"/>
            <w:shd w:val="clear" w:color="auto" w:fill="auto"/>
            <w:noWrap/>
            <w:vAlign w:val="center"/>
            <w:hideMark/>
          </w:tcPr>
          <w:p w14:paraId="68151A0E"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0.31</w:t>
            </w:r>
          </w:p>
        </w:tc>
      </w:tr>
      <w:tr w:rsidR="00535704" w:rsidRPr="003B0C2F" w14:paraId="3E495FE8" w14:textId="77777777" w:rsidTr="00FF43D6">
        <w:trPr>
          <w:gridAfter w:val="1"/>
          <w:wAfter w:w="13" w:type="dxa"/>
          <w:trHeight w:val="203"/>
        </w:trPr>
        <w:tc>
          <w:tcPr>
            <w:tcW w:w="1185" w:type="dxa"/>
            <w:vMerge/>
            <w:shd w:val="clear" w:color="auto" w:fill="auto"/>
            <w:vAlign w:val="center"/>
            <w:hideMark/>
          </w:tcPr>
          <w:p w14:paraId="5CFCAADC" w14:textId="77777777" w:rsidR="00535704" w:rsidRPr="003B0C2F" w:rsidRDefault="00535704" w:rsidP="00650395">
            <w:pPr>
              <w:spacing w:line="240" w:lineRule="auto"/>
              <w:rPr>
                <w:rFonts w:eastAsia="Times New Roman" w:cs="Times New Roman"/>
                <w:color w:val="000000"/>
                <w:sz w:val="20"/>
                <w:szCs w:val="20"/>
              </w:rPr>
            </w:pPr>
          </w:p>
        </w:tc>
        <w:tc>
          <w:tcPr>
            <w:tcW w:w="849" w:type="dxa"/>
            <w:shd w:val="clear" w:color="auto" w:fill="auto"/>
            <w:noWrap/>
            <w:vAlign w:val="center"/>
            <w:hideMark/>
          </w:tcPr>
          <w:p w14:paraId="64339FD3"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RTFO</w:t>
            </w:r>
          </w:p>
        </w:tc>
        <w:tc>
          <w:tcPr>
            <w:tcW w:w="764" w:type="dxa"/>
            <w:shd w:val="clear" w:color="auto" w:fill="auto"/>
            <w:noWrap/>
            <w:vAlign w:val="center"/>
            <w:hideMark/>
          </w:tcPr>
          <w:p w14:paraId="2B873CB1"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106.4</w:t>
            </w:r>
          </w:p>
        </w:tc>
        <w:tc>
          <w:tcPr>
            <w:tcW w:w="594" w:type="dxa"/>
            <w:shd w:val="clear" w:color="auto" w:fill="auto"/>
            <w:noWrap/>
            <w:vAlign w:val="center"/>
            <w:hideMark/>
          </w:tcPr>
          <w:p w14:paraId="7E30205F"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0.29</w:t>
            </w:r>
          </w:p>
        </w:tc>
        <w:tc>
          <w:tcPr>
            <w:tcW w:w="764" w:type="dxa"/>
            <w:shd w:val="clear" w:color="auto" w:fill="auto"/>
            <w:noWrap/>
            <w:vAlign w:val="center"/>
            <w:hideMark/>
          </w:tcPr>
          <w:p w14:paraId="1756E70F"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101.2</w:t>
            </w:r>
          </w:p>
        </w:tc>
        <w:tc>
          <w:tcPr>
            <w:tcW w:w="594" w:type="dxa"/>
            <w:shd w:val="clear" w:color="auto" w:fill="auto"/>
            <w:noWrap/>
            <w:vAlign w:val="center"/>
            <w:hideMark/>
          </w:tcPr>
          <w:p w14:paraId="7BEAD860"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0.23</w:t>
            </w:r>
          </w:p>
        </w:tc>
        <w:tc>
          <w:tcPr>
            <w:tcW w:w="728" w:type="dxa"/>
            <w:shd w:val="clear" w:color="auto" w:fill="auto"/>
            <w:noWrap/>
            <w:vAlign w:val="center"/>
            <w:hideMark/>
          </w:tcPr>
          <w:p w14:paraId="7B7BE856"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97.5</w:t>
            </w:r>
          </w:p>
        </w:tc>
        <w:tc>
          <w:tcPr>
            <w:tcW w:w="622" w:type="dxa"/>
            <w:shd w:val="clear" w:color="auto" w:fill="auto"/>
            <w:noWrap/>
            <w:vAlign w:val="center"/>
            <w:hideMark/>
          </w:tcPr>
          <w:p w14:paraId="5B8D290C"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0.43</w:t>
            </w:r>
          </w:p>
        </w:tc>
        <w:tc>
          <w:tcPr>
            <w:tcW w:w="774" w:type="dxa"/>
            <w:shd w:val="clear" w:color="auto" w:fill="auto"/>
            <w:noWrap/>
            <w:vAlign w:val="center"/>
            <w:hideMark/>
          </w:tcPr>
          <w:p w14:paraId="516C8A4C"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93.7</w:t>
            </w:r>
          </w:p>
        </w:tc>
        <w:tc>
          <w:tcPr>
            <w:tcW w:w="679" w:type="dxa"/>
            <w:shd w:val="clear" w:color="auto" w:fill="auto"/>
            <w:noWrap/>
            <w:vAlign w:val="center"/>
            <w:hideMark/>
          </w:tcPr>
          <w:p w14:paraId="4C0276C0"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1.96</w:t>
            </w:r>
          </w:p>
        </w:tc>
        <w:tc>
          <w:tcPr>
            <w:tcW w:w="594" w:type="dxa"/>
            <w:shd w:val="clear" w:color="auto" w:fill="auto"/>
            <w:noWrap/>
            <w:vAlign w:val="center"/>
            <w:hideMark/>
          </w:tcPr>
          <w:p w14:paraId="1592883B"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89.3</w:t>
            </w:r>
          </w:p>
        </w:tc>
        <w:tc>
          <w:tcPr>
            <w:tcW w:w="562" w:type="dxa"/>
            <w:shd w:val="clear" w:color="auto" w:fill="auto"/>
            <w:noWrap/>
            <w:vAlign w:val="center"/>
            <w:hideMark/>
          </w:tcPr>
          <w:p w14:paraId="3181092A"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0.86</w:t>
            </w:r>
          </w:p>
        </w:tc>
      </w:tr>
      <w:tr w:rsidR="00535704" w:rsidRPr="00FF43D6" w14:paraId="4D32C77E" w14:textId="77777777" w:rsidTr="00FF43D6">
        <w:trPr>
          <w:gridAfter w:val="1"/>
          <w:wAfter w:w="13" w:type="dxa"/>
          <w:trHeight w:val="203"/>
        </w:trPr>
        <w:tc>
          <w:tcPr>
            <w:tcW w:w="1185" w:type="dxa"/>
            <w:vMerge/>
            <w:shd w:val="clear" w:color="auto" w:fill="auto"/>
            <w:vAlign w:val="center"/>
            <w:hideMark/>
          </w:tcPr>
          <w:p w14:paraId="1FF12458" w14:textId="77777777" w:rsidR="00535704" w:rsidRPr="003B0C2F" w:rsidRDefault="00535704" w:rsidP="00650395">
            <w:pPr>
              <w:spacing w:line="240" w:lineRule="auto"/>
              <w:rPr>
                <w:rFonts w:eastAsia="Times New Roman" w:cs="Times New Roman"/>
                <w:color w:val="000000"/>
                <w:sz w:val="20"/>
                <w:szCs w:val="20"/>
              </w:rPr>
            </w:pPr>
          </w:p>
        </w:tc>
        <w:tc>
          <w:tcPr>
            <w:tcW w:w="849" w:type="dxa"/>
            <w:shd w:val="clear" w:color="auto" w:fill="auto"/>
            <w:noWrap/>
            <w:vAlign w:val="center"/>
            <w:hideMark/>
          </w:tcPr>
          <w:p w14:paraId="010C0E60"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PAV</w:t>
            </w:r>
          </w:p>
        </w:tc>
        <w:tc>
          <w:tcPr>
            <w:tcW w:w="764" w:type="dxa"/>
            <w:shd w:val="clear" w:color="auto" w:fill="auto"/>
            <w:noWrap/>
            <w:vAlign w:val="center"/>
            <w:hideMark/>
          </w:tcPr>
          <w:p w14:paraId="46903A83"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107.5</w:t>
            </w:r>
          </w:p>
        </w:tc>
        <w:tc>
          <w:tcPr>
            <w:tcW w:w="594" w:type="dxa"/>
            <w:shd w:val="clear" w:color="auto" w:fill="auto"/>
            <w:noWrap/>
            <w:vAlign w:val="center"/>
            <w:hideMark/>
          </w:tcPr>
          <w:p w14:paraId="262191ED"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0.32</w:t>
            </w:r>
          </w:p>
        </w:tc>
        <w:tc>
          <w:tcPr>
            <w:tcW w:w="764" w:type="dxa"/>
            <w:shd w:val="clear" w:color="auto" w:fill="auto"/>
            <w:noWrap/>
            <w:vAlign w:val="center"/>
            <w:hideMark/>
          </w:tcPr>
          <w:p w14:paraId="70E80A56"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100.4</w:t>
            </w:r>
          </w:p>
        </w:tc>
        <w:tc>
          <w:tcPr>
            <w:tcW w:w="594" w:type="dxa"/>
            <w:shd w:val="clear" w:color="auto" w:fill="auto"/>
            <w:noWrap/>
            <w:vAlign w:val="center"/>
            <w:hideMark/>
          </w:tcPr>
          <w:p w14:paraId="10E16BE6"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0.10</w:t>
            </w:r>
          </w:p>
        </w:tc>
        <w:tc>
          <w:tcPr>
            <w:tcW w:w="728" w:type="dxa"/>
            <w:shd w:val="clear" w:color="auto" w:fill="auto"/>
            <w:noWrap/>
            <w:vAlign w:val="center"/>
            <w:hideMark/>
          </w:tcPr>
          <w:p w14:paraId="32F50456"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100.7</w:t>
            </w:r>
          </w:p>
        </w:tc>
        <w:tc>
          <w:tcPr>
            <w:tcW w:w="622" w:type="dxa"/>
            <w:shd w:val="clear" w:color="auto" w:fill="auto"/>
            <w:noWrap/>
            <w:vAlign w:val="center"/>
            <w:hideMark/>
          </w:tcPr>
          <w:p w14:paraId="7CB43067"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0.26</w:t>
            </w:r>
          </w:p>
        </w:tc>
        <w:tc>
          <w:tcPr>
            <w:tcW w:w="774" w:type="dxa"/>
            <w:shd w:val="clear" w:color="auto" w:fill="auto"/>
            <w:noWrap/>
            <w:vAlign w:val="center"/>
            <w:hideMark/>
          </w:tcPr>
          <w:p w14:paraId="27B1E577"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89.1</w:t>
            </w:r>
          </w:p>
        </w:tc>
        <w:tc>
          <w:tcPr>
            <w:tcW w:w="679" w:type="dxa"/>
            <w:shd w:val="clear" w:color="auto" w:fill="auto"/>
            <w:noWrap/>
            <w:vAlign w:val="center"/>
            <w:hideMark/>
          </w:tcPr>
          <w:p w14:paraId="6EBCDE6B"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0.18</w:t>
            </w:r>
          </w:p>
        </w:tc>
        <w:tc>
          <w:tcPr>
            <w:tcW w:w="594" w:type="dxa"/>
            <w:shd w:val="clear" w:color="auto" w:fill="auto"/>
            <w:noWrap/>
            <w:vAlign w:val="center"/>
            <w:hideMark/>
          </w:tcPr>
          <w:p w14:paraId="5EADA70E" w14:textId="77777777" w:rsidR="00535704" w:rsidRPr="003B0C2F"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87.3</w:t>
            </w:r>
          </w:p>
        </w:tc>
        <w:tc>
          <w:tcPr>
            <w:tcW w:w="562" w:type="dxa"/>
            <w:shd w:val="clear" w:color="auto" w:fill="auto"/>
            <w:noWrap/>
            <w:vAlign w:val="center"/>
            <w:hideMark/>
          </w:tcPr>
          <w:p w14:paraId="46EEAB69" w14:textId="77777777" w:rsidR="00535704" w:rsidRPr="00FF43D6" w:rsidRDefault="00535704" w:rsidP="00650395">
            <w:pPr>
              <w:spacing w:line="240" w:lineRule="auto"/>
              <w:jc w:val="center"/>
              <w:rPr>
                <w:rFonts w:eastAsia="Times New Roman" w:cs="Times New Roman"/>
                <w:color w:val="000000"/>
                <w:sz w:val="20"/>
                <w:szCs w:val="20"/>
              </w:rPr>
            </w:pPr>
            <w:r w:rsidRPr="003B0C2F">
              <w:rPr>
                <w:rFonts w:eastAsia="Times New Roman" w:cs="Times New Roman"/>
                <w:color w:val="000000"/>
                <w:sz w:val="20"/>
                <w:szCs w:val="20"/>
              </w:rPr>
              <w:t>1.48</w:t>
            </w:r>
          </w:p>
        </w:tc>
      </w:tr>
      <w:tr w:rsidR="00535704" w:rsidRPr="00FF43D6" w14:paraId="5CDF8E59" w14:textId="77777777" w:rsidTr="00FF43D6">
        <w:trPr>
          <w:gridAfter w:val="1"/>
          <w:wAfter w:w="13" w:type="dxa"/>
          <w:trHeight w:val="203"/>
        </w:trPr>
        <w:tc>
          <w:tcPr>
            <w:tcW w:w="1185" w:type="dxa"/>
            <w:vMerge w:val="restart"/>
            <w:shd w:val="clear" w:color="auto" w:fill="auto"/>
            <w:vAlign w:val="center"/>
            <w:hideMark/>
          </w:tcPr>
          <w:p w14:paraId="301BF947"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PG 76-28 + 0.5% WMA</w:t>
            </w:r>
          </w:p>
        </w:tc>
        <w:tc>
          <w:tcPr>
            <w:tcW w:w="849" w:type="dxa"/>
            <w:shd w:val="clear" w:color="auto" w:fill="auto"/>
            <w:noWrap/>
            <w:vAlign w:val="center"/>
            <w:hideMark/>
          </w:tcPr>
          <w:p w14:paraId="3C36DDBA"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unaged</w:t>
            </w:r>
          </w:p>
        </w:tc>
        <w:tc>
          <w:tcPr>
            <w:tcW w:w="764" w:type="dxa"/>
            <w:shd w:val="clear" w:color="auto" w:fill="auto"/>
            <w:noWrap/>
            <w:vAlign w:val="center"/>
            <w:hideMark/>
          </w:tcPr>
          <w:p w14:paraId="1FE5069C"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108.8</w:t>
            </w:r>
          </w:p>
        </w:tc>
        <w:tc>
          <w:tcPr>
            <w:tcW w:w="594" w:type="dxa"/>
            <w:shd w:val="clear" w:color="auto" w:fill="auto"/>
            <w:noWrap/>
            <w:vAlign w:val="center"/>
            <w:hideMark/>
          </w:tcPr>
          <w:p w14:paraId="303B4093"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0.88</w:t>
            </w:r>
          </w:p>
        </w:tc>
        <w:tc>
          <w:tcPr>
            <w:tcW w:w="764" w:type="dxa"/>
            <w:shd w:val="clear" w:color="auto" w:fill="auto"/>
            <w:noWrap/>
            <w:vAlign w:val="center"/>
            <w:hideMark/>
          </w:tcPr>
          <w:p w14:paraId="6C292031"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103.0</w:t>
            </w:r>
          </w:p>
        </w:tc>
        <w:tc>
          <w:tcPr>
            <w:tcW w:w="594" w:type="dxa"/>
            <w:shd w:val="clear" w:color="auto" w:fill="auto"/>
            <w:noWrap/>
            <w:vAlign w:val="center"/>
            <w:hideMark/>
          </w:tcPr>
          <w:p w14:paraId="00C4DB03"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1.13</w:t>
            </w:r>
          </w:p>
        </w:tc>
        <w:tc>
          <w:tcPr>
            <w:tcW w:w="728" w:type="dxa"/>
            <w:shd w:val="clear" w:color="auto" w:fill="auto"/>
            <w:noWrap/>
            <w:vAlign w:val="center"/>
            <w:hideMark/>
          </w:tcPr>
          <w:p w14:paraId="1B12A216"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98.4</w:t>
            </w:r>
          </w:p>
        </w:tc>
        <w:tc>
          <w:tcPr>
            <w:tcW w:w="622" w:type="dxa"/>
            <w:shd w:val="clear" w:color="auto" w:fill="auto"/>
            <w:noWrap/>
            <w:vAlign w:val="center"/>
            <w:hideMark/>
          </w:tcPr>
          <w:p w14:paraId="34E0EEF9"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1.18</w:t>
            </w:r>
          </w:p>
        </w:tc>
        <w:tc>
          <w:tcPr>
            <w:tcW w:w="774" w:type="dxa"/>
            <w:shd w:val="clear" w:color="auto" w:fill="auto"/>
            <w:noWrap/>
            <w:vAlign w:val="center"/>
            <w:hideMark/>
          </w:tcPr>
          <w:p w14:paraId="343CA8A7"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85.6</w:t>
            </w:r>
          </w:p>
        </w:tc>
        <w:tc>
          <w:tcPr>
            <w:tcW w:w="679" w:type="dxa"/>
            <w:shd w:val="clear" w:color="auto" w:fill="auto"/>
            <w:noWrap/>
            <w:vAlign w:val="center"/>
            <w:hideMark/>
          </w:tcPr>
          <w:p w14:paraId="161ED6DD"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1.63</w:t>
            </w:r>
          </w:p>
        </w:tc>
        <w:tc>
          <w:tcPr>
            <w:tcW w:w="594" w:type="dxa"/>
            <w:shd w:val="clear" w:color="auto" w:fill="auto"/>
            <w:noWrap/>
            <w:vAlign w:val="center"/>
            <w:hideMark/>
          </w:tcPr>
          <w:p w14:paraId="3825A35B"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84.3</w:t>
            </w:r>
          </w:p>
        </w:tc>
        <w:tc>
          <w:tcPr>
            <w:tcW w:w="562" w:type="dxa"/>
            <w:shd w:val="clear" w:color="auto" w:fill="auto"/>
            <w:noWrap/>
            <w:vAlign w:val="center"/>
            <w:hideMark/>
          </w:tcPr>
          <w:p w14:paraId="16F8ABB2"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0.50</w:t>
            </w:r>
          </w:p>
        </w:tc>
      </w:tr>
      <w:tr w:rsidR="00535704" w:rsidRPr="00FF43D6" w14:paraId="1C66C4B9" w14:textId="77777777" w:rsidTr="00FF43D6">
        <w:trPr>
          <w:gridAfter w:val="1"/>
          <w:wAfter w:w="13" w:type="dxa"/>
          <w:trHeight w:val="203"/>
        </w:trPr>
        <w:tc>
          <w:tcPr>
            <w:tcW w:w="1185" w:type="dxa"/>
            <w:vMerge/>
            <w:shd w:val="clear" w:color="auto" w:fill="auto"/>
            <w:vAlign w:val="center"/>
            <w:hideMark/>
          </w:tcPr>
          <w:p w14:paraId="0764DF80" w14:textId="77777777" w:rsidR="00535704" w:rsidRPr="00FF43D6" w:rsidRDefault="00535704" w:rsidP="00650395">
            <w:pPr>
              <w:spacing w:line="240" w:lineRule="auto"/>
              <w:rPr>
                <w:rFonts w:eastAsia="Times New Roman" w:cs="Times New Roman"/>
                <w:color w:val="000000"/>
                <w:sz w:val="20"/>
                <w:szCs w:val="20"/>
              </w:rPr>
            </w:pPr>
          </w:p>
        </w:tc>
        <w:tc>
          <w:tcPr>
            <w:tcW w:w="849" w:type="dxa"/>
            <w:shd w:val="clear" w:color="auto" w:fill="auto"/>
            <w:noWrap/>
            <w:vAlign w:val="center"/>
            <w:hideMark/>
          </w:tcPr>
          <w:p w14:paraId="43DEEBF2"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RTFO</w:t>
            </w:r>
          </w:p>
        </w:tc>
        <w:tc>
          <w:tcPr>
            <w:tcW w:w="764" w:type="dxa"/>
            <w:shd w:val="clear" w:color="auto" w:fill="auto"/>
            <w:noWrap/>
            <w:vAlign w:val="center"/>
            <w:hideMark/>
          </w:tcPr>
          <w:p w14:paraId="5A0E7077"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107.1</w:t>
            </w:r>
          </w:p>
        </w:tc>
        <w:tc>
          <w:tcPr>
            <w:tcW w:w="594" w:type="dxa"/>
            <w:shd w:val="clear" w:color="auto" w:fill="auto"/>
            <w:noWrap/>
            <w:vAlign w:val="center"/>
            <w:hideMark/>
          </w:tcPr>
          <w:p w14:paraId="76FD5EFE"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0.44</w:t>
            </w:r>
          </w:p>
        </w:tc>
        <w:tc>
          <w:tcPr>
            <w:tcW w:w="764" w:type="dxa"/>
            <w:shd w:val="clear" w:color="auto" w:fill="auto"/>
            <w:noWrap/>
            <w:vAlign w:val="center"/>
            <w:hideMark/>
          </w:tcPr>
          <w:p w14:paraId="71322756"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101.5</w:t>
            </w:r>
          </w:p>
        </w:tc>
        <w:tc>
          <w:tcPr>
            <w:tcW w:w="594" w:type="dxa"/>
            <w:shd w:val="clear" w:color="auto" w:fill="auto"/>
            <w:noWrap/>
            <w:vAlign w:val="center"/>
            <w:hideMark/>
          </w:tcPr>
          <w:p w14:paraId="2C1C1231"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1.11</w:t>
            </w:r>
          </w:p>
        </w:tc>
        <w:tc>
          <w:tcPr>
            <w:tcW w:w="728" w:type="dxa"/>
            <w:shd w:val="clear" w:color="auto" w:fill="auto"/>
            <w:noWrap/>
            <w:vAlign w:val="center"/>
            <w:hideMark/>
          </w:tcPr>
          <w:p w14:paraId="4BF2B6B2"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98.2</w:t>
            </w:r>
          </w:p>
        </w:tc>
        <w:tc>
          <w:tcPr>
            <w:tcW w:w="622" w:type="dxa"/>
            <w:shd w:val="clear" w:color="auto" w:fill="auto"/>
            <w:noWrap/>
            <w:vAlign w:val="center"/>
            <w:hideMark/>
          </w:tcPr>
          <w:p w14:paraId="39579CC9"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0.62</w:t>
            </w:r>
          </w:p>
        </w:tc>
        <w:tc>
          <w:tcPr>
            <w:tcW w:w="774" w:type="dxa"/>
            <w:shd w:val="clear" w:color="auto" w:fill="auto"/>
            <w:noWrap/>
            <w:vAlign w:val="center"/>
            <w:hideMark/>
          </w:tcPr>
          <w:p w14:paraId="7126A7DA"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89.1</w:t>
            </w:r>
          </w:p>
        </w:tc>
        <w:tc>
          <w:tcPr>
            <w:tcW w:w="679" w:type="dxa"/>
            <w:shd w:val="clear" w:color="auto" w:fill="auto"/>
            <w:noWrap/>
            <w:vAlign w:val="center"/>
            <w:hideMark/>
          </w:tcPr>
          <w:p w14:paraId="7302586B"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1.05</w:t>
            </w:r>
          </w:p>
        </w:tc>
        <w:tc>
          <w:tcPr>
            <w:tcW w:w="594" w:type="dxa"/>
            <w:shd w:val="clear" w:color="auto" w:fill="auto"/>
            <w:noWrap/>
            <w:vAlign w:val="center"/>
            <w:hideMark/>
          </w:tcPr>
          <w:p w14:paraId="3C06F563"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86.6</w:t>
            </w:r>
          </w:p>
        </w:tc>
        <w:tc>
          <w:tcPr>
            <w:tcW w:w="562" w:type="dxa"/>
            <w:shd w:val="clear" w:color="auto" w:fill="auto"/>
            <w:noWrap/>
            <w:vAlign w:val="center"/>
            <w:hideMark/>
          </w:tcPr>
          <w:p w14:paraId="72009BD2"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0.10</w:t>
            </w:r>
          </w:p>
        </w:tc>
      </w:tr>
      <w:tr w:rsidR="00535704" w:rsidRPr="00FF43D6" w14:paraId="233E203A" w14:textId="77777777" w:rsidTr="00FF43D6">
        <w:trPr>
          <w:gridAfter w:val="1"/>
          <w:wAfter w:w="13" w:type="dxa"/>
          <w:trHeight w:val="203"/>
        </w:trPr>
        <w:tc>
          <w:tcPr>
            <w:tcW w:w="1185" w:type="dxa"/>
            <w:vMerge/>
            <w:shd w:val="clear" w:color="auto" w:fill="auto"/>
            <w:vAlign w:val="center"/>
            <w:hideMark/>
          </w:tcPr>
          <w:p w14:paraId="2D95A362" w14:textId="77777777" w:rsidR="00535704" w:rsidRPr="00FF43D6" w:rsidRDefault="00535704" w:rsidP="00650395">
            <w:pPr>
              <w:spacing w:line="240" w:lineRule="auto"/>
              <w:rPr>
                <w:rFonts w:eastAsia="Times New Roman" w:cs="Times New Roman"/>
                <w:color w:val="000000"/>
                <w:sz w:val="20"/>
                <w:szCs w:val="20"/>
              </w:rPr>
            </w:pPr>
          </w:p>
        </w:tc>
        <w:tc>
          <w:tcPr>
            <w:tcW w:w="849" w:type="dxa"/>
            <w:shd w:val="clear" w:color="auto" w:fill="auto"/>
            <w:noWrap/>
            <w:vAlign w:val="center"/>
            <w:hideMark/>
          </w:tcPr>
          <w:p w14:paraId="60A9A697"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PAV</w:t>
            </w:r>
          </w:p>
        </w:tc>
        <w:tc>
          <w:tcPr>
            <w:tcW w:w="764" w:type="dxa"/>
            <w:shd w:val="clear" w:color="auto" w:fill="auto"/>
            <w:noWrap/>
            <w:vAlign w:val="center"/>
            <w:hideMark/>
          </w:tcPr>
          <w:p w14:paraId="6768CD57"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107.4</w:t>
            </w:r>
          </w:p>
        </w:tc>
        <w:tc>
          <w:tcPr>
            <w:tcW w:w="594" w:type="dxa"/>
            <w:shd w:val="clear" w:color="auto" w:fill="auto"/>
            <w:noWrap/>
            <w:vAlign w:val="center"/>
            <w:hideMark/>
          </w:tcPr>
          <w:p w14:paraId="3A9A5E51"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0.50</w:t>
            </w:r>
          </w:p>
        </w:tc>
        <w:tc>
          <w:tcPr>
            <w:tcW w:w="764" w:type="dxa"/>
            <w:shd w:val="clear" w:color="auto" w:fill="auto"/>
            <w:noWrap/>
            <w:vAlign w:val="center"/>
            <w:hideMark/>
          </w:tcPr>
          <w:p w14:paraId="4F212FDA"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100.1</w:t>
            </w:r>
          </w:p>
        </w:tc>
        <w:tc>
          <w:tcPr>
            <w:tcW w:w="594" w:type="dxa"/>
            <w:shd w:val="clear" w:color="auto" w:fill="auto"/>
            <w:noWrap/>
            <w:vAlign w:val="center"/>
            <w:hideMark/>
          </w:tcPr>
          <w:p w14:paraId="4735A3A6"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0.58</w:t>
            </w:r>
          </w:p>
        </w:tc>
        <w:tc>
          <w:tcPr>
            <w:tcW w:w="728" w:type="dxa"/>
            <w:shd w:val="clear" w:color="auto" w:fill="auto"/>
            <w:noWrap/>
            <w:vAlign w:val="center"/>
            <w:hideMark/>
          </w:tcPr>
          <w:p w14:paraId="6FD3EEE5"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98.9</w:t>
            </w:r>
          </w:p>
        </w:tc>
        <w:tc>
          <w:tcPr>
            <w:tcW w:w="622" w:type="dxa"/>
            <w:shd w:val="clear" w:color="auto" w:fill="auto"/>
            <w:noWrap/>
            <w:vAlign w:val="center"/>
            <w:hideMark/>
          </w:tcPr>
          <w:p w14:paraId="3080ADFF"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1.36</w:t>
            </w:r>
          </w:p>
        </w:tc>
        <w:tc>
          <w:tcPr>
            <w:tcW w:w="774" w:type="dxa"/>
            <w:shd w:val="clear" w:color="auto" w:fill="auto"/>
            <w:noWrap/>
            <w:vAlign w:val="center"/>
            <w:hideMark/>
          </w:tcPr>
          <w:p w14:paraId="539FCB34"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87.1</w:t>
            </w:r>
          </w:p>
        </w:tc>
        <w:tc>
          <w:tcPr>
            <w:tcW w:w="679" w:type="dxa"/>
            <w:shd w:val="clear" w:color="auto" w:fill="auto"/>
            <w:noWrap/>
            <w:vAlign w:val="center"/>
            <w:hideMark/>
          </w:tcPr>
          <w:p w14:paraId="3443733E"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1.37</w:t>
            </w:r>
          </w:p>
        </w:tc>
        <w:tc>
          <w:tcPr>
            <w:tcW w:w="594" w:type="dxa"/>
            <w:shd w:val="clear" w:color="auto" w:fill="auto"/>
            <w:noWrap/>
            <w:vAlign w:val="center"/>
            <w:hideMark/>
          </w:tcPr>
          <w:p w14:paraId="1AA8D3D6"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85.6</w:t>
            </w:r>
          </w:p>
        </w:tc>
        <w:tc>
          <w:tcPr>
            <w:tcW w:w="562" w:type="dxa"/>
            <w:shd w:val="clear" w:color="auto" w:fill="auto"/>
            <w:noWrap/>
            <w:vAlign w:val="center"/>
            <w:hideMark/>
          </w:tcPr>
          <w:p w14:paraId="59D38910"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0.88</w:t>
            </w:r>
          </w:p>
        </w:tc>
      </w:tr>
      <w:tr w:rsidR="00535704" w:rsidRPr="00FF43D6" w14:paraId="0EE716A3" w14:textId="77777777" w:rsidTr="00FF43D6">
        <w:trPr>
          <w:gridAfter w:val="1"/>
          <w:wAfter w:w="13" w:type="dxa"/>
          <w:trHeight w:val="203"/>
        </w:trPr>
        <w:tc>
          <w:tcPr>
            <w:tcW w:w="1185" w:type="dxa"/>
            <w:vMerge w:val="restart"/>
            <w:shd w:val="clear" w:color="auto" w:fill="auto"/>
            <w:vAlign w:val="center"/>
            <w:hideMark/>
          </w:tcPr>
          <w:p w14:paraId="21671CC0"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PG 76-28 + 0.5% ASA</w:t>
            </w:r>
          </w:p>
        </w:tc>
        <w:tc>
          <w:tcPr>
            <w:tcW w:w="849" w:type="dxa"/>
            <w:shd w:val="clear" w:color="auto" w:fill="auto"/>
            <w:noWrap/>
            <w:vAlign w:val="center"/>
            <w:hideMark/>
          </w:tcPr>
          <w:p w14:paraId="0BC6B6C3"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unaged</w:t>
            </w:r>
          </w:p>
        </w:tc>
        <w:tc>
          <w:tcPr>
            <w:tcW w:w="764" w:type="dxa"/>
            <w:shd w:val="clear" w:color="auto" w:fill="auto"/>
            <w:noWrap/>
            <w:vAlign w:val="center"/>
            <w:hideMark/>
          </w:tcPr>
          <w:p w14:paraId="615E157A"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102.7</w:t>
            </w:r>
          </w:p>
        </w:tc>
        <w:tc>
          <w:tcPr>
            <w:tcW w:w="594" w:type="dxa"/>
            <w:shd w:val="clear" w:color="auto" w:fill="auto"/>
            <w:noWrap/>
            <w:vAlign w:val="center"/>
            <w:hideMark/>
          </w:tcPr>
          <w:p w14:paraId="716AE3D3"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0.44</w:t>
            </w:r>
          </w:p>
        </w:tc>
        <w:tc>
          <w:tcPr>
            <w:tcW w:w="764" w:type="dxa"/>
            <w:shd w:val="clear" w:color="auto" w:fill="auto"/>
            <w:noWrap/>
            <w:vAlign w:val="center"/>
            <w:hideMark/>
          </w:tcPr>
          <w:p w14:paraId="2CB3152F"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96.8</w:t>
            </w:r>
          </w:p>
        </w:tc>
        <w:tc>
          <w:tcPr>
            <w:tcW w:w="594" w:type="dxa"/>
            <w:shd w:val="clear" w:color="auto" w:fill="auto"/>
            <w:noWrap/>
            <w:vAlign w:val="center"/>
            <w:hideMark/>
          </w:tcPr>
          <w:p w14:paraId="6D40658B"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0.37</w:t>
            </w:r>
          </w:p>
        </w:tc>
        <w:tc>
          <w:tcPr>
            <w:tcW w:w="728" w:type="dxa"/>
            <w:shd w:val="clear" w:color="auto" w:fill="auto"/>
            <w:noWrap/>
            <w:vAlign w:val="center"/>
            <w:hideMark/>
          </w:tcPr>
          <w:p w14:paraId="5A846B8C"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96.3</w:t>
            </w:r>
          </w:p>
        </w:tc>
        <w:tc>
          <w:tcPr>
            <w:tcW w:w="622" w:type="dxa"/>
            <w:shd w:val="clear" w:color="auto" w:fill="auto"/>
            <w:noWrap/>
            <w:vAlign w:val="center"/>
            <w:hideMark/>
          </w:tcPr>
          <w:p w14:paraId="251EC2FC"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1.09</w:t>
            </w:r>
          </w:p>
        </w:tc>
        <w:tc>
          <w:tcPr>
            <w:tcW w:w="774" w:type="dxa"/>
            <w:shd w:val="clear" w:color="auto" w:fill="auto"/>
            <w:noWrap/>
            <w:vAlign w:val="center"/>
            <w:hideMark/>
          </w:tcPr>
          <w:p w14:paraId="282B1152"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88.2</w:t>
            </w:r>
          </w:p>
        </w:tc>
        <w:tc>
          <w:tcPr>
            <w:tcW w:w="679" w:type="dxa"/>
            <w:shd w:val="clear" w:color="auto" w:fill="auto"/>
            <w:noWrap/>
            <w:vAlign w:val="center"/>
            <w:hideMark/>
          </w:tcPr>
          <w:p w14:paraId="17442D1D"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1.45</w:t>
            </w:r>
          </w:p>
        </w:tc>
        <w:tc>
          <w:tcPr>
            <w:tcW w:w="594" w:type="dxa"/>
            <w:shd w:val="clear" w:color="auto" w:fill="auto"/>
            <w:noWrap/>
            <w:vAlign w:val="center"/>
            <w:hideMark/>
          </w:tcPr>
          <w:p w14:paraId="2D837F76"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86.4</w:t>
            </w:r>
          </w:p>
        </w:tc>
        <w:tc>
          <w:tcPr>
            <w:tcW w:w="562" w:type="dxa"/>
            <w:shd w:val="clear" w:color="auto" w:fill="auto"/>
            <w:noWrap/>
            <w:vAlign w:val="center"/>
            <w:hideMark/>
          </w:tcPr>
          <w:p w14:paraId="28BDA81D"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1.04</w:t>
            </w:r>
          </w:p>
        </w:tc>
      </w:tr>
      <w:tr w:rsidR="00535704" w:rsidRPr="00FF43D6" w14:paraId="3A46E207" w14:textId="77777777" w:rsidTr="00FF43D6">
        <w:trPr>
          <w:gridAfter w:val="1"/>
          <w:wAfter w:w="13" w:type="dxa"/>
          <w:trHeight w:val="203"/>
        </w:trPr>
        <w:tc>
          <w:tcPr>
            <w:tcW w:w="1185" w:type="dxa"/>
            <w:vMerge/>
            <w:shd w:val="clear" w:color="auto" w:fill="auto"/>
            <w:vAlign w:val="center"/>
            <w:hideMark/>
          </w:tcPr>
          <w:p w14:paraId="525C243C" w14:textId="77777777" w:rsidR="00535704" w:rsidRPr="00FF43D6" w:rsidRDefault="00535704" w:rsidP="00650395">
            <w:pPr>
              <w:spacing w:line="240" w:lineRule="auto"/>
              <w:rPr>
                <w:rFonts w:eastAsia="Times New Roman" w:cs="Times New Roman"/>
                <w:color w:val="000000"/>
                <w:sz w:val="20"/>
                <w:szCs w:val="20"/>
              </w:rPr>
            </w:pPr>
          </w:p>
        </w:tc>
        <w:tc>
          <w:tcPr>
            <w:tcW w:w="849" w:type="dxa"/>
            <w:shd w:val="clear" w:color="auto" w:fill="auto"/>
            <w:noWrap/>
            <w:vAlign w:val="center"/>
            <w:hideMark/>
          </w:tcPr>
          <w:p w14:paraId="33E6F467"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RTFO</w:t>
            </w:r>
          </w:p>
        </w:tc>
        <w:tc>
          <w:tcPr>
            <w:tcW w:w="764" w:type="dxa"/>
            <w:shd w:val="clear" w:color="auto" w:fill="auto"/>
            <w:noWrap/>
            <w:vAlign w:val="center"/>
            <w:hideMark/>
          </w:tcPr>
          <w:p w14:paraId="3E3AEEC2"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107.8</w:t>
            </w:r>
          </w:p>
        </w:tc>
        <w:tc>
          <w:tcPr>
            <w:tcW w:w="594" w:type="dxa"/>
            <w:shd w:val="clear" w:color="auto" w:fill="auto"/>
            <w:noWrap/>
            <w:vAlign w:val="center"/>
            <w:hideMark/>
          </w:tcPr>
          <w:p w14:paraId="75E64C0F"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0.68</w:t>
            </w:r>
          </w:p>
        </w:tc>
        <w:tc>
          <w:tcPr>
            <w:tcW w:w="764" w:type="dxa"/>
            <w:shd w:val="clear" w:color="auto" w:fill="auto"/>
            <w:noWrap/>
            <w:vAlign w:val="center"/>
            <w:hideMark/>
          </w:tcPr>
          <w:p w14:paraId="1F00D582"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99.2</w:t>
            </w:r>
          </w:p>
        </w:tc>
        <w:tc>
          <w:tcPr>
            <w:tcW w:w="594" w:type="dxa"/>
            <w:shd w:val="clear" w:color="auto" w:fill="auto"/>
            <w:noWrap/>
            <w:vAlign w:val="center"/>
            <w:hideMark/>
          </w:tcPr>
          <w:p w14:paraId="7E0BB204"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1.73</w:t>
            </w:r>
          </w:p>
        </w:tc>
        <w:tc>
          <w:tcPr>
            <w:tcW w:w="728" w:type="dxa"/>
            <w:shd w:val="clear" w:color="auto" w:fill="auto"/>
            <w:noWrap/>
            <w:vAlign w:val="center"/>
            <w:hideMark/>
          </w:tcPr>
          <w:p w14:paraId="21B942D5"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98.5</w:t>
            </w:r>
          </w:p>
        </w:tc>
        <w:tc>
          <w:tcPr>
            <w:tcW w:w="622" w:type="dxa"/>
            <w:shd w:val="clear" w:color="auto" w:fill="auto"/>
            <w:noWrap/>
            <w:vAlign w:val="center"/>
            <w:hideMark/>
          </w:tcPr>
          <w:p w14:paraId="5B45B720"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0.37</w:t>
            </w:r>
          </w:p>
        </w:tc>
        <w:tc>
          <w:tcPr>
            <w:tcW w:w="774" w:type="dxa"/>
            <w:shd w:val="clear" w:color="auto" w:fill="auto"/>
            <w:noWrap/>
            <w:vAlign w:val="center"/>
            <w:hideMark/>
          </w:tcPr>
          <w:p w14:paraId="1C8F26FC"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86.2</w:t>
            </w:r>
          </w:p>
        </w:tc>
        <w:tc>
          <w:tcPr>
            <w:tcW w:w="679" w:type="dxa"/>
            <w:shd w:val="clear" w:color="auto" w:fill="auto"/>
            <w:noWrap/>
            <w:vAlign w:val="center"/>
            <w:hideMark/>
          </w:tcPr>
          <w:p w14:paraId="3AD75BA7"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0.45</w:t>
            </w:r>
          </w:p>
        </w:tc>
        <w:tc>
          <w:tcPr>
            <w:tcW w:w="594" w:type="dxa"/>
            <w:shd w:val="clear" w:color="auto" w:fill="auto"/>
            <w:noWrap/>
            <w:vAlign w:val="center"/>
            <w:hideMark/>
          </w:tcPr>
          <w:p w14:paraId="72E3E1CB"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85.9</w:t>
            </w:r>
          </w:p>
        </w:tc>
        <w:tc>
          <w:tcPr>
            <w:tcW w:w="562" w:type="dxa"/>
            <w:shd w:val="clear" w:color="auto" w:fill="auto"/>
            <w:noWrap/>
            <w:vAlign w:val="center"/>
            <w:hideMark/>
          </w:tcPr>
          <w:p w14:paraId="2B5A1791"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0.43</w:t>
            </w:r>
          </w:p>
        </w:tc>
      </w:tr>
      <w:tr w:rsidR="00535704" w:rsidRPr="00FF43D6" w14:paraId="53EFF60E" w14:textId="77777777" w:rsidTr="00FF43D6">
        <w:trPr>
          <w:gridAfter w:val="1"/>
          <w:wAfter w:w="13" w:type="dxa"/>
          <w:trHeight w:val="203"/>
        </w:trPr>
        <w:tc>
          <w:tcPr>
            <w:tcW w:w="1185" w:type="dxa"/>
            <w:vMerge/>
            <w:shd w:val="clear" w:color="auto" w:fill="auto"/>
            <w:vAlign w:val="center"/>
            <w:hideMark/>
          </w:tcPr>
          <w:p w14:paraId="4C5A03E7" w14:textId="77777777" w:rsidR="00535704" w:rsidRPr="00FF43D6" w:rsidRDefault="00535704" w:rsidP="00650395">
            <w:pPr>
              <w:spacing w:line="240" w:lineRule="auto"/>
              <w:rPr>
                <w:rFonts w:eastAsia="Times New Roman" w:cs="Times New Roman"/>
                <w:color w:val="000000"/>
                <w:sz w:val="20"/>
                <w:szCs w:val="20"/>
              </w:rPr>
            </w:pPr>
          </w:p>
        </w:tc>
        <w:tc>
          <w:tcPr>
            <w:tcW w:w="849" w:type="dxa"/>
            <w:shd w:val="clear" w:color="auto" w:fill="auto"/>
            <w:noWrap/>
            <w:vAlign w:val="center"/>
            <w:hideMark/>
          </w:tcPr>
          <w:p w14:paraId="34549B32"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PAV</w:t>
            </w:r>
          </w:p>
        </w:tc>
        <w:tc>
          <w:tcPr>
            <w:tcW w:w="764" w:type="dxa"/>
            <w:shd w:val="clear" w:color="auto" w:fill="auto"/>
            <w:noWrap/>
            <w:vAlign w:val="center"/>
            <w:hideMark/>
          </w:tcPr>
          <w:p w14:paraId="2CD2A4AF"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109.5</w:t>
            </w:r>
          </w:p>
        </w:tc>
        <w:tc>
          <w:tcPr>
            <w:tcW w:w="594" w:type="dxa"/>
            <w:shd w:val="clear" w:color="auto" w:fill="auto"/>
            <w:noWrap/>
            <w:vAlign w:val="center"/>
            <w:hideMark/>
          </w:tcPr>
          <w:p w14:paraId="2804870C"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0.38</w:t>
            </w:r>
          </w:p>
        </w:tc>
        <w:tc>
          <w:tcPr>
            <w:tcW w:w="764" w:type="dxa"/>
            <w:shd w:val="clear" w:color="auto" w:fill="auto"/>
            <w:noWrap/>
            <w:vAlign w:val="center"/>
            <w:hideMark/>
          </w:tcPr>
          <w:p w14:paraId="50BD970C"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101.2</w:t>
            </w:r>
          </w:p>
        </w:tc>
        <w:tc>
          <w:tcPr>
            <w:tcW w:w="594" w:type="dxa"/>
            <w:shd w:val="clear" w:color="auto" w:fill="auto"/>
            <w:noWrap/>
            <w:vAlign w:val="center"/>
            <w:hideMark/>
          </w:tcPr>
          <w:p w14:paraId="14589056"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0.85</w:t>
            </w:r>
          </w:p>
        </w:tc>
        <w:tc>
          <w:tcPr>
            <w:tcW w:w="728" w:type="dxa"/>
            <w:shd w:val="clear" w:color="auto" w:fill="auto"/>
            <w:noWrap/>
            <w:vAlign w:val="center"/>
            <w:hideMark/>
          </w:tcPr>
          <w:p w14:paraId="24A5F914"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97.5</w:t>
            </w:r>
          </w:p>
        </w:tc>
        <w:tc>
          <w:tcPr>
            <w:tcW w:w="622" w:type="dxa"/>
            <w:shd w:val="clear" w:color="auto" w:fill="auto"/>
            <w:noWrap/>
            <w:vAlign w:val="center"/>
            <w:hideMark/>
          </w:tcPr>
          <w:p w14:paraId="0E5132D6"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0.44</w:t>
            </w:r>
          </w:p>
        </w:tc>
        <w:tc>
          <w:tcPr>
            <w:tcW w:w="774" w:type="dxa"/>
            <w:shd w:val="clear" w:color="auto" w:fill="auto"/>
            <w:noWrap/>
            <w:vAlign w:val="center"/>
            <w:hideMark/>
          </w:tcPr>
          <w:p w14:paraId="5C17E28E"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86.9</w:t>
            </w:r>
          </w:p>
        </w:tc>
        <w:tc>
          <w:tcPr>
            <w:tcW w:w="679" w:type="dxa"/>
            <w:shd w:val="clear" w:color="auto" w:fill="auto"/>
            <w:noWrap/>
            <w:vAlign w:val="center"/>
            <w:hideMark/>
          </w:tcPr>
          <w:p w14:paraId="1B5B3EE0"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0.31</w:t>
            </w:r>
          </w:p>
        </w:tc>
        <w:tc>
          <w:tcPr>
            <w:tcW w:w="594" w:type="dxa"/>
            <w:shd w:val="clear" w:color="auto" w:fill="auto"/>
            <w:noWrap/>
            <w:vAlign w:val="center"/>
            <w:hideMark/>
          </w:tcPr>
          <w:p w14:paraId="1687D053"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85.9</w:t>
            </w:r>
          </w:p>
        </w:tc>
        <w:tc>
          <w:tcPr>
            <w:tcW w:w="562" w:type="dxa"/>
            <w:shd w:val="clear" w:color="auto" w:fill="auto"/>
            <w:noWrap/>
            <w:vAlign w:val="center"/>
            <w:hideMark/>
          </w:tcPr>
          <w:p w14:paraId="734FB56C"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1.45</w:t>
            </w:r>
          </w:p>
        </w:tc>
      </w:tr>
      <w:tr w:rsidR="00535704" w:rsidRPr="00FF43D6" w14:paraId="77A35B84" w14:textId="77777777" w:rsidTr="00FF43D6">
        <w:trPr>
          <w:gridAfter w:val="1"/>
          <w:wAfter w:w="13" w:type="dxa"/>
          <w:trHeight w:val="203"/>
        </w:trPr>
        <w:tc>
          <w:tcPr>
            <w:tcW w:w="1185" w:type="dxa"/>
            <w:vMerge w:val="restart"/>
            <w:shd w:val="clear" w:color="auto" w:fill="auto"/>
            <w:vAlign w:val="center"/>
            <w:hideMark/>
          </w:tcPr>
          <w:p w14:paraId="37BF60D0"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PG 76-28 + 20% RAP</w:t>
            </w:r>
          </w:p>
        </w:tc>
        <w:tc>
          <w:tcPr>
            <w:tcW w:w="849" w:type="dxa"/>
            <w:shd w:val="clear" w:color="auto" w:fill="auto"/>
            <w:noWrap/>
            <w:vAlign w:val="center"/>
            <w:hideMark/>
          </w:tcPr>
          <w:p w14:paraId="43F1CA5A"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unaged</w:t>
            </w:r>
          </w:p>
        </w:tc>
        <w:tc>
          <w:tcPr>
            <w:tcW w:w="764" w:type="dxa"/>
            <w:shd w:val="clear" w:color="auto" w:fill="auto"/>
            <w:noWrap/>
            <w:vAlign w:val="center"/>
            <w:hideMark/>
          </w:tcPr>
          <w:p w14:paraId="2DECC0C7"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108.4</w:t>
            </w:r>
          </w:p>
        </w:tc>
        <w:tc>
          <w:tcPr>
            <w:tcW w:w="594" w:type="dxa"/>
            <w:shd w:val="clear" w:color="auto" w:fill="auto"/>
            <w:noWrap/>
            <w:vAlign w:val="center"/>
            <w:hideMark/>
          </w:tcPr>
          <w:p w14:paraId="6EAC6337"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0.42</w:t>
            </w:r>
          </w:p>
        </w:tc>
        <w:tc>
          <w:tcPr>
            <w:tcW w:w="764" w:type="dxa"/>
            <w:shd w:val="clear" w:color="auto" w:fill="auto"/>
            <w:noWrap/>
            <w:vAlign w:val="center"/>
            <w:hideMark/>
          </w:tcPr>
          <w:p w14:paraId="66671569"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97.8</w:t>
            </w:r>
          </w:p>
        </w:tc>
        <w:tc>
          <w:tcPr>
            <w:tcW w:w="594" w:type="dxa"/>
            <w:shd w:val="clear" w:color="auto" w:fill="auto"/>
            <w:noWrap/>
            <w:vAlign w:val="center"/>
            <w:hideMark/>
          </w:tcPr>
          <w:p w14:paraId="1BAD54A8"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1.27</w:t>
            </w:r>
          </w:p>
        </w:tc>
        <w:tc>
          <w:tcPr>
            <w:tcW w:w="728" w:type="dxa"/>
            <w:shd w:val="clear" w:color="auto" w:fill="auto"/>
            <w:noWrap/>
            <w:vAlign w:val="center"/>
            <w:hideMark/>
          </w:tcPr>
          <w:p w14:paraId="63958001"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93.1</w:t>
            </w:r>
          </w:p>
        </w:tc>
        <w:tc>
          <w:tcPr>
            <w:tcW w:w="622" w:type="dxa"/>
            <w:shd w:val="clear" w:color="auto" w:fill="auto"/>
            <w:noWrap/>
            <w:vAlign w:val="center"/>
            <w:hideMark/>
          </w:tcPr>
          <w:p w14:paraId="795C916F"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0.45</w:t>
            </w:r>
          </w:p>
        </w:tc>
        <w:tc>
          <w:tcPr>
            <w:tcW w:w="774" w:type="dxa"/>
            <w:shd w:val="clear" w:color="auto" w:fill="auto"/>
            <w:noWrap/>
            <w:vAlign w:val="center"/>
            <w:hideMark/>
          </w:tcPr>
          <w:p w14:paraId="6F443ED1"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86.6</w:t>
            </w:r>
          </w:p>
        </w:tc>
        <w:tc>
          <w:tcPr>
            <w:tcW w:w="679" w:type="dxa"/>
            <w:shd w:val="clear" w:color="auto" w:fill="auto"/>
            <w:noWrap/>
            <w:vAlign w:val="center"/>
            <w:hideMark/>
          </w:tcPr>
          <w:p w14:paraId="282ABC8E"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1.54</w:t>
            </w:r>
          </w:p>
        </w:tc>
        <w:tc>
          <w:tcPr>
            <w:tcW w:w="594" w:type="dxa"/>
            <w:shd w:val="clear" w:color="auto" w:fill="auto"/>
            <w:noWrap/>
            <w:vAlign w:val="center"/>
            <w:hideMark/>
          </w:tcPr>
          <w:p w14:paraId="0A906B55"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81.5</w:t>
            </w:r>
          </w:p>
        </w:tc>
        <w:tc>
          <w:tcPr>
            <w:tcW w:w="562" w:type="dxa"/>
            <w:shd w:val="clear" w:color="auto" w:fill="auto"/>
            <w:noWrap/>
            <w:vAlign w:val="center"/>
            <w:hideMark/>
          </w:tcPr>
          <w:p w14:paraId="617243E4"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0.25</w:t>
            </w:r>
          </w:p>
        </w:tc>
      </w:tr>
      <w:tr w:rsidR="00535704" w:rsidRPr="00FF43D6" w14:paraId="6CDA9470" w14:textId="77777777" w:rsidTr="00FF43D6">
        <w:trPr>
          <w:gridAfter w:val="1"/>
          <w:wAfter w:w="13" w:type="dxa"/>
          <w:trHeight w:val="203"/>
        </w:trPr>
        <w:tc>
          <w:tcPr>
            <w:tcW w:w="1185" w:type="dxa"/>
            <w:vMerge/>
            <w:shd w:val="clear" w:color="auto" w:fill="auto"/>
            <w:vAlign w:val="center"/>
            <w:hideMark/>
          </w:tcPr>
          <w:p w14:paraId="50FAC10D" w14:textId="77777777" w:rsidR="00535704" w:rsidRPr="00FF43D6" w:rsidRDefault="00535704" w:rsidP="00650395">
            <w:pPr>
              <w:spacing w:line="240" w:lineRule="auto"/>
              <w:rPr>
                <w:rFonts w:eastAsia="Times New Roman" w:cs="Times New Roman"/>
                <w:color w:val="000000"/>
                <w:sz w:val="20"/>
                <w:szCs w:val="20"/>
              </w:rPr>
            </w:pPr>
          </w:p>
        </w:tc>
        <w:tc>
          <w:tcPr>
            <w:tcW w:w="849" w:type="dxa"/>
            <w:shd w:val="clear" w:color="auto" w:fill="auto"/>
            <w:noWrap/>
            <w:vAlign w:val="center"/>
            <w:hideMark/>
          </w:tcPr>
          <w:p w14:paraId="3ECCF15B"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RTFO</w:t>
            </w:r>
          </w:p>
        </w:tc>
        <w:tc>
          <w:tcPr>
            <w:tcW w:w="764" w:type="dxa"/>
            <w:shd w:val="clear" w:color="auto" w:fill="auto"/>
            <w:noWrap/>
            <w:vAlign w:val="center"/>
            <w:hideMark/>
          </w:tcPr>
          <w:p w14:paraId="5753FD89"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105.4</w:t>
            </w:r>
          </w:p>
        </w:tc>
        <w:tc>
          <w:tcPr>
            <w:tcW w:w="594" w:type="dxa"/>
            <w:shd w:val="clear" w:color="auto" w:fill="auto"/>
            <w:noWrap/>
            <w:vAlign w:val="center"/>
            <w:hideMark/>
          </w:tcPr>
          <w:p w14:paraId="4C324391"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0.31</w:t>
            </w:r>
          </w:p>
        </w:tc>
        <w:tc>
          <w:tcPr>
            <w:tcW w:w="764" w:type="dxa"/>
            <w:shd w:val="clear" w:color="auto" w:fill="auto"/>
            <w:noWrap/>
            <w:vAlign w:val="center"/>
            <w:hideMark/>
          </w:tcPr>
          <w:p w14:paraId="3F56E080"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98.9</w:t>
            </w:r>
          </w:p>
        </w:tc>
        <w:tc>
          <w:tcPr>
            <w:tcW w:w="594" w:type="dxa"/>
            <w:shd w:val="clear" w:color="auto" w:fill="auto"/>
            <w:noWrap/>
            <w:vAlign w:val="center"/>
            <w:hideMark/>
          </w:tcPr>
          <w:p w14:paraId="02EF6BA4"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0.31</w:t>
            </w:r>
          </w:p>
        </w:tc>
        <w:tc>
          <w:tcPr>
            <w:tcW w:w="728" w:type="dxa"/>
            <w:shd w:val="clear" w:color="auto" w:fill="auto"/>
            <w:noWrap/>
            <w:vAlign w:val="center"/>
            <w:hideMark/>
          </w:tcPr>
          <w:p w14:paraId="36011D97"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96.0</w:t>
            </w:r>
          </w:p>
        </w:tc>
        <w:tc>
          <w:tcPr>
            <w:tcW w:w="622" w:type="dxa"/>
            <w:shd w:val="clear" w:color="auto" w:fill="auto"/>
            <w:noWrap/>
            <w:vAlign w:val="center"/>
            <w:hideMark/>
          </w:tcPr>
          <w:p w14:paraId="63D8E75F"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0.49</w:t>
            </w:r>
          </w:p>
        </w:tc>
        <w:tc>
          <w:tcPr>
            <w:tcW w:w="774" w:type="dxa"/>
            <w:shd w:val="clear" w:color="auto" w:fill="auto"/>
            <w:noWrap/>
            <w:vAlign w:val="center"/>
            <w:hideMark/>
          </w:tcPr>
          <w:p w14:paraId="13311D3A"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91.3</w:t>
            </w:r>
          </w:p>
        </w:tc>
        <w:tc>
          <w:tcPr>
            <w:tcW w:w="679" w:type="dxa"/>
            <w:shd w:val="clear" w:color="auto" w:fill="auto"/>
            <w:noWrap/>
            <w:vAlign w:val="center"/>
            <w:hideMark/>
          </w:tcPr>
          <w:p w14:paraId="5E3AFB42"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0.27</w:t>
            </w:r>
          </w:p>
        </w:tc>
        <w:tc>
          <w:tcPr>
            <w:tcW w:w="594" w:type="dxa"/>
            <w:shd w:val="clear" w:color="auto" w:fill="auto"/>
            <w:noWrap/>
            <w:vAlign w:val="center"/>
            <w:hideMark/>
          </w:tcPr>
          <w:p w14:paraId="17C5EDDE"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85.5</w:t>
            </w:r>
          </w:p>
        </w:tc>
        <w:tc>
          <w:tcPr>
            <w:tcW w:w="562" w:type="dxa"/>
            <w:shd w:val="clear" w:color="auto" w:fill="auto"/>
            <w:noWrap/>
            <w:vAlign w:val="center"/>
            <w:hideMark/>
          </w:tcPr>
          <w:p w14:paraId="1F431DCA"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0.44</w:t>
            </w:r>
          </w:p>
        </w:tc>
      </w:tr>
      <w:tr w:rsidR="00535704" w:rsidRPr="00FF43D6" w14:paraId="3F644C0F" w14:textId="77777777" w:rsidTr="00FF43D6">
        <w:trPr>
          <w:gridAfter w:val="1"/>
          <w:wAfter w:w="13" w:type="dxa"/>
          <w:trHeight w:val="203"/>
        </w:trPr>
        <w:tc>
          <w:tcPr>
            <w:tcW w:w="1185" w:type="dxa"/>
            <w:vMerge/>
            <w:shd w:val="clear" w:color="auto" w:fill="auto"/>
            <w:vAlign w:val="center"/>
            <w:hideMark/>
          </w:tcPr>
          <w:p w14:paraId="187D8686" w14:textId="77777777" w:rsidR="00535704" w:rsidRPr="00FF43D6" w:rsidRDefault="00535704" w:rsidP="00650395">
            <w:pPr>
              <w:spacing w:line="240" w:lineRule="auto"/>
              <w:rPr>
                <w:rFonts w:eastAsia="Times New Roman" w:cs="Times New Roman"/>
                <w:color w:val="000000"/>
                <w:sz w:val="20"/>
                <w:szCs w:val="20"/>
              </w:rPr>
            </w:pPr>
          </w:p>
        </w:tc>
        <w:tc>
          <w:tcPr>
            <w:tcW w:w="849" w:type="dxa"/>
            <w:shd w:val="clear" w:color="auto" w:fill="auto"/>
            <w:noWrap/>
            <w:vAlign w:val="center"/>
            <w:hideMark/>
          </w:tcPr>
          <w:p w14:paraId="229E83A5"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PAV</w:t>
            </w:r>
          </w:p>
        </w:tc>
        <w:tc>
          <w:tcPr>
            <w:tcW w:w="764" w:type="dxa"/>
            <w:shd w:val="clear" w:color="auto" w:fill="auto"/>
            <w:noWrap/>
            <w:vAlign w:val="center"/>
            <w:hideMark/>
          </w:tcPr>
          <w:p w14:paraId="362D16ED"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106.4</w:t>
            </w:r>
          </w:p>
        </w:tc>
        <w:tc>
          <w:tcPr>
            <w:tcW w:w="594" w:type="dxa"/>
            <w:shd w:val="clear" w:color="auto" w:fill="auto"/>
            <w:noWrap/>
            <w:vAlign w:val="center"/>
            <w:hideMark/>
          </w:tcPr>
          <w:p w14:paraId="7AD54E99"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0.73</w:t>
            </w:r>
          </w:p>
        </w:tc>
        <w:tc>
          <w:tcPr>
            <w:tcW w:w="764" w:type="dxa"/>
            <w:shd w:val="clear" w:color="auto" w:fill="auto"/>
            <w:noWrap/>
            <w:vAlign w:val="center"/>
            <w:hideMark/>
          </w:tcPr>
          <w:p w14:paraId="64352EE1"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98.7</w:t>
            </w:r>
          </w:p>
        </w:tc>
        <w:tc>
          <w:tcPr>
            <w:tcW w:w="594" w:type="dxa"/>
            <w:shd w:val="clear" w:color="auto" w:fill="auto"/>
            <w:noWrap/>
            <w:vAlign w:val="center"/>
            <w:hideMark/>
          </w:tcPr>
          <w:p w14:paraId="67544BC5"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0.48</w:t>
            </w:r>
          </w:p>
        </w:tc>
        <w:tc>
          <w:tcPr>
            <w:tcW w:w="728" w:type="dxa"/>
            <w:shd w:val="clear" w:color="auto" w:fill="auto"/>
            <w:noWrap/>
            <w:vAlign w:val="center"/>
            <w:hideMark/>
          </w:tcPr>
          <w:p w14:paraId="27EBC332"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97.5</w:t>
            </w:r>
          </w:p>
        </w:tc>
        <w:tc>
          <w:tcPr>
            <w:tcW w:w="622" w:type="dxa"/>
            <w:shd w:val="clear" w:color="auto" w:fill="auto"/>
            <w:noWrap/>
            <w:vAlign w:val="center"/>
            <w:hideMark/>
          </w:tcPr>
          <w:p w14:paraId="1AAC2DF5"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1.01</w:t>
            </w:r>
          </w:p>
        </w:tc>
        <w:tc>
          <w:tcPr>
            <w:tcW w:w="774" w:type="dxa"/>
            <w:shd w:val="clear" w:color="auto" w:fill="auto"/>
            <w:noWrap/>
            <w:vAlign w:val="center"/>
            <w:hideMark/>
          </w:tcPr>
          <w:p w14:paraId="5A6BCCD8"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90.0</w:t>
            </w:r>
          </w:p>
        </w:tc>
        <w:tc>
          <w:tcPr>
            <w:tcW w:w="679" w:type="dxa"/>
            <w:shd w:val="clear" w:color="auto" w:fill="auto"/>
            <w:noWrap/>
            <w:vAlign w:val="center"/>
            <w:hideMark/>
          </w:tcPr>
          <w:p w14:paraId="749E6730"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0.59</w:t>
            </w:r>
          </w:p>
        </w:tc>
        <w:tc>
          <w:tcPr>
            <w:tcW w:w="594" w:type="dxa"/>
            <w:shd w:val="clear" w:color="auto" w:fill="auto"/>
            <w:noWrap/>
            <w:vAlign w:val="center"/>
            <w:hideMark/>
          </w:tcPr>
          <w:p w14:paraId="7BE98BC7"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83.0</w:t>
            </w:r>
          </w:p>
        </w:tc>
        <w:tc>
          <w:tcPr>
            <w:tcW w:w="562" w:type="dxa"/>
            <w:shd w:val="clear" w:color="auto" w:fill="auto"/>
            <w:noWrap/>
            <w:vAlign w:val="center"/>
            <w:hideMark/>
          </w:tcPr>
          <w:p w14:paraId="49A44E7F" w14:textId="77777777" w:rsidR="00535704" w:rsidRPr="00FF43D6" w:rsidRDefault="00535704" w:rsidP="00650395">
            <w:pPr>
              <w:spacing w:line="240" w:lineRule="auto"/>
              <w:jc w:val="center"/>
              <w:rPr>
                <w:rFonts w:eastAsia="Times New Roman" w:cs="Times New Roman"/>
                <w:color w:val="000000"/>
                <w:sz w:val="20"/>
                <w:szCs w:val="20"/>
              </w:rPr>
            </w:pPr>
            <w:r w:rsidRPr="00FF43D6">
              <w:rPr>
                <w:rFonts w:eastAsia="Times New Roman" w:cs="Times New Roman"/>
                <w:color w:val="000000"/>
                <w:sz w:val="20"/>
                <w:szCs w:val="20"/>
              </w:rPr>
              <w:t>0.62</w:t>
            </w:r>
          </w:p>
        </w:tc>
      </w:tr>
    </w:tbl>
    <w:p w14:paraId="05AE79A8" w14:textId="27791582" w:rsidR="001970AE" w:rsidRPr="009A3034" w:rsidRDefault="001E7461" w:rsidP="000723A8">
      <w:pPr>
        <w:pStyle w:val="Caption"/>
        <w:spacing w:line="480" w:lineRule="auto"/>
        <w:jc w:val="center"/>
        <w:rPr>
          <w:szCs w:val="24"/>
        </w:rPr>
      </w:pPr>
      <w:bookmarkStart w:id="95" w:name="_Toc71330989"/>
      <w:r>
        <w:t xml:space="preserve">Table </w:t>
      </w:r>
      <w:fldSimple w:instr=" STYLEREF 1 \s ">
        <w:r w:rsidR="005050F0">
          <w:rPr>
            <w:noProof/>
          </w:rPr>
          <w:t>3</w:t>
        </w:r>
      </w:fldSimple>
      <w:r w:rsidR="00700639">
        <w:t>.</w:t>
      </w:r>
      <w:fldSimple w:instr=" SEQ Table \* ARABIC \s 1 ">
        <w:r w:rsidR="005050F0">
          <w:rPr>
            <w:noProof/>
          </w:rPr>
          <w:t>3</w:t>
        </w:r>
      </w:fldSimple>
      <w:r>
        <w:t xml:space="preserve"> </w:t>
      </w:r>
      <w:r w:rsidR="001970AE" w:rsidRPr="009A3034">
        <w:rPr>
          <w:szCs w:val="24"/>
        </w:rPr>
        <w:t xml:space="preserve">SFE </w:t>
      </w:r>
      <w:r w:rsidR="001970AE">
        <w:rPr>
          <w:szCs w:val="24"/>
        </w:rPr>
        <w:t>c</w:t>
      </w:r>
      <w:r w:rsidR="001970AE" w:rsidRPr="009A3034">
        <w:rPr>
          <w:szCs w:val="24"/>
        </w:rPr>
        <w:t>omponents of PG 64-22 and PG 76-28 binder blends at different aging conditions</w:t>
      </w:r>
      <w:bookmarkEnd w:id="95"/>
    </w:p>
    <w:tbl>
      <w:tblPr>
        <w:tblW w:w="749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16"/>
        <w:gridCol w:w="1134"/>
        <w:gridCol w:w="701"/>
        <w:gridCol w:w="701"/>
        <w:gridCol w:w="887"/>
        <w:gridCol w:w="782"/>
        <w:gridCol w:w="1051"/>
        <w:gridCol w:w="920"/>
      </w:tblGrid>
      <w:tr w:rsidR="001970AE" w:rsidRPr="000F1269" w14:paraId="715C248E" w14:textId="77777777" w:rsidTr="00B77810">
        <w:trPr>
          <w:trHeight w:val="258"/>
          <w:jc w:val="center"/>
        </w:trPr>
        <w:tc>
          <w:tcPr>
            <w:tcW w:w="1316" w:type="dxa"/>
            <w:vMerge w:val="restart"/>
            <w:shd w:val="clear" w:color="auto" w:fill="auto"/>
            <w:noWrap/>
            <w:vAlign w:val="center"/>
            <w:hideMark/>
          </w:tcPr>
          <w:p w14:paraId="117DE64B" w14:textId="77777777" w:rsidR="001970AE" w:rsidRPr="000F1269" w:rsidRDefault="001970AE" w:rsidP="00650395">
            <w:pPr>
              <w:spacing w:line="240" w:lineRule="auto"/>
              <w:jc w:val="center"/>
              <w:rPr>
                <w:rFonts w:eastAsia="Times New Roman" w:cs="Times New Roman"/>
                <w:b/>
                <w:bCs/>
                <w:color w:val="000000"/>
                <w:sz w:val="20"/>
                <w:szCs w:val="20"/>
              </w:rPr>
            </w:pPr>
            <w:r w:rsidRPr="000F1269">
              <w:rPr>
                <w:rFonts w:eastAsia="Times New Roman" w:cs="Times New Roman"/>
                <w:b/>
                <w:bCs/>
                <w:color w:val="000000"/>
                <w:sz w:val="20"/>
                <w:szCs w:val="20"/>
              </w:rPr>
              <w:t>Binder Type</w:t>
            </w:r>
          </w:p>
        </w:tc>
        <w:tc>
          <w:tcPr>
            <w:tcW w:w="1134" w:type="dxa"/>
            <w:vMerge w:val="restart"/>
            <w:shd w:val="clear" w:color="auto" w:fill="auto"/>
            <w:noWrap/>
            <w:vAlign w:val="center"/>
            <w:hideMark/>
          </w:tcPr>
          <w:p w14:paraId="25F890EE" w14:textId="77777777" w:rsidR="001970AE" w:rsidRPr="000F1269" w:rsidRDefault="001970AE" w:rsidP="00650395">
            <w:pPr>
              <w:spacing w:line="240" w:lineRule="auto"/>
              <w:jc w:val="center"/>
              <w:rPr>
                <w:rFonts w:eastAsia="Times New Roman" w:cs="Times New Roman"/>
                <w:b/>
                <w:bCs/>
                <w:color w:val="000000"/>
                <w:sz w:val="20"/>
                <w:szCs w:val="20"/>
              </w:rPr>
            </w:pPr>
            <w:r w:rsidRPr="000F1269">
              <w:rPr>
                <w:rFonts w:eastAsia="Times New Roman" w:cs="Times New Roman"/>
                <w:b/>
                <w:bCs/>
                <w:color w:val="000000"/>
                <w:sz w:val="20"/>
                <w:szCs w:val="20"/>
              </w:rPr>
              <w:t>Aging</w:t>
            </w:r>
          </w:p>
        </w:tc>
        <w:tc>
          <w:tcPr>
            <w:tcW w:w="5042" w:type="dxa"/>
            <w:gridSpan w:val="6"/>
            <w:shd w:val="clear" w:color="auto" w:fill="auto"/>
            <w:noWrap/>
            <w:vAlign w:val="center"/>
            <w:hideMark/>
          </w:tcPr>
          <w:p w14:paraId="4BDCD174" w14:textId="77777777" w:rsidR="001970AE" w:rsidRPr="000F1269" w:rsidRDefault="001970AE" w:rsidP="00650395">
            <w:pPr>
              <w:spacing w:line="240" w:lineRule="auto"/>
              <w:jc w:val="center"/>
              <w:rPr>
                <w:rFonts w:eastAsia="Times New Roman" w:cs="Times New Roman"/>
                <w:b/>
                <w:bCs/>
                <w:color w:val="000000"/>
                <w:sz w:val="20"/>
                <w:szCs w:val="20"/>
              </w:rPr>
            </w:pPr>
            <w:r w:rsidRPr="000F1269">
              <w:rPr>
                <w:rFonts w:eastAsia="Times New Roman" w:cs="Times New Roman"/>
                <w:b/>
                <w:bCs/>
                <w:color w:val="000000"/>
                <w:sz w:val="20"/>
                <w:szCs w:val="20"/>
              </w:rPr>
              <w:t>SFE components (mJ/m2)</w:t>
            </w:r>
          </w:p>
        </w:tc>
      </w:tr>
      <w:tr w:rsidR="001970AE" w:rsidRPr="000F1269" w14:paraId="6D5EEF2B" w14:textId="77777777" w:rsidTr="00B77810">
        <w:trPr>
          <w:trHeight w:val="258"/>
          <w:jc w:val="center"/>
        </w:trPr>
        <w:tc>
          <w:tcPr>
            <w:tcW w:w="1316" w:type="dxa"/>
            <w:vMerge/>
            <w:shd w:val="clear" w:color="auto" w:fill="auto"/>
            <w:vAlign w:val="center"/>
            <w:hideMark/>
          </w:tcPr>
          <w:p w14:paraId="76F35E7C" w14:textId="77777777" w:rsidR="001970AE" w:rsidRPr="000F1269" w:rsidRDefault="001970AE" w:rsidP="00650395">
            <w:pPr>
              <w:spacing w:line="240" w:lineRule="auto"/>
              <w:rPr>
                <w:rFonts w:eastAsia="Times New Roman" w:cs="Times New Roman"/>
                <w:b/>
                <w:bCs/>
                <w:color w:val="000000"/>
                <w:sz w:val="20"/>
                <w:szCs w:val="20"/>
              </w:rPr>
            </w:pPr>
          </w:p>
        </w:tc>
        <w:tc>
          <w:tcPr>
            <w:tcW w:w="1134" w:type="dxa"/>
            <w:vMerge/>
            <w:shd w:val="clear" w:color="auto" w:fill="auto"/>
            <w:vAlign w:val="center"/>
            <w:hideMark/>
          </w:tcPr>
          <w:p w14:paraId="717CA179" w14:textId="77777777" w:rsidR="001970AE" w:rsidRPr="000F1269" w:rsidRDefault="001970AE" w:rsidP="00650395">
            <w:pPr>
              <w:spacing w:line="240" w:lineRule="auto"/>
              <w:rPr>
                <w:rFonts w:eastAsia="Times New Roman" w:cs="Times New Roman"/>
                <w:b/>
                <w:bCs/>
                <w:color w:val="000000"/>
                <w:sz w:val="20"/>
                <w:szCs w:val="20"/>
              </w:rPr>
            </w:pPr>
          </w:p>
        </w:tc>
        <w:tc>
          <w:tcPr>
            <w:tcW w:w="701" w:type="dxa"/>
            <w:shd w:val="clear" w:color="auto" w:fill="auto"/>
            <w:noWrap/>
            <w:vAlign w:val="center"/>
            <w:hideMark/>
          </w:tcPr>
          <w:p w14:paraId="554B847C" w14:textId="77777777" w:rsidR="001970AE" w:rsidRPr="000F1269" w:rsidRDefault="001970AE" w:rsidP="00650395">
            <w:pPr>
              <w:spacing w:line="240" w:lineRule="auto"/>
              <w:jc w:val="center"/>
              <w:rPr>
                <w:rFonts w:eastAsia="Times New Roman" w:cs="Times New Roman"/>
                <w:b/>
                <w:bCs/>
                <w:color w:val="000000"/>
                <w:sz w:val="20"/>
                <w:szCs w:val="20"/>
              </w:rPr>
            </w:pPr>
            <w:r w:rsidRPr="000F1269">
              <w:rPr>
                <w:rFonts w:eastAsia="Times New Roman" w:cs="Times New Roman"/>
                <w:b/>
                <w:bCs/>
                <w:color w:val="000000"/>
                <w:sz w:val="20"/>
                <w:szCs w:val="20"/>
              </w:rPr>
              <w:t>Γ+</w:t>
            </w:r>
          </w:p>
        </w:tc>
        <w:tc>
          <w:tcPr>
            <w:tcW w:w="701" w:type="dxa"/>
            <w:shd w:val="clear" w:color="auto" w:fill="auto"/>
            <w:noWrap/>
            <w:vAlign w:val="center"/>
            <w:hideMark/>
          </w:tcPr>
          <w:p w14:paraId="4D2667AE" w14:textId="77777777" w:rsidR="001970AE" w:rsidRPr="000F1269" w:rsidRDefault="001970AE" w:rsidP="00650395">
            <w:pPr>
              <w:spacing w:line="240" w:lineRule="auto"/>
              <w:jc w:val="center"/>
              <w:rPr>
                <w:rFonts w:eastAsia="Times New Roman" w:cs="Times New Roman"/>
                <w:b/>
                <w:bCs/>
                <w:color w:val="000000"/>
                <w:sz w:val="20"/>
                <w:szCs w:val="20"/>
              </w:rPr>
            </w:pPr>
            <w:r w:rsidRPr="000F1269">
              <w:rPr>
                <w:rFonts w:eastAsia="Times New Roman" w:cs="Times New Roman"/>
                <w:b/>
                <w:bCs/>
                <w:color w:val="000000"/>
                <w:sz w:val="20"/>
                <w:szCs w:val="20"/>
              </w:rPr>
              <w:t>Γ-</w:t>
            </w:r>
          </w:p>
        </w:tc>
        <w:tc>
          <w:tcPr>
            <w:tcW w:w="887" w:type="dxa"/>
            <w:shd w:val="clear" w:color="auto" w:fill="auto"/>
            <w:noWrap/>
            <w:vAlign w:val="center"/>
            <w:hideMark/>
          </w:tcPr>
          <w:p w14:paraId="556467DC" w14:textId="77777777" w:rsidR="001970AE" w:rsidRPr="000F1269" w:rsidRDefault="001970AE" w:rsidP="00650395">
            <w:pPr>
              <w:spacing w:line="240" w:lineRule="auto"/>
              <w:jc w:val="center"/>
              <w:rPr>
                <w:rFonts w:eastAsia="Times New Roman" w:cs="Times New Roman"/>
                <w:b/>
                <w:bCs/>
                <w:color w:val="000000"/>
                <w:sz w:val="20"/>
                <w:szCs w:val="20"/>
              </w:rPr>
            </w:pPr>
            <w:r w:rsidRPr="000F1269">
              <w:rPr>
                <w:rFonts w:eastAsia="Times New Roman" w:cs="Times New Roman"/>
                <w:b/>
                <w:bCs/>
                <w:color w:val="000000"/>
                <w:sz w:val="20"/>
                <w:szCs w:val="20"/>
              </w:rPr>
              <w:t>ΓLW</w:t>
            </w:r>
          </w:p>
        </w:tc>
        <w:tc>
          <w:tcPr>
            <w:tcW w:w="782" w:type="dxa"/>
            <w:shd w:val="clear" w:color="auto" w:fill="auto"/>
            <w:noWrap/>
            <w:vAlign w:val="center"/>
            <w:hideMark/>
          </w:tcPr>
          <w:p w14:paraId="07F1411C" w14:textId="77777777" w:rsidR="001970AE" w:rsidRPr="000F1269" w:rsidRDefault="001970AE" w:rsidP="00650395">
            <w:pPr>
              <w:spacing w:line="240" w:lineRule="auto"/>
              <w:jc w:val="center"/>
              <w:rPr>
                <w:rFonts w:eastAsia="Times New Roman" w:cs="Times New Roman"/>
                <w:b/>
                <w:bCs/>
                <w:color w:val="000000"/>
                <w:sz w:val="20"/>
                <w:szCs w:val="20"/>
              </w:rPr>
            </w:pPr>
            <w:r w:rsidRPr="000F1269">
              <w:rPr>
                <w:rFonts w:eastAsia="Times New Roman" w:cs="Times New Roman"/>
                <w:b/>
                <w:bCs/>
                <w:color w:val="000000"/>
                <w:sz w:val="20"/>
                <w:szCs w:val="20"/>
              </w:rPr>
              <w:t>ΓAB</w:t>
            </w:r>
          </w:p>
        </w:tc>
        <w:tc>
          <w:tcPr>
            <w:tcW w:w="1051" w:type="dxa"/>
            <w:shd w:val="clear" w:color="auto" w:fill="auto"/>
            <w:noWrap/>
            <w:vAlign w:val="center"/>
            <w:hideMark/>
          </w:tcPr>
          <w:p w14:paraId="4D5B8F03" w14:textId="77777777" w:rsidR="001970AE" w:rsidRPr="000F1269" w:rsidRDefault="001970AE" w:rsidP="00650395">
            <w:pPr>
              <w:spacing w:line="240" w:lineRule="auto"/>
              <w:jc w:val="center"/>
              <w:rPr>
                <w:rFonts w:eastAsia="Times New Roman" w:cs="Times New Roman"/>
                <w:b/>
                <w:bCs/>
                <w:color w:val="000000"/>
                <w:sz w:val="20"/>
                <w:szCs w:val="20"/>
              </w:rPr>
            </w:pPr>
            <w:r w:rsidRPr="000F1269">
              <w:rPr>
                <w:rFonts w:eastAsia="Times New Roman" w:cs="Times New Roman"/>
                <w:b/>
                <w:bCs/>
                <w:color w:val="000000"/>
                <w:sz w:val="20"/>
                <w:szCs w:val="20"/>
              </w:rPr>
              <w:t>ΓTotal</w:t>
            </w:r>
          </w:p>
        </w:tc>
        <w:tc>
          <w:tcPr>
            <w:tcW w:w="918" w:type="dxa"/>
            <w:shd w:val="clear" w:color="auto" w:fill="auto"/>
            <w:noWrap/>
            <w:vAlign w:val="center"/>
            <w:hideMark/>
          </w:tcPr>
          <w:p w14:paraId="4C8A36A3" w14:textId="77777777" w:rsidR="001970AE" w:rsidRPr="000F1269" w:rsidRDefault="001970AE" w:rsidP="00650395">
            <w:pPr>
              <w:spacing w:line="240" w:lineRule="auto"/>
              <w:jc w:val="center"/>
              <w:rPr>
                <w:rFonts w:eastAsia="Times New Roman" w:cs="Times New Roman"/>
                <w:b/>
                <w:bCs/>
                <w:color w:val="000000"/>
                <w:sz w:val="20"/>
                <w:szCs w:val="20"/>
              </w:rPr>
            </w:pPr>
            <w:r w:rsidRPr="000F1269">
              <w:rPr>
                <w:rFonts w:eastAsia="Times New Roman" w:cs="Times New Roman"/>
                <w:b/>
                <w:bCs/>
                <w:color w:val="000000"/>
                <w:sz w:val="20"/>
                <w:szCs w:val="20"/>
              </w:rPr>
              <w:t>Γ+/Γ-</w:t>
            </w:r>
          </w:p>
        </w:tc>
      </w:tr>
      <w:tr w:rsidR="001970AE" w:rsidRPr="000F1269" w14:paraId="5FE80DF9" w14:textId="77777777" w:rsidTr="00B77810">
        <w:trPr>
          <w:trHeight w:val="258"/>
          <w:jc w:val="center"/>
        </w:trPr>
        <w:tc>
          <w:tcPr>
            <w:tcW w:w="1316" w:type="dxa"/>
            <w:vMerge w:val="restart"/>
            <w:shd w:val="clear" w:color="auto" w:fill="auto"/>
            <w:noWrap/>
            <w:vAlign w:val="center"/>
            <w:hideMark/>
          </w:tcPr>
          <w:p w14:paraId="6E0A2A4C"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PG 64-22</w:t>
            </w:r>
          </w:p>
        </w:tc>
        <w:tc>
          <w:tcPr>
            <w:tcW w:w="1134" w:type="dxa"/>
            <w:shd w:val="clear" w:color="auto" w:fill="auto"/>
            <w:noWrap/>
            <w:vAlign w:val="center"/>
            <w:hideMark/>
          </w:tcPr>
          <w:p w14:paraId="1705922F"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unaged</w:t>
            </w:r>
          </w:p>
        </w:tc>
        <w:tc>
          <w:tcPr>
            <w:tcW w:w="701" w:type="dxa"/>
            <w:shd w:val="clear" w:color="auto" w:fill="auto"/>
            <w:noWrap/>
            <w:vAlign w:val="center"/>
            <w:hideMark/>
          </w:tcPr>
          <w:p w14:paraId="4BC5D031"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0.66</w:t>
            </w:r>
          </w:p>
        </w:tc>
        <w:tc>
          <w:tcPr>
            <w:tcW w:w="701" w:type="dxa"/>
            <w:shd w:val="clear" w:color="auto" w:fill="auto"/>
            <w:noWrap/>
            <w:vAlign w:val="center"/>
            <w:hideMark/>
          </w:tcPr>
          <w:p w14:paraId="7ED0CDB3"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0.43</w:t>
            </w:r>
          </w:p>
        </w:tc>
        <w:tc>
          <w:tcPr>
            <w:tcW w:w="887" w:type="dxa"/>
            <w:shd w:val="clear" w:color="auto" w:fill="auto"/>
            <w:noWrap/>
            <w:vAlign w:val="center"/>
            <w:hideMark/>
          </w:tcPr>
          <w:p w14:paraId="2B704D6E"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14.76</w:t>
            </w:r>
          </w:p>
        </w:tc>
        <w:tc>
          <w:tcPr>
            <w:tcW w:w="782" w:type="dxa"/>
            <w:shd w:val="clear" w:color="auto" w:fill="auto"/>
            <w:noWrap/>
            <w:vAlign w:val="center"/>
            <w:hideMark/>
          </w:tcPr>
          <w:p w14:paraId="0E57431D"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1.07</w:t>
            </w:r>
          </w:p>
        </w:tc>
        <w:tc>
          <w:tcPr>
            <w:tcW w:w="1051" w:type="dxa"/>
            <w:shd w:val="clear" w:color="auto" w:fill="auto"/>
            <w:noWrap/>
            <w:vAlign w:val="center"/>
            <w:hideMark/>
          </w:tcPr>
          <w:p w14:paraId="44B67452"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15.83</w:t>
            </w:r>
          </w:p>
        </w:tc>
        <w:tc>
          <w:tcPr>
            <w:tcW w:w="918" w:type="dxa"/>
            <w:shd w:val="clear" w:color="auto" w:fill="auto"/>
            <w:noWrap/>
            <w:vAlign w:val="center"/>
            <w:hideMark/>
          </w:tcPr>
          <w:p w14:paraId="26993DE4"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1.54</w:t>
            </w:r>
          </w:p>
        </w:tc>
      </w:tr>
      <w:tr w:rsidR="001970AE" w:rsidRPr="000F1269" w14:paraId="5897062A" w14:textId="77777777" w:rsidTr="00B77810">
        <w:trPr>
          <w:trHeight w:val="258"/>
          <w:jc w:val="center"/>
        </w:trPr>
        <w:tc>
          <w:tcPr>
            <w:tcW w:w="1316" w:type="dxa"/>
            <w:vMerge/>
            <w:shd w:val="clear" w:color="auto" w:fill="auto"/>
            <w:vAlign w:val="center"/>
            <w:hideMark/>
          </w:tcPr>
          <w:p w14:paraId="646CE17F" w14:textId="77777777" w:rsidR="001970AE" w:rsidRPr="000F1269" w:rsidRDefault="001970AE" w:rsidP="00650395">
            <w:pPr>
              <w:spacing w:line="240" w:lineRule="auto"/>
              <w:rPr>
                <w:rFonts w:eastAsia="Times New Roman" w:cs="Times New Roman"/>
                <w:color w:val="000000"/>
                <w:sz w:val="20"/>
                <w:szCs w:val="20"/>
              </w:rPr>
            </w:pPr>
          </w:p>
        </w:tc>
        <w:tc>
          <w:tcPr>
            <w:tcW w:w="1134" w:type="dxa"/>
            <w:shd w:val="clear" w:color="auto" w:fill="auto"/>
            <w:noWrap/>
            <w:vAlign w:val="center"/>
            <w:hideMark/>
          </w:tcPr>
          <w:p w14:paraId="4013AF63"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RTFO</w:t>
            </w:r>
          </w:p>
        </w:tc>
        <w:tc>
          <w:tcPr>
            <w:tcW w:w="701" w:type="dxa"/>
            <w:shd w:val="clear" w:color="auto" w:fill="auto"/>
            <w:noWrap/>
            <w:vAlign w:val="center"/>
            <w:hideMark/>
          </w:tcPr>
          <w:p w14:paraId="4E3C322B"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0.29</w:t>
            </w:r>
          </w:p>
        </w:tc>
        <w:tc>
          <w:tcPr>
            <w:tcW w:w="701" w:type="dxa"/>
            <w:shd w:val="clear" w:color="auto" w:fill="auto"/>
            <w:noWrap/>
            <w:vAlign w:val="center"/>
            <w:hideMark/>
          </w:tcPr>
          <w:p w14:paraId="765D8737"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0.28</w:t>
            </w:r>
          </w:p>
        </w:tc>
        <w:tc>
          <w:tcPr>
            <w:tcW w:w="887" w:type="dxa"/>
            <w:shd w:val="clear" w:color="auto" w:fill="auto"/>
            <w:noWrap/>
            <w:vAlign w:val="center"/>
            <w:hideMark/>
          </w:tcPr>
          <w:p w14:paraId="7D1942E3"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17.78</w:t>
            </w:r>
          </w:p>
        </w:tc>
        <w:tc>
          <w:tcPr>
            <w:tcW w:w="782" w:type="dxa"/>
            <w:shd w:val="clear" w:color="auto" w:fill="auto"/>
            <w:noWrap/>
            <w:vAlign w:val="center"/>
            <w:hideMark/>
          </w:tcPr>
          <w:p w14:paraId="4D27ECAF"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0.57</w:t>
            </w:r>
          </w:p>
        </w:tc>
        <w:tc>
          <w:tcPr>
            <w:tcW w:w="1051" w:type="dxa"/>
            <w:shd w:val="clear" w:color="auto" w:fill="auto"/>
            <w:noWrap/>
            <w:vAlign w:val="center"/>
            <w:hideMark/>
          </w:tcPr>
          <w:p w14:paraId="0FAFD6E9"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18.35</w:t>
            </w:r>
          </w:p>
        </w:tc>
        <w:tc>
          <w:tcPr>
            <w:tcW w:w="918" w:type="dxa"/>
            <w:shd w:val="clear" w:color="auto" w:fill="auto"/>
            <w:noWrap/>
            <w:vAlign w:val="center"/>
            <w:hideMark/>
          </w:tcPr>
          <w:p w14:paraId="67D45A3F"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1.06</w:t>
            </w:r>
          </w:p>
        </w:tc>
      </w:tr>
      <w:tr w:rsidR="001970AE" w:rsidRPr="000F1269" w14:paraId="0D92CF67" w14:textId="77777777" w:rsidTr="00B77810">
        <w:trPr>
          <w:trHeight w:val="258"/>
          <w:jc w:val="center"/>
        </w:trPr>
        <w:tc>
          <w:tcPr>
            <w:tcW w:w="1316" w:type="dxa"/>
            <w:vMerge/>
            <w:shd w:val="clear" w:color="auto" w:fill="auto"/>
            <w:vAlign w:val="center"/>
            <w:hideMark/>
          </w:tcPr>
          <w:p w14:paraId="34D46CF3" w14:textId="77777777" w:rsidR="001970AE" w:rsidRPr="000F1269" w:rsidRDefault="001970AE" w:rsidP="00650395">
            <w:pPr>
              <w:spacing w:line="240" w:lineRule="auto"/>
              <w:rPr>
                <w:rFonts w:eastAsia="Times New Roman" w:cs="Times New Roman"/>
                <w:color w:val="000000"/>
                <w:sz w:val="20"/>
                <w:szCs w:val="20"/>
              </w:rPr>
            </w:pPr>
          </w:p>
        </w:tc>
        <w:tc>
          <w:tcPr>
            <w:tcW w:w="1134" w:type="dxa"/>
            <w:shd w:val="clear" w:color="auto" w:fill="auto"/>
            <w:noWrap/>
            <w:vAlign w:val="center"/>
            <w:hideMark/>
          </w:tcPr>
          <w:p w14:paraId="54646B23"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PAV</w:t>
            </w:r>
          </w:p>
        </w:tc>
        <w:tc>
          <w:tcPr>
            <w:tcW w:w="701" w:type="dxa"/>
            <w:shd w:val="clear" w:color="auto" w:fill="auto"/>
            <w:noWrap/>
            <w:vAlign w:val="center"/>
            <w:hideMark/>
          </w:tcPr>
          <w:p w14:paraId="2B6EF4C8"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0.30</w:t>
            </w:r>
          </w:p>
        </w:tc>
        <w:tc>
          <w:tcPr>
            <w:tcW w:w="701" w:type="dxa"/>
            <w:shd w:val="clear" w:color="auto" w:fill="auto"/>
            <w:noWrap/>
            <w:vAlign w:val="center"/>
            <w:hideMark/>
          </w:tcPr>
          <w:p w14:paraId="5AB1790B"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0.52</w:t>
            </w:r>
          </w:p>
        </w:tc>
        <w:tc>
          <w:tcPr>
            <w:tcW w:w="887" w:type="dxa"/>
            <w:shd w:val="clear" w:color="auto" w:fill="auto"/>
            <w:noWrap/>
            <w:vAlign w:val="center"/>
            <w:hideMark/>
          </w:tcPr>
          <w:p w14:paraId="657D7369"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16.76</w:t>
            </w:r>
          </w:p>
        </w:tc>
        <w:tc>
          <w:tcPr>
            <w:tcW w:w="782" w:type="dxa"/>
            <w:shd w:val="clear" w:color="auto" w:fill="auto"/>
            <w:noWrap/>
            <w:vAlign w:val="center"/>
            <w:hideMark/>
          </w:tcPr>
          <w:p w14:paraId="18C169E0"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0.79</w:t>
            </w:r>
          </w:p>
        </w:tc>
        <w:tc>
          <w:tcPr>
            <w:tcW w:w="1051" w:type="dxa"/>
            <w:shd w:val="clear" w:color="auto" w:fill="auto"/>
            <w:noWrap/>
            <w:vAlign w:val="center"/>
            <w:hideMark/>
          </w:tcPr>
          <w:p w14:paraId="4F076AF9"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17.55</w:t>
            </w:r>
          </w:p>
        </w:tc>
        <w:tc>
          <w:tcPr>
            <w:tcW w:w="918" w:type="dxa"/>
            <w:shd w:val="clear" w:color="auto" w:fill="auto"/>
            <w:noWrap/>
            <w:vAlign w:val="center"/>
            <w:hideMark/>
          </w:tcPr>
          <w:p w14:paraId="6A9FBFED"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0.58</w:t>
            </w:r>
          </w:p>
        </w:tc>
      </w:tr>
      <w:tr w:rsidR="001970AE" w:rsidRPr="000F1269" w14:paraId="5CDE76DE" w14:textId="77777777" w:rsidTr="00B77810">
        <w:trPr>
          <w:trHeight w:val="258"/>
          <w:jc w:val="center"/>
        </w:trPr>
        <w:tc>
          <w:tcPr>
            <w:tcW w:w="1316" w:type="dxa"/>
            <w:vMerge w:val="restart"/>
            <w:shd w:val="clear" w:color="auto" w:fill="auto"/>
            <w:vAlign w:val="center"/>
            <w:hideMark/>
          </w:tcPr>
          <w:p w14:paraId="542B4FE6"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PG 64-22 + 0.5% WMA</w:t>
            </w:r>
          </w:p>
        </w:tc>
        <w:tc>
          <w:tcPr>
            <w:tcW w:w="1134" w:type="dxa"/>
            <w:shd w:val="clear" w:color="auto" w:fill="auto"/>
            <w:noWrap/>
            <w:vAlign w:val="center"/>
            <w:hideMark/>
          </w:tcPr>
          <w:p w14:paraId="1CA50E36"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unaged</w:t>
            </w:r>
          </w:p>
        </w:tc>
        <w:tc>
          <w:tcPr>
            <w:tcW w:w="701" w:type="dxa"/>
            <w:shd w:val="clear" w:color="auto" w:fill="auto"/>
            <w:noWrap/>
            <w:vAlign w:val="center"/>
            <w:hideMark/>
          </w:tcPr>
          <w:p w14:paraId="031EF76D"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0.75</w:t>
            </w:r>
          </w:p>
        </w:tc>
        <w:tc>
          <w:tcPr>
            <w:tcW w:w="701" w:type="dxa"/>
            <w:shd w:val="clear" w:color="auto" w:fill="auto"/>
            <w:noWrap/>
            <w:vAlign w:val="center"/>
            <w:hideMark/>
          </w:tcPr>
          <w:p w14:paraId="5606C0DA"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0.76</w:t>
            </w:r>
          </w:p>
        </w:tc>
        <w:tc>
          <w:tcPr>
            <w:tcW w:w="887" w:type="dxa"/>
            <w:shd w:val="clear" w:color="auto" w:fill="auto"/>
            <w:noWrap/>
            <w:vAlign w:val="center"/>
            <w:hideMark/>
          </w:tcPr>
          <w:p w14:paraId="5C214423"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14.76</w:t>
            </w:r>
          </w:p>
        </w:tc>
        <w:tc>
          <w:tcPr>
            <w:tcW w:w="782" w:type="dxa"/>
            <w:shd w:val="clear" w:color="auto" w:fill="auto"/>
            <w:noWrap/>
            <w:vAlign w:val="center"/>
            <w:hideMark/>
          </w:tcPr>
          <w:p w14:paraId="033FD480"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1.51</w:t>
            </w:r>
          </w:p>
        </w:tc>
        <w:tc>
          <w:tcPr>
            <w:tcW w:w="1051" w:type="dxa"/>
            <w:shd w:val="clear" w:color="auto" w:fill="auto"/>
            <w:noWrap/>
            <w:vAlign w:val="center"/>
            <w:hideMark/>
          </w:tcPr>
          <w:p w14:paraId="42C7E78D"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16.27</w:t>
            </w:r>
          </w:p>
        </w:tc>
        <w:tc>
          <w:tcPr>
            <w:tcW w:w="918" w:type="dxa"/>
            <w:shd w:val="clear" w:color="auto" w:fill="auto"/>
            <w:noWrap/>
            <w:vAlign w:val="center"/>
            <w:hideMark/>
          </w:tcPr>
          <w:p w14:paraId="0A0AD6C8"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0.98</w:t>
            </w:r>
          </w:p>
        </w:tc>
      </w:tr>
      <w:tr w:rsidR="001970AE" w:rsidRPr="000F1269" w14:paraId="20ADDFEA" w14:textId="77777777" w:rsidTr="00B77810">
        <w:trPr>
          <w:trHeight w:val="258"/>
          <w:jc w:val="center"/>
        </w:trPr>
        <w:tc>
          <w:tcPr>
            <w:tcW w:w="1316" w:type="dxa"/>
            <w:vMerge/>
            <w:shd w:val="clear" w:color="auto" w:fill="auto"/>
            <w:vAlign w:val="center"/>
            <w:hideMark/>
          </w:tcPr>
          <w:p w14:paraId="5D831609" w14:textId="77777777" w:rsidR="001970AE" w:rsidRPr="000F1269" w:rsidRDefault="001970AE" w:rsidP="00650395">
            <w:pPr>
              <w:spacing w:line="240" w:lineRule="auto"/>
              <w:rPr>
                <w:rFonts w:eastAsia="Times New Roman" w:cs="Times New Roman"/>
                <w:color w:val="000000"/>
                <w:sz w:val="20"/>
                <w:szCs w:val="20"/>
              </w:rPr>
            </w:pPr>
          </w:p>
        </w:tc>
        <w:tc>
          <w:tcPr>
            <w:tcW w:w="1134" w:type="dxa"/>
            <w:shd w:val="clear" w:color="auto" w:fill="auto"/>
            <w:noWrap/>
            <w:vAlign w:val="center"/>
            <w:hideMark/>
          </w:tcPr>
          <w:p w14:paraId="08F14CFC"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RTFO</w:t>
            </w:r>
          </w:p>
        </w:tc>
        <w:tc>
          <w:tcPr>
            <w:tcW w:w="701" w:type="dxa"/>
            <w:shd w:val="clear" w:color="auto" w:fill="auto"/>
            <w:noWrap/>
            <w:vAlign w:val="center"/>
            <w:hideMark/>
          </w:tcPr>
          <w:p w14:paraId="2C2320BC"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0.38</w:t>
            </w:r>
          </w:p>
        </w:tc>
        <w:tc>
          <w:tcPr>
            <w:tcW w:w="701" w:type="dxa"/>
            <w:shd w:val="clear" w:color="auto" w:fill="auto"/>
            <w:noWrap/>
            <w:vAlign w:val="center"/>
            <w:hideMark/>
          </w:tcPr>
          <w:p w14:paraId="5AABA72F"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0.31</w:t>
            </w:r>
          </w:p>
        </w:tc>
        <w:tc>
          <w:tcPr>
            <w:tcW w:w="887" w:type="dxa"/>
            <w:shd w:val="clear" w:color="auto" w:fill="auto"/>
            <w:noWrap/>
            <w:vAlign w:val="center"/>
            <w:hideMark/>
          </w:tcPr>
          <w:p w14:paraId="06399C94"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17.78</w:t>
            </w:r>
          </w:p>
        </w:tc>
        <w:tc>
          <w:tcPr>
            <w:tcW w:w="782" w:type="dxa"/>
            <w:shd w:val="clear" w:color="auto" w:fill="auto"/>
            <w:noWrap/>
            <w:vAlign w:val="center"/>
            <w:hideMark/>
          </w:tcPr>
          <w:p w14:paraId="6B389FD2"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0.69</w:t>
            </w:r>
          </w:p>
        </w:tc>
        <w:tc>
          <w:tcPr>
            <w:tcW w:w="1051" w:type="dxa"/>
            <w:shd w:val="clear" w:color="auto" w:fill="auto"/>
            <w:noWrap/>
            <w:vAlign w:val="center"/>
            <w:hideMark/>
          </w:tcPr>
          <w:p w14:paraId="7658351F"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18.47</w:t>
            </w:r>
          </w:p>
        </w:tc>
        <w:tc>
          <w:tcPr>
            <w:tcW w:w="918" w:type="dxa"/>
            <w:shd w:val="clear" w:color="auto" w:fill="auto"/>
            <w:noWrap/>
            <w:vAlign w:val="center"/>
            <w:hideMark/>
          </w:tcPr>
          <w:p w14:paraId="30FACD97"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1.24</w:t>
            </w:r>
          </w:p>
        </w:tc>
      </w:tr>
      <w:tr w:rsidR="001970AE" w:rsidRPr="000F1269" w14:paraId="57D3C57C" w14:textId="77777777" w:rsidTr="00B77810">
        <w:trPr>
          <w:trHeight w:val="258"/>
          <w:jc w:val="center"/>
        </w:trPr>
        <w:tc>
          <w:tcPr>
            <w:tcW w:w="1316" w:type="dxa"/>
            <w:vMerge/>
            <w:shd w:val="clear" w:color="auto" w:fill="auto"/>
            <w:vAlign w:val="center"/>
            <w:hideMark/>
          </w:tcPr>
          <w:p w14:paraId="4973E77A" w14:textId="77777777" w:rsidR="001970AE" w:rsidRPr="000F1269" w:rsidRDefault="001970AE" w:rsidP="00650395">
            <w:pPr>
              <w:spacing w:line="240" w:lineRule="auto"/>
              <w:rPr>
                <w:rFonts w:eastAsia="Times New Roman" w:cs="Times New Roman"/>
                <w:color w:val="000000"/>
                <w:sz w:val="20"/>
                <w:szCs w:val="20"/>
              </w:rPr>
            </w:pPr>
          </w:p>
        </w:tc>
        <w:tc>
          <w:tcPr>
            <w:tcW w:w="1134" w:type="dxa"/>
            <w:shd w:val="clear" w:color="auto" w:fill="auto"/>
            <w:noWrap/>
            <w:vAlign w:val="center"/>
            <w:hideMark/>
          </w:tcPr>
          <w:p w14:paraId="7E841A7E"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PAV</w:t>
            </w:r>
          </w:p>
        </w:tc>
        <w:tc>
          <w:tcPr>
            <w:tcW w:w="701" w:type="dxa"/>
            <w:shd w:val="clear" w:color="auto" w:fill="auto"/>
            <w:noWrap/>
            <w:vAlign w:val="center"/>
            <w:hideMark/>
          </w:tcPr>
          <w:p w14:paraId="2CF9588C"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0.91</w:t>
            </w:r>
          </w:p>
        </w:tc>
        <w:tc>
          <w:tcPr>
            <w:tcW w:w="701" w:type="dxa"/>
            <w:shd w:val="clear" w:color="auto" w:fill="auto"/>
            <w:noWrap/>
            <w:vAlign w:val="center"/>
            <w:hideMark/>
          </w:tcPr>
          <w:p w14:paraId="74C6C79A"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0.50</w:t>
            </w:r>
          </w:p>
        </w:tc>
        <w:tc>
          <w:tcPr>
            <w:tcW w:w="887" w:type="dxa"/>
            <w:shd w:val="clear" w:color="auto" w:fill="auto"/>
            <w:noWrap/>
            <w:vAlign w:val="center"/>
            <w:hideMark/>
          </w:tcPr>
          <w:p w14:paraId="08E4497F"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13.20</w:t>
            </w:r>
          </w:p>
        </w:tc>
        <w:tc>
          <w:tcPr>
            <w:tcW w:w="782" w:type="dxa"/>
            <w:shd w:val="clear" w:color="auto" w:fill="auto"/>
            <w:noWrap/>
            <w:vAlign w:val="center"/>
            <w:hideMark/>
          </w:tcPr>
          <w:p w14:paraId="38E44C01"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1.34</w:t>
            </w:r>
          </w:p>
        </w:tc>
        <w:tc>
          <w:tcPr>
            <w:tcW w:w="1051" w:type="dxa"/>
            <w:shd w:val="clear" w:color="auto" w:fill="auto"/>
            <w:noWrap/>
            <w:vAlign w:val="center"/>
            <w:hideMark/>
          </w:tcPr>
          <w:p w14:paraId="2944850D"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14.54</w:t>
            </w:r>
          </w:p>
        </w:tc>
        <w:tc>
          <w:tcPr>
            <w:tcW w:w="918" w:type="dxa"/>
            <w:shd w:val="clear" w:color="auto" w:fill="auto"/>
            <w:noWrap/>
            <w:vAlign w:val="center"/>
            <w:hideMark/>
          </w:tcPr>
          <w:p w14:paraId="44B11086"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1.82</w:t>
            </w:r>
          </w:p>
        </w:tc>
      </w:tr>
      <w:tr w:rsidR="001970AE" w:rsidRPr="000F1269" w14:paraId="4974465C" w14:textId="77777777" w:rsidTr="00B77810">
        <w:trPr>
          <w:trHeight w:val="258"/>
          <w:jc w:val="center"/>
        </w:trPr>
        <w:tc>
          <w:tcPr>
            <w:tcW w:w="1316" w:type="dxa"/>
            <w:vMerge w:val="restart"/>
            <w:shd w:val="clear" w:color="auto" w:fill="auto"/>
            <w:vAlign w:val="center"/>
            <w:hideMark/>
          </w:tcPr>
          <w:p w14:paraId="724C19F5"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PG 64-22 + 0.5% ASA</w:t>
            </w:r>
          </w:p>
        </w:tc>
        <w:tc>
          <w:tcPr>
            <w:tcW w:w="1134" w:type="dxa"/>
            <w:shd w:val="clear" w:color="auto" w:fill="auto"/>
            <w:noWrap/>
            <w:vAlign w:val="center"/>
            <w:hideMark/>
          </w:tcPr>
          <w:p w14:paraId="6C8CCC21"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unaged</w:t>
            </w:r>
          </w:p>
        </w:tc>
        <w:tc>
          <w:tcPr>
            <w:tcW w:w="701" w:type="dxa"/>
            <w:shd w:val="clear" w:color="auto" w:fill="auto"/>
            <w:noWrap/>
            <w:vAlign w:val="center"/>
            <w:hideMark/>
          </w:tcPr>
          <w:p w14:paraId="707FFF34"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0.65</w:t>
            </w:r>
          </w:p>
        </w:tc>
        <w:tc>
          <w:tcPr>
            <w:tcW w:w="701" w:type="dxa"/>
            <w:shd w:val="clear" w:color="auto" w:fill="auto"/>
            <w:noWrap/>
            <w:vAlign w:val="center"/>
            <w:hideMark/>
          </w:tcPr>
          <w:p w14:paraId="796E5969"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1.61</w:t>
            </w:r>
          </w:p>
        </w:tc>
        <w:tc>
          <w:tcPr>
            <w:tcW w:w="887" w:type="dxa"/>
            <w:shd w:val="clear" w:color="auto" w:fill="auto"/>
            <w:noWrap/>
            <w:vAlign w:val="center"/>
            <w:hideMark/>
          </w:tcPr>
          <w:p w14:paraId="1969042A"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15.06</w:t>
            </w:r>
          </w:p>
        </w:tc>
        <w:tc>
          <w:tcPr>
            <w:tcW w:w="782" w:type="dxa"/>
            <w:shd w:val="clear" w:color="auto" w:fill="auto"/>
            <w:noWrap/>
            <w:vAlign w:val="center"/>
            <w:hideMark/>
          </w:tcPr>
          <w:p w14:paraId="6CD16BD6"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2.05</w:t>
            </w:r>
          </w:p>
        </w:tc>
        <w:tc>
          <w:tcPr>
            <w:tcW w:w="1051" w:type="dxa"/>
            <w:shd w:val="clear" w:color="auto" w:fill="auto"/>
            <w:noWrap/>
            <w:vAlign w:val="center"/>
            <w:hideMark/>
          </w:tcPr>
          <w:p w14:paraId="3922F3DE"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17.11</w:t>
            </w:r>
          </w:p>
        </w:tc>
        <w:tc>
          <w:tcPr>
            <w:tcW w:w="918" w:type="dxa"/>
            <w:shd w:val="clear" w:color="auto" w:fill="auto"/>
            <w:noWrap/>
            <w:vAlign w:val="center"/>
            <w:hideMark/>
          </w:tcPr>
          <w:p w14:paraId="0CF260B2"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0.41</w:t>
            </w:r>
          </w:p>
        </w:tc>
      </w:tr>
      <w:tr w:rsidR="001970AE" w:rsidRPr="000F1269" w14:paraId="04590BCF" w14:textId="77777777" w:rsidTr="00B77810">
        <w:trPr>
          <w:trHeight w:val="258"/>
          <w:jc w:val="center"/>
        </w:trPr>
        <w:tc>
          <w:tcPr>
            <w:tcW w:w="1316" w:type="dxa"/>
            <w:vMerge/>
            <w:shd w:val="clear" w:color="auto" w:fill="auto"/>
            <w:vAlign w:val="center"/>
            <w:hideMark/>
          </w:tcPr>
          <w:p w14:paraId="0CBC0C05" w14:textId="77777777" w:rsidR="001970AE" w:rsidRPr="000F1269" w:rsidRDefault="001970AE" w:rsidP="00650395">
            <w:pPr>
              <w:spacing w:line="240" w:lineRule="auto"/>
              <w:rPr>
                <w:rFonts w:eastAsia="Times New Roman" w:cs="Times New Roman"/>
                <w:color w:val="000000"/>
                <w:sz w:val="20"/>
                <w:szCs w:val="20"/>
              </w:rPr>
            </w:pPr>
          </w:p>
        </w:tc>
        <w:tc>
          <w:tcPr>
            <w:tcW w:w="1134" w:type="dxa"/>
            <w:shd w:val="clear" w:color="auto" w:fill="auto"/>
            <w:noWrap/>
            <w:vAlign w:val="center"/>
            <w:hideMark/>
          </w:tcPr>
          <w:p w14:paraId="2525D211"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RTFO</w:t>
            </w:r>
          </w:p>
        </w:tc>
        <w:tc>
          <w:tcPr>
            <w:tcW w:w="701" w:type="dxa"/>
            <w:shd w:val="clear" w:color="auto" w:fill="auto"/>
            <w:noWrap/>
            <w:vAlign w:val="center"/>
            <w:hideMark/>
          </w:tcPr>
          <w:p w14:paraId="36F89D22"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0.36</w:t>
            </w:r>
          </w:p>
        </w:tc>
        <w:tc>
          <w:tcPr>
            <w:tcW w:w="701" w:type="dxa"/>
            <w:shd w:val="clear" w:color="auto" w:fill="auto"/>
            <w:noWrap/>
            <w:vAlign w:val="center"/>
            <w:hideMark/>
          </w:tcPr>
          <w:p w14:paraId="7AB0FBB6"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0.41</w:t>
            </w:r>
          </w:p>
        </w:tc>
        <w:tc>
          <w:tcPr>
            <w:tcW w:w="887" w:type="dxa"/>
            <w:shd w:val="clear" w:color="auto" w:fill="auto"/>
            <w:noWrap/>
            <w:vAlign w:val="center"/>
            <w:hideMark/>
          </w:tcPr>
          <w:p w14:paraId="72B57791"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17.20</w:t>
            </w:r>
          </w:p>
        </w:tc>
        <w:tc>
          <w:tcPr>
            <w:tcW w:w="782" w:type="dxa"/>
            <w:shd w:val="clear" w:color="auto" w:fill="auto"/>
            <w:noWrap/>
            <w:vAlign w:val="center"/>
            <w:hideMark/>
          </w:tcPr>
          <w:p w14:paraId="36B8D8A8"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0.78</w:t>
            </w:r>
          </w:p>
        </w:tc>
        <w:tc>
          <w:tcPr>
            <w:tcW w:w="1051" w:type="dxa"/>
            <w:shd w:val="clear" w:color="auto" w:fill="auto"/>
            <w:noWrap/>
            <w:vAlign w:val="center"/>
            <w:hideMark/>
          </w:tcPr>
          <w:p w14:paraId="6C5C7CEB"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17.98</w:t>
            </w:r>
          </w:p>
        </w:tc>
        <w:tc>
          <w:tcPr>
            <w:tcW w:w="918" w:type="dxa"/>
            <w:shd w:val="clear" w:color="auto" w:fill="auto"/>
            <w:noWrap/>
            <w:vAlign w:val="center"/>
            <w:hideMark/>
          </w:tcPr>
          <w:p w14:paraId="3331460C"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0.87</w:t>
            </w:r>
          </w:p>
        </w:tc>
      </w:tr>
      <w:tr w:rsidR="001970AE" w:rsidRPr="000F1269" w14:paraId="60E30455" w14:textId="77777777" w:rsidTr="00B77810">
        <w:trPr>
          <w:trHeight w:val="258"/>
          <w:jc w:val="center"/>
        </w:trPr>
        <w:tc>
          <w:tcPr>
            <w:tcW w:w="1316" w:type="dxa"/>
            <w:vMerge/>
            <w:shd w:val="clear" w:color="auto" w:fill="auto"/>
            <w:vAlign w:val="center"/>
            <w:hideMark/>
          </w:tcPr>
          <w:p w14:paraId="6726C8AE" w14:textId="77777777" w:rsidR="001970AE" w:rsidRPr="000F1269" w:rsidRDefault="001970AE" w:rsidP="00650395">
            <w:pPr>
              <w:spacing w:line="240" w:lineRule="auto"/>
              <w:rPr>
                <w:rFonts w:eastAsia="Times New Roman" w:cs="Times New Roman"/>
                <w:color w:val="000000"/>
                <w:sz w:val="20"/>
                <w:szCs w:val="20"/>
              </w:rPr>
            </w:pPr>
          </w:p>
        </w:tc>
        <w:tc>
          <w:tcPr>
            <w:tcW w:w="1134" w:type="dxa"/>
            <w:shd w:val="clear" w:color="auto" w:fill="auto"/>
            <w:noWrap/>
            <w:vAlign w:val="center"/>
            <w:hideMark/>
          </w:tcPr>
          <w:p w14:paraId="55EDBC29"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PAV</w:t>
            </w:r>
          </w:p>
        </w:tc>
        <w:tc>
          <w:tcPr>
            <w:tcW w:w="701" w:type="dxa"/>
            <w:shd w:val="clear" w:color="auto" w:fill="auto"/>
            <w:noWrap/>
            <w:vAlign w:val="center"/>
            <w:hideMark/>
          </w:tcPr>
          <w:p w14:paraId="1C5861E4"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0.44</w:t>
            </w:r>
          </w:p>
        </w:tc>
        <w:tc>
          <w:tcPr>
            <w:tcW w:w="701" w:type="dxa"/>
            <w:shd w:val="clear" w:color="auto" w:fill="auto"/>
            <w:noWrap/>
            <w:vAlign w:val="center"/>
            <w:hideMark/>
          </w:tcPr>
          <w:p w14:paraId="05B01803"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0.38</w:t>
            </w:r>
          </w:p>
        </w:tc>
        <w:tc>
          <w:tcPr>
            <w:tcW w:w="887" w:type="dxa"/>
            <w:shd w:val="clear" w:color="auto" w:fill="auto"/>
            <w:noWrap/>
            <w:vAlign w:val="center"/>
            <w:hideMark/>
          </w:tcPr>
          <w:p w14:paraId="4F95D6B3"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16.43</w:t>
            </w:r>
          </w:p>
        </w:tc>
        <w:tc>
          <w:tcPr>
            <w:tcW w:w="782" w:type="dxa"/>
            <w:shd w:val="clear" w:color="auto" w:fill="auto"/>
            <w:noWrap/>
            <w:vAlign w:val="center"/>
            <w:hideMark/>
          </w:tcPr>
          <w:p w14:paraId="425A5FED"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0.82</w:t>
            </w:r>
          </w:p>
        </w:tc>
        <w:tc>
          <w:tcPr>
            <w:tcW w:w="1051" w:type="dxa"/>
            <w:shd w:val="clear" w:color="auto" w:fill="auto"/>
            <w:noWrap/>
            <w:vAlign w:val="center"/>
            <w:hideMark/>
          </w:tcPr>
          <w:p w14:paraId="201EEB34"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17.25</w:t>
            </w:r>
          </w:p>
        </w:tc>
        <w:tc>
          <w:tcPr>
            <w:tcW w:w="918" w:type="dxa"/>
            <w:shd w:val="clear" w:color="auto" w:fill="auto"/>
            <w:noWrap/>
            <w:vAlign w:val="center"/>
            <w:hideMark/>
          </w:tcPr>
          <w:p w14:paraId="5D31F724"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1.17</w:t>
            </w:r>
          </w:p>
        </w:tc>
      </w:tr>
      <w:tr w:rsidR="001970AE" w:rsidRPr="000F1269" w14:paraId="06B9188B" w14:textId="77777777" w:rsidTr="00B77810">
        <w:trPr>
          <w:trHeight w:val="258"/>
          <w:jc w:val="center"/>
        </w:trPr>
        <w:tc>
          <w:tcPr>
            <w:tcW w:w="1316" w:type="dxa"/>
            <w:vMerge w:val="restart"/>
            <w:shd w:val="clear" w:color="auto" w:fill="auto"/>
            <w:vAlign w:val="center"/>
            <w:hideMark/>
          </w:tcPr>
          <w:p w14:paraId="002A0C12"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PG 64-22 + 20% RAP</w:t>
            </w:r>
          </w:p>
        </w:tc>
        <w:tc>
          <w:tcPr>
            <w:tcW w:w="1134" w:type="dxa"/>
            <w:shd w:val="clear" w:color="auto" w:fill="auto"/>
            <w:noWrap/>
            <w:vAlign w:val="center"/>
            <w:hideMark/>
          </w:tcPr>
          <w:p w14:paraId="681DC430"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unaged</w:t>
            </w:r>
          </w:p>
        </w:tc>
        <w:tc>
          <w:tcPr>
            <w:tcW w:w="701" w:type="dxa"/>
            <w:shd w:val="clear" w:color="auto" w:fill="auto"/>
            <w:noWrap/>
            <w:vAlign w:val="center"/>
            <w:hideMark/>
          </w:tcPr>
          <w:p w14:paraId="58FC4160"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0.51</w:t>
            </w:r>
          </w:p>
        </w:tc>
        <w:tc>
          <w:tcPr>
            <w:tcW w:w="701" w:type="dxa"/>
            <w:shd w:val="clear" w:color="auto" w:fill="auto"/>
            <w:noWrap/>
            <w:vAlign w:val="center"/>
            <w:hideMark/>
          </w:tcPr>
          <w:p w14:paraId="6064E33A"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0.74</w:t>
            </w:r>
          </w:p>
        </w:tc>
        <w:tc>
          <w:tcPr>
            <w:tcW w:w="887" w:type="dxa"/>
            <w:shd w:val="clear" w:color="auto" w:fill="auto"/>
            <w:noWrap/>
            <w:vAlign w:val="center"/>
            <w:hideMark/>
          </w:tcPr>
          <w:p w14:paraId="196E22BB"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15.90</w:t>
            </w:r>
          </w:p>
        </w:tc>
        <w:tc>
          <w:tcPr>
            <w:tcW w:w="782" w:type="dxa"/>
            <w:shd w:val="clear" w:color="auto" w:fill="auto"/>
            <w:noWrap/>
            <w:vAlign w:val="center"/>
            <w:hideMark/>
          </w:tcPr>
          <w:p w14:paraId="313720AC"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1.23</w:t>
            </w:r>
          </w:p>
        </w:tc>
        <w:tc>
          <w:tcPr>
            <w:tcW w:w="1051" w:type="dxa"/>
            <w:shd w:val="clear" w:color="auto" w:fill="auto"/>
            <w:noWrap/>
            <w:vAlign w:val="center"/>
            <w:hideMark/>
          </w:tcPr>
          <w:p w14:paraId="2AED3DED"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17.13</w:t>
            </w:r>
          </w:p>
        </w:tc>
        <w:tc>
          <w:tcPr>
            <w:tcW w:w="918" w:type="dxa"/>
            <w:shd w:val="clear" w:color="auto" w:fill="auto"/>
            <w:noWrap/>
            <w:vAlign w:val="center"/>
            <w:hideMark/>
          </w:tcPr>
          <w:p w14:paraId="6A6D85F6"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0.69</w:t>
            </w:r>
          </w:p>
        </w:tc>
      </w:tr>
      <w:tr w:rsidR="001970AE" w:rsidRPr="000F1269" w14:paraId="2B8FADF0" w14:textId="77777777" w:rsidTr="00B77810">
        <w:trPr>
          <w:trHeight w:val="258"/>
          <w:jc w:val="center"/>
        </w:trPr>
        <w:tc>
          <w:tcPr>
            <w:tcW w:w="1316" w:type="dxa"/>
            <w:vMerge/>
            <w:shd w:val="clear" w:color="auto" w:fill="auto"/>
            <w:vAlign w:val="center"/>
            <w:hideMark/>
          </w:tcPr>
          <w:p w14:paraId="05EF4EBD" w14:textId="77777777" w:rsidR="001970AE" w:rsidRPr="000F1269" w:rsidRDefault="001970AE" w:rsidP="00650395">
            <w:pPr>
              <w:spacing w:line="240" w:lineRule="auto"/>
              <w:rPr>
                <w:rFonts w:eastAsia="Times New Roman" w:cs="Times New Roman"/>
                <w:color w:val="000000"/>
                <w:sz w:val="20"/>
                <w:szCs w:val="20"/>
              </w:rPr>
            </w:pPr>
          </w:p>
        </w:tc>
        <w:tc>
          <w:tcPr>
            <w:tcW w:w="1134" w:type="dxa"/>
            <w:shd w:val="clear" w:color="auto" w:fill="auto"/>
            <w:noWrap/>
            <w:vAlign w:val="center"/>
            <w:hideMark/>
          </w:tcPr>
          <w:p w14:paraId="48AC4BA7"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RTFO</w:t>
            </w:r>
          </w:p>
        </w:tc>
        <w:tc>
          <w:tcPr>
            <w:tcW w:w="701" w:type="dxa"/>
            <w:shd w:val="clear" w:color="auto" w:fill="auto"/>
            <w:noWrap/>
            <w:vAlign w:val="center"/>
            <w:hideMark/>
          </w:tcPr>
          <w:p w14:paraId="14DF18D7"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0.50</w:t>
            </w:r>
          </w:p>
        </w:tc>
        <w:tc>
          <w:tcPr>
            <w:tcW w:w="701" w:type="dxa"/>
            <w:shd w:val="clear" w:color="auto" w:fill="auto"/>
            <w:noWrap/>
            <w:vAlign w:val="center"/>
            <w:hideMark/>
          </w:tcPr>
          <w:p w14:paraId="4DC8BB68"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0.37</w:t>
            </w:r>
          </w:p>
        </w:tc>
        <w:tc>
          <w:tcPr>
            <w:tcW w:w="887" w:type="dxa"/>
            <w:shd w:val="clear" w:color="auto" w:fill="auto"/>
            <w:noWrap/>
            <w:vAlign w:val="center"/>
            <w:hideMark/>
          </w:tcPr>
          <w:p w14:paraId="28CA73AD"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16.53</w:t>
            </w:r>
          </w:p>
        </w:tc>
        <w:tc>
          <w:tcPr>
            <w:tcW w:w="782" w:type="dxa"/>
            <w:shd w:val="clear" w:color="auto" w:fill="auto"/>
            <w:noWrap/>
            <w:vAlign w:val="center"/>
            <w:hideMark/>
          </w:tcPr>
          <w:p w14:paraId="79C48717"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0.86</w:t>
            </w:r>
          </w:p>
        </w:tc>
        <w:tc>
          <w:tcPr>
            <w:tcW w:w="1051" w:type="dxa"/>
            <w:shd w:val="clear" w:color="auto" w:fill="auto"/>
            <w:noWrap/>
            <w:vAlign w:val="center"/>
            <w:hideMark/>
          </w:tcPr>
          <w:p w14:paraId="037F75FE"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17.39</w:t>
            </w:r>
          </w:p>
        </w:tc>
        <w:tc>
          <w:tcPr>
            <w:tcW w:w="918" w:type="dxa"/>
            <w:shd w:val="clear" w:color="auto" w:fill="auto"/>
            <w:noWrap/>
            <w:vAlign w:val="center"/>
            <w:hideMark/>
          </w:tcPr>
          <w:p w14:paraId="4BDE55D5"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1.36</w:t>
            </w:r>
          </w:p>
        </w:tc>
      </w:tr>
      <w:tr w:rsidR="001970AE" w:rsidRPr="000F1269" w14:paraId="753D7B48" w14:textId="77777777" w:rsidTr="00B77810">
        <w:trPr>
          <w:trHeight w:val="258"/>
          <w:jc w:val="center"/>
        </w:trPr>
        <w:tc>
          <w:tcPr>
            <w:tcW w:w="1316" w:type="dxa"/>
            <w:vMerge/>
            <w:shd w:val="clear" w:color="auto" w:fill="auto"/>
            <w:vAlign w:val="center"/>
            <w:hideMark/>
          </w:tcPr>
          <w:p w14:paraId="421096B2" w14:textId="77777777" w:rsidR="001970AE" w:rsidRPr="000F1269" w:rsidRDefault="001970AE" w:rsidP="00650395">
            <w:pPr>
              <w:spacing w:line="240" w:lineRule="auto"/>
              <w:rPr>
                <w:rFonts w:eastAsia="Times New Roman" w:cs="Times New Roman"/>
                <w:color w:val="000000"/>
                <w:sz w:val="20"/>
                <w:szCs w:val="20"/>
              </w:rPr>
            </w:pPr>
          </w:p>
        </w:tc>
        <w:tc>
          <w:tcPr>
            <w:tcW w:w="1134" w:type="dxa"/>
            <w:shd w:val="clear" w:color="auto" w:fill="auto"/>
            <w:noWrap/>
            <w:vAlign w:val="center"/>
            <w:hideMark/>
          </w:tcPr>
          <w:p w14:paraId="11720196"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PAV</w:t>
            </w:r>
          </w:p>
        </w:tc>
        <w:tc>
          <w:tcPr>
            <w:tcW w:w="701" w:type="dxa"/>
            <w:shd w:val="clear" w:color="auto" w:fill="auto"/>
            <w:noWrap/>
            <w:vAlign w:val="center"/>
            <w:hideMark/>
          </w:tcPr>
          <w:p w14:paraId="5DB37F94"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0.12</w:t>
            </w:r>
          </w:p>
        </w:tc>
        <w:tc>
          <w:tcPr>
            <w:tcW w:w="701" w:type="dxa"/>
            <w:shd w:val="clear" w:color="auto" w:fill="auto"/>
            <w:noWrap/>
            <w:vAlign w:val="center"/>
            <w:hideMark/>
          </w:tcPr>
          <w:p w14:paraId="4A32316C"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0.51</w:t>
            </w:r>
          </w:p>
        </w:tc>
        <w:tc>
          <w:tcPr>
            <w:tcW w:w="887" w:type="dxa"/>
            <w:shd w:val="clear" w:color="auto" w:fill="auto"/>
            <w:noWrap/>
            <w:vAlign w:val="center"/>
            <w:hideMark/>
          </w:tcPr>
          <w:p w14:paraId="029EE237"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18.76</w:t>
            </w:r>
          </w:p>
        </w:tc>
        <w:tc>
          <w:tcPr>
            <w:tcW w:w="782" w:type="dxa"/>
            <w:shd w:val="clear" w:color="auto" w:fill="auto"/>
            <w:noWrap/>
            <w:vAlign w:val="center"/>
            <w:hideMark/>
          </w:tcPr>
          <w:p w14:paraId="245913A0"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0.50</w:t>
            </w:r>
          </w:p>
        </w:tc>
        <w:tc>
          <w:tcPr>
            <w:tcW w:w="1051" w:type="dxa"/>
            <w:shd w:val="clear" w:color="auto" w:fill="auto"/>
            <w:noWrap/>
            <w:vAlign w:val="center"/>
            <w:hideMark/>
          </w:tcPr>
          <w:p w14:paraId="0852AB16"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19.26</w:t>
            </w:r>
          </w:p>
        </w:tc>
        <w:tc>
          <w:tcPr>
            <w:tcW w:w="918" w:type="dxa"/>
            <w:shd w:val="clear" w:color="auto" w:fill="auto"/>
            <w:noWrap/>
            <w:vAlign w:val="center"/>
            <w:hideMark/>
          </w:tcPr>
          <w:p w14:paraId="667A19D2"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0.24</w:t>
            </w:r>
          </w:p>
        </w:tc>
      </w:tr>
      <w:tr w:rsidR="001970AE" w:rsidRPr="000F1269" w14:paraId="7B85D0AB" w14:textId="77777777" w:rsidTr="00B77810">
        <w:trPr>
          <w:trHeight w:val="258"/>
          <w:jc w:val="center"/>
        </w:trPr>
        <w:tc>
          <w:tcPr>
            <w:tcW w:w="1316" w:type="dxa"/>
            <w:vMerge w:val="restart"/>
            <w:shd w:val="clear" w:color="auto" w:fill="auto"/>
            <w:vAlign w:val="center"/>
            <w:hideMark/>
          </w:tcPr>
          <w:p w14:paraId="52AF6BDF"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PG 64-22 + 1.5% PPA</w:t>
            </w:r>
          </w:p>
        </w:tc>
        <w:tc>
          <w:tcPr>
            <w:tcW w:w="1134" w:type="dxa"/>
            <w:shd w:val="clear" w:color="auto" w:fill="auto"/>
            <w:noWrap/>
            <w:vAlign w:val="center"/>
            <w:hideMark/>
          </w:tcPr>
          <w:p w14:paraId="2ECA2773"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unaged</w:t>
            </w:r>
          </w:p>
        </w:tc>
        <w:tc>
          <w:tcPr>
            <w:tcW w:w="701" w:type="dxa"/>
            <w:shd w:val="clear" w:color="auto" w:fill="auto"/>
            <w:noWrap/>
            <w:vAlign w:val="center"/>
            <w:hideMark/>
          </w:tcPr>
          <w:p w14:paraId="1C582DA9"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0.61</w:t>
            </w:r>
          </w:p>
        </w:tc>
        <w:tc>
          <w:tcPr>
            <w:tcW w:w="701" w:type="dxa"/>
            <w:shd w:val="clear" w:color="auto" w:fill="auto"/>
            <w:noWrap/>
            <w:vAlign w:val="center"/>
            <w:hideMark/>
          </w:tcPr>
          <w:p w14:paraId="7DDC7FC9"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0.79</w:t>
            </w:r>
          </w:p>
        </w:tc>
        <w:tc>
          <w:tcPr>
            <w:tcW w:w="887" w:type="dxa"/>
            <w:shd w:val="clear" w:color="auto" w:fill="auto"/>
            <w:noWrap/>
            <w:vAlign w:val="center"/>
            <w:hideMark/>
          </w:tcPr>
          <w:p w14:paraId="0F1F4898"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14.25</w:t>
            </w:r>
          </w:p>
        </w:tc>
        <w:tc>
          <w:tcPr>
            <w:tcW w:w="782" w:type="dxa"/>
            <w:shd w:val="clear" w:color="auto" w:fill="auto"/>
            <w:noWrap/>
            <w:vAlign w:val="center"/>
            <w:hideMark/>
          </w:tcPr>
          <w:p w14:paraId="3E30AB63"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1.39</w:t>
            </w:r>
          </w:p>
        </w:tc>
        <w:tc>
          <w:tcPr>
            <w:tcW w:w="1051" w:type="dxa"/>
            <w:shd w:val="clear" w:color="auto" w:fill="auto"/>
            <w:noWrap/>
            <w:vAlign w:val="center"/>
            <w:hideMark/>
          </w:tcPr>
          <w:p w14:paraId="6C2BC955"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15.64</w:t>
            </w:r>
          </w:p>
        </w:tc>
        <w:tc>
          <w:tcPr>
            <w:tcW w:w="918" w:type="dxa"/>
            <w:shd w:val="clear" w:color="auto" w:fill="auto"/>
            <w:noWrap/>
            <w:vAlign w:val="center"/>
            <w:hideMark/>
          </w:tcPr>
          <w:p w14:paraId="66D7AFF2"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0.77</w:t>
            </w:r>
          </w:p>
        </w:tc>
      </w:tr>
      <w:tr w:rsidR="001970AE" w:rsidRPr="000F1269" w14:paraId="2D257D84" w14:textId="77777777" w:rsidTr="00B77810">
        <w:trPr>
          <w:trHeight w:val="258"/>
          <w:jc w:val="center"/>
        </w:trPr>
        <w:tc>
          <w:tcPr>
            <w:tcW w:w="1316" w:type="dxa"/>
            <w:vMerge/>
            <w:shd w:val="clear" w:color="auto" w:fill="auto"/>
            <w:vAlign w:val="center"/>
            <w:hideMark/>
          </w:tcPr>
          <w:p w14:paraId="57A336B1" w14:textId="77777777" w:rsidR="001970AE" w:rsidRPr="000F1269" w:rsidRDefault="001970AE" w:rsidP="00650395">
            <w:pPr>
              <w:spacing w:line="240" w:lineRule="auto"/>
              <w:rPr>
                <w:rFonts w:eastAsia="Times New Roman" w:cs="Times New Roman"/>
                <w:color w:val="000000"/>
                <w:sz w:val="20"/>
                <w:szCs w:val="20"/>
              </w:rPr>
            </w:pPr>
          </w:p>
        </w:tc>
        <w:tc>
          <w:tcPr>
            <w:tcW w:w="1134" w:type="dxa"/>
            <w:shd w:val="clear" w:color="auto" w:fill="auto"/>
            <w:noWrap/>
            <w:vAlign w:val="center"/>
            <w:hideMark/>
          </w:tcPr>
          <w:p w14:paraId="2B7606D5"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RTFO</w:t>
            </w:r>
          </w:p>
        </w:tc>
        <w:tc>
          <w:tcPr>
            <w:tcW w:w="701" w:type="dxa"/>
            <w:shd w:val="clear" w:color="auto" w:fill="auto"/>
            <w:noWrap/>
            <w:vAlign w:val="center"/>
            <w:hideMark/>
          </w:tcPr>
          <w:p w14:paraId="69F0EDBF"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0.56</w:t>
            </w:r>
          </w:p>
        </w:tc>
        <w:tc>
          <w:tcPr>
            <w:tcW w:w="701" w:type="dxa"/>
            <w:shd w:val="clear" w:color="auto" w:fill="auto"/>
            <w:noWrap/>
            <w:vAlign w:val="center"/>
            <w:hideMark/>
          </w:tcPr>
          <w:p w14:paraId="5ADDA674"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2.50</w:t>
            </w:r>
          </w:p>
        </w:tc>
        <w:tc>
          <w:tcPr>
            <w:tcW w:w="887" w:type="dxa"/>
            <w:shd w:val="clear" w:color="auto" w:fill="auto"/>
            <w:noWrap/>
            <w:vAlign w:val="center"/>
            <w:hideMark/>
          </w:tcPr>
          <w:p w14:paraId="0447A9D4"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14.35</w:t>
            </w:r>
          </w:p>
        </w:tc>
        <w:tc>
          <w:tcPr>
            <w:tcW w:w="782" w:type="dxa"/>
            <w:shd w:val="clear" w:color="auto" w:fill="auto"/>
            <w:noWrap/>
            <w:vAlign w:val="center"/>
            <w:hideMark/>
          </w:tcPr>
          <w:p w14:paraId="4C4ADCE4"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2.38</w:t>
            </w:r>
          </w:p>
        </w:tc>
        <w:tc>
          <w:tcPr>
            <w:tcW w:w="1051" w:type="dxa"/>
            <w:shd w:val="clear" w:color="auto" w:fill="auto"/>
            <w:noWrap/>
            <w:vAlign w:val="center"/>
            <w:hideMark/>
          </w:tcPr>
          <w:p w14:paraId="6F08FD7A"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16.73</w:t>
            </w:r>
          </w:p>
        </w:tc>
        <w:tc>
          <w:tcPr>
            <w:tcW w:w="918" w:type="dxa"/>
            <w:shd w:val="clear" w:color="auto" w:fill="auto"/>
            <w:noWrap/>
            <w:vAlign w:val="center"/>
            <w:hideMark/>
          </w:tcPr>
          <w:p w14:paraId="46F12BAE"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0.23</w:t>
            </w:r>
          </w:p>
        </w:tc>
      </w:tr>
      <w:tr w:rsidR="001970AE" w:rsidRPr="000F1269" w14:paraId="4B5F3A89" w14:textId="77777777" w:rsidTr="00B77810">
        <w:trPr>
          <w:trHeight w:val="258"/>
          <w:jc w:val="center"/>
        </w:trPr>
        <w:tc>
          <w:tcPr>
            <w:tcW w:w="1316" w:type="dxa"/>
            <w:vMerge/>
            <w:shd w:val="clear" w:color="auto" w:fill="auto"/>
            <w:vAlign w:val="center"/>
            <w:hideMark/>
          </w:tcPr>
          <w:p w14:paraId="124CF97D" w14:textId="77777777" w:rsidR="001970AE" w:rsidRPr="000F1269" w:rsidRDefault="001970AE" w:rsidP="00650395">
            <w:pPr>
              <w:spacing w:line="240" w:lineRule="auto"/>
              <w:rPr>
                <w:rFonts w:eastAsia="Times New Roman" w:cs="Times New Roman"/>
                <w:color w:val="000000"/>
                <w:sz w:val="20"/>
                <w:szCs w:val="20"/>
              </w:rPr>
            </w:pPr>
          </w:p>
        </w:tc>
        <w:tc>
          <w:tcPr>
            <w:tcW w:w="1134" w:type="dxa"/>
            <w:shd w:val="clear" w:color="auto" w:fill="auto"/>
            <w:noWrap/>
            <w:vAlign w:val="center"/>
            <w:hideMark/>
          </w:tcPr>
          <w:p w14:paraId="2E0BDD4B"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PAV</w:t>
            </w:r>
          </w:p>
        </w:tc>
        <w:tc>
          <w:tcPr>
            <w:tcW w:w="701" w:type="dxa"/>
            <w:shd w:val="clear" w:color="auto" w:fill="auto"/>
            <w:noWrap/>
            <w:vAlign w:val="center"/>
            <w:hideMark/>
          </w:tcPr>
          <w:p w14:paraId="18355885"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0.31</w:t>
            </w:r>
          </w:p>
        </w:tc>
        <w:tc>
          <w:tcPr>
            <w:tcW w:w="701" w:type="dxa"/>
            <w:shd w:val="clear" w:color="auto" w:fill="auto"/>
            <w:noWrap/>
            <w:vAlign w:val="center"/>
            <w:hideMark/>
          </w:tcPr>
          <w:p w14:paraId="5191AABA"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3.00</w:t>
            </w:r>
          </w:p>
        </w:tc>
        <w:tc>
          <w:tcPr>
            <w:tcW w:w="887" w:type="dxa"/>
            <w:shd w:val="clear" w:color="auto" w:fill="auto"/>
            <w:noWrap/>
            <w:vAlign w:val="center"/>
            <w:hideMark/>
          </w:tcPr>
          <w:p w14:paraId="5C4F7530"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14.96</w:t>
            </w:r>
          </w:p>
        </w:tc>
        <w:tc>
          <w:tcPr>
            <w:tcW w:w="782" w:type="dxa"/>
            <w:shd w:val="clear" w:color="auto" w:fill="auto"/>
            <w:noWrap/>
            <w:vAlign w:val="center"/>
            <w:hideMark/>
          </w:tcPr>
          <w:p w14:paraId="6F4FA78C"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1.93</w:t>
            </w:r>
          </w:p>
        </w:tc>
        <w:tc>
          <w:tcPr>
            <w:tcW w:w="1051" w:type="dxa"/>
            <w:shd w:val="clear" w:color="auto" w:fill="auto"/>
            <w:noWrap/>
            <w:vAlign w:val="center"/>
            <w:hideMark/>
          </w:tcPr>
          <w:p w14:paraId="5DDBA264"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16.90</w:t>
            </w:r>
          </w:p>
        </w:tc>
        <w:tc>
          <w:tcPr>
            <w:tcW w:w="918" w:type="dxa"/>
            <w:shd w:val="clear" w:color="auto" w:fill="auto"/>
            <w:noWrap/>
            <w:vAlign w:val="center"/>
            <w:hideMark/>
          </w:tcPr>
          <w:p w14:paraId="4DF1ABF8"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0.10</w:t>
            </w:r>
          </w:p>
        </w:tc>
      </w:tr>
      <w:tr w:rsidR="001970AE" w:rsidRPr="000F1269" w14:paraId="0249E549" w14:textId="77777777" w:rsidTr="00B77810">
        <w:trPr>
          <w:trHeight w:val="258"/>
          <w:jc w:val="center"/>
        </w:trPr>
        <w:tc>
          <w:tcPr>
            <w:tcW w:w="1316" w:type="dxa"/>
            <w:vMerge w:val="restart"/>
            <w:shd w:val="clear" w:color="auto" w:fill="auto"/>
            <w:noWrap/>
            <w:vAlign w:val="center"/>
            <w:hideMark/>
          </w:tcPr>
          <w:p w14:paraId="1F5573C3"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PG 76-28</w:t>
            </w:r>
          </w:p>
        </w:tc>
        <w:tc>
          <w:tcPr>
            <w:tcW w:w="1134" w:type="dxa"/>
            <w:shd w:val="clear" w:color="auto" w:fill="auto"/>
            <w:noWrap/>
            <w:vAlign w:val="center"/>
            <w:hideMark/>
          </w:tcPr>
          <w:p w14:paraId="2C46B916"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unaged</w:t>
            </w:r>
          </w:p>
        </w:tc>
        <w:tc>
          <w:tcPr>
            <w:tcW w:w="701" w:type="dxa"/>
            <w:shd w:val="clear" w:color="auto" w:fill="auto"/>
            <w:noWrap/>
            <w:vAlign w:val="center"/>
            <w:hideMark/>
          </w:tcPr>
          <w:p w14:paraId="30375224"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0.05</w:t>
            </w:r>
          </w:p>
        </w:tc>
        <w:tc>
          <w:tcPr>
            <w:tcW w:w="701" w:type="dxa"/>
            <w:shd w:val="clear" w:color="auto" w:fill="auto"/>
            <w:noWrap/>
            <w:vAlign w:val="center"/>
            <w:hideMark/>
          </w:tcPr>
          <w:p w14:paraId="5556FE0D"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3.67</w:t>
            </w:r>
          </w:p>
        </w:tc>
        <w:tc>
          <w:tcPr>
            <w:tcW w:w="887" w:type="dxa"/>
            <w:shd w:val="clear" w:color="auto" w:fill="auto"/>
            <w:noWrap/>
            <w:vAlign w:val="center"/>
            <w:hideMark/>
          </w:tcPr>
          <w:p w14:paraId="055D23CD"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9.96</w:t>
            </w:r>
          </w:p>
        </w:tc>
        <w:tc>
          <w:tcPr>
            <w:tcW w:w="782" w:type="dxa"/>
            <w:shd w:val="clear" w:color="auto" w:fill="auto"/>
            <w:noWrap/>
            <w:vAlign w:val="center"/>
            <w:hideMark/>
          </w:tcPr>
          <w:p w14:paraId="6133123D"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0.87</w:t>
            </w:r>
          </w:p>
        </w:tc>
        <w:tc>
          <w:tcPr>
            <w:tcW w:w="1051" w:type="dxa"/>
            <w:shd w:val="clear" w:color="auto" w:fill="auto"/>
            <w:noWrap/>
            <w:vAlign w:val="center"/>
            <w:hideMark/>
          </w:tcPr>
          <w:p w14:paraId="7F4F92C9"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10.83</w:t>
            </w:r>
          </w:p>
        </w:tc>
        <w:tc>
          <w:tcPr>
            <w:tcW w:w="918" w:type="dxa"/>
            <w:shd w:val="clear" w:color="auto" w:fill="auto"/>
            <w:noWrap/>
            <w:vAlign w:val="center"/>
            <w:hideMark/>
          </w:tcPr>
          <w:p w14:paraId="2ABF270D"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0.01</w:t>
            </w:r>
          </w:p>
        </w:tc>
      </w:tr>
      <w:tr w:rsidR="001970AE" w:rsidRPr="000F1269" w14:paraId="02CD4CE9" w14:textId="77777777" w:rsidTr="00B77810">
        <w:trPr>
          <w:trHeight w:val="258"/>
          <w:jc w:val="center"/>
        </w:trPr>
        <w:tc>
          <w:tcPr>
            <w:tcW w:w="1316" w:type="dxa"/>
            <w:vMerge/>
            <w:shd w:val="clear" w:color="auto" w:fill="auto"/>
            <w:vAlign w:val="center"/>
            <w:hideMark/>
          </w:tcPr>
          <w:p w14:paraId="67EDC08A" w14:textId="77777777" w:rsidR="001970AE" w:rsidRPr="000F1269" w:rsidRDefault="001970AE" w:rsidP="00650395">
            <w:pPr>
              <w:spacing w:line="240" w:lineRule="auto"/>
              <w:rPr>
                <w:rFonts w:eastAsia="Times New Roman" w:cs="Times New Roman"/>
                <w:color w:val="000000"/>
                <w:sz w:val="20"/>
                <w:szCs w:val="20"/>
              </w:rPr>
            </w:pPr>
          </w:p>
        </w:tc>
        <w:tc>
          <w:tcPr>
            <w:tcW w:w="1134" w:type="dxa"/>
            <w:shd w:val="clear" w:color="auto" w:fill="auto"/>
            <w:noWrap/>
            <w:vAlign w:val="center"/>
            <w:hideMark/>
          </w:tcPr>
          <w:p w14:paraId="27004F9E"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RTFO</w:t>
            </w:r>
          </w:p>
        </w:tc>
        <w:tc>
          <w:tcPr>
            <w:tcW w:w="701" w:type="dxa"/>
            <w:shd w:val="clear" w:color="auto" w:fill="auto"/>
            <w:noWrap/>
            <w:vAlign w:val="center"/>
            <w:hideMark/>
          </w:tcPr>
          <w:p w14:paraId="51FB36F1"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0.21</w:t>
            </w:r>
          </w:p>
        </w:tc>
        <w:tc>
          <w:tcPr>
            <w:tcW w:w="701" w:type="dxa"/>
            <w:shd w:val="clear" w:color="auto" w:fill="auto"/>
            <w:noWrap/>
            <w:vAlign w:val="center"/>
            <w:hideMark/>
          </w:tcPr>
          <w:p w14:paraId="2D778D86"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2.66</w:t>
            </w:r>
          </w:p>
        </w:tc>
        <w:tc>
          <w:tcPr>
            <w:tcW w:w="887" w:type="dxa"/>
            <w:shd w:val="clear" w:color="auto" w:fill="auto"/>
            <w:noWrap/>
            <w:vAlign w:val="center"/>
            <w:hideMark/>
          </w:tcPr>
          <w:p w14:paraId="5E7D1C94"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10.99</w:t>
            </w:r>
          </w:p>
        </w:tc>
        <w:tc>
          <w:tcPr>
            <w:tcW w:w="782" w:type="dxa"/>
            <w:shd w:val="clear" w:color="auto" w:fill="auto"/>
            <w:noWrap/>
            <w:vAlign w:val="center"/>
            <w:hideMark/>
          </w:tcPr>
          <w:p w14:paraId="00BE3DE0"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1.51</w:t>
            </w:r>
          </w:p>
        </w:tc>
        <w:tc>
          <w:tcPr>
            <w:tcW w:w="1051" w:type="dxa"/>
            <w:shd w:val="clear" w:color="auto" w:fill="auto"/>
            <w:noWrap/>
            <w:vAlign w:val="center"/>
            <w:hideMark/>
          </w:tcPr>
          <w:p w14:paraId="1D586144"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12.50</w:t>
            </w:r>
          </w:p>
        </w:tc>
        <w:tc>
          <w:tcPr>
            <w:tcW w:w="918" w:type="dxa"/>
            <w:shd w:val="clear" w:color="auto" w:fill="auto"/>
            <w:noWrap/>
            <w:vAlign w:val="center"/>
            <w:hideMark/>
          </w:tcPr>
          <w:p w14:paraId="62982B98"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0.08</w:t>
            </w:r>
          </w:p>
        </w:tc>
      </w:tr>
      <w:tr w:rsidR="001970AE" w:rsidRPr="000F1269" w14:paraId="7917C1B8" w14:textId="77777777" w:rsidTr="00B77810">
        <w:trPr>
          <w:trHeight w:val="258"/>
          <w:jc w:val="center"/>
        </w:trPr>
        <w:tc>
          <w:tcPr>
            <w:tcW w:w="1316" w:type="dxa"/>
            <w:vMerge/>
            <w:shd w:val="clear" w:color="auto" w:fill="auto"/>
            <w:vAlign w:val="center"/>
            <w:hideMark/>
          </w:tcPr>
          <w:p w14:paraId="190C4AFB" w14:textId="77777777" w:rsidR="001970AE" w:rsidRPr="000F1269" w:rsidRDefault="001970AE" w:rsidP="00650395">
            <w:pPr>
              <w:spacing w:line="240" w:lineRule="auto"/>
              <w:rPr>
                <w:rFonts w:eastAsia="Times New Roman" w:cs="Times New Roman"/>
                <w:color w:val="000000"/>
                <w:sz w:val="20"/>
                <w:szCs w:val="20"/>
              </w:rPr>
            </w:pPr>
          </w:p>
        </w:tc>
        <w:tc>
          <w:tcPr>
            <w:tcW w:w="1134" w:type="dxa"/>
            <w:shd w:val="clear" w:color="auto" w:fill="auto"/>
            <w:noWrap/>
            <w:vAlign w:val="center"/>
            <w:hideMark/>
          </w:tcPr>
          <w:p w14:paraId="07A54BD7"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PAV</w:t>
            </w:r>
          </w:p>
        </w:tc>
        <w:tc>
          <w:tcPr>
            <w:tcW w:w="701" w:type="dxa"/>
            <w:shd w:val="clear" w:color="auto" w:fill="auto"/>
            <w:noWrap/>
            <w:vAlign w:val="center"/>
            <w:hideMark/>
          </w:tcPr>
          <w:p w14:paraId="6B5B3A9D"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0.09</w:t>
            </w:r>
          </w:p>
        </w:tc>
        <w:tc>
          <w:tcPr>
            <w:tcW w:w="701" w:type="dxa"/>
            <w:shd w:val="clear" w:color="auto" w:fill="auto"/>
            <w:noWrap/>
            <w:vAlign w:val="center"/>
            <w:hideMark/>
          </w:tcPr>
          <w:p w14:paraId="25E48C20"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2.03</w:t>
            </w:r>
          </w:p>
        </w:tc>
        <w:tc>
          <w:tcPr>
            <w:tcW w:w="887" w:type="dxa"/>
            <w:shd w:val="clear" w:color="auto" w:fill="auto"/>
            <w:noWrap/>
            <w:vAlign w:val="center"/>
            <w:hideMark/>
          </w:tcPr>
          <w:p w14:paraId="4BE08177"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12.64</w:t>
            </w:r>
          </w:p>
        </w:tc>
        <w:tc>
          <w:tcPr>
            <w:tcW w:w="782" w:type="dxa"/>
            <w:shd w:val="clear" w:color="auto" w:fill="auto"/>
            <w:noWrap/>
            <w:vAlign w:val="center"/>
            <w:hideMark/>
          </w:tcPr>
          <w:p w14:paraId="7ED383E6"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0.87</w:t>
            </w:r>
          </w:p>
        </w:tc>
        <w:tc>
          <w:tcPr>
            <w:tcW w:w="1051" w:type="dxa"/>
            <w:shd w:val="clear" w:color="auto" w:fill="auto"/>
            <w:noWrap/>
            <w:vAlign w:val="center"/>
            <w:hideMark/>
          </w:tcPr>
          <w:p w14:paraId="13780E4F"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13.51</w:t>
            </w:r>
          </w:p>
        </w:tc>
        <w:tc>
          <w:tcPr>
            <w:tcW w:w="918" w:type="dxa"/>
            <w:shd w:val="clear" w:color="auto" w:fill="auto"/>
            <w:noWrap/>
            <w:vAlign w:val="center"/>
            <w:hideMark/>
          </w:tcPr>
          <w:p w14:paraId="7FC9BAFF"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0.05</w:t>
            </w:r>
          </w:p>
        </w:tc>
      </w:tr>
      <w:tr w:rsidR="001970AE" w:rsidRPr="000F1269" w14:paraId="0BF6D96B" w14:textId="77777777" w:rsidTr="00B77810">
        <w:trPr>
          <w:trHeight w:val="258"/>
          <w:jc w:val="center"/>
        </w:trPr>
        <w:tc>
          <w:tcPr>
            <w:tcW w:w="1316" w:type="dxa"/>
            <w:vMerge w:val="restart"/>
            <w:shd w:val="clear" w:color="auto" w:fill="auto"/>
            <w:vAlign w:val="center"/>
            <w:hideMark/>
          </w:tcPr>
          <w:p w14:paraId="1F6F9E11"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PG 76-28 + 0.5% WMA</w:t>
            </w:r>
          </w:p>
        </w:tc>
        <w:tc>
          <w:tcPr>
            <w:tcW w:w="1134" w:type="dxa"/>
            <w:shd w:val="clear" w:color="auto" w:fill="auto"/>
            <w:noWrap/>
            <w:vAlign w:val="center"/>
            <w:hideMark/>
          </w:tcPr>
          <w:p w14:paraId="180FAD26"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unaged</w:t>
            </w:r>
          </w:p>
        </w:tc>
        <w:tc>
          <w:tcPr>
            <w:tcW w:w="701" w:type="dxa"/>
            <w:shd w:val="clear" w:color="auto" w:fill="auto"/>
            <w:noWrap/>
            <w:vAlign w:val="center"/>
            <w:hideMark/>
          </w:tcPr>
          <w:p w14:paraId="2C723C69"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0.05</w:t>
            </w:r>
          </w:p>
        </w:tc>
        <w:tc>
          <w:tcPr>
            <w:tcW w:w="701" w:type="dxa"/>
            <w:shd w:val="clear" w:color="auto" w:fill="auto"/>
            <w:noWrap/>
            <w:vAlign w:val="center"/>
            <w:hideMark/>
          </w:tcPr>
          <w:p w14:paraId="35844510"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1.22</w:t>
            </w:r>
          </w:p>
        </w:tc>
        <w:tc>
          <w:tcPr>
            <w:tcW w:w="887" w:type="dxa"/>
            <w:shd w:val="clear" w:color="auto" w:fill="auto"/>
            <w:noWrap/>
            <w:vAlign w:val="center"/>
            <w:hideMark/>
          </w:tcPr>
          <w:p w14:paraId="2E5A4424"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9.96</w:t>
            </w:r>
          </w:p>
        </w:tc>
        <w:tc>
          <w:tcPr>
            <w:tcW w:w="782" w:type="dxa"/>
            <w:shd w:val="clear" w:color="auto" w:fill="auto"/>
            <w:noWrap/>
            <w:vAlign w:val="center"/>
            <w:hideMark/>
          </w:tcPr>
          <w:p w14:paraId="57F4DDF0"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0.49</w:t>
            </w:r>
          </w:p>
        </w:tc>
        <w:tc>
          <w:tcPr>
            <w:tcW w:w="1051" w:type="dxa"/>
            <w:shd w:val="clear" w:color="auto" w:fill="auto"/>
            <w:noWrap/>
            <w:vAlign w:val="center"/>
            <w:hideMark/>
          </w:tcPr>
          <w:p w14:paraId="67F31741"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10.45</w:t>
            </w:r>
          </w:p>
        </w:tc>
        <w:tc>
          <w:tcPr>
            <w:tcW w:w="918" w:type="dxa"/>
            <w:shd w:val="clear" w:color="auto" w:fill="auto"/>
            <w:noWrap/>
            <w:vAlign w:val="center"/>
            <w:hideMark/>
          </w:tcPr>
          <w:p w14:paraId="73CFF4FF"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0.04</w:t>
            </w:r>
          </w:p>
        </w:tc>
      </w:tr>
      <w:tr w:rsidR="001970AE" w:rsidRPr="000F1269" w14:paraId="55C3AA9F" w14:textId="77777777" w:rsidTr="00B77810">
        <w:trPr>
          <w:trHeight w:val="258"/>
          <w:jc w:val="center"/>
        </w:trPr>
        <w:tc>
          <w:tcPr>
            <w:tcW w:w="1316" w:type="dxa"/>
            <w:vMerge/>
            <w:shd w:val="clear" w:color="auto" w:fill="auto"/>
            <w:vAlign w:val="center"/>
            <w:hideMark/>
          </w:tcPr>
          <w:p w14:paraId="17FF9E3D" w14:textId="77777777" w:rsidR="001970AE" w:rsidRPr="000F1269" w:rsidRDefault="001970AE" w:rsidP="00650395">
            <w:pPr>
              <w:spacing w:line="240" w:lineRule="auto"/>
              <w:rPr>
                <w:rFonts w:eastAsia="Times New Roman" w:cs="Times New Roman"/>
                <w:color w:val="000000"/>
                <w:sz w:val="20"/>
                <w:szCs w:val="20"/>
              </w:rPr>
            </w:pPr>
          </w:p>
        </w:tc>
        <w:tc>
          <w:tcPr>
            <w:tcW w:w="1134" w:type="dxa"/>
            <w:shd w:val="clear" w:color="auto" w:fill="auto"/>
            <w:noWrap/>
            <w:vAlign w:val="center"/>
            <w:hideMark/>
          </w:tcPr>
          <w:p w14:paraId="44663EC3"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RTFO</w:t>
            </w:r>
          </w:p>
        </w:tc>
        <w:tc>
          <w:tcPr>
            <w:tcW w:w="701" w:type="dxa"/>
            <w:shd w:val="clear" w:color="auto" w:fill="auto"/>
            <w:noWrap/>
            <w:vAlign w:val="center"/>
            <w:hideMark/>
          </w:tcPr>
          <w:p w14:paraId="218285F3"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0.10</w:t>
            </w:r>
          </w:p>
        </w:tc>
        <w:tc>
          <w:tcPr>
            <w:tcW w:w="701" w:type="dxa"/>
            <w:shd w:val="clear" w:color="auto" w:fill="auto"/>
            <w:noWrap/>
            <w:vAlign w:val="center"/>
            <w:hideMark/>
          </w:tcPr>
          <w:p w14:paraId="27597D37"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2.02</w:t>
            </w:r>
          </w:p>
        </w:tc>
        <w:tc>
          <w:tcPr>
            <w:tcW w:w="887" w:type="dxa"/>
            <w:shd w:val="clear" w:color="auto" w:fill="auto"/>
            <w:noWrap/>
            <w:vAlign w:val="center"/>
            <w:hideMark/>
          </w:tcPr>
          <w:p w14:paraId="2F257AD4"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10.99</w:t>
            </w:r>
          </w:p>
        </w:tc>
        <w:tc>
          <w:tcPr>
            <w:tcW w:w="782" w:type="dxa"/>
            <w:shd w:val="clear" w:color="auto" w:fill="auto"/>
            <w:noWrap/>
            <w:vAlign w:val="center"/>
            <w:hideMark/>
          </w:tcPr>
          <w:p w14:paraId="4BE5D44E"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0.92</w:t>
            </w:r>
          </w:p>
        </w:tc>
        <w:tc>
          <w:tcPr>
            <w:tcW w:w="1051" w:type="dxa"/>
            <w:shd w:val="clear" w:color="auto" w:fill="auto"/>
            <w:noWrap/>
            <w:vAlign w:val="center"/>
            <w:hideMark/>
          </w:tcPr>
          <w:p w14:paraId="4B0EA481"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11.91</w:t>
            </w:r>
          </w:p>
        </w:tc>
        <w:tc>
          <w:tcPr>
            <w:tcW w:w="918" w:type="dxa"/>
            <w:shd w:val="clear" w:color="auto" w:fill="auto"/>
            <w:noWrap/>
            <w:vAlign w:val="center"/>
            <w:hideMark/>
          </w:tcPr>
          <w:p w14:paraId="0BC9BF7C"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0.05</w:t>
            </w:r>
          </w:p>
        </w:tc>
      </w:tr>
      <w:tr w:rsidR="001970AE" w:rsidRPr="000F1269" w14:paraId="67750F79" w14:textId="77777777" w:rsidTr="00B77810">
        <w:trPr>
          <w:trHeight w:val="258"/>
          <w:jc w:val="center"/>
        </w:trPr>
        <w:tc>
          <w:tcPr>
            <w:tcW w:w="1316" w:type="dxa"/>
            <w:vMerge/>
            <w:shd w:val="clear" w:color="auto" w:fill="auto"/>
            <w:vAlign w:val="center"/>
            <w:hideMark/>
          </w:tcPr>
          <w:p w14:paraId="4E7586E7" w14:textId="77777777" w:rsidR="001970AE" w:rsidRPr="000F1269" w:rsidRDefault="001970AE" w:rsidP="00650395">
            <w:pPr>
              <w:spacing w:line="240" w:lineRule="auto"/>
              <w:rPr>
                <w:rFonts w:eastAsia="Times New Roman" w:cs="Times New Roman"/>
                <w:color w:val="000000"/>
                <w:sz w:val="20"/>
                <w:szCs w:val="20"/>
              </w:rPr>
            </w:pPr>
          </w:p>
        </w:tc>
        <w:tc>
          <w:tcPr>
            <w:tcW w:w="1134" w:type="dxa"/>
            <w:shd w:val="clear" w:color="auto" w:fill="auto"/>
            <w:noWrap/>
            <w:vAlign w:val="center"/>
            <w:hideMark/>
          </w:tcPr>
          <w:p w14:paraId="0DC53066"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PAV</w:t>
            </w:r>
          </w:p>
        </w:tc>
        <w:tc>
          <w:tcPr>
            <w:tcW w:w="701" w:type="dxa"/>
            <w:shd w:val="clear" w:color="auto" w:fill="auto"/>
            <w:noWrap/>
            <w:vAlign w:val="center"/>
            <w:hideMark/>
          </w:tcPr>
          <w:p w14:paraId="60DE82C8"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0.09</w:t>
            </w:r>
          </w:p>
        </w:tc>
        <w:tc>
          <w:tcPr>
            <w:tcW w:w="701" w:type="dxa"/>
            <w:shd w:val="clear" w:color="auto" w:fill="auto"/>
            <w:noWrap/>
            <w:vAlign w:val="center"/>
            <w:hideMark/>
          </w:tcPr>
          <w:p w14:paraId="534C28AB"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1.73</w:t>
            </w:r>
          </w:p>
        </w:tc>
        <w:tc>
          <w:tcPr>
            <w:tcW w:w="887" w:type="dxa"/>
            <w:shd w:val="clear" w:color="auto" w:fill="auto"/>
            <w:noWrap/>
            <w:vAlign w:val="center"/>
            <w:hideMark/>
          </w:tcPr>
          <w:p w14:paraId="2BC1052F"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12.64</w:t>
            </w:r>
          </w:p>
        </w:tc>
        <w:tc>
          <w:tcPr>
            <w:tcW w:w="782" w:type="dxa"/>
            <w:shd w:val="clear" w:color="auto" w:fill="auto"/>
            <w:noWrap/>
            <w:vAlign w:val="center"/>
            <w:hideMark/>
          </w:tcPr>
          <w:p w14:paraId="26F0A67B"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0.80</w:t>
            </w:r>
          </w:p>
        </w:tc>
        <w:tc>
          <w:tcPr>
            <w:tcW w:w="1051" w:type="dxa"/>
            <w:shd w:val="clear" w:color="auto" w:fill="auto"/>
            <w:noWrap/>
            <w:vAlign w:val="center"/>
            <w:hideMark/>
          </w:tcPr>
          <w:p w14:paraId="792F7E51"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13.44</w:t>
            </w:r>
          </w:p>
        </w:tc>
        <w:tc>
          <w:tcPr>
            <w:tcW w:w="918" w:type="dxa"/>
            <w:shd w:val="clear" w:color="auto" w:fill="auto"/>
            <w:noWrap/>
            <w:vAlign w:val="center"/>
            <w:hideMark/>
          </w:tcPr>
          <w:p w14:paraId="2E0DEE20"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0.05</w:t>
            </w:r>
          </w:p>
        </w:tc>
      </w:tr>
      <w:tr w:rsidR="001970AE" w:rsidRPr="000F1269" w14:paraId="10D4C0A6" w14:textId="77777777" w:rsidTr="00B77810">
        <w:trPr>
          <w:trHeight w:val="258"/>
          <w:jc w:val="center"/>
        </w:trPr>
        <w:tc>
          <w:tcPr>
            <w:tcW w:w="1316" w:type="dxa"/>
            <w:vMerge w:val="restart"/>
            <w:shd w:val="clear" w:color="auto" w:fill="auto"/>
            <w:vAlign w:val="center"/>
            <w:hideMark/>
          </w:tcPr>
          <w:p w14:paraId="10DF8A99"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PG 76-28 + 0.5% ASA</w:t>
            </w:r>
          </w:p>
        </w:tc>
        <w:tc>
          <w:tcPr>
            <w:tcW w:w="1134" w:type="dxa"/>
            <w:shd w:val="clear" w:color="auto" w:fill="auto"/>
            <w:noWrap/>
            <w:vAlign w:val="center"/>
            <w:hideMark/>
          </w:tcPr>
          <w:p w14:paraId="6AD4C9CD"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unaged</w:t>
            </w:r>
          </w:p>
        </w:tc>
        <w:tc>
          <w:tcPr>
            <w:tcW w:w="701" w:type="dxa"/>
            <w:shd w:val="clear" w:color="auto" w:fill="auto"/>
            <w:noWrap/>
            <w:vAlign w:val="center"/>
            <w:hideMark/>
          </w:tcPr>
          <w:p w14:paraId="004E9C7C"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0.12</w:t>
            </w:r>
          </w:p>
        </w:tc>
        <w:tc>
          <w:tcPr>
            <w:tcW w:w="701" w:type="dxa"/>
            <w:shd w:val="clear" w:color="auto" w:fill="auto"/>
            <w:noWrap/>
            <w:vAlign w:val="center"/>
            <w:hideMark/>
          </w:tcPr>
          <w:p w14:paraId="62D600CF"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3.67</w:t>
            </w:r>
          </w:p>
        </w:tc>
        <w:tc>
          <w:tcPr>
            <w:tcW w:w="887" w:type="dxa"/>
            <w:shd w:val="clear" w:color="auto" w:fill="auto"/>
            <w:noWrap/>
            <w:vAlign w:val="center"/>
            <w:hideMark/>
          </w:tcPr>
          <w:p w14:paraId="46E9F525"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13.15</w:t>
            </w:r>
          </w:p>
        </w:tc>
        <w:tc>
          <w:tcPr>
            <w:tcW w:w="782" w:type="dxa"/>
            <w:shd w:val="clear" w:color="auto" w:fill="auto"/>
            <w:noWrap/>
            <w:vAlign w:val="center"/>
            <w:hideMark/>
          </w:tcPr>
          <w:p w14:paraId="186E5C8B"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1.31</w:t>
            </w:r>
          </w:p>
        </w:tc>
        <w:tc>
          <w:tcPr>
            <w:tcW w:w="1051" w:type="dxa"/>
            <w:shd w:val="clear" w:color="auto" w:fill="auto"/>
            <w:noWrap/>
            <w:vAlign w:val="center"/>
            <w:hideMark/>
          </w:tcPr>
          <w:p w14:paraId="5CE0FAA4"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14.47</w:t>
            </w:r>
          </w:p>
        </w:tc>
        <w:tc>
          <w:tcPr>
            <w:tcW w:w="918" w:type="dxa"/>
            <w:shd w:val="clear" w:color="auto" w:fill="auto"/>
            <w:noWrap/>
            <w:vAlign w:val="center"/>
            <w:hideMark/>
          </w:tcPr>
          <w:p w14:paraId="3DFC3D9F"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0.03</w:t>
            </w:r>
          </w:p>
        </w:tc>
      </w:tr>
      <w:tr w:rsidR="001970AE" w:rsidRPr="000F1269" w14:paraId="344FD6DB" w14:textId="77777777" w:rsidTr="00B77810">
        <w:trPr>
          <w:trHeight w:val="258"/>
          <w:jc w:val="center"/>
        </w:trPr>
        <w:tc>
          <w:tcPr>
            <w:tcW w:w="1316" w:type="dxa"/>
            <w:vMerge/>
            <w:shd w:val="clear" w:color="auto" w:fill="auto"/>
            <w:vAlign w:val="center"/>
            <w:hideMark/>
          </w:tcPr>
          <w:p w14:paraId="4CEF6982" w14:textId="77777777" w:rsidR="001970AE" w:rsidRPr="000F1269" w:rsidRDefault="001970AE" w:rsidP="00650395">
            <w:pPr>
              <w:spacing w:line="240" w:lineRule="auto"/>
              <w:rPr>
                <w:rFonts w:eastAsia="Times New Roman" w:cs="Times New Roman"/>
                <w:color w:val="000000"/>
                <w:sz w:val="20"/>
                <w:szCs w:val="20"/>
              </w:rPr>
            </w:pPr>
          </w:p>
        </w:tc>
        <w:tc>
          <w:tcPr>
            <w:tcW w:w="1134" w:type="dxa"/>
            <w:shd w:val="clear" w:color="auto" w:fill="auto"/>
            <w:noWrap/>
            <w:vAlign w:val="center"/>
            <w:hideMark/>
          </w:tcPr>
          <w:p w14:paraId="17AF8BD4"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RTFO</w:t>
            </w:r>
          </w:p>
        </w:tc>
        <w:tc>
          <w:tcPr>
            <w:tcW w:w="701" w:type="dxa"/>
            <w:shd w:val="clear" w:color="auto" w:fill="auto"/>
            <w:noWrap/>
            <w:vAlign w:val="center"/>
            <w:hideMark/>
          </w:tcPr>
          <w:p w14:paraId="4493F133"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0.10</w:t>
            </w:r>
          </w:p>
        </w:tc>
        <w:tc>
          <w:tcPr>
            <w:tcW w:w="701" w:type="dxa"/>
            <w:shd w:val="clear" w:color="auto" w:fill="auto"/>
            <w:noWrap/>
            <w:vAlign w:val="center"/>
            <w:hideMark/>
          </w:tcPr>
          <w:p w14:paraId="7A98F94E"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1.48</w:t>
            </w:r>
          </w:p>
        </w:tc>
        <w:tc>
          <w:tcPr>
            <w:tcW w:w="887" w:type="dxa"/>
            <w:shd w:val="clear" w:color="auto" w:fill="auto"/>
            <w:noWrap/>
            <w:vAlign w:val="center"/>
            <w:hideMark/>
          </w:tcPr>
          <w:p w14:paraId="59A125FD"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13.97</w:t>
            </w:r>
          </w:p>
        </w:tc>
        <w:tc>
          <w:tcPr>
            <w:tcW w:w="782" w:type="dxa"/>
            <w:shd w:val="clear" w:color="auto" w:fill="auto"/>
            <w:noWrap/>
            <w:vAlign w:val="center"/>
            <w:hideMark/>
          </w:tcPr>
          <w:p w14:paraId="163B301B"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0.75</w:t>
            </w:r>
          </w:p>
        </w:tc>
        <w:tc>
          <w:tcPr>
            <w:tcW w:w="1051" w:type="dxa"/>
            <w:shd w:val="clear" w:color="auto" w:fill="auto"/>
            <w:noWrap/>
            <w:vAlign w:val="center"/>
            <w:hideMark/>
          </w:tcPr>
          <w:p w14:paraId="77B14370"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14.72</w:t>
            </w:r>
          </w:p>
        </w:tc>
        <w:tc>
          <w:tcPr>
            <w:tcW w:w="918" w:type="dxa"/>
            <w:shd w:val="clear" w:color="auto" w:fill="auto"/>
            <w:noWrap/>
            <w:vAlign w:val="center"/>
            <w:hideMark/>
          </w:tcPr>
          <w:p w14:paraId="66751267"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0.06</w:t>
            </w:r>
          </w:p>
        </w:tc>
      </w:tr>
      <w:tr w:rsidR="001970AE" w:rsidRPr="000F1269" w14:paraId="528F1CC9" w14:textId="77777777" w:rsidTr="00B77810">
        <w:trPr>
          <w:trHeight w:val="258"/>
          <w:jc w:val="center"/>
        </w:trPr>
        <w:tc>
          <w:tcPr>
            <w:tcW w:w="1316" w:type="dxa"/>
            <w:vMerge/>
            <w:shd w:val="clear" w:color="auto" w:fill="auto"/>
            <w:vAlign w:val="center"/>
            <w:hideMark/>
          </w:tcPr>
          <w:p w14:paraId="75F25670" w14:textId="77777777" w:rsidR="001970AE" w:rsidRPr="000F1269" w:rsidRDefault="001970AE" w:rsidP="00650395">
            <w:pPr>
              <w:spacing w:line="240" w:lineRule="auto"/>
              <w:rPr>
                <w:rFonts w:eastAsia="Times New Roman" w:cs="Times New Roman"/>
                <w:color w:val="000000"/>
                <w:sz w:val="20"/>
                <w:szCs w:val="20"/>
              </w:rPr>
            </w:pPr>
          </w:p>
        </w:tc>
        <w:tc>
          <w:tcPr>
            <w:tcW w:w="1134" w:type="dxa"/>
            <w:shd w:val="clear" w:color="auto" w:fill="auto"/>
            <w:noWrap/>
            <w:vAlign w:val="center"/>
            <w:hideMark/>
          </w:tcPr>
          <w:p w14:paraId="6CEB0072"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PAV</w:t>
            </w:r>
          </w:p>
        </w:tc>
        <w:tc>
          <w:tcPr>
            <w:tcW w:w="701" w:type="dxa"/>
            <w:shd w:val="clear" w:color="auto" w:fill="auto"/>
            <w:noWrap/>
            <w:vAlign w:val="center"/>
            <w:hideMark/>
          </w:tcPr>
          <w:p w14:paraId="0E7CF5B3"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0.12</w:t>
            </w:r>
          </w:p>
        </w:tc>
        <w:tc>
          <w:tcPr>
            <w:tcW w:w="701" w:type="dxa"/>
            <w:shd w:val="clear" w:color="auto" w:fill="auto"/>
            <w:noWrap/>
            <w:vAlign w:val="center"/>
            <w:hideMark/>
          </w:tcPr>
          <w:p w14:paraId="6AEA973C"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0.99</w:t>
            </w:r>
          </w:p>
        </w:tc>
        <w:tc>
          <w:tcPr>
            <w:tcW w:w="887" w:type="dxa"/>
            <w:shd w:val="clear" w:color="auto" w:fill="auto"/>
            <w:noWrap/>
            <w:vAlign w:val="center"/>
            <w:hideMark/>
          </w:tcPr>
          <w:p w14:paraId="44B8D660"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13.82</w:t>
            </w:r>
          </w:p>
        </w:tc>
        <w:tc>
          <w:tcPr>
            <w:tcW w:w="782" w:type="dxa"/>
            <w:shd w:val="clear" w:color="auto" w:fill="auto"/>
            <w:noWrap/>
            <w:vAlign w:val="center"/>
            <w:hideMark/>
          </w:tcPr>
          <w:p w14:paraId="02050B34"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0.69</w:t>
            </w:r>
          </w:p>
        </w:tc>
        <w:tc>
          <w:tcPr>
            <w:tcW w:w="1051" w:type="dxa"/>
            <w:shd w:val="clear" w:color="auto" w:fill="auto"/>
            <w:noWrap/>
            <w:vAlign w:val="center"/>
            <w:hideMark/>
          </w:tcPr>
          <w:p w14:paraId="168B73B4"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14.50</w:t>
            </w:r>
          </w:p>
        </w:tc>
        <w:tc>
          <w:tcPr>
            <w:tcW w:w="918" w:type="dxa"/>
            <w:shd w:val="clear" w:color="auto" w:fill="auto"/>
            <w:noWrap/>
            <w:vAlign w:val="center"/>
            <w:hideMark/>
          </w:tcPr>
          <w:p w14:paraId="7EE28181"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0.12</w:t>
            </w:r>
          </w:p>
        </w:tc>
      </w:tr>
      <w:tr w:rsidR="001970AE" w:rsidRPr="000F1269" w14:paraId="5437660E" w14:textId="77777777" w:rsidTr="00B77810">
        <w:trPr>
          <w:trHeight w:val="258"/>
          <w:jc w:val="center"/>
        </w:trPr>
        <w:tc>
          <w:tcPr>
            <w:tcW w:w="1316" w:type="dxa"/>
            <w:vMerge w:val="restart"/>
            <w:shd w:val="clear" w:color="auto" w:fill="auto"/>
            <w:vAlign w:val="center"/>
            <w:hideMark/>
          </w:tcPr>
          <w:p w14:paraId="57502CA6"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PG 76-28 + 20% RAP</w:t>
            </w:r>
          </w:p>
        </w:tc>
        <w:tc>
          <w:tcPr>
            <w:tcW w:w="1134" w:type="dxa"/>
            <w:shd w:val="clear" w:color="auto" w:fill="auto"/>
            <w:noWrap/>
            <w:vAlign w:val="center"/>
            <w:hideMark/>
          </w:tcPr>
          <w:p w14:paraId="39CDD025"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unaged</w:t>
            </w:r>
          </w:p>
        </w:tc>
        <w:tc>
          <w:tcPr>
            <w:tcW w:w="701" w:type="dxa"/>
            <w:shd w:val="clear" w:color="auto" w:fill="auto"/>
            <w:noWrap/>
            <w:vAlign w:val="center"/>
            <w:hideMark/>
          </w:tcPr>
          <w:p w14:paraId="27B6EE3D"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0.43</w:t>
            </w:r>
          </w:p>
        </w:tc>
        <w:tc>
          <w:tcPr>
            <w:tcW w:w="701" w:type="dxa"/>
            <w:shd w:val="clear" w:color="auto" w:fill="auto"/>
            <w:noWrap/>
            <w:vAlign w:val="center"/>
            <w:hideMark/>
          </w:tcPr>
          <w:p w14:paraId="2FDE68FC"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0.61</w:t>
            </w:r>
          </w:p>
        </w:tc>
        <w:tc>
          <w:tcPr>
            <w:tcW w:w="887" w:type="dxa"/>
            <w:shd w:val="clear" w:color="auto" w:fill="auto"/>
            <w:noWrap/>
            <w:vAlign w:val="center"/>
            <w:hideMark/>
          </w:tcPr>
          <w:p w14:paraId="026E68B0"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14.04</w:t>
            </w:r>
          </w:p>
        </w:tc>
        <w:tc>
          <w:tcPr>
            <w:tcW w:w="782" w:type="dxa"/>
            <w:shd w:val="clear" w:color="auto" w:fill="auto"/>
            <w:noWrap/>
            <w:vAlign w:val="center"/>
            <w:hideMark/>
          </w:tcPr>
          <w:p w14:paraId="60B2D2F2"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1.02</w:t>
            </w:r>
          </w:p>
        </w:tc>
        <w:tc>
          <w:tcPr>
            <w:tcW w:w="1051" w:type="dxa"/>
            <w:shd w:val="clear" w:color="auto" w:fill="auto"/>
            <w:noWrap/>
            <w:vAlign w:val="center"/>
            <w:hideMark/>
          </w:tcPr>
          <w:p w14:paraId="475371CC"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15.07</w:t>
            </w:r>
          </w:p>
        </w:tc>
        <w:tc>
          <w:tcPr>
            <w:tcW w:w="918" w:type="dxa"/>
            <w:shd w:val="clear" w:color="auto" w:fill="auto"/>
            <w:noWrap/>
            <w:vAlign w:val="center"/>
            <w:hideMark/>
          </w:tcPr>
          <w:p w14:paraId="67416E75"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0.70</w:t>
            </w:r>
          </w:p>
        </w:tc>
      </w:tr>
      <w:tr w:rsidR="001970AE" w:rsidRPr="000F1269" w14:paraId="717FE2A4" w14:textId="77777777" w:rsidTr="00B77810">
        <w:trPr>
          <w:trHeight w:val="258"/>
          <w:jc w:val="center"/>
        </w:trPr>
        <w:tc>
          <w:tcPr>
            <w:tcW w:w="1316" w:type="dxa"/>
            <w:vMerge/>
            <w:shd w:val="clear" w:color="auto" w:fill="auto"/>
            <w:vAlign w:val="center"/>
            <w:hideMark/>
          </w:tcPr>
          <w:p w14:paraId="6C5301F9" w14:textId="77777777" w:rsidR="001970AE" w:rsidRPr="000F1269" w:rsidRDefault="001970AE" w:rsidP="00650395">
            <w:pPr>
              <w:spacing w:line="240" w:lineRule="auto"/>
              <w:rPr>
                <w:rFonts w:eastAsia="Times New Roman" w:cs="Times New Roman"/>
                <w:color w:val="000000"/>
                <w:sz w:val="20"/>
                <w:szCs w:val="20"/>
              </w:rPr>
            </w:pPr>
          </w:p>
        </w:tc>
        <w:tc>
          <w:tcPr>
            <w:tcW w:w="1134" w:type="dxa"/>
            <w:shd w:val="clear" w:color="auto" w:fill="auto"/>
            <w:noWrap/>
            <w:vAlign w:val="center"/>
            <w:hideMark/>
          </w:tcPr>
          <w:p w14:paraId="477F93F5"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RTFO</w:t>
            </w:r>
          </w:p>
        </w:tc>
        <w:tc>
          <w:tcPr>
            <w:tcW w:w="701" w:type="dxa"/>
            <w:shd w:val="clear" w:color="auto" w:fill="auto"/>
            <w:noWrap/>
            <w:vAlign w:val="center"/>
            <w:hideMark/>
          </w:tcPr>
          <w:p w14:paraId="045C0A6E"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0.30</w:t>
            </w:r>
          </w:p>
        </w:tc>
        <w:tc>
          <w:tcPr>
            <w:tcW w:w="701" w:type="dxa"/>
            <w:shd w:val="clear" w:color="auto" w:fill="auto"/>
            <w:noWrap/>
            <w:vAlign w:val="center"/>
            <w:hideMark/>
          </w:tcPr>
          <w:p w14:paraId="5A08CB11"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2.34</w:t>
            </w:r>
          </w:p>
        </w:tc>
        <w:tc>
          <w:tcPr>
            <w:tcW w:w="887" w:type="dxa"/>
            <w:shd w:val="clear" w:color="auto" w:fill="auto"/>
            <w:noWrap/>
            <w:vAlign w:val="center"/>
            <w:hideMark/>
          </w:tcPr>
          <w:p w14:paraId="1E63325B"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11.92</w:t>
            </w:r>
          </w:p>
        </w:tc>
        <w:tc>
          <w:tcPr>
            <w:tcW w:w="782" w:type="dxa"/>
            <w:shd w:val="clear" w:color="auto" w:fill="auto"/>
            <w:noWrap/>
            <w:vAlign w:val="center"/>
            <w:hideMark/>
          </w:tcPr>
          <w:p w14:paraId="5E8F851A"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1.68</w:t>
            </w:r>
          </w:p>
        </w:tc>
        <w:tc>
          <w:tcPr>
            <w:tcW w:w="1051" w:type="dxa"/>
            <w:shd w:val="clear" w:color="auto" w:fill="auto"/>
            <w:noWrap/>
            <w:vAlign w:val="center"/>
            <w:hideMark/>
          </w:tcPr>
          <w:p w14:paraId="42F2318D"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13.59</w:t>
            </w:r>
          </w:p>
        </w:tc>
        <w:tc>
          <w:tcPr>
            <w:tcW w:w="918" w:type="dxa"/>
            <w:shd w:val="clear" w:color="auto" w:fill="auto"/>
            <w:noWrap/>
            <w:vAlign w:val="center"/>
            <w:hideMark/>
          </w:tcPr>
          <w:p w14:paraId="6063D8C5"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0.13</w:t>
            </w:r>
          </w:p>
        </w:tc>
      </w:tr>
      <w:tr w:rsidR="001970AE" w:rsidRPr="000F1269" w14:paraId="7BB211D7" w14:textId="77777777" w:rsidTr="00B77810">
        <w:trPr>
          <w:trHeight w:val="258"/>
          <w:jc w:val="center"/>
        </w:trPr>
        <w:tc>
          <w:tcPr>
            <w:tcW w:w="1316" w:type="dxa"/>
            <w:vMerge/>
            <w:shd w:val="clear" w:color="auto" w:fill="auto"/>
            <w:vAlign w:val="center"/>
            <w:hideMark/>
          </w:tcPr>
          <w:p w14:paraId="5226AF0E" w14:textId="77777777" w:rsidR="001970AE" w:rsidRPr="000F1269" w:rsidRDefault="001970AE" w:rsidP="00650395">
            <w:pPr>
              <w:spacing w:line="240" w:lineRule="auto"/>
              <w:rPr>
                <w:rFonts w:eastAsia="Times New Roman" w:cs="Times New Roman"/>
                <w:color w:val="000000"/>
                <w:sz w:val="20"/>
                <w:szCs w:val="20"/>
              </w:rPr>
            </w:pPr>
          </w:p>
        </w:tc>
        <w:tc>
          <w:tcPr>
            <w:tcW w:w="1134" w:type="dxa"/>
            <w:shd w:val="clear" w:color="auto" w:fill="auto"/>
            <w:noWrap/>
            <w:vAlign w:val="center"/>
            <w:hideMark/>
          </w:tcPr>
          <w:p w14:paraId="31168121"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PAV</w:t>
            </w:r>
          </w:p>
        </w:tc>
        <w:tc>
          <w:tcPr>
            <w:tcW w:w="701" w:type="dxa"/>
            <w:shd w:val="clear" w:color="auto" w:fill="auto"/>
            <w:noWrap/>
            <w:vAlign w:val="center"/>
            <w:hideMark/>
          </w:tcPr>
          <w:p w14:paraId="4764AF0C"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0.33</w:t>
            </w:r>
          </w:p>
        </w:tc>
        <w:tc>
          <w:tcPr>
            <w:tcW w:w="701" w:type="dxa"/>
            <w:shd w:val="clear" w:color="auto" w:fill="auto"/>
            <w:noWrap/>
            <w:vAlign w:val="center"/>
            <w:hideMark/>
          </w:tcPr>
          <w:p w14:paraId="7C9C33F3"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1.75</w:t>
            </w:r>
          </w:p>
        </w:tc>
        <w:tc>
          <w:tcPr>
            <w:tcW w:w="887" w:type="dxa"/>
            <w:shd w:val="clear" w:color="auto" w:fill="auto"/>
            <w:noWrap/>
            <w:vAlign w:val="center"/>
            <w:hideMark/>
          </w:tcPr>
          <w:p w14:paraId="0F81F441"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12.32</w:t>
            </w:r>
          </w:p>
        </w:tc>
        <w:tc>
          <w:tcPr>
            <w:tcW w:w="782" w:type="dxa"/>
            <w:shd w:val="clear" w:color="auto" w:fill="auto"/>
            <w:noWrap/>
            <w:vAlign w:val="center"/>
            <w:hideMark/>
          </w:tcPr>
          <w:p w14:paraId="07842893"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1.51</w:t>
            </w:r>
          </w:p>
        </w:tc>
        <w:tc>
          <w:tcPr>
            <w:tcW w:w="1051" w:type="dxa"/>
            <w:shd w:val="clear" w:color="auto" w:fill="auto"/>
            <w:noWrap/>
            <w:vAlign w:val="center"/>
            <w:hideMark/>
          </w:tcPr>
          <w:p w14:paraId="74154366"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13.83</w:t>
            </w:r>
          </w:p>
        </w:tc>
        <w:tc>
          <w:tcPr>
            <w:tcW w:w="918" w:type="dxa"/>
            <w:shd w:val="clear" w:color="auto" w:fill="auto"/>
            <w:noWrap/>
            <w:vAlign w:val="center"/>
            <w:hideMark/>
          </w:tcPr>
          <w:p w14:paraId="6EC7A281" w14:textId="77777777" w:rsidR="001970AE" w:rsidRPr="000F1269" w:rsidRDefault="001970AE" w:rsidP="00650395">
            <w:pPr>
              <w:spacing w:line="240" w:lineRule="auto"/>
              <w:jc w:val="center"/>
              <w:rPr>
                <w:rFonts w:eastAsia="Times New Roman" w:cs="Times New Roman"/>
                <w:color w:val="000000"/>
                <w:sz w:val="20"/>
                <w:szCs w:val="20"/>
              </w:rPr>
            </w:pPr>
            <w:r w:rsidRPr="000F1269">
              <w:rPr>
                <w:rFonts w:eastAsia="Times New Roman" w:cs="Times New Roman"/>
                <w:color w:val="000000"/>
                <w:sz w:val="20"/>
                <w:szCs w:val="20"/>
              </w:rPr>
              <w:t>0.19</w:t>
            </w:r>
          </w:p>
        </w:tc>
      </w:tr>
    </w:tbl>
    <w:p w14:paraId="3D56F5CC" w14:textId="77777777" w:rsidR="001E7461" w:rsidRDefault="001E7461" w:rsidP="00866B48">
      <w:pPr>
        <w:pStyle w:val="Caption"/>
        <w:spacing w:before="120"/>
        <w:rPr>
          <w:lang w:val="en-CA"/>
        </w:rPr>
      </w:pPr>
    </w:p>
    <w:p w14:paraId="3E81C9A7" w14:textId="77777777" w:rsidR="000723A8" w:rsidRDefault="000723A8" w:rsidP="000723A8">
      <w:pPr>
        <w:pStyle w:val="Caption"/>
        <w:spacing w:line="480" w:lineRule="auto"/>
        <w:jc w:val="center"/>
      </w:pPr>
    </w:p>
    <w:p w14:paraId="710479B3" w14:textId="77777777" w:rsidR="000723A8" w:rsidRDefault="000723A8" w:rsidP="000723A8">
      <w:pPr>
        <w:pStyle w:val="Caption"/>
        <w:spacing w:line="480" w:lineRule="auto"/>
        <w:jc w:val="center"/>
      </w:pPr>
    </w:p>
    <w:p w14:paraId="3332EBB2" w14:textId="77777777" w:rsidR="000723A8" w:rsidRDefault="000723A8" w:rsidP="000723A8">
      <w:pPr>
        <w:pStyle w:val="Caption"/>
        <w:spacing w:line="480" w:lineRule="auto"/>
        <w:jc w:val="center"/>
      </w:pPr>
    </w:p>
    <w:p w14:paraId="744F8940" w14:textId="77777777" w:rsidR="000723A8" w:rsidRDefault="000723A8" w:rsidP="000723A8">
      <w:pPr>
        <w:pStyle w:val="Caption"/>
        <w:spacing w:line="480" w:lineRule="auto"/>
        <w:jc w:val="center"/>
      </w:pPr>
    </w:p>
    <w:p w14:paraId="0CA29358" w14:textId="77777777" w:rsidR="000723A8" w:rsidRDefault="000723A8" w:rsidP="000723A8">
      <w:pPr>
        <w:pStyle w:val="Caption"/>
        <w:spacing w:line="480" w:lineRule="auto"/>
        <w:jc w:val="center"/>
      </w:pPr>
    </w:p>
    <w:p w14:paraId="6B975B3F" w14:textId="77777777" w:rsidR="000723A8" w:rsidRDefault="000723A8" w:rsidP="000723A8">
      <w:pPr>
        <w:pStyle w:val="Caption"/>
        <w:spacing w:line="480" w:lineRule="auto"/>
        <w:jc w:val="center"/>
      </w:pPr>
    </w:p>
    <w:p w14:paraId="6DC212DE" w14:textId="4A6F0CC1" w:rsidR="00866B48" w:rsidRPr="009A3034" w:rsidRDefault="001E7461" w:rsidP="000723A8">
      <w:pPr>
        <w:pStyle w:val="Caption"/>
        <w:spacing w:line="480" w:lineRule="auto"/>
        <w:jc w:val="center"/>
        <w:rPr>
          <w:lang w:val="en-CA"/>
        </w:rPr>
      </w:pPr>
      <w:bookmarkStart w:id="96" w:name="_Toc71330990"/>
      <w:r>
        <w:t xml:space="preserve">Table </w:t>
      </w:r>
      <w:fldSimple w:instr=" STYLEREF 1 \s ">
        <w:r w:rsidR="005050F0">
          <w:rPr>
            <w:noProof/>
          </w:rPr>
          <w:t>3</w:t>
        </w:r>
      </w:fldSimple>
      <w:r w:rsidR="00700639">
        <w:t>.</w:t>
      </w:r>
      <w:fldSimple w:instr=" SEQ Table \* ARABIC \s 1 ">
        <w:r w:rsidR="005050F0">
          <w:rPr>
            <w:noProof/>
          </w:rPr>
          <w:t>4</w:t>
        </w:r>
      </w:fldSimple>
      <w:r w:rsidR="00866B48" w:rsidRPr="009A3034">
        <w:rPr>
          <w:lang w:val="en-CA"/>
        </w:rPr>
        <w:t xml:space="preserve"> </w:t>
      </w:r>
      <w:r w:rsidR="00866B48">
        <w:rPr>
          <w:lang w:val="en-CA"/>
        </w:rPr>
        <w:t>Mineralogical composition of a</w:t>
      </w:r>
      <w:r w:rsidR="00866B48" w:rsidRPr="009A3034">
        <w:rPr>
          <w:lang w:val="en-CA"/>
        </w:rPr>
        <w:t xml:space="preserve">ggregates </w:t>
      </w:r>
      <w:r w:rsidR="00866B48">
        <w:rPr>
          <w:lang w:val="en-CA"/>
        </w:rPr>
        <w:t xml:space="preserve">from </w:t>
      </w:r>
      <w:r w:rsidR="00866B48" w:rsidRPr="009A3034">
        <w:rPr>
          <w:lang w:val="en-CA"/>
        </w:rPr>
        <w:t>XRF</w:t>
      </w:r>
      <w:r w:rsidR="00866B48">
        <w:rPr>
          <w:lang w:val="en-CA"/>
        </w:rPr>
        <w:t xml:space="preserve"> test</w:t>
      </w:r>
      <w:bookmarkEnd w:id="96"/>
    </w:p>
    <w:tbl>
      <w:tblPr>
        <w:tblW w:w="82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23"/>
        <w:gridCol w:w="1443"/>
        <w:gridCol w:w="1443"/>
        <w:gridCol w:w="1443"/>
        <w:gridCol w:w="1176"/>
        <w:gridCol w:w="1243"/>
      </w:tblGrid>
      <w:tr w:rsidR="00866B48" w:rsidRPr="009A3034" w14:paraId="0F9D7453" w14:textId="77777777" w:rsidTr="00BC398D">
        <w:trPr>
          <w:trHeight w:val="238"/>
          <w:jc w:val="center"/>
        </w:trPr>
        <w:tc>
          <w:tcPr>
            <w:tcW w:w="0" w:type="auto"/>
            <w:vMerge w:val="restart"/>
            <w:shd w:val="clear" w:color="auto" w:fill="auto"/>
            <w:noWrap/>
            <w:vAlign w:val="center"/>
            <w:hideMark/>
          </w:tcPr>
          <w:p w14:paraId="495AB2FA" w14:textId="77777777" w:rsidR="00866B48" w:rsidRPr="009A3034" w:rsidRDefault="00866B48" w:rsidP="00650395">
            <w:pPr>
              <w:spacing w:line="240" w:lineRule="auto"/>
              <w:jc w:val="center"/>
              <w:rPr>
                <w:rFonts w:eastAsia="Times New Roman" w:cs="Times New Roman"/>
                <w:b/>
                <w:bCs/>
                <w:color w:val="000000"/>
              </w:rPr>
            </w:pPr>
            <w:r w:rsidRPr="009A3034">
              <w:rPr>
                <w:rFonts w:eastAsia="Times New Roman" w:cs="Times New Roman"/>
                <w:b/>
                <w:bCs/>
                <w:color w:val="000000"/>
              </w:rPr>
              <w:t>Composition</w:t>
            </w:r>
          </w:p>
          <w:p w14:paraId="3791030D" w14:textId="77777777" w:rsidR="00866B48" w:rsidRPr="009A3034" w:rsidRDefault="00866B48" w:rsidP="00650395">
            <w:pPr>
              <w:spacing w:line="240" w:lineRule="auto"/>
              <w:jc w:val="center"/>
              <w:rPr>
                <w:rFonts w:eastAsia="Times New Roman" w:cs="Times New Roman"/>
                <w:b/>
                <w:bCs/>
                <w:color w:val="000000"/>
              </w:rPr>
            </w:pPr>
            <w:r w:rsidRPr="009A3034">
              <w:rPr>
                <w:rFonts w:eastAsia="Times New Roman" w:cs="Times New Roman"/>
                <w:b/>
                <w:bCs/>
                <w:color w:val="000000"/>
              </w:rPr>
              <w:t>(%)</w:t>
            </w:r>
          </w:p>
        </w:tc>
        <w:tc>
          <w:tcPr>
            <w:tcW w:w="0" w:type="auto"/>
            <w:gridSpan w:val="5"/>
            <w:shd w:val="clear" w:color="auto" w:fill="auto"/>
            <w:noWrap/>
            <w:vAlign w:val="center"/>
            <w:hideMark/>
          </w:tcPr>
          <w:p w14:paraId="512EE895" w14:textId="77777777" w:rsidR="00866B48" w:rsidRPr="009A3034" w:rsidRDefault="00866B48" w:rsidP="00650395">
            <w:pPr>
              <w:spacing w:line="240" w:lineRule="auto"/>
              <w:jc w:val="center"/>
              <w:rPr>
                <w:rFonts w:eastAsia="Times New Roman" w:cs="Times New Roman"/>
                <w:b/>
                <w:bCs/>
                <w:color w:val="000000"/>
              </w:rPr>
            </w:pPr>
            <w:r w:rsidRPr="009A3034">
              <w:rPr>
                <w:rFonts w:eastAsia="Times New Roman" w:cs="Times New Roman"/>
                <w:b/>
                <w:bCs/>
                <w:color w:val="000000"/>
              </w:rPr>
              <w:t>Aggregate Type</w:t>
            </w:r>
          </w:p>
        </w:tc>
      </w:tr>
      <w:tr w:rsidR="00866B48" w:rsidRPr="009A3034" w14:paraId="515A125B" w14:textId="77777777" w:rsidTr="00BC398D">
        <w:trPr>
          <w:trHeight w:val="500"/>
          <w:jc w:val="center"/>
        </w:trPr>
        <w:tc>
          <w:tcPr>
            <w:tcW w:w="0" w:type="auto"/>
            <w:vMerge/>
            <w:shd w:val="clear" w:color="auto" w:fill="auto"/>
            <w:noWrap/>
            <w:vAlign w:val="center"/>
            <w:hideMark/>
          </w:tcPr>
          <w:p w14:paraId="26843F9D" w14:textId="77777777" w:rsidR="00866B48" w:rsidRPr="009A3034" w:rsidRDefault="00866B48" w:rsidP="00650395">
            <w:pPr>
              <w:spacing w:line="240" w:lineRule="auto"/>
              <w:jc w:val="center"/>
              <w:rPr>
                <w:rFonts w:eastAsia="Times New Roman" w:cs="Times New Roman"/>
                <w:color w:val="000000"/>
              </w:rPr>
            </w:pPr>
          </w:p>
        </w:tc>
        <w:tc>
          <w:tcPr>
            <w:tcW w:w="0" w:type="auto"/>
            <w:shd w:val="clear" w:color="auto" w:fill="auto"/>
            <w:noWrap/>
            <w:vAlign w:val="center"/>
            <w:hideMark/>
          </w:tcPr>
          <w:p w14:paraId="3A892B00" w14:textId="77777777" w:rsidR="00866B48" w:rsidRPr="009A3034" w:rsidRDefault="00866B48" w:rsidP="00650395">
            <w:pPr>
              <w:spacing w:line="240" w:lineRule="auto"/>
              <w:jc w:val="center"/>
              <w:rPr>
                <w:rFonts w:cs="Times New Roman"/>
                <w:b/>
                <w:bCs/>
                <w:color w:val="000000"/>
              </w:rPr>
            </w:pPr>
            <w:r w:rsidRPr="009A3034">
              <w:rPr>
                <w:rFonts w:cs="Times New Roman"/>
                <w:b/>
                <w:bCs/>
                <w:color w:val="000000"/>
              </w:rPr>
              <w:t xml:space="preserve">L1 </w:t>
            </w:r>
          </w:p>
          <w:p w14:paraId="3B4364FC" w14:textId="77777777" w:rsidR="00866B48" w:rsidRPr="009A3034" w:rsidRDefault="00866B48" w:rsidP="00650395">
            <w:pPr>
              <w:spacing w:line="240" w:lineRule="auto"/>
              <w:jc w:val="center"/>
              <w:rPr>
                <w:rFonts w:eastAsia="Times New Roman" w:cs="Times New Roman"/>
                <w:b/>
                <w:bCs/>
                <w:color w:val="000000"/>
              </w:rPr>
            </w:pPr>
            <w:r w:rsidRPr="009A3034">
              <w:rPr>
                <w:rFonts w:cs="Times New Roman"/>
                <w:b/>
                <w:bCs/>
                <w:color w:val="000000"/>
              </w:rPr>
              <w:t>(Limestone)</w:t>
            </w:r>
          </w:p>
        </w:tc>
        <w:tc>
          <w:tcPr>
            <w:tcW w:w="0" w:type="auto"/>
            <w:shd w:val="clear" w:color="auto" w:fill="auto"/>
            <w:noWrap/>
            <w:vAlign w:val="center"/>
            <w:hideMark/>
          </w:tcPr>
          <w:p w14:paraId="2385E40D" w14:textId="77777777" w:rsidR="00866B48" w:rsidRPr="009A3034" w:rsidRDefault="00866B48" w:rsidP="00650395">
            <w:pPr>
              <w:spacing w:line="240" w:lineRule="auto"/>
              <w:jc w:val="center"/>
              <w:rPr>
                <w:rFonts w:cs="Times New Roman"/>
                <w:b/>
                <w:bCs/>
                <w:color w:val="000000"/>
              </w:rPr>
            </w:pPr>
            <w:r w:rsidRPr="009A3034">
              <w:rPr>
                <w:rFonts w:cs="Times New Roman"/>
                <w:b/>
                <w:bCs/>
                <w:color w:val="000000"/>
              </w:rPr>
              <w:t>L2</w:t>
            </w:r>
          </w:p>
          <w:p w14:paraId="628A8BA8" w14:textId="77777777" w:rsidR="00866B48" w:rsidRPr="009A3034" w:rsidRDefault="00866B48" w:rsidP="00650395">
            <w:pPr>
              <w:spacing w:line="240" w:lineRule="auto"/>
              <w:jc w:val="center"/>
              <w:rPr>
                <w:rFonts w:eastAsia="Times New Roman" w:cs="Times New Roman"/>
                <w:b/>
                <w:bCs/>
                <w:color w:val="000000"/>
              </w:rPr>
            </w:pPr>
            <w:r w:rsidRPr="009A3034">
              <w:rPr>
                <w:rFonts w:cs="Times New Roman"/>
                <w:b/>
                <w:bCs/>
                <w:color w:val="000000"/>
              </w:rPr>
              <w:t>(Limestone)</w:t>
            </w:r>
          </w:p>
        </w:tc>
        <w:tc>
          <w:tcPr>
            <w:tcW w:w="0" w:type="auto"/>
            <w:shd w:val="clear" w:color="auto" w:fill="auto"/>
            <w:noWrap/>
            <w:vAlign w:val="center"/>
            <w:hideMark/>
          </w:tcPr>
          <w:p w14:paraId="781C8A10" w14:textId="77777777" w:rsidR="00866B48" w:rsidRPr="009A3034" w:rsidRDefault="00866B48" w:rsidP="00650395">
            <w:pPr>
              <w:spacing w:line="240" w:lineRule="auto"/>
              <w:jc w:val="center"/>
              <w:rPr>
                <w:rFonts w:cs="Times New Roman"/>
                <w:b/>
                <w:bCs/>
                <w:color w:val="000000"/>
              </w:rPr>
            </w:pPr>
            <w:r w:rsidRPr="009A3034">
              <w:rPr>
                <w:rFonts w:cs="Times New Roman"/>
                <w:b/>
                <w:bCs/>
                <w:color w:val="000000"/>
              </w:rPr>
              <w:t>L3</w:t>
            </w:r>
          </w:p>
          <w:p w14:paraId="79E98670" w14:textId="77777777" w:rsidR="00866B48" w:rsidRPr="009A3034" w:rsidRDefault="00866B48" w:rsidP="00650395">
            <w:pPr>
              <w:spacing w:line="240" w:lineRule="auto"/>
              <w:jc w:val="center"/>
              <w:rPr>
                <w:rFonts w:eastAsia="Times New Roman" w:cs="Times New Roman"/>
                <w:b/>
                <w:bCs/>
                <w:color w:val="000000"/>
              </w:rPr>
            </w:pPr>
            <w:r w:rsidRPr="009A3034">
              <w:rPr>
                <w:rFonts w:cs="Times New Roman"/>
                <w:b/>
                <w:bCs/>
                <w:color w:val="000000"/>
              </w:rPr>
              <w:t>(Limestone)</w:t>
            </w:r>
          </w:p>
        </w:tc>
        <w:tc>
          <w:tcPr>
            <w:tcW w:w="0" w:type="auto"/>
            <w:shd w:val="clear" w:color="auto" w:fill="auto"/>
            <w:noWrap/>
            <w:vAlign w:val="center"/>
            <w:hideMark/>
          </w:tcPr>
          <w:p w14:paraId="0ED775FE" w14:textId="77777777" w:rsidR="00866B48" w:rsidRPr="009A3034" w:rsidRDefault="00866B48" w:rsidP="00650395">
            <w:pPr>
              <w:spacing w:line="240" w:lineRule="auto"/>
              <w:jc w:val="center"/>
              <w:rPr>
                <w:rFonts w:cs="Times New Roman"/>
                <w:b/>
                <w:bCs/>
                <w:color w:val="000000"/>
              </w:rPr>
            </w:pPr>
            <w:r w:rsidRPr="009A3034">
              <w:rPr>
                <w:rFonts w:cs="Times New Roman"/>
                <w:b/>
                <w:bCs/>
                <w:color w:val="000000"/>
              </w:rPr>
              <w:t xml:space="preserve">G1 </w:t>
            </w:r>
          </w:p>
          <w:p w14:paraId="7AD65C20" w14:textId="77777777" w:rsidR="00866B48" w:rsidRPr="009A3034" w:rsidRDefault="00866B48" w:rsidP="00650395">
            <w:pPr>
              <w:spacing w:line="240" w:lineRule="auto"/>
              <w:jc w:val="center"/>
              <w:rPr>
                <w:rFonts w:eastAsia="Times New Roman" w:cs="Times New Roman"/>
                <w:b/>
                <w:bCs/>
                <w:color w:val="000000"/>
              </w:rPr>
            </w:pPr>
            <w:r w:rsidRPr="009A3034">
              <w:rPr>
                <w:rFonts w:cs="Times New Roman"/>
                <w:b/>
                <w:bCs/>
                <w:color w:val="000000"/>
              </w:rPr>
              <w:t>(Granite)</w:t>
            </w:r>
          </w:p>
        </w:tc>
        <w:tc>
          <w:tcPr>
            <w:tcW w:w="0" w:type="auto"/>
            <w:shd w:val="clear" w:color="auto" w:fill="auto"/>
            <w:noWrap/>
            <w:vAlign w:val="center"/>
            <w:hideMark/>
          </w:tcPr>
          <w:p w14:paraId="0C992313" w14:textId="77777777" w:rsidR="00866B48" w:rsidRPr="009A3034" w:rsidRDefault="00866B48" w:rsidP="00650395">
            <w:pPr>
              <w:spacing w:line="240" w:lineRule="auto"/>
              <w:jc w:val="center"/>
              <w:rPr>
                <w:rFonts w:cs="Times New Roman"/>
                <w:b/>
                <w:bCs/>
                <w:color w:val="000000"/>
              </w:rPr>
            </w:pPr>
            <w:r w:rsidRPr="009A3034">
              <w:rPr>
                <w:rFonts w:cs="Times New Roman"/>
                <w:b/>
                <w:bCs/>
                <w:color w:val="000000"/>
              </w:rPr>
              <w:t xml:space="preserve">R1 </w:t>
            </w:r>
          </w:p>
          <w:p w14:paraId="69E355A9" w14:textId="77777777" w:rsidR="00866B48" w:rsidRPr="009A3034" w:rsidRDefault="00866B48" w:rsidP="00650395">
            <w:pPr>
              <w:spacing w:line="240" w:lineRule="auto"/>
              <w:jc w:val="center"/>
              <w:rPr>
                <w:rFonts w:eastAsia="Times New Roman" w:cs="Times New Roman"/>
                <w:b/>
                <w:bCs/>
                <w:color w:val="000000"/>
              </w:rPr>
            </w:pPr>
            <w:r w:rsidRPr="009A3034">
              <w:rPr>
                <w:rFonts w:cs="Times New Roman"/>
                <w:b/>
                <w:bCs/>
                <w:color w:val="000000"/>
              </w:rPr>
              <w:t>(Rhyolite)</w:t>
            </w:r>
          </w:p>
        </w:tc>
      </w:tr>
      <w:tr w:rsidR="00866B48" w:rsidRPr="009A3034" w14:paraId="2B16031A" w14:textId="77777777" w:rsidTr="00BC398D">
        <w:trPr>
          <w:trHeight w:val="295"/>
          <w:jc w:val="center"/>
        </w:trPr>
        <w:tc>
          <w:tcPr>
            <w:tcW w:w="0" w:type="auto"/>
            <w:shd w:val="clear" w:color="auto" w:fill="auto"/>
            <w:noWrap/>
            <w:vAlign w:val="center"/>
          </w:tcPr>
          <w:p w14:paraId="077EFE5C"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CaO</w:t>
            </w:r>
          </w:p>
        </w:tc>
        <w:tc>
          <w:tcPr>
            <w:tcW w:w="0" w:type="auto"/>
            <w:shd w:val="clear" w:color="auto" w:fill="auto"/>
            <w:noWrap/>
            <w:vAlign w:val="bottom"/>
          </w:tcPr>
          <w:p w14:paraId="2DF0C5F9" w14:textId="77777777" w:rsidR="00866B48" w:rsidRPr="009A3034" w:rsidRDefault="00866B48" w:rsidP="00650395">
            <w:pPr>
              <w:spacing w:line="240" w:lineRule="auto"/>
              <w:jc w:val="center"/>
              <w:rPr>
                <w:rFonts w:eastAsia="Times New Roman" w:cs="Times New Roman"/>
                <w:color w:val="000000"/>
              </w:rPr>
            </w:pPr>
            <w:r w:rsidRPr="009A3034">
              <w:rPr>
                <w:rFonts w:cs="Times New Roman"/>
                <w:color w:val="000000"/>
              </w:rPr>
              <w:t>85.4</w:t>
            </w:r>
          </w:p>
        </w:tc>
        <w:tc>
          <w:tcPr>
            <w:tcW w:w="0" w:type="auto"/>
            <w:shd w:val="clear" w:color="auto" w:fill="auto"/>
            <w:noWrap/>
            <w:vAlign w:val="bottom"/>
          </w:tcPr>
          <w:p w14:paraId="08E79DEE" w14:textId="77777777" w:rsidR="00866B48" w:rsidRPr="009A3034" w:rsidRDefault="00866B48" w:rsidP="00650395">
            <w:pPr>
              <w:spacing w:line="240" w:lineRule="auto"/>
              <w:jc w:val="center"/>
              <w:rPr>
                <w:rFonts w:eastAsia="Times New Roman" w:cs="Times New Roman"/>
                <w:color w:val="000000"/>
              </w:rPr>
            </w:pPr>
            <w:r w:rsidRPr="009A3034">
              <w:rPr>
                <w:rFonts w:cs="Times New Roman"/>
                <w:color w:val="000000"/>
              </w:rPr>
              <w:t>90.2</w:t>
            </w:r>
          </w:p>
        </w:tc>
        <w:tc>
          <w:tcPr>
            <w:tcW w:w="0" w:type="auto"/>
            <w:shd w:val="clear" w:color="auto" w:fill="auto"/>
            <w:noWrap/>
            <w:vAlign w:val="bottom"/>
          </w:tcPr>
          <w:p w14:paraId="38A256FA" w14:textId="77777777" w:rsidR="00866B48" w:rsidRPr="009A3034" w:rsidRDefault="00866B48" w:rsidP="00650395">
            <w:pPr>
              <w:spacing w:line="240" w:lineRule="auto"/>
              <w:jc w:val="center"/>
              <w:rPr>
                <w:rFonts w:eastAsia="Times New Roman" w:cs="Times New Roman"/>
                <w:color w:val="000000"/>
              </w:rPr>
            </w:pPr>
            <w:r w:rsidRPr="009A3034">
              <w:rPr>
                <w:rFonts w:cs="Times New Roman"/>
                <w:color w:val="000000"/>
              </w:rPr>
              <w:t>85.8</w:t>
            </w:r>
          </w:p>
        </w:tc>
        <w:tc>
          <w:tcPr>
            <w:tcW w:w="0" w:type="auto"/>
            <w:shd w:val="clear" w:color="auto" w:fill="auto"/>
            <w:noWrap/>
            <w:vAlign w:val="bottom"/>
          </w:tcPr>
          <w:p w14:paraId="46EF9268" w14:textId="77777777" w:rsidR="00866B48" w:rsidRPr="009A3034" w:rsidRDefault="00866B48" w:rsidP="00650395">
            <w:pPr>
              <w:spacing w:line="240" w:lineRule="auto"/>
              <w:jc w:val="center"/>
              <w:rPr>
                <w:rFonts w:eastAsia="Times New Roman" w:cs="Times New Roman"/>
                <w:color w:val="000000"/>
              </w:rPr>
            </w:pPr>
            <w:r w:rsidRPr="009A3034">
              <w:rPr>
                <w:rFonts w:cs="Times New Roman"/>
                <w:color w:val="000000"/>
              </w:rPr>
              <w:t>0.8</w:t>
            </w:r>
          </w:p>
        </w:tc>
        <w:tc>
          <w:tcPr>
            <w:tcW w:w="0" w:type="auto"/>
            <w:shd w:val="clear" w:color="auto" w:fill="auto"/>
            <w:noWrap/>
            <w:vAlign w:val="bottom"/>
          </w:tcPr>
          <w:p w14:paraId="6FD07499" w14:textId="77777777" w:rsidR="00866B48" w:rsidRPr="009A3034" w:rsidRDefault="00866B48" w:rsidP="00650395">
            <w:pPr>
              <w:spacing w:line="240" w:lineRule="auto"/>
              <w:jc w:val="center"/>
              <w:rPr>
                <w:rFonts w:eastAsia="Times New Roman" w:cs="Times New Roman"/>
                <w:color w:val="000000"/>
              </w:rPr>
            </w:pPr>
            <w:r w:rsidRPr="009A3034">
              <w:rPr>
                <w:rFonts w:cs="Times New Roman"/>
                <w:color w:val="000000"/>
              </w:rPr>
              <w:t>1.5</w:t>
            </w:r>
          </w:p>
        </w:tc>
      </w:tr>
      <w:tr w:rsidR="00866B48" w:rsidRPr="009A3034" w14:paraId="4AD1051F" w14:textId="77777777" w:rsidTr="00BC398D">
        <w:trPr>
          <w:trHeight w:val="295"/>
          <w:jc w:val="center"/>
        </w:trPr>
        <w:tc>
          <w:tcPr>
            <w:tcW w:w="0" w:type="auto"/>
            <w:shd w:val="clear" w:color="auto" w:fill="auto"/>
            <w:noWrap/>
            <w:vAlign w:val="center"/>
            <w:hideMark/>
          </w:tcPr>
          <w:p w14:paraId="0681B71E"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Na</w:t>
            </w:r>
            <w:r w:rsidRPr="009A3034">
              <w:rPr>
                <w:rFonts w:eastAsia="Times New Roman" w:cs="Times New Roman"/>
                <w:color w:val="000000"/>
                <w:vertAlign w:val="subscript"/>
              </w:rPr>
              <w:t>2</w:t>
            </w:r>
            <w:r w:rsidRPr="009A3034">
              <w:rPr>
                <w:rFonts w:eastAsia="Times New Roman" w:cs="Times New Roman"/>
                <w:color w:val="000000"/>
              </w:rPr>
              <w:t>O</w:t>
            </w:r>
          </w:p>
        </w:tc>
        <w:tc>
          <w:tcPr>
            <w:tcW w:w="0" w:type="auto"/>
            <w:shd w:val="clear" w:color="auto" w:fill="auto"/>
            <w:noWrap/>
            <w:vAlign w:val="center"/>
            <w:hideMark/>
          </w:tcPr>
          <w:p w14:paraId="395AB5FE"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0.0</w:t>
            </w:r>
          </w:p>
        </w:tc>
        <w:tc>
          <w:tcPr>
            <w:tcW w:w="0" w:type="auto"/>
            <w:shd w:val="clear" w:color="auto" w:fill="auto"/>
            <w:noWrap/>
            <w:vAlign w:val="center"/>
            <w:hideMark/>
          </w:tcPr>
          <w:p w14:paraId="68049EAC"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0.0</w:t>
            </w:r>
          </w:p>
        </w:tc>
        <w:tc>
          <w:tcPr>
            <w:tcW w:w="0" w:type="auto"/>
            <w:shd w:val="clear" w:color="auto" w:fill="auto"/>
            <w:noWrap/>
            <w:vAlign w:val="center"/>
            <w:hideMark/>
          </w:tcPr>
          <w:p w14:paraId="14481EAE"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0.0</w:t>
            </w:r>
          </w:p>
        </w:tc>
        <w:tc>
          <w:tcPr>
            <w:tcW w:w="0" w:type="auto"/>
            <w:shd w:val="clear" w:color="auto" w:fill="auto"/>
            <w:noWrap/>
            <w:vAlign w:val="center"/>
            <w:hideMark/>
          </w:tcPr>
          <w:p w14:paraId="2DCDA5CB"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3.9</w:t>
            </w:r>
          </w:p>
        </w:tc>
        <w:tc>
          <w:tcPr>
            <w:tcW w:w="0" w:type="auto"/>
            <w:shd w:val="clear" w:color="auto" w:fill="auto"/>
            <w:noWrap/>
            <w:vAlign w:val="center"/>
            <w:hideMark/>
          </w:tcPr>
          <w:p w14:paraId="455E3982"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3.1</w:t>
            </w:r>
          </w:p>
        </w:tc>
      </w:tr>
      <w:tr w:rsidR="00866B48" w:rsidRPr="009A3034" w14:paraId="66A6AAE0" w14:textId="77777777" w:rsidTr="00BC398D">
        <w:trPr>
          <w:trHeight w:val="295"/>
          <w:jc w:val="center"/>
        </w:trPr>
        <w:tc>
          <w:tcPr>
            <w:tcW w:w="0" w:type="auto"/>
            <w:shd w:val="clear" w:color="auto" w:fill="auto"/>
            <w:noWrap/>
            <w:vAlign w:val="center"/>
            <w:hideMark/>
          </w:tcPr>
          <w:p w14:paraId="4FBE4862"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MgO</w:t>
            </w:r>
          </w:p>
        </w:tc>
        <w:tc>
          <w:tcPr>
            <w:tcW w:w="0" w:type="auto"/>
            <w:shd w:val="clear" w:color="auto" w:fill="auto"/>
            <w:noWrap/>
            <w:vAlign w:val="center"/>
            <w:hideMark/>
          </w:tcPr>
          <w:p w14:paraId="51EBB470"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2.9</w:t>
            </w:r>
          </w:p>
        </w:tc>
        <w:tc>
          <w:tcPr>
            <w:tcW w:w="0" w:type="auto"/>
            <w:shd w:val="clear" w:color="auto" w:fill="auto"/>
            <w:noWrap/>
            <w:vAlign w:val="center"/>
            <w:hideMark/>
          </w:tcPr>
          <w:p w14:paraId="5A76088C"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1.4</w:t>
            </w:r>
          </w:p>
        </w:tc>
        <w:tc>
          <w:tcPr>
            <w:tcW w:w="0" w:type="auto"/>
            <w:shd w:val="clear" w:color="auto" w:fill="auto"/>
            <w:noWrap/>
            <w:vAlign w:val="center"/>
            <w:hideMark/>
          </w:tcPr>
          <w:p w14:paraId="7D32D738"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2.0</w:t>
            </w:r>
          </w:p>
        </w:tc>
        <w:tc>
          <w:tcPr>
            <w:tcW w:w="0" w:type="auto"/>
            <w:shd w:val="clear" w:color="auto" w:fill="auto"/>
            <w:noWrap/>
            <w:vAlign w:val="center"/>
            <w:hideMark/>
          </w:tcPr>
          <w:p w14:paraId="227782EC"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0.1</w:t>
            </w:r>
          </w:p>
        </w:tc>
        <w:tc>
          <w:tcPr>
            <w:tcW w:w="0" w:type="auto"/>
            <w:shd w:val="clear" w:color="auto" w:fill="auto"/>
            <w:noWrap/>
            <w:vAlign w:val="center"/>
            <w:hideMark/>
          </w:tcPr>
          <w:p w14:paraId="5DE649B6"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1.4</w:t>
            </w:r>
          </w:p>
        </w:tc>
      </w:tr>
      <w:tr w:rsidR="00866B48" w:rsidRPr="009A3034" w14:paraId="7066815B" w14:textId="77777777" w:rsidTr="00BC398D">
        <w:trPr>
          <w:trHeight w:val="295"/>
          <w:jc w:val="center"/>
        </w:trPr>
        <w:tc>
          <w:tcPr>
            <w:tcW w:w="0" w:type="auto"/>
            <w:shd w:val="clear" w:color="auto" w:fill="auto"/>
            <w:noWrap/>
            <w:vAlign w:val="center"/>
            <w:hideMark/>
          </w:tcPr>
          <w:p w14:paraId="22F63276"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Al</w:t>
            </w:r>
            <w:r w:rsidRPr="009A3034">
              <w:rPr>
                <w:rFonts w:eastAsia="Times New Roman" w:cs="Times New Roman"/>
                <w:color w:val="000000"/>
                <w:vertAlign w:val="subscript"/>
              </w:rPr>
              <w:t>2</w:t>
            </w:r>
            <w:r w:rsidRPr="009A3034">
              <w:rPr>
                <w:rFonts w:eastAsia="Times New Roman" w:cs="Times New Roman"/>
                <w:color w:val="000000"/>
              </w:rPr>
              <w:t>O</w:t>
            </w:r>
            <w:r w:rsidRPr="009A3034">
              <w:rPr>
                <w:rFonts w:eastAsia="Times New Roman" w:cs="Times New Roman"/>
                <w:color w:val="000000"/>
                <w:vertAlign w:val="subscript"/>
              </w:rPr>
              <w:t>3</w:t>
            </w:r>
          </w:p>
        </w:tc>
        <w:tc>
          <w:tcPr>
            <w:tcW w:w="0" w:type="auto"/>
            <w:shd w:val="clear" w:color="auto" w:fill="auto"/>
            <w:noWrap/>
            <w:vAlign w:val="center"/>
            <w:hideMark/>
          </w:tcPr>
          <w:p w14:paraId="59FA9F99"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1.2</w:t>
            </w:r>
          </w:p>
        </w:tc>
        <w:tc>
          <w:tcPr>
            <w:tcW w:w="0" w:type="auto"/>
            <w:shd w:val="clear" w:color="auto" w:fill="auto"/>
            <w:noWrap/>
            <w:vAlign w:val="center"/>
            <w:hideMark/>
          </w:tcPr>
          <w:p w14:paraId="7EC99C66"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1.0</w:t>
            </w:r>
          </w:p>
        </w:tc>
        <w:tc>
          <w:tcPr>
            <w:tcW w:w="0" w:type="auto"/>
            <w:shd w:val="clear" w:color="auto" w:fill="auto"/>
            <w:noWrap/>
            <w:vAlign w:val="center"/>
            <w:hideMark/>
          </w:tcPr>
          <w:p w14:paraId="178203DF"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1.5</w:t>
            </w:r>
          </w:p>
        </w:tc>
        <w:tc>
          <w:tcPr>
            <w:tcW w:w="0" w:type="auto"/>
            <w:shd w:val="clear" w:color="auto" w:fill="auto"/>
            <w:noWrap/>
            <w:vAlign w:val="center"/>
            <w:hideMark/>
          </w:tcPr>
          <w:p w14:paraId="71DB3D94"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11.4</w:t>
            </w:r>
          </w:p>
        </w:tc>
        <w:tc>
          <w:tcPr>
            <w:tcW w:w="0" w:type="auto"/>
            <w:shd w:val="clear" w:color="auto" w:fill="auto"/>
            <w:noWrap/>
            <w:vAlign w:val="center"/>
            <w:hideMark/>
          </w:tcPr>
          <w:p w14:paraId="02D6401E"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12.2</w:t>
            </w:r>
          </w:p>
        </w:tc>
      </w:tr>
      <w:tr w:rsidR="00866B48" w:rsidRPr="009A3034" w14:paraId="6D3410D8" w14:textId="77777777" w:rsidTr="00BC398D">
        <w:trPr>
          <w:trHeight w:val="295"/>
          <w:jc w:val="center"/>
        </w:trPr>
        <w:tc>
          <w:tcPr>
            <w:tcW w:w="0" w:type="auto"/>
            <w:shd w:val="clear" w:color="auto" w:fill="auto"/>
            <w:noWrap/>
            <w:vAlign w:val="center"/>
            <w:hideMark/>
          </w:tcPr>
          <w:p w14:paraId="277D84B0"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SiO</w:t>
            </w:r>
            <w:r w:rsidRPr="009A3034">
              <w:rPr>
                <w:rFonts w:eastAsia="Times New Roman" w:cs="Times New Roman"/>
                <w:color w:val="000000"/>
                <w:vertAlign w:val="subscript"/>
              </w:rPr>
              <w:t>2</w:t>
            </w:r>
          </w:p>
        </w:tc>
        <w:tc>
          <w:tcPr>
            <w:tcW w:w="0" w:type="auto"/>
            <w:shd w:val="clear" w:color="auto" w:fill="auto"/>
            <w:noWrap/>
            <w:vAlign w:val="center"/>
            <w:hideMark/>
          </w:tcPr>
          <w:p w14:paraId="15580B76"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6.6</w:t>
            </w:r>
          </w:p>
        </w:tc>
        <w:tc>
          <w:tcPr>
            <w:tcW w:w="0" w:type="auto"/>
            <w:shd w:val="clear" w:color="auto" w:fill="auto"/>
            <w:noWrap/>
            <w:vAlign w:val="center"/>
            <w:hideMark/>
          </w:tcPr>
          <w:p w14:paraId="6DBC7832"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6.5</w:t>
            </w:r>
          </w:p>
        </w:tc>
        <w:tc>
          <w:tcPr>
            <w:tcW w:w="0" w:type="auto"/>
            <w:shd w:val="clear" w:color="auto" w:fill="auto"/>
            <w:noWrap/>
            <w:vAlign w:val="center"/>
            <w:hideMark/>
          </w:tcPr>
          <w:p w14:paraId="725BF732"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9.7</w:t>
            </w:r>
          </w:p>
        </w:tc>
        <w:tc>
          <w:tcPr>
            <w:tcW w:w="0" w:type="auto"/>
            <w:shd w:val="clear" w:color="auto" w:fill="auto"/>
            <w:noWrap/>
            <w:vAlign w:val="center"/>
            <w:hideMark/>
          </w:tcPr>
          <w:p w14:paraId="4D271BB2"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74.8</w:t>
            </w:r>
          </w:p>
        </w:tc>
        <w:tc>
          <w:tcPr>
            <w:tcW w:w="0" w:type="auto"/>
            <w:shd w:val="clear" w:color="auto" w:fill="auto"/>
            <w:noWrap/>
            <w:vAlign w:val="center"/>
            <w:hideMark/>
          </w:tcPr>
          <w:p w14:paraId="705E501B"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68.9</w:t>
            </w:r>
          </w:p>
        </w:tc>
      </w:tr>
      <w:tr w:rsidR="00866B48" w:rsidRPr="009A3034" w14:paraId="67677359" w14:textId="77777777" w:rsidTr="00BC398D">
        <w:trPr>
          <w:trHeight w:val="295"/>
          <w:jc w:val="center"/>
        </w:trPr>
        <w:tc>
          <w:tcPr>
            <w:tcW w:w="0" w:type="auto"/>
            <w:shd w:val="clear" w:color="auto" w:fill="auto"/>
            <w:noWrap/>
            <w:vAlign w:val="center"/>
            <w:hideMark/>
          </w:tcPr>
          <w:p w14:paraId="0177242F"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K</w:t>
            </w:r>
            <w:r w:rsidRPr="009A3034">
              <w:rPr>
                <w:rFonts w:eastAsia="Times New Roman" w:cs="Times New Roman"/>
                <w:color w:val="000000"/>
                <w:vertAlign w:val="subscript"/>
              </w:rPr>
              <w:t>2</w:t>
            </w:r>
            <w:r w:rsidRPr="009A3034">
              <w:rPr>
                <w:rFonts w:eastAsia="Times New Roman" w:cs="Times New Roman"/>
                <w:color w:val="000000"/>
              </w:rPr>
              <w:t>O</w:t>
            </w:r>
          </w:p>
        </w:tc>
        <w:tc>
          <w:tcPr>
            <w:tcW w:w="0" w:type="auto"/>
            <w:shd w:val="clear" w:color="auto" w:fill="auto"/>
            <w:noWrap/>
            <w:vAlign w:val="center"/>
            <w:hideMark/>
          </w:tcPr>
          <w:p w14:paraId="52B3E056"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0.5</w:t>
            </w:r>
          </w:p>
        </w:tc>
        <w:tc>
          <w:tcPr>
            <w:tcW w:w="0" w:type="auto"/>
            <w:shd w:val="clear" w:color="auto" w:fill="auto"/>
            <w:noWrap/>
            <w:vAlign w:val="center"/>
            <w:hideMark/>
          </w:tcPr>
          <w:p w14:paraId="59B22519"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0.2</w:t>
            </w:r>
          </w:p>
        </w:tc>
        <w:tc>
          <w:tcPr>
            <w:tcW w:w="0" w:type="auto"/>
            <w:shd w:val="clear" w:color="auto" w:fill="auto"/>
            <w:noWrap/>
            <w:vAlign w:val="center"/>
            <w:hideMark/>
          </w:tcPr>
          <w:p w14:paraId="22461DEE"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0.2</w:t>
            </w:r>
          </w:p>
        </w:tc>
        <w:tc>
          <w:tcPr>
            <w:tcW w:w="0" w:type="auto"/>
            <w:shd w:val="clear" w:color="auto" w:fill="auto"/>
            <w:noWrap/>
            <w:vAlign w:val="center"/>
            <w:hideMark/>
          </w:tcPr>
          <w:p w14:paraId="76F6F1E0"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5.9</w:t>
            </w:r>
          </w:p>
        </w:tc>
        <w:tc>
          <w:tcPr>
            <w:tcW w:w="0" w:type="auto"/>
            <w:shd w:val="clear" w:color="auto" w:fill="auto"/>
            <w:noWrap/>
            <w:vAlign w:val="center"/>
            <w:hideMark/>
          </w:tcPr>
          <w:p w14:paraId="7AAA03F9"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4.0</w:t>
            </w:r>
          </w:p>
        </w:tc>
      </w:tr>
      <w:tr w:rsidR="00866B48" w:rsidRPr="009A3034" w14:paraId="5C8AF56D" w14:textId="77777777" w:rsidTr="00BC398D">
        <w:trPr>
          <w:trHeight w:val="295"/>
          <w:jc w:val="center"/>
        </w:trPr>
        <w:tc>
          <w:tcPr>
            <w:tcW w:w="0" w:type="auto"/>
            <w:shd w:val="clear" w:color="auto" w:fill="auto"/>
            <w:noWrap/>
            <w:vAlign w:val="center"/>
            <w:hideMark/>
          </w:tcPr>
          <w:p w14:paraId="06C0FBF8"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Fe</w:t>
            </w:r>
            <w:r w:rsidRPr="009A3034">
              <w:rPr>
                <w:rFonts w:eastAsia="Times New Roman" w:cs="Times New Roman"/>
                <w:color w:val="000000"/>
                <w:vertAlign w:val="subscript"/>
              </w:rPr>
              <w:t>2</w:t>
            </w:r>
            <w:r w:rsidRPr="009A3034">
              <w:rPr>
                <w:rFonts w:eastAsia="Times New Roman" w:cs="Times New Roman"/>
                <w:color w:val="000000"/>
              </w:rPr>
              <w:t>O</w:t>
            </w:r>
            <w:r w:rsidRPr="009A3034">
              <w:rPr>
                <w:rFonts w:eastAsia="Times New Roman" w:cs="Times New Roman"/>
                <w:color w:val="000000"/>
                <w:vertAlign w:val="subscript"/>
              </w:rPr>
              <w:t>3</w:t>
            </w:r>
          </w:p>
        </w:tc>
        <w:tc>
          <w:tcPr>
            <w:tcW w:w="0" w:type="auto"/>
            <w:shd w:val="clear" w:color="auto" w:fill="auto"/>
            <w:noWrap/>
            <w:vAlign w:val="center"/>
            <w:hideMark/>
          </w:tcPr>
          <w:p w14:paraId="348F1C61"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2.0</w:t>
            </w:r>
          </w:p>
        </w:tc>
        <w:tc>
          <w:tcPr>
            <w:tcW w:w="0" w:type="auto"/>
            <w:shd w:val="clear" w:color="auto" w:fill="auto"/>
            <w:noWrap/>
            <w:vAlign w:val="center"/>
            <w:hideMark/>
          </w:tcPr>
          <w:p w14:paraId="7140936C"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0.3</w:t>
            </w:r>
          </w:p>
        </w:tc>
        <w:tc>
          <w:tcPr>
            <w:tcW w:w="0" w:type="auto"/>
            <w:shd w:val="clear" w:color="auto" w:fill="auto"/>
            <w:noWrap/>
            <w:vAlign w:val="center"/>
            <w:hideMark/>
          </w:tcPr>
          <w:p w14:paraId="55647C70"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0.4</w:t>
            </w:r>
          </w:p>
        </w:tc>
        <w:tc>
          <w:tcPr>
            <w:tcW w:w="0" w:type="auto"/>
            <w:shd w:val="clear" w:color="auto" w:fill="auto"/>
            <w:noWrap/>
            <w:vAlign w:val="center"/>
            <w:hideMark/>
          </w:tcPr>
          <w:p w14:paraId="0B06A53D"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2.4</w:t>
            </w:r>
          </w:p>
        </w:tc>
        <w:tc>
          <w:tcPr>
            <w:tcW w:w="0" w:type="auto"/>
            <w:shd w:val="clear" w:color="auto" w:fill="auto"/>
            <w:noWrap/>
            <w:vAlign w:val="center"/>
            <w:hideMark/>
          </w:tcPr>
          <w:p w14:paraId="18FDD2C1"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6.8</w:t>
            </w:r>
          </w:p>
        </w:tc>
      </w:tr>
      <w:tr w:rsidR="00866B48" w:rsidRPr="009A3034" w14:paraId="1D97A9A5" w14:textId="77777777" w:rsidTr="00BC398D">
        <w:trPr>
          <w:trHeight w:val="295"/>
          <w:jc w:val="center"/>
        </w:trPr>
        <w:tc>
          <w:tcPr>
            <w:tcW w:w="0" w:type="auto"/>
            <w:shd w:val="clear" w:color="auto" w:fill="auto"/>
            <w:noWrap/>
            <w:vAlign w:val="center"/>
            <w:hideMark/>
          </w:tcPr>
          <w:p w14:paraId="59F64318"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Others</w:t>
            </w:r>
          </w:p>
        </w:tc>
        <w:tc>
          <w:tcPr>
            <w:tcW w:w="0" w:type="auto"/>
            <w:shd w:val="clear" w:color="auto" w:fill="auto"/>
            <w:noWrap/>
            <w:vAlign w:val="center"/>
            <w:hideMark/>
          </w:tcPr>
          <w:p w14:paraId="5778CA28"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1.4</w:t>
            </w:r>
          </w:p>
        </w:tc>
        <w:tc>
          <w:tcPr>
            <w:tcW w:w="0" w:type="auto"/>
            <w:shd w:val="clear" w:color="auto" w:fill="auto"/>
            <w:noWrap/>
            <w:vAlign w:val="center"/>
            <w:hideMark/>
          </w:tcPr>
          <w:p w14:paraId="4FF04396"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0.3</w:t>
            </w:r>
          </w:p>
        </w:tc>
        <w:tc>
          <w:tcPr>
            <w:tcW w:w="0" w:type="auto"/>
            <w:shd w:val="clear" w:color="auto" w:fill="auto"/>
            <w:noWrap/>
            <w:vAlign w:val="center"/>
            <w:hideMark/>
          </w:tcPr>
          <w:p w14:paraId="4F5DB047"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0.3</w:t>
            </w:r>
          </w:p>
        </w:tc>
        <w:tc>
          <w:tcPr>
            <w:tcW w:w="0" w:type="auto"/>
            <w:shd w:val="clear" w:color="auto" w:fill="auto"/>
            <w:noWrap/>
            <w:vAlign w:val="center"/>
            <w:hideMark/>
          </w:tcPr>
          <w:p w14:paraId="58406504"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0.7</w:t>
            </w:r>
          </w:p>
        </w:tc>
        <w:tc>
          <w:tcPr>
            <w:tcW w:w="0" w:type="auto"/>
            <w:shd w:val="clear" w:color="auto" w:fill="auto"/>
            <w:noWrap/>
            <w:vAlign w:val="center"/>
            <w:hideMark/>
          </w:tcPr>
          <w:p w14:paraId="39702066" w14:textId="77777777" w:rsidR="00866B48" w:rsidRPr="009A3034" w:rsidRDefault="00866B48" w:rsidP="00650395">
            <w:pPr>
              <w:spacing w:line="240" w:lineRule="auto"/>
              <w:jc w:val="center"/>
              <w:rPr>
                <w:rFonts w:eastAsia="Times New Roman" w:cs="Times New Roman"/>
                <w:color w:val="000000"/>
              </w:rPr>
            </w:pPr>
            <w:r w:rsidRPr="009A3034">
              <w:rPr>
                <w:rFonts w:eastAsia="Times New Roman" w:cs="Times New Roman"/>
                <w:color w:val="000000"/>
              </w:rPr>
              <w:t>2.3</w:t>
            </w:r>
          </w:p>
        </w:tc>
      </w:tr>
    </w:tbl>
    <w:p w14:paraId="0C1308BA" w14:textId="7AABC140" w:rsidR="00535704" w:rsidRDefault="00535704" w:rsidP="00437EFE">
      <w:pPr>
        <w:rPr>
          <w:rFonts w:cs="Times New Roman"/>
        </w:rPr>
      </w:pPr>
    </w:p>
    <w:p w14:paraId="69C41B82" w14:textId="06543358" w:rsidR="003E1349" w:rsidRPr="009A3034" w:rsidRDefault="001E7461" w:rsidP="000723A8">
      <w:pPr>
        <w:pStyle w:val="Caption"/>
        <w:spacing w:line="600" w:lineRule="auto"/>
        <w:jc w:val="center"/>
        <w:rPr>
          <w:lang w:val="en-CA"/>
        </w:rPr>
      </w:pPr>
      <w:bookmarkStart w:id="97" w:name="_Toc71330991"/>
      <w:r>
        <w:t xml:space="preserve">Table </w:t>
      </w:r>
      <w:fldSimple w:instr=" STYLEREF 1 \s ">
        <w:r w:rsidR="005050F0">
          <w:rPr>
            <w:noProof/>
          </w:rPr>
          <w:t>3</w:t>
        </w:r>
      </w:fldSimple>
      <w:r w:rsidR="00700639">
        <w:t>.</w:t>
      </w:r>
      <w:fldSimple w:instr=" SEQ Table \* ARABIC \s 1 ">
        <w:r w:rsidR="005050F0">
          <w:rPr>
            <w:noProof/>
          </w:rPr>
          <w:t>5</w:t>
        </w:r>
      </w:fldSimple>
      <w:r>
        <w:rPr>
          <w:lang w:val="en-CA"/>
        </w:rPr>
        <w:t xml:space="preserve"> </w:t>
      </w:r>
      <w:r w:rsidR="003E1349" w:rsidRPr="009A3034">
        <w:rPr>
          <w:lang w:val="en-CA"/>
        </w:rPr>
        <w:t>Surface free energy components of different aggregates from USD test</w:t>
      </w:r>
      <w:bookmarkEnd w:id="97"/>
    </w:p>
    <w:tbl>
      <w:tblPr>
        <w:tblW w:w="975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0"/>
        <w:gridCol w:w="1326"/>
        <w:gridCol w:w="1443"/>
        <w:gridCol w:w="1443"/>
        <w:gridCol w:w="1443"/>
        <w:gridCol w:w="1331"/>
        <w:gridCol w:w="1255"/>
      </w:tblGrid>
      <w:tr w:rsidR="00BC398D" w:rsidRPr="009A3034" w14:paraId="555EBA62" w14:textId="77777777" w:rsidTr="00BC398D">
        <w:trPr>
          <w:trHeight w:val="269"/>
          <w:jc w:val="center"/>
        </w:trPr>
        <w:tc>
          <w:tcPr>
            <w:tcW w:w="2836" w:type="dxa"/>
            <w:gridSpan w:val="2"/>
            <w:vMerge w:val="restart"/>
          </w:tcPr>
          <w:p w14:paraId="3B5A0614" w14:textId="77777777" w:rsidR="00BC398D" w:rsidRPr="009A3034" w:rsidRDefault="00BC398D" w:rsidP="00650395">
            <w:pPr>
              <w:spacing w:line="240" w:lineRule="auto"/>
              <w:jc w:val="center"/>
              <w:rPr>
                <w:rFonts w:eastAsia="Times New Roman" w:cs="Times New Roman"/>
                <w:b/>
                <w:bCs/>
                <w:color w:val="000000"/>
              </w:rPr>
            </w:pPr>
          </w:p>
        </w:tc>
        <w:tc>
          <w:tcPr>
            <w:tcW w:w="6915" w:type="dxa"/>
            <w:gridSpan w:val="5"/>
            <w:shd w:val="clear" w:color="auto" w:fill="auto"/>
            <w:noWrap/>
            <w:vAlign w:val="center"/>
          </w:tcPr>
          <w:p w14:paraId="07A80F47" w14:textId="77777777" w:rsidR="00BC398D" w:rsidRPr="009A3034" w:rsidRDefault="00BC398D" w:rsidP="00650395">
            <w:pPr>
              <w:spacing w:line="240" w:lineRule="auto"/>
              <w:jc w:val="center"/>
              <w:rPr>
                <w:rFonts w:cs="Times New Roman"/>
                <w:b/>
                <w:bCs/>
                <w:color w:val="000000"/>
              </w:rPr>
            </w:pPr>
            <w:r w:rsidRPr="009A3034">
              <w:rPr>
                <w:rFonts w:cs="Times New Roman"/>
                <w:b/>
                <w:bCs/>
                <w:color w:val="000000"/>
              </w:rPr>
              <w:t>Aggregate Type</w:t>
            </w:r>
          </w:p>
        </w:tc>
      </w:tr>
      <w:tr w:rsidR="00BC398D" w:rsidRPr="009A3034" w14:paraId="07EC4A0E" w14:textId="77777777" w:rsidTr="00BC398D">
        <w:trPr>
          <w:trHeight w:val="269"/>
          <w:jc w:val="center"/>
        </w:trPr>
        <w:tc>
          <w:tcPr>
            <w:tcW w:w="2836" w:type="dxa"/>
            <w:gridSpan w:val="2"/>
            <w:vMerge/>
          </w:tcPr>
          <w:p w14:paraId="48C19D3B" w14:textId="77777777" w:rsidR="00BC398D" w:rsidRPr="009A3034" w:rsidRDefault="00BC398D" w:rsidP="00650395">
            <w:pPr>
              <w:spacing w:line="240" w:lineRule="auto"/>
              <w:jc w:val="center"/>
              <w:rPr>
                <w:rFonts w:eastAsia="Times New Roman" w:cs="Times New Roman"/>
                <w:b/>
                <w:bCs/>
                <w:color w:val="000000"/>
              </w:rPr>
            </w:pPr>
          </w:p>
        </w:tc>
        <w:tc>
          <w:tcPr>
            <w:tcW w:w="1443" w:type="dxa"/>
            <w:shd w:val="clear" w:color="auto" w:fill="auto"/>
            <w:noWrap/>
            <w:vAlign w:val="center"/>
          </w:tcPr>
          <w:p w14:paraId="46B9ABF6" w14:textId="77777777" w:rsidR="00BC398D" w:rsidRPr="009A3034" w:rsidRDefault="00BC398D" w:rsidP="00650395">
            <w:pPr>
              <w:spacing w:line="240" w:lineRule="auto"/>
              <w:jc w:val="center"/>
              <w:rPr>
                <w:rFonts w:eastAsia="Times New Roman" w:cs="Times New Roman"/>
                <w:b/>
                <w:bCs/>
                <w:color w:val="000000"/>
              </w:rPr>
            </w:pPr>
            <w:r w:rsidRPr="009A3034">
              <w:rPr>
                <w:rFonts w:cs="Times New Roman"/>
                <w:b/>
                <w:bCs/>
                <w:color w:val="000000"/>
              </w:rPr>
              <w:t>L1 (Limestone)</w:t>
            </w:r>
          </w:p>
        </w:tc>
        <w:tc>
          <w:tcPr>
            <w:tcW w:w="1443" w:type="dxa"/>
            <w:shd w:val="clear" w:color="auto" w:fill="auto"/>
            <w:noWrap/>
            <w:vAlign w:val="center"/>
          </w:tcPr>
          <w:p w14:paraId="5C06D9CD" w14:textId="77777777" w:rsidR="00BC398D" w:rsidRPr="009A3034" w:rsidRDefault="00BC398D" w:rsidP="00650395">
            <w:pPr>
              <w:spacing w:line="240" w:lineRule="auto"/>
              <w:jc w:val="center"/>
              <w:rPr>
                <w:rFonts w:cs="Times New Roman"/>
                <w:b/>
                <w:bCs/>
                <w:color w:val="000000"/>
              </w:rPr>
            </w:pPr>
            <w:r w:rsidRPr="009A3034">
              <w:rPr>
                <w:rFonts w:cs="Times New Roman"/>
                <w:b/>
                <w:bCs/>
                <w:color w:val="000000"/>
              </w:rPr>
              <w:t>L2</w:t>
            </w:r>
          </w:p>
          <w:p w14:paraId="0DDE7AB9" w14:textId="77777777" w:rsidR="00BC398D" w:rsidRPr="009A3034" w:rsidRDefault="00BC398D" w:rsidP="00650395">
            <w:pPr>
              <w:spacing w:line="240" w:lineRule="auto"/>
              <w:jc w:val="center"/>
              <w:rPr>
                <w:rFonts w:eastAsia="Times New Roman" w:cs="Times New Roman"/>
                <w:b/>
                <w:bCs/>
                <w:color w:val="000000"/>
              </w:rPr>
            </w:pPr>
            <w:r w:rsidRPr="009A3034">
              <w:rPr>
                <w:rFonts w:cs="Times New Roman"/>
                <w:b/>
                <w:bCs/>
                <w:color w:val="000000"/>
              </w:rPr>
              <w:t>(Limestone)</w:t>
            </w:r>
          </w:p>
        </w:tc>
        <w:tc>
          <w:tcPr>
            <w:tcW w:w="1443" w:type="dxa"/>
            <w:shd w:val="clear" w:color="auto" w:fill="auto"/>
            <w:noWrap/>
            <w:vAlign w:val="center"/>
          </w:tcPr>
          <w:p w14:paraId="2B16B83E" w14:textId="77777777" w:rsidR="00BC398D" w:rsidRPr="009A3034" w:rsidRDefault="00BC398D" w:rsidP="00650395">
            <w:pPr>
              <w:spacing w:line="240" w:lineRule="auto"/>
              <w:jc w:val="center"/>
              <w:rPr>
                <w:rFonts w:cs="Times New Roman"/>
                <w:b/>
                <w:bCs/>
                <w:color w:val="000000"/>
              </w:rPr>
            </w:pPr>
            <w:r w:rsidRPr="009A3034">
              <w:rPr>
                <w:rFonts w:cs="Times New Roman"/>
                <w:b/>
                <w:bCs/>
                <w:color w:val="000000"/>
              </w:rPr>
              <w:t>L3</w:t>
            </w:r>
          </w:p>
          <w:p w14:paraId="21A6DC5F" w14:textId="77777777" w:rsidR="00BC398D" w:rsidRPr="009A3034" w:rsidRDefault="00BC398D" w:rsidP="00650395">
            <w:pPr>
              <w:spacing w:line="240" w:lineRule="auto"/>
              <w:jc w:val="center"/>
              <w:rPr>
                <w:rFonts w:eastAsia="Times New Roman" w:cs="Times New Roman"/>
                <w:b/>
                <w:bCs/>
                <w:color w:val="000000"/>
              </w:rPr>
            </w:pPr>
            <w:r w:rsidRPr="009A3034">
              <w:rPr>
                <w:rFonts w:cs="Times New Roman"/>
                <w:b/>
                <w:bCs/>
                <w:color w:val="000000"/>
              </w:rPr>
              <w:t>(Limestone)</w:t>
            </w:r>
          </w:p>
        </w:tc>
        <w:tc>
          <w:tcPr>
            <w:tcW w:w="1331" w:type="dxa"/>
            <w:shd w:val="clear" w:color="auto" w:fill="auto"/>
            <w:noWrap/>
            <w:vAlign w:val="center"/>
          </w:tcPr>
          <w:p w14:paraId="1960E4AF" w14:textId="77777777" w:rsidR="00BC398D" w:rsidRPr="009A3034" w:rsidRDefault="00BC398D" w:rsidP="00650395">
            <w:pPr>
              <w:spacing w:line="240" w:lineRule="auto"/>
              <w:jc w:val="center"/>
              <w:rPr>
                <w:rFonts w:cs="Times New Roman"/>
                <w:b/>
                <w:bCs/>
                <w:color w:val="000000"/>
              </w:rPr>
            </w:pPr>
            <w:r w:rsidRPr="009A3034">
              <w:rPr>
                <w:rFonts w:cs="Times New Roman"/>
                <w:b/>
                <w:bCs/>
                <w:color w:val="000000"/>
              </w:rPr>
              <w:t xml:space="preserve">G1 </w:t>
            </w:r>
          </w:p>
          <w:p w14:paraId="3531BB95" w14:textId="77777777" w:rsidR="00BC398D" w:rsidRPr="009A3034" w:rsidRDefault="00BC398D" w:rsidP="00650395">
            <w:pPr>
              <w:spacing w:line="240" w:lineRule="auto"/>
              <w:jc w:val="center"/>
              <w:rPr>
                <w:rFonts w:eastAsia="Times New Roman" w:cs="Times New Roman"/>
                <w:b/>
                <w:bCs/>
                <w:color w:val="000000"/>
              </w:rPr>
            </w:pPr>
            <w:r w:rsidRPr="009A3034">
              <w:rPr>
                <w:rFonts w:cs="Times New Roman"/>
                <w:b/>
                <w:bCs/>
                <w:color w:val="000000"/>
              </w:rPr>
              <w:t>(Granite)</w:t>
            </w:r>
          </w:p>
        </w:tc>
        <w:tc>
          <w:tcPr>
            <w:tcW w:w="1255" w:type="dxa"/>
            <w:shd w:val="clear" w:color="auto" w:fill="auto"/>
            <w:noWrap/>
            <w:vAlign w:val="center"/>
          </w:tcPr>
          <w:p w14:paraId="4FF60AD6" w14:textId="77777777" w:rsidR="00BC398D" w:rsidRPr="009A3034" w:rsidRDefault="00BC398D" w:rsidP="00650395">
            <w:pPr>
              <w:spacing w:line="240" w:lineRule="auto"/>
              <w:jc w:val="center"/>
              <w:rPr>
                <w:rFonts w:cs="Times New Roman"/>
                <w:b/>
                <w:bCs/>
                <w:color w:val="000000"/>
              </w:rPr>
            </w:pPr>
            <w:r w:rsidRPr="009A3034">
              <w:rPr>
                <w:rFonts w:cs="Times New Roman"/>
                <w:b/>
                <w:bCs/>
                <w:color w:val="000000"/>
              </w:rPr>
              <w:t xml:space="preserve">R1 </w:t>
            </w:r>
          </w:p>
          <w:p w14:paraId="2D0A8710" w14:textId="77777777" w:rsidR="00BC398D" w:rsidRPr="009A3034" w:rsidRDefault="00BC398D" w:rsidP="00650395">
            <w:pPr>
              <w:spacing w:line="240" w:lineRule="auto"/>
              <w:jc w:val="center"/>
              <w:rPr>
                <w:rFonts w:eastAsia="Times New Roman" w:cs="Times New Roman"/>
                <w:b/>
                <w:bCs/>
                <w:color w:val="000000"/>
              </w:rPr>
            </w:pPr>
            <w:r w:rsidRPr="009A3034">
              <w:rPr>
                <w:rFonts w:cs="Times New Roman"/>
                <w:b/>
                <w:bCs/>
                <w:color w:val="000000"/>
              </w:rPr>
              <w:t>(Rhyolite)</w:t>
            </w:r>
          </w:p>
        </w:tc>
      </w:tr>
      <w:tr w:rsidR="003E1349" w:rsidRPr="009A3034" w14:paraId="255E6EB9" w14:textId="77777777" w:rsidTr="00BC398D">
        <w:trPr>
          <w:trHeight w:val="269"/>
          <w:jc w:val="center"/>
        </w:trPr>
        <w:tc>
          <w:tcPr>
            <w:tcW w:w="2836" w:type="dxa"/>
            <w:gridSpan w:val="2"/>
          </w:tcPr>
          <w:p w14:paraId="0EE1BB61" w14:textId="77777777" w:rsidR="003E1349" w:rsidRPr="009A3034" w:rsidRDefault="003E1349" w:rsidP="00650395">
            <w:pPr>
              <w:spacing w:line="240" w:lineRule="auto"/>
              <w:jc w:val="center"/>
              <w:rPr>
                <w:rFonts w:eastAsia="Times New Roman" w:cs="Times New Roman"/>
                <w:color w:val="000000"/>
              </w:rPr>
            </w:pPr>
            <w:r w:rsidRPr="009A3034">
              <w:rPr>
                <w:rFonts w:eastAsia="Times New Roman" w:cs="Times New Roman"/>
                <w:b/>
                <w:bCs/>
                <w:color w:val="000000"/>
              </w:rPr>
              <w:t>SSA (m</w:t>
            </w:r>
            <w:r w:rsidRPr="009A3034">
              <w:rPr>
                <w:rFonts w:eastAsia="Times New Roman" w:cs="Times New Roman"/>
                <w:b/>
                <w:bCs/>
                <w:color w:val="000000"/>
                <w:vertAlign w:val="superscript"/>
              </w:rPr>
              <w:t>2</w:t>
            </w:r>
            <w:r w:rsidRPr="009A3034">
              <w:rPr>
                <w:rFonts w:eastAsia="Times New Roman" w:cs="Times New Roman"/>
                <w:b/>
                <w:bCs/>
                <w:color w:val="000000"/>
              </w:rPr>
              <w:t>/g)</w:t>
            </w:r>
          </w:p>
        </w:tc>
        <w:tc>
          <w:tcPr>
            <w:tcW w:w="1443" w:type="dxa"/>
            <w:shd w:val="clear" w:color="auto" w:fill="auto"/>
            <w:noWrap/>
            <w:vAlign w:val="bottom"/>
          </w:tcPr>
          <w:p w14:paraId="04DE25E0" w14:textId="77777777" w:rsidR="003E1349" w:rsidRPr="009A3034" w:rsidRDefault="003E1349" w:rsidP="00650395">
            <w:pPr>
              <w:spacing w:line="240" w:lineRule="auto"/>
              <w:jc w:val="center"/>
              <w:rPr>
                <w:rFonts w:eastAsia="Times New Roman" w:cs="Times New Roman"/>
                <w:color w:val="000000"/>
              </w:rPr>
            </w:pPr>
            <w:r w:rsidRPr="009A3034">
              <w:rPr>
                <w:rFonts w:cs="Times New Roman"/>
                <w:color w:val="000000"/>
              </w:rPr>
              <w:t>0.34</w:t>
            </w:r>
          </w:p>
        </w:tc>
        <w:tc>
          <w:tcPr>
            <w:tcW w:w="1443" w:type="dxa"/>
            <w:shd w:val="clear" w:color="auto" w:fill="auto"/>
            <w:noWrap/>
            <w:vAlign w:val="bottom"/>
          </w:tcPr>
          <w:p w14:paraId="595FA73D" w14:textId="77777777" w:rsidR="003E1349" w:rsidRPr="009A3034" w:rsidRDefault="003E1349" w:rsidP="00650395">
            <w:pPr>
              <w:spacing w:line="240" w:lineRule="auto"/>
              <w:jc w:val="center"/>
              <w:rPr>
                <w:rFonts w:eastAsia="Times New Roman" w:cs="Times New Roman"/>
                <w:color w:val="000000"/>
              </w:rPr>
            </w:pPr>
            <w:r w:rsidRPr="009A3034">
              <w:rPr>
                <w:rFonts w:cs="Times New Roman"/>
                <w:color w:val="000000"/>
              </w:rPr>
              <w:t>0.7</w:t>
            </w:r>
          </w:p>
        </w:tc>
        <w:tc>
          <w:tcPr>
            <w:tcW w:w="1443" w:type="dxa"/>
            <w:shd w:val="clear" w:color="auto" w:fill="auto"/>
            <w:noWrap/>
            <w:vAlign w:val="bottom"/>
          </w:tcPr>
          <w:p w14:paraId="459FB716" w14:textId="77777777" w:rsidR="003E1349" w:rsidRPr="009A3034" w:rsidRDefault="003E1349" w:rsidP="00650395">
            <w:pPr>
              <w:spacing w:line="240" w:lineRule="auto"/>
              <w:jc w:val="center"/>
              <w:rPr>
                <w:rFonts w:eastAsia="Times New Roman" w:cs="Times New Roman"/>
                <w:color w:val="000000"/>
              </w:rPr>
            </w:pPr>
            <w:r w:rsidRPr="009A3034">
              <w:rPr>
                <w:rFonts w:cs="Times New Roman"/>
                <w:color w:val="000000"/>
              </w:rPr>
              <w:t>1.86</w:t>
            </w:r>
          </w:p>
        </w:tc>
        <w:tc>
          <w:tcPr>
            <w:tcW w:w="1331" w:type="dxa"/>
            <w:shd w:val="clear" w:color="auto" w:fill="auto"/>
            <w:noWrap/>
            <w:vAlign w:val="bottom"/>
          </w:tcPr>
          <w:p w14:paraId="1B3F9E5C" w14:textId="77777777" w:rsidR="003E1349" w:rsidRPr="009A3034" w:rsidRDefault="003E1349" w:rsidP="00650395">
            <w:pPr>
              <w:spacing w:line="240" w:lineRule="auto"/>
              <w:jc w:val="center"/>
              <w:rPr>
                <w:rFonts w:eastAsia="Times New Roman" w:cs="Times New Roman"/>
                <w:color w:val="000000"/>
              </w:rPr>
            </w:pPr>
            <w:r w:rsidRPr="009A3034">
              <w:rPr>
                <w:rFonts w:cs="Times New Roman"/>
                <w:color w:val="000000"/>
              </w:rPr>
              <w:t>0.83</w:t>
            </w:r>
          </w:p>
        </w:tc>
        <w:tc>
          <w:tcPr>
            <w:tcW w:w="1255" w:type="dxa"/>
            <w:shd w:val="clear" w:color="auto" w:fill="auto"/>
            <w:noWrap/>
            <w:vAlign w:val="bottom"/>
          </w:tcPr>
          <w:p w14:paraId="72AB0151" w14:textId="77777777" w:rsidR="003E1349" w:rsidRPr="009A3034" w:rsidRDefault="003E1349" w:rsidP="00650395">
            <w:pPr>
              <w:spacing w:line="240" w:lineRule="auto"/>
              <w:jc w:val="center"/>
              <w:rPr>
                <w:rFonts w:eastAsia="Times New Roman" w:cs="Times New Roman"/>
                <w:color w:val="000000"/>
              </w:rPr>
            </w:pPr>
            <w:r w:rsidRPr="009A3034">
              <w:rPr>
                <w:rFonts w:cs="Times New Roman"/>
                <w:color w:val="000000"/>
              </w:rPr>
              <w:t>8.56</w:t>
            </w:r>
          </w:p>
        </w:tc>
      </w:tr>
      <w:tr w:rsidR="003E1349" w:rsidRPr="009A3034" w14:paraId="118661E4" w14:textId="77777777" w:rsidTr="00BC398D">
        <w:trPr>
          <w:trHeight w:val="269"/>
          <w:jc w:val="center"/>
        </w:trPr>
        <w:tc>
          <w:tcPr>
            <w:tcW w:w="1510" w:type="dxa"/>
            <w:vMerge w:val="restart"/>
            <w:vAlign w:val="center"/>
          </w:tcPr>
          <w:p w14:paraId="32CA7112" w14:textId="77777777" w:rsidR="003E1349" w:rsidRPr="009A3034" w:rsidRDefault="003E1349" w:rsidP="00650395">
            <w:pPr>
              <w:spacing w:line="240" w:lineRule="auto"/>
              <w:jc w:val="center"/>
              <w:rPr>
                <w:rFonts w:eastAsia="Times New Roman" w:cs="Times New Roman"/>
                <w:color w:val="000000"/>
              </w:rPr>
            </w:pPr>
            <w:r w:rsidRPr="009A3034">
              <w:rPr>
                <w:rFonts w:eastAsia="Times New Roman" w:cs="Times New Roman"/>
                <w:b/>
                <w:bCs/>
                <w:color w:val="000000"/>
              </w:rPr>
              <w:t>SFE Components (mJ/m</w:t>
            </w:r>
            <w:r w:rsidRPr="009A3034">
              <w:rPr>
                <w:rFonts w:eastAsia="Times New Roman" w:cs="Times New Roman"/>
                <w:b/>
                <w:bCs/>
                <w:color w:val="000000"/>
                <w:vertAlign w:val="superscript"/>
              </w:rPr>
              <w:t>2</w:t>
            </w:r>
            <w:r w:rsidRPr="009A3034">
              <w:rPr>
                <w:rFonts w:eastAsia="Times New Roman" w:cs="Times New Roman"/>
                <w:b/>
                <w:bCs/>
                <w:color w:val="000000"/>
              </w:rPr>
              <w:t>)</w:t>
            </w:r>
          </w:p>
        </w:tc>
        <w:tc>
          <w:tcPr>
            <w:tcW w:w="1326" w:type="dxa"/>
            <w:shd w:val="clear" w:color="auto" w:fill="auto"/>
            <w:noWrap/>
            <w:vAlign w:val="center"/>
            <w:hideMark/>
          </w:tcPr>
          <w:p w14:paraId="1B608C6B" w14:textId="77777777" w:rsidR="003E1349" w:rsidRPr="009A3034" w:rsidRDefault="007F7885" w:rsidP="00650395">
            <w:pPr>
              <w:spacing w:line="240" w:lineRule="auto"/>
              <w:jc w:val="center"/>
              <w:rPr>
                <w:rFonts w:eastAsia="Times New Roman" w:cs="Times New Roman"/>
                <w:color w:val="000000"/>
              </w:rPr>
            </w:pPr>
            <m:oMathPara>
              <m:oMath>
                <m:sSubSup>
                  <m:sSubSupPr>
                    <m:ctrlPr>
                      <w:rPr>
                        <w:rFonts w:ascii="Cambria Math" w:hAnsi="Cambria Math" w:cs="Times New Roman"/>
                        <w:i/>
                        <w:lang w:val="en-GB" w:eastAsia="en-GB"/>
                      </w:rPr>
                    </m:ctrlPr>
                  </m:sSubSupPr>
                  <m:e>
                    <m:r>
                      <m:rPr>
                        <m:sty m:val="p"/>
                      </m:rPr>
                      <w:rPr>
                        <w:rFonts w:ascii="Cambria Math" w:hAnsi="Cambria Math" w:cs="Times New Roman"/>
                      </w:rPr>
                      <m:t>Γ</m:t>
                    </m:r>
                  </m:e>
                  <m:sub>
                    <m:r>
                      <w:rPr>
                        <w:rFonts w:ascii="Cambria Math" w:hAnsi="Cambria Math" w:cs="Times New Roman"/>
                      </w:rPr>
                      <m:t>R</m:t>
                    </m:r>
                  </m:sub>
                  <m:sup>
                    <m:r>
                      <w:rPr>
                        <w:rFonts w:ascii="Cambria Math" w:hAnsi="Cambria Math" w:cs="Times New Roman"/>
                      </w:rPr>
                      <m:t>LW</m:t>
                    </m:r>
                  </m:sup>
                </m:sSubSup>
              </m:oMath>
            </m:oMathPara>
          </w:p>
        </w:tc>
        <w:tc>
          <w:tcPr>
            <w:tcW w:w="1443" w:type="dxa"/>
            <w:shd w:val="clear" w:color="auto" w:fill="auto"/>
            <w:noWrap/>
            <w:vAlign w:val="center"/>
            <w:hideMark/>
          </w:tcPr>
          <w:p w14:paraId="61F7A648" w14:textId="77777777" w:rsidR="003E1349" w:rsidRPr="009A3034" w:rsidRDefault="003E1349" w:rsidP="00650395">
            <w:pPr>
              <w:spacing w:line="240" w:lineRule="auto"/>
              <w:jc w:val="center"/>
              <w:rPr>
                <w:rFonts w:eastAsia="Times New Roman" w:cs="Times New Roman"/>
                <w:color w:val="000000"/>
              </w:rPr>
            </w:pPr>
            <w:r w:rsidRPr="009A3034">
              <w:rPr>
                <w:rFonts w:eastAsia="Times New Roman" w:cs="Times New Roman"/>
                <w:color w:val="000000"/>
              </w:rPr>
              <w:t>52.06</w:t>
            </w:r>
          </w:p>
        </w:tc>
        <w:tc>
          <w:tcPr>
            <w:tcW w:w="1443" w:type="dxa"/>
            <w:shd w:val="clear" w:color="auto" w:fill="auto"/>
            <w:noWrap/>
            <w:vAlign w:val="center"/>
            <w:hideMark/>
          </w:tcPr>
          <w:p w14:paraId="74B307F2" w14:textId="77777777" w:rsidR="003E1349" w:rsidRPr="009A3034" w:rsidRDefault="003E1349" w:rsidP="00650395">
            <w:pPr>
              <w:spacing w:line="240" w:lineRule="auto"/>
              <w:jc w:val="center"/>
              <w:rPr>
                <w:rFonts w:eastAsia="Times New Roman" w:cs="Times New Roman"/>
                <w:color w:val="000000"/>
              </w:rPr>
            </w:pPr>
            <w:r w:rsidRPr="009A3034">
              <w:rPr>
                <w:rFonts w:eastAsia="Times New Roman" w:cs="Times New Roman"/>
                <w:color w:val="000000"/>
              </w:rPr>
              <w:t>25.24</w:t>
            </w:r>
          </w:p>
        </w:tc>
        <w:tc>
          <w:tcPr>
            <w:tcW w:w="1443" w:type="dxa"/>
            <w:shd w:val="clear" w:color="auto" w:fill="auto"/>
            <w:noWrap/>
            <w:vAlign w:val="center"/>
            <w:hideMark/>
          </w:tcPr>
          <w:p w14:paraId="1344CF6B" w14:textId="77777777" w:rsidR="003E1349" w:rsidRPr="009A3034" w:rsidRDefault="003E1349" w:rsidP="00650395">
            <w:pPr>
              <w:spacing w:line="240" w:lineRule="auto"/>
              <w:jc w:val="center"/>
              <w:rPr>
                <w:rFonts w:eastAsia="Times New Roman" w:cs="Times New Roman"/>
                <w:color w:val="000000"/>
              </w:rPr>
            </w:pPr>
            <w:r w:rsidRPr="009A3034">
              <w:rPr>
                <w:rFonts w:eastAsia="Times New Roman" w:cs="Times New Roman"/>
                <w:color w:val="000000"/>
              </w:rPr>
              <w:t>51.29</w:t>
            </w:r>
          </w:p>
        </w:tc>
        <w:tc>
          <w:tcPr>
            <w:tcW w:w="1331" w:type="dxa"/>
            <w:shd w:val="clear" w:color="auto" w:fill="auto"/>
            <w:noWrap/>
            <w:vAlign w:val="center"/>
            <w:hideMark/>
          </w:tcPr>
          <w:p w14:paraId="51D60321" w14:textId="77777777" w:rsidR="003E1349" w:rsidRPr="009A3034" w:rsidRDefault="003E1349" w:rsidP="00650395">
            <w:pPr>
              <w:spacing w:line="240" w:lineRule="auto"/>
              <w:jc w:val="center"/>
              <w:rPr>
                <w:rFonts w:eastAsia="Times New Roman" w:cs="Times New Roman"/>
                <w:color w:val="000000"/>
              </w:rPr>
            </w:pPr>
            <w:r w:rsidRPr="009A3034">
              <w:rPr>
                <w:rFonts w:eastAsia="Times New Roman" w:cs="Times New Roman"/>
                <w:color w:val="000000"/>
              </w:rPr>
              <w:t>76.89</w:t>
            </w:r>
          </w:p>
        </w:tc>
        <w:tc>
          <w:tcPr>
            <w:tcW w:w="1255" w:type="dxa"/>
            <w:shd w:val="clear" w:color="auto" w:fill="auto"/>
            <w:noWrap/>
            <w:vAlign w:val="center"/>
            <w:hideMark/>
          </w:tcPr>
          <w:p w14:paraId="1A42D8DD" w14:textId="77777777" w:rsidR="003E1349" w:rsidRPr="009A3034" w:rsidRDefault="003E1349" w:rsidP="00650395">
            <w:pPr>
              <w:spacing w:line="240" w:lineRule="auto"/>
              <w:jc w:val="center"/>
              <w:rPr>
                <w:rFonts w:eastAsia="Times New Roman" w:cs="Times New Roman"/>
                <w:color w:val="000000"/>
              </w:rPr>
            </w:pPr>
            <w:r w:rsidRPr="009A3034">
              <w:rPr>
                <w:rFonts w:eastAsia="Times New Roman" w:cs="Times New Roman"/>
                <w:color w:val="000000"/>
              </w:rPr>
              <w:t>52.87</w:t>
            </w:r>
          </w:p>
        </w:tc>
      </w:tr>
      <w:tr w:rsidR="003E1349" w:rsidRPr="009A3034" w14:paraId="70C5FDDE" w14:textId="77777777" w:rsidTr="00BC398D">
        <w:trPr>
          <w:trHeight w:val="269"/>
          <w:jc w:val="center"/>
        </w:trPr>
        <w:tc>
          <w:tcPr>
            <w:tcW w:w="1510" w:type="dxa"/>
            <w:vMerge/>
          </w:tcPr>
          <w:p w14:paraId="6B6625DE" w14:textId="77777777" w:rsidR="003E1349" w:rsidRPr="009A3034" w:rsidRDefault="003E1349" w:rsidP="00650395">
            <w:pPr>
              <w:spacing w:line="240" w:lineRule="auto"/>
              <w:jc w:val="center"/>
              <w:rPr>
                <w:rFonts w:eastAsia="Times New Roman" w:cs="Times New Roman"/>
                <w:color w:val="000000"/>
              </w:rPr>
            </w:pPr>
          </w:p>
        </w:tc>
        <w:tc>
          <w:tcPr>
            <w:tcW w:w="1326" w:type="dxa"/>
            <w:shd w:val="clear" w:color="auto" w:fill="auto"/>
            <w:noWrap/>
            <w:vAlign w:val="center"/>
            <w:hideMark/>
          </w:tcPr>
          <w:p w14:paraId="48C79EC6" w14:textId="77777777" w:rsidR="003E1349" w:rsidRPr="009A3034" w:rsidRDefault="007F7885" w:rsidP="00650395">
            <w:pPr>
              <w:spacing w:line="240" w:lineRule="auto"/>
              <w:jc w:val="center"/>
              <w:rPr>
                <w:rFonts w:eastAsia="Times New Roman" w:cs="Times New Roman"/>
                <w:color w:val="000000"/>
              </w:rPr>
            </w:pPr>
            <m:oMathPara>
              <m:oMath>
                <m:sSubSup>
                  <m:sSubSupPr>
                    <m:ctrlPr>
                      <w:rPr>
                        <w:rFonts w:ascii="Cambria Math" w:hAnsi="Cambria Math" w:cs="Times New Roman"/>
                        <w:i/>
                        <w:lang w:val="en-GB" w:eastAsia="en-GB"/>
                      </w:rPr>
                    </m:ctrlPr>
                  </m:sSubSupPr>
                  <m:e>
                    <m:r>
                      <m:rPr>
                        <m:sty m:val="p"/>
                      </m:rPr>
                      <w:rPr>
                        <w:rFonts w:ascii="Cambria Math" w:hAnsi="Cambria Math" w:cs="Times New Roman"/>
                      </w:rPr>
                      <m:t>Γ</m:t>
                    </m:r>
                  </m:e>
                  <m:sub>
                    <m:r>
                      <w:rPr>
                        <w:rFonts w:ascii="Cambria Math" w:hAnsi="Cambria Math" w:cs="Times New Roman"/>
                      </w:rPr>
                      <m:t>R</m:t>
                    </m:r>
                  </m:sub>
                  <m:sup>
                    <m:r>
                      <w:rPr>
                        <w:rFonts w:ascii="Cambria Math" w:hAnsi="Cambria Math" w:cs="Times New Roman"/>
                        <w:lang w:val="en-GB" w:eastAsia="en-GB"/>
                      </w:rPr>
                      <m:t>+</m:t>
                    </m:r>
                  </m:sup>
                </m:sSubSup>
              </m:oMath>
            </m:oMathPara>
          </w:p>
        </w:tc>
        <w:tc>
          <w:tcPr>
            <w:tcW w:w="1443" w:type="dxa"/>
            <w:shd w:val="clear" w:color="auto" w:fill="auto"/>
            <w:noWrap/>
            <w:vAlign w:val="center"/>
            <w:hideMark/>
          </w:tcPr>
          <w:p w14:paraId="2D22E5C7" w14:textId="77777777" w:rsidR="003E1349" w:rsidRPr="009A3034" w:rsidRDefault="003E1349" w:rsidP="00650395">
            <w:pPr>
              <w:spacing w:line="240" w:lineRule="auto"/>
              <w:jc w:val="center"/>
              <w:rPr>
                <w:rFonts w:eastAsia="Times New Roman" w:cs="Times New Roman"/>
                <w:color w:val="000000"/>
              </w:rPr>
            </w:pPr>
            <w:r w:rsidRPr="009A3034">
              <w:rPr>
                <w:rFonts w:eastAsia="Times New Roman" w:cs="Times New Roman"/>
                <w:color w:val="000000"/>
              </w:rPr>
              <w:t>26.17</w:t>
            </w:r>
          </w:p>
        </w:tc>
        <w:tc>
          <w:tcPr>
            <w:tcW w:w="1443" w:type="dxa"/>
            <w:shd w:val="clear" w:color="auto" w:fill="auto"/>
            <w:noWrap/>
            <w:vAlign w:val="center"/>
            <w:hideMark/>
          </w:tcPr>
          <w:p w14:paraId="2ED5C096" w14:textId="77777777" w:rsidR="003E1349" w:rsidRPr="009A3034" w:rsidRDefault="003E1349" w:rsidP="00650395">
            <w:pPr>
              <w:spacing w:line="240" w:lineRule="auto"/>
              <w:jc w:val="center"/>
              <w:rPr>
                <w:rFonts w:eastAsia="Times New Roman" w:cs="Times New Roman"/>
                <w:color w:val="000000"/>
              </w:rPr>
            </w:pPr>
            <w:r w:rsidRPr="009A3034">
              <w:rPr>
                <w:rFonts w:eastAsia="Times New Roman" w:cs="Times New Roman"/>
                <w:color w:val="000000"/>
              </w:rPr>
              <w:t>143.83</w:t>
            </w:r>
          </w:p>
        </w:tc>
        <w:tc>
          <w:tcPr>
            <w:tcW w:w="1443" w:type="dxa"/>
            <w:shd w:val="clear" w:color="auto" w:fill="auto"/>
            <w:noWrap/>
            <w:vAlign w:val="center"/>
            <w:hideMark/>
          </w:tcPr>
          <w:p w14:paraId="594A044C" w14:textId="77777777" w:rsidR="003E1349" w:rsidRPr="009A3034" w:rsidRDefault="003E1349" w:rsidP="00650395">
            <w:pPr>
              <w:spacing w:line="240" w:lineRule="auto"/>
              <w:jc w:val="center"/>
              <w:rPr>
                <w:rFonts w:eastAsia="Times New Roman" w:cs="Times New Roman"/>
                <w:color w:val="000000"/>
              </w:rPr>
            </w:pPr>
            <w:r w:rsidRPr="009A3034">
              <w:rPr>
                <w:rFonts w:eastAsia="Times New Roman" w:cs="Times New Roman"/>
                <w:color w:val="000000"/>
              </w:rPr>
              <w:t>18.91</w:t>
            </w:r>
          </w:p>
        </w:tc>
        <w:tc>
          <w:tcPr>
            <w:tcW w:w="1331" w:type="dxa"/>
            <w:shd w:val="clear" w:color="auto" w:fill="auto"/>
            <w:noWrap/>
            <w:vAlign w:val="center"/>
            <w:hideMark/>
          </w:tcPr>
          <w:p w14:paraId="0793AE3B" w14:textId="77777777" w:rsidR="003E1349" w:rsidRPr="009A3034" w:rsidRDefault="003E1349" w:rsidP="00650395">
            <w:pPr>
              <w:spacing w:line="240" w:lineRule="auto"/>
              <w:jc w:val="center"/>
              <w:rPr>
                <w:rFonts w:eastAsia="Times New Roman" w:cs="Times New Roman"/>
                <w:color w:val="000000"/>
              </w:rPr>
            </w:pPr>
            <w:r w:rsidRPr="009A3034">
              <w:rPr>
                <w:rFonts w:eastAsia="Times New Roman" w:cs="Times New Roman"/>
                <w:color w:val="000000"/>
              </w:rPr>
              <w:t>0.16</w:t>
            </w:r>
          </w:p>
        </w:tc>
        <w:tc>
          <w:tcPr>
            <w:tcW w:w="1255" w:type="dxa"/>
            <w:shd w:val="clear" w:color="auto" w:fill="auto"/>
            <w:noWrap/>
            <w:vAlign w:val="center"/>
            <w:hideMark/>
          </w:tcPr>
          <w:p w14:paraId="478FC003" w14:textId="77777777" w:rsidR="003E1349" w:rsidRPr="009A3034" w:rsidRDefault="003E1349" w:rsidP="00650395">
            <w:pPr>
              <w:spacing w:line="240" w:lineRule="auto"/>
              <w:jc w:val="center"/>
              <w:rPr>
                <w:rFonts w:eastAsia="Times New Roman" w:cs="Times New Roman"/>
                <w:color w:val="000000"/>
              </w:rPr>
            </w:pPr>
            <w:r w:rsidRPr="009A3034">
              <w:rPr>
                <w:rFonts w:eastAsia="Times New Roman" w:cs="Times New Roman"/>
                <w:color w:val="000000"/>
              </w:rPr>
              <w:t>0.39</w:t>
            </w:r>
          </w:p>
        </w:tc>
      </w:tr>
      <w:tr w:rsidR="003E1349" w:rsidRPr="009A3034" w14:paraId="5710B5B1" w14:textId="77777777" w:rsidTr="00BC398D">
        <w:trPr>
          <w:trHeight w:val="269"/>
          <w:jc w:val="center"/>
        </w:trPr>
        <w:tc>
          <w:tcPr>
            <w:tcW w:w="1510" w:type="dxa"/>
            <w:vMerge/>
          </w:tcPr>
          <w:p w14:paraId="76A91220" w14:textId="77777777" w:rsidR="003E1349" w:rsidRPr="009A3034" w:rsidRDefault="003E1349" w:rsidP="00650395">
            <w:pPr>
              <w:spacing w:line="240" w:lineRule="auto"/>
              <w:jc w:val="center"/>
              <w:rPr>
                <w:rFonts w:eastAsia="Times New Roman" w:cs="Times New Roman"/>
                <w:color w:val="000000"/>
              </w:rPr>
            </w:pPr>
          </w:p>
        </w:tc>
        <w:tc>
          <w:tcPr>
            <w:tcW w:w="1326" w:type="dxa"/>
            <w:shd w:val="clear" w:color="auto" w:fill="auto"/>
            <w:noWrap/>
            <w:vAlign w:val="center"/>
            <w:hideMark/>
          </w:tcPr>
          <w:p w14:paraId="4F2945CB" w14:textId="77777777" w:rsidR="003E1349" w:rsidRPr="009A3034" w:rsidRDefault="007F7885" w:rsidP="00650395">
            <w:pPr>
              <w:spacing w:line="240" w:lineRule="auto"/>
              <w:jc w:val="center"/>
              <w:rPr>
                <w:rFonts w:eastAsia="Times New Roman" w:cs="Times New Roman"/>
                <w:color w:val="000000"/>
              </w:rPr>
            </w:pPr>
            <m:oMathPara>
              <m:oMath>
                <m:sSubSup>
                  <m:sSubSupPr>
                    <m:ctrlPr>
                      <w:rPr>
                        <w:rFonts w:ascii="Cambria Math" w:hAnsi="Cambria Math" w:cs="Times New Roman"/>
                        <w:i/>
                        <w:lang w:val="en-GB" w:eastAsia="en-GB"/>
                      </w:rPr>
                    </m:ctrlPr>
                  </m:sSubSupPr>
                  <m:e>
                    <m:r>
                      <m:rPr>
                        <m:sty m:val="p"/>
                      </m:rPr>
                      <w:rPr>
                        <w:rFonts w:ascii="Cambria Math" w:hAnsi="Cambria Math" w:cs="Times New Roman"/>
                      </w:rPr>
                      <m:t>Γ</m:t>
                    </m:r>
                  </m:e>
                  <m:sub>
                    <m:r>
                      <w:rPr>
                        <w:rFonts w:ascii="Cambria Math" w:hAnsi="Cambria Math" w:cs="Times New Roman"/>
                      </w:rPr>
                      <m:t>R</m:t>
                    </m:r>
                  </m:sub>
                  <m:sup>
                    <m:r>
                      <w:rPr>
                        <w:rFonts w:ascii="Cambria Math" w:hAnsi="Cambria Math" w:cs="Times New Roman"/>
                        <w:lang w:val="en-GB" w:eastAsia="en-GB"/>
                      </w:rPr>
                      <m:t>-</m:t>
                    </m:r>
                  </m:sup>
                </m:sSubSup>
              </m:oMath>
            </m:oMathPara>
          </w:p>
        </w:tc>
        <w:tc>
          <w:tcPr>
            <w:tcW w:w="1443" w:type="dxa"/>
            <w:shd w:val="clear" w:color="auto" w:fill="auto"/>
            <w:noWrap/>
            <w:vAlign w:val="center"/>
            <w:hideMark/>
          </w:tcPr>
          <w:p w14:paraId="7D67536F" w14:textId="77777777" w:rsidR="003E1349" w:rsidRPr="009A3034" w:rsidRDefault="003E1349" w:rsidP="00650395">
            <w:pPr>
              <w:spacing w:line="240" w:lineRule="auto"/>
              <w:jc w:val="center"/>
              <w:rPr>
                <w:rFonts w:eastAsia="Times New Roman" w:cs="Times New Roman"/>
                <w:color w:val="000000"/>
              </w:rPr>
            </w:pPr>
            <w:r w:rsidRPr="009A3034">
              <w:rPr>
                <w:rFonts w:eastAsia="Times New Roman" w:cs="Times New Roman"/>
                <w:color w:val="000000"/>
              </w:rPr>
              <w:t>369.41</w:t>
            </w:r>
          </w:p>
        </w:tc>
        <w:tc>
          <w:tcPr>
            <w:tcW w:w="1443" w:type="dxa"/>
            <w:shd w:val="clear" w:color="auto" w:fill="auto"/>
            <w:noWrap/>
            <w:vAlign w:val="center"/>
            <w:hideMark/>
          </w:tcPr>
          <w:p w14:paraId="7FF8CF98" w14:textId="77777777" w:rsidR="003E1349" w:rsidRPr="009A3034" w:rsidRDefault="003E1349" w:rsidP="00650395">
            <w:pPr>
              <w:spacing w:line="240" w:lineRule="auto"/>
              <w:jc w:val="center"/>
              <w:rPr>
                <w:rFonts w:eastAsia="Times New Roman" w:cs="Times New Roman"/>
                <w:color w:val="000000"/>
              </w:rPr>
            </w:pPr>
            <w:r w:rsidRPr="009A3034">
              <w:rPr>
                <w:rFonts w:eastAsia="Times New Roman" w:cs="Times New Roman"/>
                <w:color w:val="000000"/>
              </w:rPr>
              <w:t>1153.65</w:t>
            </w:r>
          </w:p>
        </w:tc>
        <w:tc>
          <w:tcPr>
            <w:tcW w:w="1443" w:type="dxa"/>
            <w:shd w:val="clear" w:color="auto" w:fill="auto"/>
            <w:noWrap/>
            <w:vAlign w:val="center"/>
            <w:hideMark/>
          </w:tcPr>
          <w:p w14:paraId="0740E73E" w14:textId="77777777" w:rsidR="003E1349" w:rsidRPr="009A3034" w:rsidRDefault="003E1349" w:rsidP="00650395">
            <w:pPr>
              <w:spacing w:line="240" w:lineRule="auto"/>
              <w:jc w:val="center"/>
              <w:rPr>
                <w:rFonts w:eastAsia="Times New Roman" w:cs="Times New Roman"/>
                <w:color w:val="000000"/>
              </w:rPr>
            </w:pPr>
            <w:r w:rsidRPr="009A3034">
              <w:rPr>
                <w:rFonts w:eastAsia="Times New Roman" w:cs="Times New Roman"/>
                <w:color w:val="000000"/>
              </w:rPr>
              <w:t>1056.25</w:t>
            </w:r>
          </w:p>
        </w:tc>
        <w:tc>
          <w:tcPr>
            <w:tcW w:w="1331" w:type="dxa"/>
            <w:shd w:val="clear" w:color="auto" w:fill="auto"/>
            <w:noWrap/>
            <w:vAlign w:val="center"/>
            <w:hideMark/>
          </w:tcPr>
          <w:p w14:paraId="5FF3F416" w14:textId="77777777" w:rsidR="003E1349" w:rsidRPr="009A3034" w:rsidRDefault="003E1349" w:rsidP="00650395">
            <w:pPr>
              <w:spacing w:line="240" w:lineRule="auto"/>
              <w:jc w:val="center"/>
              <w:rPr>
                <w:rFonts w:eastAsia="Times New Roman" w:cs="Times New Roman"/>
                <w:color w:val="000000"/>
              </w:rPr>
            </w:pPr>
            <w:r w:rsidRPr="009A3034">
              <w:rPr>
                <w:rFonts w:eastAsia="Times New Roman" w:cs="Times New Roman"/>
                <w:color w:val="000000"/>
              </w:rPr>
              <w:t>2120.17</w:t>
            </w:r>
          </w:p>
        </w:tc>
        <w:tc>
          <w:tcPr>
            <w:tcW w:w="1255" w:type="dxa"/>
            <w:shd w:val="clear" w:color="auto" w:fill="auto"/>
            <w:noWrap/>
            <w:vAlign w:val="center"/>
            <w:hideMark/>
          </w:tcPr>
          <w:p w14:paraId="2CE7E388" w14:textId="77777777" w:rsidR="003E1349" w:rsidRPr="009A3034" w:rsidRDefault="003E1349" w:rsidP="00650395">
            <w:pPr>
              <w:spacing w:line="240" w:lineRule="auto"/>
              <w:jc w:val="center"/>
              <w:rPr>
                <w:rFonts w:eastAsia="Times New Roman" w:cs="Times New Roman"/>
                <w:color w:val="000000"/>
              </w:rPr>
            </w:pPr>
            <w:r w:rsidRPr="009A3034">
              <w:rPr>
                <w:rFonts w:eastAsia="Times New Roman" w:cs="Times New Roman"/>
                <w:color w:val="000000"/>
              </w:rPr>
              <w:t>336.94</w:t>
            </w:r>
          </w:p>
        </w:tc>
      </w:tr>
      <w:tr w:rsidR="003E1349" w:rsidRPr="009A3034" w14:paraId="3F8850BF" w14:textId="77777777" w:rsidTr="00BC398D">
        <w:trPr>
          <w:trHeight w:val="269"/>
          <w:jc w:val="center"/>
        </w:trPr>
        <w:tc>
          <w:tcPr>
            <w:tcW w:w="1510" w:type="dxa"/>
            <w:vMerge/>
          </w:tcPr>
          <w:p w14:paraId="3717269C" w14:textId="77777777" w:rsidR="003E1349" w:rsidRPr="009A3034" w:rsidRDefault="003E1349" w:rsidP="00650395">
            <w:pPr>
              <w:spacing w:line="240" w:lineRule="auto"/>
              <w:jc w:val="center"/>
              <w:rPr>
                <w:rFonts w:eastAsia="Times New Roman" w:cs="Times New Roman"/>
                <w:color w:val="000000"/>
              </w:rPr>
            </w:pPr>
          </w:p>
        </w:tc>
        <w:tc>
          <w:tcPr>
            <w:tcW w:w="1326" w:type="dxa"/>
            <w:shd w:val="clear" w:color="auto" w:fill="auto"/>
            <w:noWrap/>
            <w:vAlign w:val="center"/>
            <w:hideMark/>
          </w:tcPr>
          <w:p w14:paraId="0E310A50" w14:textId="77777777" w:rsidR="003E1349" w:rsidRPr="009A3034" w:rsidRDefault="007F7885" w:rsidP="00650395">
            <w:pPr>
              <w:spacing w:line="240" w:lineRule="auto"/>
              <w:jc w:val="center"/>
              <w:rPr>
                <w:rFonts w:eastAsia="Times New Roman" w:cs="Times New Roman"/>
                <w:color w:val="000000"/>
              </w:rPr>
            </w:pPr>
            <m:oMathPara>
              <m:oMath>
                <m:sSubSup>
                  <m:sSubSupPr>
                    <m:ctrlPr>
                      <w:rPr>
                        <w:rFonts w:ascii="Cambria Math" w:hAnsi="Cambria Math" w:cs="Times New Roman"/>
                        <w:i/>
                        <w:lang w:val="en-GB" w:eastAsia="en-GB"/>
                      </w:rPr>
                    </m:ctrlPr>
                  </m:sSubSupPr>
                  <m:e>
                    <m:r>
                      <m:rPr>
                        <m:sty m:val="p"/>
                      </m:rPr>
                      <w:rPr>
                        <w:rFonts w:ascii="Cambria Math" w:hAnsi="Cambria Math" w:cs="Times New Roman"/>
                      </w:rPr>
                      <m:t>Γ</m:t>
                    </m:r>
                  </m:e>
                  <m:sub>
                    <m:r>
                      <w:rPr>
                        <w:rFonts w:ascii="Cambria Math" w:hAnsi="Cambria Math" w:cs="Times New Roman"/>
                      </w:rPr>
                      <m:t>R</m:t>
                    </m:r>
                  </m:sub>
                  <m:sup>
                    <m:r>
                      <w:rPr>
                        <w:rFonts w:ascii="Cambria Math" w:hAnsi="Cambria Math" w:cs="Times New Roman"/>
                        <w:lang w:val="en-GB" w:eastAsia="en-GB"/>
                      </w:rPr>
                      <m:t>AB</m:t>
                    </m:r>
                  </m:sup>
                </m:sSubSup>
              </m:oMath>
            </m:oMathPara>
          </w:p>
        </w:tc>
        <w:tc>
          <w:tcPr>
            <w:tcW w:w="1443" w:type="dxa"/>
            <w:shd w:val="clear" w:color="auto" w:fill="auto"/>
            <w:noWrap/>
            <w:vAlign w:val="center"/>
            <w:hideMark/>
          </w:tcPr>
          <w:p w14:paraId="0A655829" w14:textId="77777777" w:rsidR="003E1349" w:rsidRPr="009A3034" w:rsidRDefault="003E1349" w:rsidP="00650395">
            <w:pPr>
              <w:spacing w:line="240" w:lineRule="auto"/>
              <w:jc w:val="center"/>
              <w:rPr>
                <w:rFonts w:eastAsia="Times New Roman" w:cs="Times New Roman"/>
                <w:color w:val="000000"/>
              </w:rPr>
            </w:pPr>
            <w:r w:rsidRPr="009A3034">
              <w:rPr>
                <w:rFonts w:eastAsia="Times New Roman" w:cs="Times New Roman"/>
                <w:color w:val="000000"/>
              </w:rPr>
              <w:t>196.66</w:t>
            </w:r>
          </w:p>
        </w:tc>
        <w:tc>
          <w:tcPr>
            <w:tcW w:w="1443" w:type="dxa"/>
            <w:shd w:val="clear" w:color="auto" w:fill="auto"/>
            <w:noWrap/>
            <w:vAlign w:val="center"/>
            <w:hideMark/>
          </w:tcPr>
          <w:p w14:paraId="6CF3E01A" w14:textId="77777777" w:rsidR="003E1349" w:rsidRPr="009A3034" w:rsidRDefault="003E1349" w:rsidP="00650395">
            <w:pPr>
              <w:spacing w:line="240" w:lineRule="auto"/>
              <w:jc w:val="center"/>
              <w:rPr>
                <w:rFonts w:eastAsia="Times New Roman" w:cs="Times New Roman"/>
                <w:color w:val="000000"/>
              </w:rPr>
            </w:pPr>
            <w:r w:rsidRPr="009A3034">
              <w:rPr>
                <w:rFonts w:eastAsia="Times New Roman" w:cs="Times New Roman"/>
                <w:color w:val="000000"/>
              </w:rPr>
              <w:t>814.69</w:t>
            </w:r>
          </w:p>
        </w:tc>
        <w:tc>
          <w:tcPr>
            <w:tcW w:w="1443" w:type="dxa"/>
            <w:shd w:val="clear" w:color="auto" w:fill="auto"/>
            <w:noWrap/>
            <w:vAlign w:val="center"/>
            <w:hideMark/>
          </w:tcPr>
          <w:p w14:paraId="62E94306" w14:textId="77777777" w:rsidR="003E1349" w:rsidRPr="009A3034" w:rsidRDefault="003E1349" w:rsidP="00650395">
            <w:pPr>
              <w:spacing w:line="240" w:lineRule="auto"/>
              <w:jc w:val="center"/>
              <w:rPr>
                <w:rFonts w:eastAsia="Times New Roman" w:cs="Times New Roman"/>
                <w:color w:val="000000"/>
              </w:rPr>
            </w:pPr>
            <w:r w:rsidRPr="009A3034">
              <w:rPr>
                <w:rFonts w:eastAsia="Times New Roman" w:cs="Times New Roman"/>
                <w:color w:val="000000"/>
              </w:rPr>
              <w:t>282.65</w:t>
            </w:r>
          </w:p>
        </w:tc>
        <w:tc>
          <w:tcPr>
            <w:tcW w:w="1331" w:type="dxa"/>
            <w:shd w:val="clear" w:color="auto" w:fill="auto"/>
            <w:noWrap/>
            <w:vAlign w:val="center"/>
            <w:hideMark/>
          </w:tcPr>
          <w:p w14:paraId="29BD2781" w14:textId="77777777" w:rsidR="003E1349" w:rsidRPr="009A3034" w:rsidRDefault="003E1349" w:rsidP="00650395">
            <w:pPr>
              <w:spacing w:line="240" w:lineRule="auto"/>
              <w:jc w:val="center"/>
              <w:rPr>
                <w:rFonts w:eastAsia="Times New Roman" w:cs="Times New Roman"/>
                <w:color w:val="000000"/>
              </w:rPr>
            </w:pPr>
            <w:r w:rsidRPr="009A3034">
              <w:rPr>
                <w:rFonts w:eastAsia="Times New Roman" w:cs="Times New Roman"/>
                <w:color w:val="000000"/>
              </w:rPr>
              <w:t>37.38</w:t>
            </w:r>
          </w:p>
        </w:tc>
        <w:tc>
          <w:tcPr>
            <w:tcW w:w="1255" w:type="dxa"/>
            <w:shd w:val="clear" w:color="auto" w:fill="auto"/>
            <w:noWrap/>
            <w:vAlign w:val="center"/>
            <w:hideMark/>
          </w:tcPr>
          <w:p w14:paraId="58A15009" w14:textId="77777777" w:rsidR="003E1349" w:rsidRPr="009A3034" w:rsidRDefault="003E1349" w:rsidP="00650395">
            <w:pPr>
              <w:spacing w:line="240" w:lineRule="auto"/>
              <w:jc w:val="center"/>
              <w:rPr>
                <w:rFonts w:eastAsia="Times New Roman" w:cs="Times New Roman"/>
                <w:color w:val="000000"/>
              </w:rPr>
            </w:pPr>
            <w:r w:rsidRPr="009A3034">
              <w:rPr>
                <w:rFonts w:eastAsia="Times New Roman" w:cs="Times New Roman"/>
                <w:color w:val="000000"/>
              </w:rPr>
              <w:t>23.04</w:t>
            </w:r>
          </w:p>
        </w:tc>
      </w:tr>
      <w:tr w:rsidR="003E1349" w:rsidRPr="009A3034" w14:paraId="4DC1496D" w14:textId="77777777" w:rsidTr="00BC398D">
        <w:trPr>
          <w:trHeight w:val="269"/>
          <w:jc w:val="center"/>
        </w:trPr>
        <w:tc>
          <w:tcPr>
            <w:tcW w:w="1510" w:type="dxa"/>
            <w:vMerge/>
          </w:tcPr>
          <w:p w14:paraId="6B8E834E" w14:textId="77777777" w:rsidR="003E1349" w:rsidRPr="009A3034" w:rsidRDefault="003E1349" w:rsidP="00650395">
            <w:pPr>
              <w:spacing w:line="240" w:lineRule="auto"/>
              <w:jc w:val="center"/>
              <w:rPr>
                <w:rFonts w:eastAsia="Times New Roman" w:cs="Times New Roman"/>
                <w:color w:val="000000"/>
              </w:rPr>
            </w:pPr>
          </w:p>
        </w:tc>
        <w:tc>
          <w:tcPr>
            <w:tcW w:w="1326" w:type="dxa"/>
            <w:shd w:val="clear" w:color="auto" w:fill="auto"/>
            <w:noWrap/>
            <w:vAlign w:val="center"/>
            <w:hideMark/>
          </w:tcPr>
          <w:p w14:paraId="555031F5" w14:textId="77777777" w:rsidR="003E1349" w:rsidRPr="009A3034" w:rsidRDefault="007F7885" w:rsidP="00650395">
            <w:pPr>
              <w:spacing w:line="240" w:lineRule="auto"/>
              <w:jc w:val="center"/>
              <w:rPr>
                <w:rFonts w:eastAsia="Times New Roman" w:cs="Times New Roman"/>
                <w:color w:val="000000"/>
              </w:rPr>
            </w:pPr>
            <m:oMathPara>
              <m:oMath>
                <m:sSub>
                  <m:sSubPr>
                    <m:ctrlPr>
                      <w:rPr>
                        <w:rFonts w:ascii="Cambria Math" w:eastAsia="Times New Roman" w:hAnsi="Cambria Math" w:cs="Times New Roman"/>
                        <w:i/>
                        <w:color w:val="000000"/>
                      </w:rPr>
                    </m:ctrlPr>
                  </m:sSubPr>
                  <m:e>
                    <m:r>
                      <m:rPr>
                        <m:sty m:val="p"/>
                      </m:rPr>
                      <w:rPr>
                        <w:rFonts w:ascii="Cambria Math" w:eastAsia="Times New Roman" w:hAnsi="Cambria Math" w:cs="Times New Roman"/>
                        <w:color w:val="000000"/>
                      </w:rPr>
                      <m:t>Γ</m:t>
                    </m:r>
                  </m:e>
                  <m:sub>
                    <m:r>
                      <w:rPr>
                        <w:rFonts w:ascii="Cambria Math" w:eastAsia="Times New Roman" w:hAnsi="Cambria Math" w:cs="Times New Roman"/>
                        <w:color w:val="000000"/>
                      </w:rPr>
                      <m:t>R</m:t>
                    </m:r>
                  </m:sub>
                </m:sSub>
              </m:oMath>
            </m:oMathPara>
          </w:p>
        </w:tc>
        <w:tc>
          <w:tcPr>
            <w:tcW w:w="1443" w:type="dxa"/>
            <w:shd w:val="clear" w:color="auto" w:fill="auto"/>
            <w:noWrap/>
            <w:vAlign w:val="center"/>
            <w:hideMark/>
          </w:tcPr>
          <w:p w14:paraId="00997021" w14:textId="77777777" w:rsidR="003E1349" w:rsidRPr="009A3034" w:rsidRDefault="003E1349" w:rsidP="00650395">
            <w:pPr>
              <w:spacing w:line="240" w:lineRule="auto"/>
              <w:jc w:val="center"/>
              <w:rPr>
                <w:rFonts w:eastAsia="Times New Roman" w:cs="Times New Roman"/>
                <w:color w:val="000000"/>
              </w:rPr>
            </w:pPr>
            <w:r w:rsidRPr="009A3034">
              <w:rPr>
                <w:rFonts w:eastAsia="Times New Roman" w:cs="Times New Roman"/>
                <w:color w:val="000000"/>
              </w:rPr>
              <w:t>248.72</w:t>
            </w:r>
          </w:p>
        </w:tc>
        <w:tc>
          <w:tcPr>
            <w:tcW w:w="1443" w:type="dxa"/>
            <w:shd w:val="clear" w:color="auto" w:fill="auto"/>
            <w:noWrap/>
            <w:vAlign w:val="center"/>
            <w:hideMark/>
          </w:tcPr>
          <w:p w14:paraId="196F5996" w14:textId="77777777" w:rsidR="003E1349" w:rsidRPr="009A3034" w:rsidRDefault="003E1349" w:rsidP="00650395">
            <w:pPr>
              <w:spacing w:line="240" w:lineRule="auto"/>
              <w:jc w:val="center"/>
              <w:rPr>
                <w:rFonts w:eastAsia="Times New Roman" w:cs="Times New Roman"/>
                <w:color w:val="000000"/>
              </w:rPr>
            </w:pPr>
            <w:r w:rsidRPr="009A3034">
              <w:rPr>
                <w:rFonts w:eastAsia="Times New Roman" w:cs="Times New Roman"/>
                <w:color w:val="000000"/>
              </w:rPr>
              <w:t>839.93</w:t>
            </w:r>
          </w:p>
        </w:tc>
        <w:tc>
          <w:tcPr>
            <w:tcW w:w="1443" w:type="dxa"/>
            <w:shd w:val="clear" w:color="auto" w:fill="auto"/>
            <w:noWrap/>
            <w:vAlign w:val="center"/>
            <w:hideMark/>
          </w:tcPr>
          <w:p w14:paraId="5FCCA0CA" w14:textId="77777777" w:rsidR="003E1349" w:rsidRPr="009A3034" w:rsidRDefault="003E1349" w:rsidP="00650395">
            <w:pPr>
              <w:spacing w:line="240" w:lineRule="auto"/>
              <w:jc w:val="center"/>
              <w:rPr>
                <w:rFonts w:eastAsia="Times New Roman" w:cs="Times New Roman"/>
                <w:color w:val="000000"/>
              </w:rPr>
            </w:pPr>
            <w:r w:rsidRPr="009A3034">
              <w:rPr>
                <w:rFonts w:eastAsia="Times New Roman" w:cs="Times New Roman"/>
                <w:color w:val="000000"/>
              </w:rPr>
              <w:t>333.94</w:t>
            </w:r>
          </w:p>
        </w:tc>
        <w:tc>
          <w:tcPr>
            <w:tcW w:w="1331" w:type="dxa"/>
            <w:shd w:val="clear" w:color="auto" w:fill="auto"/>
            <w:noWrap/>
            <w:vAlign w:val="center"/>
            <w:hideMark/>
          </w:tcPr>
          <w:p w14:paraId="48414DCC" w14:textId="77777777" w:rsidR="003E1349" w:rsidRPr="009A3034" w:rsidRDefault="003E1349" w:rsidP="00650395">
            <w:pPr>
              <w:spacing w:line="240" w:lineRule="auto"/>
              <w:jc w:val="center"/>
              <w:rPr>
                <w:rFonts w:eastAsia="Times New Roman" w:cs="Times New Roman"/>
                <w:color w:val="000000"/>
              </w:rPr>
            </w:pPr>
            <w:r w:rsidRPr="009A3034">
              <w:rPr>
                <w:rFonts w:eastAsia="Times New Roman" w:cs="Times New Roman"/>
                <w:color w:val="000000"/>
              </w:rPr>
              <w:t>114.27</w:t>
            </w:r>
          </w:p>
        </w:tc>
        <w:tc>
          <w:tcPr>
            <w:tcW w:w="1255" w:type="dxa"/>
            <w:shd w:val="clear" w:color="auto" w:fill="auto"/>
            <w:noWrap/>
            <w:vAlign w:val="center"/>
            <w:hideMark/>
          </w:tcPr>
          <w:p w14:paraId="0C525631" w14:textId="77777777" w:rsidR="003E1349" w:rsidRPr="009A3034" w:rsidRDefault="003E1349" w:rsidP="00650395">
            <w:pPr>
              <w:spacing w:line="240" w:lineRule="auto"/>
              <w:jc w:val="center"/>
              <w:rPr>
                <w:rFonts w:eastAsia="Times New Roman" w:cs="Times New Roman"/>
                <w:color w:val="000000"/>
              </w:rPr>
            </w:pPr>
            <w:r w:rsidRPr="009A3034">
              <w:rPr>
                <w:rFonts w:eastAsia="Times New Roman" w:cs="Times New Roman"/>
                <w:color w:val="000000"/>
              </w:rPr>
              <w:t>75.91</w:t>
            </w:r>
          </w:p>
        </w:tc>
      </w:tr>
    </w:tbl>
    <w:p w14:paraId="0B2ABA36" w14:textId="77777777" w:rsidR="003E1349" w:rsidRDefault="003E1349" w:rsidP="003E1349">
      <w:pPr>
        <w:spacing w:before="120" w:line="360" w:lineRule="auto"/>
        <w:rPr>
          <w:rFonts w:cs="Times New Roman"/>
          <w:b/>
          <w:bCs/>
        </w:rPr>
      </w:pPr>
    </w:p>
    <w:p w14:paraId="2413BD88" w14:textId="77777777" w:rsidR="000723A8" w:rsidRDefault="000723A8" w:rsidP="001E7461">
      <w:pPr>
        <w:pStyle w:val="Caption"/>
      </w:pPr>
    </w:p>
    <w:p w14:paraId="4B49EC36" w14:textId="77777777" w:rsidR="000723A8" w:rsidRDefault="000723A8" w:rsidP="001E7461">
      <w:pPr>
        <w:pStyle w:val="Caption"/>
      </w:pPr>
    </w:p>
    <w:p w14:paraId="52FCA535" w14:textId="77777777" w:rsidR="000723A8" w:rsidRDefault="000723A8" w:rsidP="001E7461">
      <w:pPr>
        <w:pStyle w:val="Caption"/>
      </w:pPr>
    </w:p>
    <w:p w14:paraId="532D9C86" w14:textId="77777777" w:rsidR="000723A8" w:rsidRDefault="000723A8" w:rsidP="001E7461">
      <w:pPr>
        <w:pStyle w:val="Caption"/>
      </w:pPr>
    </w:p>
    <w:p w14:paraId="3B4C509F" w14:textId="77777777" w:rsidR="000723A8" w:rsidRDefault="000723A8" w:rsidP="001E7461">
      <w:pPr>
        <w:pStyle w:val="Caption"/>
      </w:pPr>
    </w:p>
    <w:p w14:paraId="00B1FC84" w14:textId="77777777" w:rsidR="000723A8" w:rsidRDefault="000723A8" w:rsidP="001E7461">
      <w:pPr>
        <w:pStyle w:val="Caption"/>
      </w:pPr>
    </w:p>
    <w:p w14:paraId="3EB1DBBD" w14:textId="77777777" w:rsidR="000723A8" w:rsidRDefault="000723A8" w:rsidP="001E7461">
      <w:pPr>
        <w:pStyle w:val="Caption"/>
      </w:pPr>
    </w:p>
    <w:p w14:paraId="022A9819" w14:textId="77777777" w:rsidR="000723A8" w:rsidRDefault="000723A8" w:rsidP="001E7461">
      <w:pPr>
        <w:pStyle w:val="Caption"/>
      </w:pPr>
    </w:p>
    <w:p w14:paraId="70FE471C" w14:textId="77777777" w:rsidR="000723A8" w:rsidRDefault="000723A8" w:rsidP="001E7461">
      <w:pPr>
        <w:pStyle w:val="Caption"/>
      </w:pPr>
    </w:p>
    <w:p w14:paraId="6658FA55" w14:textId="77777777" w:rsidR="000723A8" w:rsidRDefault="000723A8" w:rsidP="001E7461">
      <w:pPr>
        <w:pStyle w:val="Caption"/>
      </w:pPr>
    </w:p>
    <w:p w14:paraId="52400B5A" w14:textId="77777777" w:rsidR="000723A8" w:rsidRDefault="000723A8" w:rsidP="001E7461">
      <w:pPr>
        <w:pStyle w:val="Caption"/>
      </w:pPr>
    </w:p>
    <w:p w14:paraId="6E00B8E3" w14:textId="77777777" w:rsidR="000723A8" w:rsidRDefault="000723A8" w:rsidP="001E7461">
      <w:pPr>
        <w:pStyle w:val="Caption"/>
      </w:pPr>
    </w:p>
    <w:p w14:paraId="22867187" w14:textId="77777777" w:rsidR="000723A8" w:rsidRDefault="000723A8" w:rsidP="001E7461">
      <w:pPr>
        <w:pStyle w:val="Caption"/>
      </w:pPr>
    </w:p>
    <w:p w14:paraId="0843EE04" w14:textId="77777777" w:rsidR="000723A8" w:rsidRDefault="000723A8" w:rsidP="001E7461">
      <w:pPr>
        <w:pStyle w:val="Caption"/>
      </w:pPr>
    </w:p>
    <w:p w14:paraId="508EB54D" w14:textId="4EFE3AED" w:rsidR="00D1280E" w:rsidRPr="009A3034" w:rsidRDefault="001E7461" w:rsidP="000723A8">
      <w:pPr>
        <w:pStyle w:val="Caption"/>
        <w:spacing w:line="480" w:lineRule="auto"/>
        <w:jc w:val="center"/>
        <w:rPr>
          <w:lang w:val="en-CA"/>
        </w:rPr>
      </w:pPr>
      <w:bookmarkStart w:id="98" w:name="_Toc71330992"/>
      <w:r>
        <w:t xml:space="preserve">Table </w:t>
      </w:r>
      <w:fldSimple w:instr=" STYLEREF 1 \s ">
        <w:r w:rsidR="005050F0">
          <w:rPr>
            <w:noProof/>
          </w:rPr>
          <w:t>3</w:t>
        </w:r>
      </w:fldSimple>
      <w:r w:rsidR="00700639">
        <w:t>.</w:t>
      </w:r>
      <w:fldSimple w:instr=" SEQ Table \* ARABIC \s 1 ">
        <w:r w:rsidR="005050F0">
          <w:rPr>
            <w:noProof/>
          </w:rPr>
          <w:t>6</w:t>
        </w:r>
      </w:fldSimple>
      <w:r>
        <w:rPr>
          <w:lang w:val="en-CA"/>
        </w:rPr>
        <w:t xml:space="preserve"> </w:t>
      </w:r>
      <w:r w:rsidR="00D1280E">
        <w:rPr>
          <w:lang w:val="en-CA"/>
        </w:rPr>
        <w:t>The</w:t>
      </w:r>
      <w:r w:rsidR="000B6332">
        <w:rPr>
          <w:lang w:val="en-CA"/>
        </w:rPr>
        <w:t xml:space="preserve"> </w:t>
      </w:r>
      <w:r w:rsidR="000B6332" w:rsidRPr="000B6332">
        <w:rPr>
          <w:i/>
          <w:iCs/>
          <w:lang w:val="en-CA"/>
        </w:rPr>
        <w:t>W</w:t>
      </w:r>
      <w:r w:rsidR="000B6332" w:rsidRPr="000B6332">
        <w:rPr>
          <w:i/>
          <w:iCs/>
          <w:vertAlign w:val="subscript"/>
          <w:lang w:val="en-CA"/>
        </w:rPr>
        <w:t>AR</w:t>
      </w:r>
      <w:r w:rsidR="00D1280E" w:rsidRPr="009A3034">
        <w:rPr>
          <w:lang w:val="en-CA"/>
        </w:rPr>
        <w:t xml:space="preserve"> and</w:t>
      </w:r>
      <w:r w:rsidR="005A06BA">
        <w:rPr>
          <w:lang w:val="en-CA"/>
        </w:rPr>
        <w:t xml:space="preserve"> </w:t>
      </w:r>
      <w:r w:rsidR="005A06BA" w:rsidRPr="005A06BA">
        <w:rPr>
          <w:i/>
          <w:iCs/>
          <w:lang w:val="en-CA"/>
        </w:rPr>
        <w:t>W</w:t>
      </w:r>
      <w:r w:rsidR="005A06BA" w:rsidRPr="005A06BA">
        <w:rPr>
          <w:i/>
          <w:iCs/>
          <w:vertAlign w:val="superscript"/>
          <w:lang w:val="en-CA"/>
        </w:rPr>
        <w:t>wet</w:t>
      </w:r>
      <w:r w:rsidR="005A06BA" w:rsidRPr="005A06BA">
        <w:rPr>
          <w:i/>
          <w:iCs/>
          <w:vertAlign w:val="subscript"/>
          <w:lang w:val="en-CA"/>
        </w:rPr>
        <w:t>ARW</w:t>
      </w:r>
      <w:r w:rsidR="00D1280E" w:rsidRPr="009A3034">
        <w:rPr>
          <w:lang w:val="en-CA"/>
        </w:rPr>
        <w:t xml:space="preserve"> of PG 64-22 and PG 76-28 binder blends with different aggregates</w:t>
      </w:r>
      <w:bookmarkEnd w:id="98"/>
    </w:p>
    <w:tbl>
      <w:tblPr>
        <w:tblW w:w="89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838"/>
        <w:gridCol w:w="554"/>
        <w:gridCol w:w="625"/>
        <w:gridCol w:w="625"/>
        <w:gridCol w:w="625"/>
        <w:gridCol w:w="627"/>
        <w:gridCol w:w="804"/>
        <w:gridCol w:w="804"/>
        <w:gridCol w:w="804"/>
        <w:gridCol w:w="715"/>
        <w:gridCol w:w="809"/>
      </w:tblGrid>
      <w:tr w:rsidR="00D1280E" w:rsidRPr="009A3034" w14:paraId="2EBEF154" w14:textId="77777777" w:rsidTr="00BC398D">
        <w:trPr>
          <w:trHeight w:val="258"/>
        </w:trPr>
        <w:tc>
          <w:tcPr>
            <w:tcW w:w="1260" w:type="dxa"/>
            <w:vMerge w:val="restart"/>
            <w:shd w:val="clear" w:color="auto" w:fill="auto"/>
            <w:noWrap/>
            <w:vAlign w:val="center"/>
            <w:hideMark/>
          </w:tcPr>
          <w:p w14:paraId="0DCE3CF1" w14:textId="77777777" w:rsidR="00D1280E" w:rsidRPr="009A3034" w:rsidRDefault="00D1280E" w:rsidP="00650395">
            <w:pPr>
              <w:spacing w:line="240" w:lineRule="auto"/>
              <w:jc w:val="center"/>
              <w:rPr>
                <w:rFonts w:eastAsia="Times New Roman" w:cs="Times New Roman"/>
                <w:b/>
                <w:bCs/>
                <w:color w:val="000000"/>
                <w:sz w:val="20"/>
                <w:szCs w:val="20"/>
              </w:rPr>
            </w:pPr>
            <w:r w:rsidRPr="009A3034">
              <w:rPr>
                <w:rFonts w:eastAsia="Times New Roman" w:cs="Times New Roman"/>
                <w:b/>
                <w:bCs/>
                <w:color w:val="000000"/>
                <w:sz w:val="20"/>
                <w:szCs w:val="20"/>
              </w:rPr>
              <w:t>Binder Type</w:t>
            </w:r>
          </w:p>
        </w:tc>
        <w:tc>
          <w:tcPr>
            <w:tcW w:w="740" w:type="dxa"/>
            <w:vMerge w:val="restart"/>
            <w:shd w:val="clear" w:color="auto" w:fill="auto"/>
            <w:noWrap/>
            <w:vAlign w:val="center"/>
            <w:hideMark/>
          </w:tcPr>
          <w:p w14:paraId="3C04A798" w14:textId="77777777" w:rsidR="00D1280E" w:rsidRPr="009A3034" w:rsidRDefault="00D1280E" w:rsidP="00650395">
            <w:pPr>
              <w:spacing w:line="240" w:lineRule="auto"/>
              <w:jc w:val="center"/>
              <w:rPr>
                <w:rFonts w:eastAsia="Times New Roman" w:cs="Times New Roman"/>
                <w:b/>
                <w:bCs/>
                <w:color w:val="000000"/>
                <w:sz w:val="20"/>
                <w:szCs w:val="20"/>
              </w:rPr>
            </w:pPr>
            <w:r w:rsidRPr="009A3034">
              <w:rPr>
                <w:rFonts w:eastAsia="Times New Roman" w:cs="Times New Roman"/>
                <w:b/>
                <w:bCs/>
                <w:color w:val="000000"/>
                <w:sz w:val="20"/>
                <w:szCs w:val="20"/>
              </w:rPr>
              <w:t>Aging</w:t>
            </w:r>
          </w:p>
        </w:tc>
        <w:tc>
          <w:tcPr>
            <w:tcW w:w="3056" w:type="dxa"/>
            <w:gridSpan w:val="5"/>
            <w:shd w:val="clear" w:color="auto" w:fill="auto"/>
            <w:noWrap/>
            <w:vAlign w:val="bottom"/>
            <w:hideMark/>
          </w:tcPr>
          <w:p w14:paraId="199E34FC" w14:textId="77777777" w:rsidR="00D1280E" w:rsidRPr="009A3034" w:rsidRDefault="00D1280E" w:rsidP="00650395">
            <w:pPr>
              <w:spacing w:line="240" w:lineRule="auto"/>
              <w:jc w:val="center"/>
              <w:rPr>
                <w:rFonts w:eastAsia="Times New Roman" w:cs="Times New Roman"/>
                <w:b/>
                <w:bCs/>
                <w:color w:val="000000"/>
                <w:sz w:val="20"/>
                <w:szCs w:val="20"/>
              </w:rPr>
            </w:pPr>
            <w:r w:rsidRPr="009A3034">
              <w:rPr>
                <w:rFonts w:eastAsia="Times New Roman" w:cs="Times New Roman"/>
                <w:b/>
                <w:bCs/>
                <w:color w:val="000000"/>
                <w:sz w:val="20"/>
                <w:szCs w:val="20"/>
              </w:rPr>
              <w:t>Work of Adhesion (mJ/m</w:t>
            </w:r>
            <w:r w:rsidRPr="009A3034">
              <w:rPr>
                <w:rFonts w:eastAsia="Times New Roman" w:cs="Times New Roman"/>
                <w:b/>
                <w:color w:val="000000"/>
                <w:sz w:val="20"/>
                <w:szCs w:val="20"/>
                <w:vertAlign w:val="superscript"/>
              </w:rPr>
              <w:t>2</w:t>
            </w:r>
            <w:r w:rsidRPr="009A3034">
              <w:rPr>
                <w:rFonts w:eastAsia="Times New Roman" w:cs="Times New Roman"/>
                <w:b/>
                <w:bCs/>
                <w:color w:val="000000"/>
                <w:sz w:val="20"/>
                <w:szCs w:val="20"/>
              </w:rPr>
              <w:t>)</w:t>
            </w:r>
          </w:p>
        </w:tc>
        <w:tc>
          <w:tcPr>
            <w:tcW w:w="3936" w:type="dxa"/>
            <w:gridSpan w:val="5"/>
            <w:shd w:val="clear" w:color="auto" w:fill="auto"/>
            <w:noWrap/>
            <w:vAlign w:val="bottom"/>
            <w:hideMark/>
          </w:tcPr>
          <w:p w14:paraId="656354F4" w14:textId="77777777" w:rsidR="00D1280E" w:rsidRPr="009A3034" w:rsidRDefault="00D1280E" w:rsidP="00650395">
            <w:pPr>
              <w:spacing w:line="240" w:lineRule="auto"/>
              <w:jc w:val="center"/>
              <w:rPr>
                <w:rFonts w:eastAsia="Times New Roman" w:cs="Times New Roman"/>
                <w:b/>
                <w:bCs/>
                <w:color w:val="000000"/>
                <w:sz w:val="20"/>
                <w:szCs w:val="20"/>
              </w:rPr>
            </w:pPr>
            <w:r w:rsidRPr="009A3034">
              <w:rPr>
                <w:rFonts w:eastAsia="Times New Roman" w:cs="Times New Roman"/>
                <w:b/>
                <w:bCs/>
                <w:color w:val="000000"/>
                <w:sz w:val="20"/>
                <w:szCs w:val="20"/>
              </w:rPr>
              <w:t>Work of Debonding (mJ/m</w:t>
            </w:r>
            <w:r w:rsidRPr="009A3034">
              <w:rPr>
                <w:rFonts w:eastAsia="Times New Roman" w:cs="Times New Roman"/>
                <w:b/>
                <w:color w:val="000000"/>
                <w:sz w:val="20"/>
                <w:szCs w:val="20"/>
                <w:vertAlign w:val="superscript"/>
              </w:rPr>
              <w:t>2</w:t>
            </w:r>
            <w:r w:rsidRPr="009A3034">
              <w:rPr>
                <w:rFonts w:eastAsia="Times New Roman" w:cs="Times New Roman"/>
                <w:b/>
                <w:bCs/>
                <w:color w:val="000000"/>
                <w:sz w:val="20"/>
                <w:szCs w:val="20"/>
              </w:rPr>
              <w:t>)</w:t>
            </w:r>
          </w:p>
        </w:tc>
      </w:tr>
      <w:tr w:rsidR="00D1280E" w:rsidRPr="009A3034" w14:paraId="5B4F6936" w14:textId="77777777" w:rsidTr="00BC398D">
        <w:trPr>
          <w:trHeight w:val="258"/>
        </w:trPr>
        <w:tc>
          <w:tcPr>
            <w:tcW w:w="1260" w:type="dxa"/>
            <w:vMerge/>
            <w:shd w:val="clear" w:color="auto" w:fill="auto"/>
            <w:vAlign w:val="center"/>
            <w:hideMark/>
          </w:tcPr>
          <w:p w14:paraId="6E3CF170" w14:textId="77777777" w:rsidR="00D1280E" w:rsidRPr="009A3034" w:rsidRDefault="00D1280E" w:rsidP="00650395">
            <w:pPr>
              <w:spacing w:line="240" w:lineRule="auto"/>
              <w:rPr>
                <w:rFonts w:eastAsia="Times New Roman" w:cs="Times New Roman"/>
                <w:b/>
                <w:bCs/>
                <w:color w:val="000000"/>
                <w:sz w:val="20"/>
                <w:szCs w:val="20"/>
              </w:rPr>
            </w:pPr>
          </w:p>
        </w:tc>
        <w:tc>
          <w:tcPr>
            <w:tcW w:w="740" w:type="dxa"/>
            <w:vMerge/>
            <w:shd w:val="clear" w:color="auto" w:fill="auto"/>
            <w:vAlign w:val="center"/>
            <w:hideMark/>
          </w:tcPr>
          <w:p w14:paraId="3307524B" w14:textId="77777777" w:rsidR="00D1280E" w:rsidRPr="009A3034" w:rsidRDefault="00D1280E" w:rsidP="00650395">
            <w:pPr>
              <w:spacing w:line="240" w:lineRule="auto"/>
              <w:rPr>
                <w:rFonts w:eastAsia="Times New Roman" w:cs="Times New Roman"/>
                <w:b/>
                <w:bCs/>
                <w:color w:val="000000"/>
                <w:sz w:val="20"/>
                <w:szCs w:val="20"/>
              </w:rPr>
            </w:pPr>
          </w:p>
        </w:tc>
        <w:tc>
          <w:tcPr>
            <w:tcW w:w="3056" w:type="dxa"/>
            <w:gridSpan w:val="5"/>
            <w:shd w:val="clear" w:color="auto" w:fill="auto"/>
            <w:noWrap/>
            <w:vAlign w:val="bottom"/>
            <w:hideMark/>
          </w:tcPr>
          <w:p w14:paraId="3AECE3C8" w14:textId="77777777" w:rsidR="00D1280E" w:rsidRPr="009A3034" w:rsidRDefault="00D1280E" w:rsidP="00650395">
            <w:pPr>
              <w:spacing w:line="240" w:lineRule="auto"/>
              <w:jc w:val="center"/>
              <w:rPr>
                <w:rFonts w:eastAsia="Times New Roman" w:cs="Times New Roman"/>
                <w:b/>
                <w:bCs/>
                <w:color w:val="000000"/>
                <w:sz w:val="20"/>
                <w:szCs w:val="20"/>
              </w:rPr>
            </w:pPr>
            <w:r w:rsidRPr="009A3034">
              <w:rPr>
                <w:rFonts w:eastAsia="Times New Roman" w:cs="Times New Roman"/>
                <w:b/>
                <w:bCs/>
                <w:color w:val="000000"/>
                <w:sz w:val="20"/>
                <w:szCs w:val="20"/>
              </w:rPr>
              <w:t>Aggregate Type</w:t>
            </w:r>
          </w:p>
        </w:tc>
        <w:tc>
          <w:tcPr>
            <w:tcW w:w="3936" w:type="dxa"/>
            <w:gridSpan w:val="5"/>
            <w:shd w:val="clear" w:color="auto" w:fill="auto"/>
            <w:noWrap/>
            <w:vAlign w:val="bottom"/>
            <w:hideMark/>
          </w:tcPr>
          <w:p w14:paraId="2CEB5603" w14:textId="77777777" w:rsidR="00D1280E" w:rsidRPr="009A3034" w:rsidRDefault="00D1280E" w:rsidP="00650395">
            <w:pPr>
              <w:spacing w:line="240" w:lineRule="auto"/>
              <w:jc w:val="center"/>
              <w:rPr>
                <w:rFonts w:eastAsia="Times New Roman" w:cs="Times New Roman"/>
                <w:b/>
                <w:bCs/>
                <w:color w:val="000000"/>
                <w:sz w:val="20"/>
                <w:szCs w:val="20"/>
              </w:rPr>
            </w:pPr>
            <w:r w:rsidRPr="009A3034">
              <w:rPr>
                <w:rFonts w:eastAsia="Times New Roman" w:cs="Times New Roman"/>
                <w:b/>
                <w:bCs/>
                <w:color w:val="000000"/>
                <w:sz w:val="20"/>
                <w:szCs w:val="20"/>
              </w:rPr>
              <w:t>Aggregate Type</w:t>
            </w:r>
          </w:p>
        </w:tc>
      </w:tr>
      <w:tr w:rsidR="00D1280E" w:rsidRPr="009A3034" w14:paraId="1AA516CF" w14:textId="77777777" w:rsidTr="00BC398D">
        <w:trPr>
          <w:trHeight w:val="258"/>
        </w:trPr>
        <w:tc>
          <w:tcPr>
            <w:tcW w:w="1260" w:type="dxa"/>
            <w:vMerge/>
            <w:shd w:val="clear" w:color="auto" w:fill="auto"/>
            <w:vAlign w:val="center"/>
            <w:hideMark/>
          </w:tcPr>
          <w:p w14:paraId="10841855" w14:textId="77777777" w:rsidR="00D1280E" w:rsidRPr="009A3034" w:rsidRDefault="00D1280E" w:rsidP="00650395">
            <w:pPr>
              <w:spacing w:line="240" w:lineRule="auto"/>
              <w:rPr>
                <w:rFonts w:eastAsia="Times New Roman" w:cs="Times New Roman"/>
                <w:b/>
                <w:bCs/>
                <w:color w:val="000000"/>
                <w:sz w:val="20"/>
                <w:szCs w:val="20"/>
              </w:rPr>
            </w:pPr>
          </w:p>
        </w:tc>
        <w:tc>
          <w:tcPr>
            <w:tcW w:w="740" w:type="dxa"/>
            <w:vMerge/>
            <w:shd w:val="clear" w:color="auto" w:fill="auto"/>
            <w:vAlign w:val="center"/>
            <w:hideMark/>
          </w:tcPr>
          <w:p w14:paraId="36A634F2" w14:textId="77777777" w:rsidR="00D1280E" w:rsidRPr="009A3034" w:rsidRDefault="00D1280E" w:rsidP="00650395">
            <w:pPr>
              <w:spacing w:line="240" w:lineRule="auto"/>
              <w:rPr>
                <w:rFonts w:eastAsia="Times New Roman" w:cs="Times New Roman"/>
                <w:b/>
                <w:bCs/>
                <w:color w:val="000000"/>
                <w:sz w:val="20"/>
                <w:szCs w:val="20"/>
              </w:rPr>
            </w:pPr>
          </w:p>
        </w:tc>
        <w:tc>
          <w:tcPr>
            <w:tcW w:w="554" w:type="dxa"/>
            <w:shd w:val="clear" w:color="auto" w:fill="auto"/>
            <w:noWrap/>
            <w:vAlign w:val="center"/>
            <w:hideMark/>
          </w:tcPr>
          <w:p w14:paraId="2149E702" w14:textId="77777777" w:rsidR="00D1280E" w:rsidRPr="009A3034" w:rsidRDefault="00D1280E" w:rsidP="00650395">
            <w:pPr>
              <w:spacing w:line="240" w:lineRule="auto"/>
              <w:jc w:val="center"/>
              <w:rPr>
                <w:rFonts w:eastAsia="Times New Roman" w:cs="Times New Roman"/>
                <w:b/>
                <w:bCs/>
                <w:color w:val="000000"/>
                <w:sz w:val="20"/>
                <w:szCs w:val="20"/>
              </w:rPr>
            </w:pPr>
            <w:r w:rsidRPr="009A3034">
              <w:rPr>
                <w:rFonts w:eastAsia="Times New Roman" w:cs="Times New Roman"/>
                <w:b/>
                <w:bCs/>
                <w:color w:val="000000"/>
                <w:sz w:val="20"/>
                <w:szCs w:val="20"/>
              </w:rPr>
              <w:t>L1</w:t>
            </w:r>
          </w:p>
        </w:tc>
        <w:tc>
          <w:tcPr>
            <w:tcW w:w="625" w:type="dxa"/>
            <w:shd w:val="clear" w:color="auto" w:fill="auto"/>
            <w:noWrap/>
            <w:vAlign w:val="center"/>
            <w:hideMark/>
          </w:tcPr>
          <w:p w14:paraId="2B2FE8F5" w14:textId="77777777" w:rsidR="00D1280E" w:rsidRPr="009A3034" w:rsidRDefault="00D1280E" w:rsidP="00650395">
            <w:pPr>
              <w:spacing w:line="240" w:lineRule="auto"/>
              <w:jc w:val="center"/>
              <w:rPr>
                <w:rFonts w:eastAsia="Times New Roman" w:cs="Times New Roman"/>
                <w:b/>
                <w:bCs/>
                <w:color w:val="000000"/>
                <w:sz w:val="20"/>
                <w:szCs w:val="20"/>
              </w:rPr>
            </w:pPr>
            <w:r w:rsidRPr="009A3034">
              <w:rPr>
                <w:rFonts w:eastAsia="Times New Roman" w:cs="Times New Roman"/>
                <w:b/>
                <w:bCs/>
                <w:color w:val="000000"/>
                <w:sz w:val="20"/>
                <w:szCs w:val="20"/>
              </w:rPr>
              <w:t>L2</w:t>
            </w:r>
          </w:p>
        </w:tc>
        <w:tc>
          <w:tcPr>
            <w:tcW w:w="625" w:type="dxa"/>
            <w:shd w:val="clear" w:color="auto" w:fill="auto"/>
            <w:noWrap/>
            <w:vAlign w:val="center"/>
            <w:hideMark/>
          </w:tcPr>
          <w:p w14:paraId="6808BF71" w14:textId="77777777" w:rsidR="00D1280E" w:rsidRPr="009A3034" w:rsidRDefault="00D1280E" w:rsidP="00650395">
            <w:pPr>
              <w:spacing w:line="240" w:lineRule="auto"/>
              <w:jc w:val="center"/>
              <w:rPr>
                <w:rFonts w:eastAsia="Times New Roman" w:cs="Times New Roman"/>
                <w:b/>
                <w:bCs/>
                <w:color w:val="000000"/>
                <w:sz w:val="20"/>
                <w:szCs w:val="20"/>
              </w:rPr>
            </w:pPr>
            <w:r w:rsidRPr="009A3034">
              <w:rPr>
                <w:rFonts w:eastAsia="Times New Roman" w:cs="Times New Roman"/>
                <w:b/>
                <w:bCs/>
                <w:color w:val="000000"/>
                <w:sz w:val="20"/>
                <w:szCs w:val="20"/>
              </w:rPr>
              <w:t>L3</w:t>
            </w:r>
          </w:p>
        </w:tc>
        <w:tc>
          <w:tcPr>
            <w:tcW w:w="625" w:type="dxa"/>
            <w:shd w:val="clear" w:color="auto" w:fill="auto"/>
            <w:noWrap/>
            <w:vAlign w:val="center"/>
            <w:hideMark/>
          </w:tcPr>
          <w:p w14:paraId="32A533FC" w14:textId="77777777" w:rsidR="00D1280E" w:rsidRPr="009A3034" w:rsidRDefault="00D1280E" w:rsidP="00650395">
            <w:pPr>
              <w:spacing w:line="240" w:lineRule="auto"/>
              <w:jc w:val="center"/>
              <w:rPr>
                <w:rFonts w:eastAsia="Times New Roman" w:cs="Times New Roman"/>
                <w:b/>
                <w:bCs/>
                <w:color w:val="000000"/>
                <w:sz w:val="20"/>
                <w:szCs w:val="20"/>
              </w:rPr>
            </w:pPr>
            <w:r w:rsidRPr="009A3034">
              <w:rPr>
                <w:rFonts w:eastAsia="Times New Roman" w:cs="Times New Roman"/>
                <w:b/>
                <w:bCs/>
                <w:color w:val="000000"/>
                <w:sz w:val="20"/>
                <w:szCs w:val="20"/>
              </w:rPr>
              <w:t>G1</w:t>
            </w:r>
          </w:p>
        </w:tc>
        <w:tc>
          <w:tcPr>
            <w:tcW w:w="627" w:type="dxa"/>
            <w:shd w:val="clear" w:color="auto" w:fill="auto"/>
            <w:noWrap/>
            <w:vAlign w:val="center"/>
            <w:hideMark/>
          </w:tcPr>
          <w:p w14:paraId="06C80D89" w14:textId="77777777" w:rsidR="00D1280E" w:rsidRPr="009A3034" w:rsidRDefault="00D1280E" w:rsidP="00650395">
            <w:pPr>
              <w:spacing w:line="240" w:lineRule="auto"/>
              <w:jc w:val="center"/>
              <w:rPr>
                <w:rFonts w:eastAsia="Times New Roman" w:cs="Times New Roman"/>
                <w:b/>
                <w:bCs/>
                <w:color w:val="000000"/>
                <w:sz w:val="20"/>
                <w:szCs w:val="20"/>
              </w:rPr>
            </w:pPr>
            <w:r w:rsidRPr="009A3034">
              <w:rPr>
                <w:rFonts w:eastAsia="Times New Roman" w:cs="Times New Roman"/>
                <w:b/>
                <w:bCs/>
                <w:color w:val="000000"/>
                <w:sz w:val="20"/>
                <w:szCs w:val="20"/>
              </w:rPr>
              <w:t>R1</w:t>
            </w:r>
          </w:p>
        </w:tc>
        <w:tc>
          <w:tcPr>
            <w:tcW w:w="804" w:type="dxa"/>
            <w:shd w:val="clear" w:color="auto" w:fill="auto"/>
            <w:noWrap/>
            <w:vAlign w:val="center"/>
            <w:hideMark/>
          </w:tcPr>
          <w:p w14:paraId="43BC0315" w14:textId="77777777" w:rsidR="00D1280E" w:rsidRPr="009A3034" w:rsidRDefault="00D1280E" w:rsidP="00650395">
            <w:pPr>
              <w:spacing w:line="240" w:lineRule="auto"/>
              <w:jc w:val="center"/>
              <w:rPr>
                <w:rFonts w:eastAsia="Times New Roman" w:cs="Times New Roman"/>
                <w:b/>
                <w:bCs/>
                <w:color w:val="000000"/>
                <w:sz w:val="20"/>
                <w:szCs w:val="20"/>
              </w:rPr>
            </w:pPr>
            <w:r w:rsidRPr="009A3034">
              <w:rPr>
                <w:rFonts w:eastAsia="Times New Roman" w:cs="Times New Roman"/>
                <w:b/>
                <w:bCs/>
                <w:color w:val="000000"/>
                <w:sz w:val="20"/>
                <w:szCs w:val="20"/>
              </w:rPr>
              <w:t>L1</w:t>
            </w:r>
          </w:p>
        </w:tc>
        <w:tc>
          <w:tcPr>
            <w:tcW w:w="804" w:type="dxa"/>
            <w:shd w:val="clear" w:color="auto" w:fill="auto"/>
            <w:noWrap/>
            <w:vAlign w:val="center"/>
            <w:hideMark/>
          </w:tcPr>
          <w:p w14:paraId="1ECF0CF4" w14:textId="77777777" w:rsidR="00D1280E" w:rsidRPr="009A3034" w:rsidRDefault="00D1280E" w:rsidP="00650395">
            <w:pPr>
              <w:spacing w:line="240" w:lineRule="auto"/>
              <w:jc w:val="center"/>
              <w:rPr>
                <w:rFonts w:eastAsia="Times New Roman" w:cs="Times New Roman"/>
                <w:b/>
                <w:bCs/>
                <w:color w:val="000000"/>
                <w:sz w:val="20"/>
                <w:szCs w:val="20"/>
              </w:rPr>
            </w:pPr>
            <w:r w:rsidRPr="009A3034">
              <w:rPr>
                <w:rFonts w:eastAsia="Times New Roman" w:cs="Times New Roman"/>
                <w:b/>
                <w:bCs/>
                <w:color w:val="000000"/>
                <w:sz w:val="20"/>
                <w:szCs w:val="20"/>
              </w:rPr>
              <w:t>L2</w:t>
            </w:r>
          </w:p>
        </w:tc>
        <w:tc>
          <w:tcPr>
            <w:tcW w:w="804" w:type="dxa"/>
            <w:shd w:val="clear" w:color="auto" w:fill="auto"/>
            <w:noWrap/>
            <w:vAlign w:val="center"/>
            <w:hideMark/>
          </w:tcPr>
          <w:p w14:paraId="0830BBB2" w14:textId="77777777" w:rsidR="00D1280E" w:rsidRPr="009A3034" w:rsidRDefault="00D1280E" w:rsidP="00650395">
            <w:pPr>
              <w:spacing w:line="240" w:lineRule="auto"/>
              <w:jc w:val="center"/>
              <w:rPr>
                <w:rFonts w:eastAsia="Times New Roman" w:cs="Times New Roman"/>
                <w:b/>
                <w:bCs/>
                <w:color w:val="000000"/>
                <w:sz w:val="20"/>
                <w:szCs w:val="20"/>
              </w:rPr>
            </w:pPr>
            <w:r w:rsidRPr="009A3034">
              <w:rPr>
                <w:rFonts w:eastAsia="Times New Roman" w:cs="Times New Roman"/>
                <w:b/>
                <w:bCs/>
                <w:color w:val="000000"/>
                <w:sz w:val="20"/>
                <w:szCs w:val="20"/>
              </w:rPr>
              <w:t>L3</w:t>
            </w:r>
          </w:p>
        </w:tc>
        <w:tc>
          <w:tcPr>
            <w:tcW w:w="715" w:type="dxa"/>
            <w:shd w:val="clear" w:color="auto" w:fill="auto"/>
            <w:noWrap/>
            <w:vAlign w:val="center"/>
            <w:hideMark/>
          </w:tcPr>
          <w:p w14:paraId="509D40FA" w14:textId="77777777" w:rsidR="00D1280E" w:rsidRPr="009A3034" w:rsidRDefault="00D1280E" w:rsidP="00650395">
            <w:pPr>
              <w:spacing w:line="240" w:lineRule="auto"/>
              <w:jc w:val="center"/>
              <w:rPr>
                <w:rFonts w:eastAsia="Times New Roman" w:cs="Times New Roman"/>
                <w:b/>
                <w:bCs/>
                <w:color w:val="000000"/>
                <w:sz w:val="20"/>
                <w:szCs w:val="20"/>
              </w:rPr>
            </w:pPr>
            <w:r w:rsidRPr="009A3034">
              <w:rPr>
                <w:rFonts w:eastAsia="Times New Roman" w:cs="Times New Roman"/>
                <w:b/>
                <w:bCs/>
                <w:color w:val="000000"/>
                <w:sz w:val="20"/>
                <w:szCs w:val="20"/>
              </w:rPr>
              <w:t>G1</w:t>
            </w:r>
          </w:p>
        </w:tc>
        <w:tc>
          <w:tcPr>
            <w:tcW w:w="809" w:type="dxa"/>
            <w:shd w:val="clear" w:color="auto" w:fill="auto"/>
            <w:noWrap/>
            <w:vAlign w:val="center"/>
            <w:hideMark/>
          </w:tcPr>
          <w:p w14:paraId="3BD2A231" w14:textId="77777777" w:rsidR="00D1280E" w:rsidRPr="009A3034" w:rsidRDefault="00D1280E" w:rsidP="00650395">
            <w:pPr>
              <w:spacing w:line="240" w:lineRule="auto"/>
              <w:jc w:val="center"/>
              <w:rPr>
                <w:rFonts w:eastAsia="Times New Roman" w:cs="Times New Roman"/>
                <w:b/>
                <w:bCs/>
                <w:color w:val="000000"/>
                <w:sz w:val="20"/>
                <w:szCs w:val="20"/>
              </w:rPr>
            </w:pPr>
            <w:r w:rsidRPr="009A3034">
              <w:rPr>
                <w:rFonts w:eastAsia="Times New Roman" w:cs="Times New Roman"/>
                <w:b/>
                <w:bCs/>
                <w:color w:val="000000"/>
                <w:sz w:val="20"/>
                <w:szCs w:val="20"/>
              </w:rPr>
              <w:t>R1</w:t>
            </w:r>
          </w:p>
        </w:tc>
      </w:tr>
      <w:tr w:rsidR="00D1280E" w:rsidRPr="009A3034" w14:paraId="3F93ED92" w14:textId="77777777" w:rsidTr="00BC398D">
        <w:trPr>
          <w:trHeight w:val="258"/>
        </w:trPr>
        <w:tc>
          <w:tcPr>
            <w:tcW w:w="1260" w:type="dxa"/>
            <w:vMerge w:val="restart"/>
            <w:shd w:val="clear" w:color="auto" w:fill="auto"/>
            <w:noWrap/>
            <w:vAlign w:val="center"/>
            <w:hideMark/>
          </w:tcPr>
          <w:p w14:paraId="4A68B0FB"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PG 64-22</w:t>
            </w:r>
          </w:p>
        </w:tc>
        <w:tc>
          <w:tcPr>
            <w:tcW w:w="740" w:type="dxa"/>
            <w:shd w:val="clear" w:color="auto" w:fill="auto"/>
            <w:noWrap/>
            <w:vAlign w:val="center"/>
            <w:hideMark/>
          </w:tcPr>
          <w:p w14:paraId="2D5A665A"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Unaged</w:t>
            </w:r>
          </w:p>
        </w:tc>
        <w:tc>
          <w:tcPr>
            <w:tcW w:w="554" w:type="dxa"/>
            <w:shd w:val="clear" w:color="auto" w:fill="auto"/>
            <w:noWrap/>
            <w:vAlign w:val="center"/>
            <w:hideMark/>
          </w:tcPr>
          <w:p w14:paraId="00154405"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93.5</w:t>
            </w:r>
          </w:p>
        </w:tc>
        <w:tc>
          <w:tcPr>
            <w:tcW w:w="625" w:type="dxa"/>
            <w:shd w:val="clear" w:color="auto" w:fill="auto"/>
            <w:noWrap/>
            <w:vAlign w:val="center"/>
            <w:hideMark/>
          </w:tcPr>
          <w:p w14:paraId="4ADF2592"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109.7</w:t>
            </w:r>
          </w:p>
        </w:tc>
        <w:tc>
          <w:tcPr>
            <w:tcW w:w="625" w:type="dxa"/>
            <w:shd w:val="clear" w:color="auto" w:fill="auto"/>
            <w:noWrap/>
            <w:vAlign w:val="center"/>
            <w:hideMark/>
          </w:tcPr>
          <w:p w14:paraId="6DB11CE4"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113.7</w:t>
            </w:r>
          </w:p>
        </w:tc>
        <w:tc>
          <w:tcPr>
            <w:tcW w:w="625" w:type="dxa"/>
            <w:shd w:val="clear" w:color="auto" w:fill="auto"/>
            <w:noWrap/>
            <w:vAlign w:val="center"/>
            <w:hideMark/>
          </w:tcPr>
          <w:p w14:paraId="3EAE4FEA"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142.9</w:t>
            </w:r>
          </w:p>
        </w:tc>
        <w:tc>
          <w:tcPr>
            <w:tcW w:w="627" w:type="dxa"/>
            <w:shd w:val="clear" w:color="auto" w:fill="auto"/>
            <w:noWrap/>
            <w:vAlign w:val="center"/>
            <w:hideMark/>
          </w:tcPr>
          <w:p w14:paraId="403C8BDD"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86.6</w:t>
            </w:r>
          </w:p>
        </w:tc>
        <w:tc>
          <w:tcPr>
            <w:tcW w:w="804" w:type="dxa"/>
            <w:shd w:val="clear" w:color="auto" w:fill="auto"/>
            <w:noWrap/>
            <w:vAlign w:val="center"/>
            <w:hideMark/>
          </w:tcPr>
          <w:p w14:paraId="6DCE7E8A"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-124.8</w:t>
            </w:r>
          </w:p>
        </w:tc>
        <w:tc>
          <w:tcPr>
            <w:tcW w:w="804" w:type="dxa"/>
            <w:shd w:val="clear" w:color="auto" w:fill="auto"/>
            <w:noWrap/>
            <w:vAlign w:val="center"/>
            <w:hideMark/>
          </w:tcPr>
          <w:p w14:paraId="25D96B7F"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-306.5</w:t>
            </w:r>
          </w:p>
        </w:tc>
        <w:tc>
          <w:tcPr>
            <w:tcW w:w="804" w:type="dxa"/>
            <w:shd w:val="clear" w:color="auto" w:fill="auto"/>
            <w:noWrap/>
            <w:vAlign w:val="center"/>
            <w:hideMark/>
          </w:tcPr>
          <w:p w14:paraId="20FDA840"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-230.5</w:t>
            </w:r>
          </w:p>
        </w:tc>
        <w:tc>
          <w:tcPr>
            <w:tcW w:w="715" w:type="dxa"/>
            <w:shd w:val="clear" w:color="auto" w:fill="auto"/>
            <w:noWrap/>
            <w:vAlign w:val="center"/>
            <w:hideMark/>
          </w:tcPr>
          <w:p w14:paraId="3E2C732C"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-313.2</w:t>
            </w:r>
          </w:p>
        </w:tc>
        <w:tc>
          <w:tcPr>
            <w:tcW w:w="809" w:type="dxa"/>
            <w:shd w:val="clear" w:color="auto" w:fill="auto"/>
            <w:noWrap/>
            <w:vAlign w:val="center"/>
            <w:hideMark/>
          </w:tcPr>
          <w:p w14:paraId="4A4B233E"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-78.2</w:t>
            </w:r>
          </w:p>
        </w:tc>
      </w:tr>
      <w:tr w:rsidR="00D1280E" w:rsidRPr="009A3034" w14:paraId="0A27EE26" w14:textId="77777777" w:rsidTr="00BC398D">
        <w:trPr>
          <w:trHeight w:val="258"/>
        </w:trPr>
        <w:tc>
          <w:tcPr>
            <w:tcW w:w="1260" w:type="dxa"/>
            <w:vMerge/>
            <w:shd w:val="clear" w:color="auto" w:fill="auto"/>
            <w:vAlign w:val="center"/>
            <w:hideMark/>
          </w:tcPr>
          <w:p w14:paraId="290DD108" w14:textId="77777777" w:rsidR="00D1280E" w:rsidRPr="009A3034" w:rsidRDefault="00D1280E" w:rsidP="00650395">
            <w:pPr>
              <w:spacing w:line="240" w:lineRule="auto"/>
              <w:rPr>
                <w:rFonts w:eastAsia="Times New Roman" w:cs="Times New Roman"/>
                <w:color w:val="000000"/>
                <w:sz w:val="20"/>
                <w:szCs w:val="20"/>
              </w:rPr>
            </w:pPr>
          </w:p>
        </w:tc>
        <w:tc>
          <w:tcPr>
            <w:tcW w:w="740" w:type="dxa"/>
            <w:shd w:val="clear" w:color="auto" w:fill="auto"/>
            <w:noWrap/>
            <w:vAlign w:val="center"/>
            <w:hideMark/>
          </w:tcPr>
          <w:p w14:paraId="1218F554"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RTFO</w:t>
            </w:r>
          </w:p>
        </w:tc>
        <w:tc>
          <w:tcPr>
            <w:tcW w:w="554" w:type="dxa"/>
            <w:shd w:val="clear" w:color="auto" w:fill="auto"/>
            <w:noWrap/>
            <w:vAlign w:val="center"/>
            <w:hideMark/>
          </w:tcPr>
          <w:p w14:paraId="62884DB0"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87.1</w:t>
            </w:r>
          </w:p>
        </w:tc>
        <w:tc>
          <w:tcPr>
            <w:tcW w:w="625" w:type="dxa"/>
            <w:shd w:val="clear" w:color="auto" w:fill="auto"/>
            <w:noWrap/>
            <w:vAlign w:val="center"/>
            <w:hideMark/>
          </w:tcPr>
          <w:p w14:paraId="22193F4B"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91.9</w:t>
            </w:r>
          </w:p>
        </w:tc>
        <w:tc>
          <w:tcPr>
            <w:tcW w:w="625" w:type="dxa"/>
            <w:shd w:val="clear" w:color="auto" w:fill="auto"/>
            <w:noWrap/>
            <w:vAlign w:val="center"/>
            <w:hideMark/>
          </w:tcPr>
          <w:p w14:paraId="3D9DD85E"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100.2</w:t>
            </w:r>
          </w:p>
        </w:tc>
        <w:tc>
          <w:tcPr>
            <w:tcW w:w="625" w:type="dxa"/>
            <w:shd w:val="clear" w:color="auto" w:fill="auto"/>
            <w:noWrap/>
            <w:vAlign w:val="center"/>
            <w:hideMark/>
          </w:tcPr>
          <w:p w14:paraId="6B8269DC"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124.3</w:t>
            </w:r>
          </w:p>
        </w:tc>
        <w:tc>
          <w:tcPr>
            <w:tcW w:w="627" w:type="dxa"/>
            <w:shd w:val="clear" w:color="auto" w:fill="auto"/>
            <w:noWrap/>
            <w:vAlign w:val="center"/>
            <w:hideMark/>
          </w:tcPr>
          <w:p w14:paraId="0524035A"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81.9</w:t>
            </w:r>
          </w:p>
        </w:tc>
        <w:tc>
          <w:tcPr>
            <w:tcW w:w="804" w:type="dxa"/>
            <w:shd w:val="clear" w:color="auto" w:fill="auto"/>
            <w:noWrap/>
            <w:vAlign w:val="center"/>
            <w:hideMark/>
          </w:tcPr>
          <w:p w14:paraId="51A152DC"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-130.6</w:t>
            </w:r>
          </w:p>
        </w:tc>
        <w:tc>
          <w:tcPr>
            <w:tcW w:w="804" w:type="dxa"/>
            <w:shd w:val="clear" w:color="auto" w:fill="auto"/>
            <w:noWrap/>
            <w:vAlign w:val="center"/>
            <w:hideMark/>
          </w:tcPr>
          <w:p w14:paraId="34F4A07B"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-323.8</w:t>
            </w:r>
          </w:p>
        </w:tc>
        <w:tc>
          <w:tcPr>
            <w:tcW w:w="804" w:type="dxa"/>
            <w:shd w:val="clear" w:color="auto" w:fill="auto"/>
            <w:noWrap/>
            <w:vAlign w:val="center"/>
            <w:hideMark/>
          </w:tcPr>
          <w:p w14:paraId="27BD715E"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-243.4</w:t>
            </w:r>
          </w:p>
        </w:tc>
        <w:tc>
          <w:tcPr>
            <w:tcW w:w="715" w:type="dxa"/>
            <w:shd w:val="clear" w:color="auto" w:fill="auto"/>
            <w:noWrap/>
            <w:vAlign w:val="center"/>
            <w:hideMark/>
          </w:tcPr>
          <w:p w14:paraId="29B2DF18"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-331.3</w:t>
            </w:r>
          </w:p>
        </w:tc>
        <w:tc>
          <w:tcPr>
            <w:tcW w:w="809" w:type="dxa"/>
            <w:shd w:val="clear" w:color="auto" w:fill="auto"/>
            <w:noWrap/>
            <w:vAlign w:val="center"/>
            <w:hideMark/>
          </w:tcPr>
          <w:p w14:paraId="4E255B2F"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-82.3</w:t>
            </w:r>
          </w:p>
        </w:tc>
      </w:tr>
      <w:tr w:rsidR="00D1280E" w:rsidRPr="009A3034" w14:paraId="6E65E491" w14:textId="77777777" w:rsidTr="00BC398D">
        <w:trPr>
          <w:trHeight w:val="258"/>
        </w:trPr>
        <w:tc>
          <w:tcPr>
            <w:tcW w:w="1260" w:type="dxa"/>
            <w:vMerge/>
            <w:shd w:val="clear" w:color="auto" w:fill="auto"/>
            <w:vAlign w:val="center"/>
            <w:hideMark/>
          </w:tcPr>
          <w:p w14:paraId="38E7D3A3" w14:textId="77777777" w:rsidR="00D1280E" w:rsidRPr="009A3034" w:rsidRDefault="00D1280E" w:rsidP="00650395">
            <w:pPr>
              <w:spacing w:line="240" w:lineRule="auto"/>
              <w:rPr>
                <w:rFonts w:eastAsia="Times New Roman" w:cs="Times New Roman"/>
                <w:color w:val="000000"/>
                <w:sz w:val="20"/>
                <w:szCs w:val="20"/>
              </w:rPr>
            </w:pPr>
          </w:p>
        </w:tc>
        <w:tc>
          <w:tcPr>
            <w:tcW w:w="740" w:type="dxa"/>
            <w:shd w:val="clear" w:color="auto" w:fill="auto"/>
            <w:noWrap/>
            <w:vAlign w:val="center"/>
            <w:hideMark/>
          </w:tcPr>
          <w:p w14:paraId="30AEF805"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PAV</w:t>
            </w:r>
          </w:p>
        </w:tc>
        <w:tc>
          <w:tcPr>
            <w:tcW w:w="554" w:type="dxa"/>
            <w:shd w:val="clear" w:color="auto" w:fill="auto"/>
            <w:noWrap/>
            <w:vAlign w:val="center"/>
            <w:hideMark/>
          </w:tcPr>
          <w:p w14:paraId="436DAF8F"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87.6</w:t>
            </w:r>
          </w:p>
        </w:tc>
        <w:tc>
          <w:tcPr>
            <w:tcW w:w="625" w:type="dxa"/>
            <w:shd w:val="clear" w:color="auto" w:fill="auto"/>
            <w:noWrap/>
            <w:vAlign w:val="center"/>
            <w:hideMark/>
          </w:tcPr>
          <w:p w14:paraId="61F4CF53"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95.8</w:t>
            </w:r>
          </w:p>
        </w:tc>
        <w:tc>
          <w:tcPr>
            <w:tcW w:w="625" w:type="dxa"/>
            <w:shd w:val="clear" w:color="auto" w:fill="auto"/>
            <w:noWrap/>
            <w:vAlign w:val="center"/>
            <w:hideMark/>
          </w:tcPr>
          <w:p w14:paraId="07C27CD8"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100.7</w:t>
            </w:r>
          </w:p>
        </w:tc>
        <w:tc>
          <w:tcPr>
            <w:tcW w:w="625" w:type="dxa"/>
            <w:shd w:val="clear" w:color="auto" w:fill="auto"/>
            <w:noWrap/>
            <w:vAlign w:val="center"/>
            <w:hideMark/>
          </w:tcPr>
          <w:p w14:paraId="4B3C2E34"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123.1</w:t>
            </w:r>
          </w:p>
        </w:tc>
        <w:tc>
          <w:tcPr>
            <w:tcW w:w="627" w:type="dxa"/>
            <w:shd w:val="clear" w:color="auto" w:fill="auto"/>
            <w:noWrap/>
            <w:vAlign w:val="center"/>
            <w:hideMark/>
          </w:tcPr>
          <w:p w14:paraId="5EC56285"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80.7</w:t>
            </w:r>
          </w:p>
        </w:tc>
        <w:tc>
          <w:tcPr>
            <w:tcW w:w="804" w:type="dxa"/>
            <w:shd w:val="clear" w:color="auto" w:fill="auto"/>
            <w:noWrap/>
            <w:vAlign w:val="center"/>
            <w:hideMark/>
          </w:tcPr>
          <w:p w14:paraId="55617C28"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-131.0</w:t>
            </w:r>
          </w:p>
        </w:tc>
        <w:tc>
          <w:tcPr>
            <w:tcW w:w="804" w:type="dxa"/>
            <w:shd w:val="clear" w:color="auto" w:fill="auto"/>
            <w:noWrap/>
            <w:vAlign w:val="center"/>
            <w:hideMark/>
          </w:tcPr>
          <w:p w14:paraId="17E4DD54"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-320.7</w:t>
            </w:r>
          </w:p>
        </w:tc>
        <w:tc>
          <w:tcPr>
            <w:tcW w:w="804" w:type="dxa"/>
            <w:shd w:val="clear" w:color="auto" w:fill="auto"/>
            <w:noWrap/>
            <w:vAlign w:val="center"/>
            <w:hideMark/>
          </w:tcPr>
          <w:p w14:paraId="420BAE57"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-243.8</w:t>
            </w:r>
          </w:p>
        </w:tc>
        <w:tc>
          <w:tcPr>
            <w:tcW w:w="715" w:type="dxa"/>
            <w:shd w:val="clear" w:color="auto" w:fill="auto"/>
            <w:noWrap/>
            <w:vAlign w:val="center"/>
            <w:hideMark/>
          </w:tcPr>
          <w:p w14:paraId="552C1CBE"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-333.4</w:t>
            </w:r>
          </w:p>
        </w:tc>
        <w:tc>
          <w:tcPr>
            <w:tcW w:w="809" w:type="dxa"/>
            <w:shd w:val="clear" w:color="auto" w:fill="auto"/>
            <w:noWrap/>
            <w:vAlign w:val="center"/>
            <w:hideMark/>
          </w:tcPr>
          <w:p w14:paraId="18577666"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-84.4</w:t>
            </w:r>
          </w:p>
        </w:tc>
      </w:tr>
      <w:tr w:rsidR="00D1280E" w:rsidRPr="009A3034" w14:paraId="2ABA7A2F" w14:textId="77777777" w:rsidTr="00BC398D">
        <w:trPr>
          <w:trHeight w:val="258"/>
        </w:trPr>
        <w:tc>
          <w:tcPr>
            <w:tcW w:w="1260" w:type="dxa"/>
            <w:vMerge w:val="restart"/>
            <w:shd w:val="clear" w:color="auto" w:fill="auto"/>
            <w:vAlign w:val="center"/>
            <w:hideMark/>
          </w:tcPr>
          <w:p w14:paraId="55FE93BF"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PG 64-22 + 0.5% WMA</w:t>
            </w:r>
          </w:p>
        </w:tc>
        <w:tc>
          <w:tcPr>
            <w:tcW w:w="740" w:type="dxa"/>
            <w:shd w:val="clear" w:color="auto" w:fill="auto"/>
            <w:noWrap/>
            <w:vAlign w:val="center"/>
            <w:hideMark/>
          </w:tcPr>
          <w:p w14:paraId="2276F702"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Unaged</w:t>
            </w:r>
          </w:p>
        </w:tc>
        <w:tc>
          <w:tcPr>
            <w:tcW w:w="554" w:type="dxa"/>
            <w:shd w:val="clear" w:color="auto" w:fill="auto"/>
            <w:noWrap/>
            <w:vAlign w:val="center"/>
            <w:hideMark/>
          </w:tcPr>
          <w:p w14:paraId="48EEBB6D"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97.6</w:t>
            </w:r>
          </w:p>
        </w:tc>
        <w:tc>
          <w:tcPr>
            <w:tcW w:w="625" w:type="dxa"/>
            <w:shd w:val="clear" w:color="auto" w:fill="auto"/>
            <w:noWrap/>
            <w:vAlign w:val="center"/>
            <w:hideMark/>
          </w:tcPr>
          <w:p w14:paraId="09992B2E"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118.3</w:t>
            </w:r>
          </w:p>
        </w:tc>
        <w:tc>
          <w:tcPr>
            <w:tcW w:w="625" w:type="dxa"/>
            <w:shd w:val="clear" w:color="auto" w:fill="auto"/>
            <w:noWrap/>
            <w:vAlign w:val="center"/>
            <w:hideMark/>
          </w:tcPr>
          <w:p w14:paraId="541A2A5F"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118.8</w:t>
            </w:r>
          </w:p>
        </w:tc>
        <w:tc>
          <w:tcPr>
            <w:tcW w:w="625" w:type="dxa"/>
            <w:shd w:val="clear" w:color="auto" w:fill="auto"/>
            <w:noWrap/>
            <w:vAlign w:val="center"/>
            <w:hideMark/>
          </w:tcPr>
          <w:p w14:paraId="0AD8743A"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147.7</w:t>
            </w:r>
          </w:p>
        </w:tc>
        <w:tc>
          <w:tcPr>
            <w:tcW w:w="627" w:type="dxa"/>
            <w:shd w:val="clear" w:color="auto" w:fill="auto"/>
            <w:noWrap/>
            <w:vAlign w:val="center"/>
            <w:hideMark/>
          </w:tcPr>
          <w:p w14:paraId="2CEF9642"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88.7</w:t>
            </w:r>
          </w:p>
        </w:tc>
        <w:tc>
          <w:tcPr>
            <w:tcW w:w="804" w:type="dxa"/>
            <w:shd w:val="clear" w:color="auto" w:fill="auto"/>
            <w:noWrap/>
            <w:vAlign w:val="center"/>
            <w:hideMark/>
          </w:tcPr>
          <w:p w14:paraId="7E643CDC"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-123.4</w:t>
            </w:r>
          </w:p>
        </w:tc>
        <w:tc>
          <w:tcPr>
            <w:tcW w:w="804" w:type="dxa"/>
            <w:shd w:val="clear" w:color="auto" w:fill="auto"/>
            <w:noWrap/>
            <w:vAlign w:val="center"/>
            <w:hideMark/>
          </w:tcPr>
          <w:p w14:paraId="667FD0C9"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-300.6</w:t>
            </w:r>
          </w:p>
        </w:tc>
        <w:tc>
          <w:tcPr>
            <w:tcW w:w="804" w:type="dxa"/>
            <w:shd w:val="clear" w:color="auto" w:fill="auto"/>
            <w:noWrap/>
            <w:vAlign w:val="center"/>
            <w:hideMark/>
          </w:tcPr>
          <w:p w14:paraId="50799B71"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-228.0</w:t>
            </w:r>
          </w:p>
        </w:tc>
        <w:tc>
          <w:tcPr>
            <w:tcW w:w="715" w:type="dxa"/>
            <w:shd w:val="clear" w:color="auto" w:fill="auto"/>
            <w:noWrap/>
            <w:vAlign w:val="center"/>
            <w:hideMark/>
          </w:tcPr>
          <w:p w14:paraId="644D1185"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-311.1</w:t>
            </w:r>
          </w:p>
        </w:tc>
        <w:tc>
          <w:tcPr>
            <w:tcW w:w="809" w:type="dxa"/>
            <w:shd w:val="clear" w:color="auto" w:fill="auto"/>
            <w:noWrap/>
            <w:vAlign w:val="center"/>
            <w:hideMark/>
          </w:tcPr>
          <w:p w14:paraId="7BA6027D"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-78.7</w:t>
            </w:r>
          </w:p>
        </w:tc>
      </w:tr>
      <w:tr w:rsidR="00D1280E" w:rsidRPr="009A3034" w14:paraId="70CFA96D" w14:textId="77777777" w:rsidTr="00BC398D">
        <w:trPr>
          <w:trHeight w:val="258"/>
        </w:trPr>
        <w:tc>
          <w:tcPr>
            <w:tcW w:w="1260" w:type="dxa"/>
            <w:vMerge/>
            <w:shd w:val="clear" w:color="auto" w:fill="auto"/>
            <w:vAlign w:val="center"/>
            <w:hideMark/>
          </w:tcPr>
          <w:p w14:paraId="4EEE31D1" w14:textId="77777777" w:rsidR="00D1280E" w:rsidRPr="009A3034" w:rsidRDefault="00D1280E" w:rsidP="00650395">
            <w:pPr>
              <w:spacing w:line="240" w:lineRule="auto"/>
              <w:rPr>
                <w:rFonts w:eastAsia="Times New Roman" w:cs="Times New Roman"/>
                <w:color w:val="000000"/>
                <w:sz w:val="20"/>
                <w:szCs w:val="20"/>
              </w:rPr>
            </w:pPr>
          </w:p>
        </w:tc>
        <w:tc>
          <w:tcPr>
            <w:tcW w:w="740" w:type="dxa"/>
            <w:shd w:val="clear" w:color="auto" w:fill="auto"/>
            <w:noWrap/>
            <w:vAlign w:val="center"/>
            <w:hideMark/>
          </w:tcPr>
          <w:p w14:paraId="22FA097A"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RTFO</w:t>
            </w:r>
          </w:p>
        </w:tc>
        <w:tc>
          <w:tcPr>
            <w:tcW w:w="554" w:type="dxa"/>
            <w:shd w:val="clear" w:color="auto" w:fill="auto"/>
            <w:noWrap/>
            <w:vAlign w:val="center"/>
            <w:hideMark/>
          </w:tcPr>
          <w:p w14:paraId="6D4A4C08"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90.3</w:t>
            </w:r>
          </w:p>
        </w:tc>
        <w:tc>
          <w:tcPr>
            <w:tcW w:w="625" w:type="dxa"/>
            <w:shd w:val="clear" w:color="auto" w:fill="auto"/>
            <w:noWrap/>
            <w:vAlign w:val="center"/>
            <w:hideMark/>
          </w:tcPr>
          <w:p w14:paraId="5653D062"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97.7</w:t>
            </w:r>
          </w:p>
        </w:tc>
        <w:tc>
          <w:tcPr>
            <w:tcW w:w="625" w:type="dxa"/>
            <w:shd w:val="clear" w:color="auto" w:fill="auto"/>
            <w:noWrap/>
            <w:vAlign w:val="center"/>
            <w:hideMark/>
          </w:tcPr>
          <w:p w14:paraId="686E14A5"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105.4</w:t>
            </w:r>
          </w:p>
        </w:tc>
        <w:tc>
          <w:tcPr>
            <w:tcW w:w="625" w:type="dxa"/>
            <w:shd w:val="clear" w:color="auto" w:fill="auto"/>
            <w:noWrap/>
            <w:vAlign w:val="center"/>
            <w:hideMark/>
          </w:tcPr>
          <w:p w14:paraId="621ADDFF"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131.3</w:t>
            </w:r>
          </w:p>
        </w:tc>
        <w:tc>
          <w:tcPr>
            <w:tcW w:w="627" w:type="dxa"/>
            <w:shd w:val="clear" w:color="auto" w:fill="auto"/>
            <w:noWrap/>
            <w:vAlign w:val="center"/>
            <w:hideMark/>
          </w:tcPr>
          <w:p w14:paraId="3BC37A98"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84.7</w:t>
            </w:r>
          </w:p>
        </w:tc>
        <w:tc>
          <w:tcPr>
            <w:tcW w:w="804" w:type="dxa"/>
            <w:shd w:val="clear" w:color="auto" w:fill="auto"/>
            <w:noWrap/>
            <w:vAlign w:val="center"/>
            <w:hideMark/>
          </w:tcPr>
          <w:p w14:paraId="5542F5D4"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-128.5</w:t>
            </w:r>
          </w:p>
        </w:tc>
        <w:tc>
          <w:tcPr>
            <w:tcW w:w="804" w:type="dxa"/>
            <w:shd w:val="clear" w:color="auto" w:fill="auto"/>
            <w:noWrap/>
            <w:vAlign w:val="center"/>
            <w:hideMark/>
          </w:tcPr>
          <w:p w14:paraId="04DDB357"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-319.0</w:t>
            </w:r>
          </w:p>
        </w:tc>
        <w:tc>
          <w:tcPr>
            <w:tcW w:w="804" w:type="dxa"/>
            <w:shd w:val="clear" w:color="auto" w:fill="auto"/>
            <w:noWrap/>
            <w:vAlign w:val="center"/>
            <w:hideMark/>
          </w:tcPr>
          <w:p w14:paraId="4835C49B"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-239.3</w:t>
            </w:r>
          </w:p>
        </w:tc>
        <w:tc>
          <w:tcPr>
            <w:tcW w:w="715" w:type="dxa"/>
            <w:shd w:val="clear" w:color="auto" w:fill="auto"/>
            <w:noWrap/>
            <w:vAlign w:val="center"/>
            <w:hideMark/>
          </w:tcPr>
          <w:p w14:paraId="51C44A65"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-325.3</w:t>
            </w:r>
          </w:p>
        </w:tc>
        <w:tc>
          <w:tcPr>
            <w:tcW w:w="809" w:type="dxa"/>
            <w:shd w:val="clear" w:color="auto" w:fill="auto"/>
            <w:noWrap/>
            <w:vAlign w:val="center"/>
            <w:hideMark/>
          </w:tcPr>
          <w:p w14:paraId="7266E798"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-80.5</w:t>
            </w:r>
          </w:p>
        </w:tc>
      </w:tr>
      <w:tr w:rsidR="00D1280E" w:rsidRPr="009A3034" w14:paraId="4E5E5114" w14:textId="77777777" w:rsidTr="00BC398D">
        <w:trPr>
          <w:trHeight w:val="258"/>
        </w:trPr>
        <w:tc>
          <w:tcPr>
            <w:tcW w:w="1260" w:type="dxa"/>
            <w:vMerge/>
            <w:shd w:val="clear" w:color="auto" w:fill="auto"/>
            <w:vAlign w:val="center"/>
            <w:hideMark/>
          </w:tcPr>
          <w:p w14:paraId="69A3BA7F" w14:textId="77777777" w:rsidR="00D1280E" w:rsidRPr="009A3034" w:rsidRDefault="00D1280E" w:rsidP="00650395">
            <w:pPr>
              <w:spacing w:line="240" w:lineRule="auto"/>
              <w:rPr>
                <w:rFonts w:eastAsia="Times New Roman" w:cs="Times New Roman"/>
                <w:color w:val="000000"/>
                <w:sz w:val="20"/>
                <w:szCs w:val="20"/>
              </w:rPr>
            </w:pPr>
          </w:p>
        </w:tc>
        <w:tc>
          <w:tcPr>
            <w:tcW w:w="740" w:type="dxa"/>
            <w:shd w:val="clear" w:color="auto" w:fill="auto"/>
            <w:noWrap/>
            <w:vAlign w:val="center"/>
            <w:hideMark/>
          </w:tcPr>
          <w:p w14:paraId="49369CBD"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PAV</w:t>
            </w:r>
          </w:p>
        </w:tc>
        <w:tc>
          <w:tcPr>
            <w:tcW w:w="554" w:type="dxa"/>
            <w:shd w:val="clear" w:color="auto" w:fill="auto"/>
            <w:noWrap/>
            <w:vAlign w:val="center"/>
            <w:hideMark/>
          </w:tcPr>
          <w:p w14:paraId="4F27C923"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96.2</w:t>
            </w:r>
          </w:p>
        </w:tc>
        <w:tc>
          <w:tcPr>
            <w:tcW w:w="625" w:type="dxa"/>
            <w:shd w:val="clear" w:color="auto" w:fill="auto"/>
            <w:noWrap/>
            <w:vAlign w:val="center"/>
            <w:hideMark/>
          </w:tcPr>
          <w:p w14:paraId="445C32AF"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118.1</w:t>
            </w:r>
          </w:p>
        </w:tc>
        <w:tc>
          <w:tcPr>
            <w:tcW w:w="625" w:type="dxa"/>
            <w:shd w:val="clear" w:color="auto" w:fill="auto"/>
            <w:noWrap/>
            <w:vAlign w:val="center"/>
            <w:hideMark/>
          </w:tcPr>
          <w:p w14:paraId="20113DCA"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120.0</w:t>
            </w:r>
          </w:p>
        </w:tc>
        <w:tc>
          <w:tcPr>
            <w:tcW w:w="625" w:type="dxa"/>
            <w:shd w:val="clear" w:color="auto" w:fill="auto"/>
            <w:noWrap/>
            <w:vAlign w:val="center"/>
            <w:hideMark/>
          </w:tcPr>
          <w:p w14:paraId="507C3C88"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151.9</w:t>
            </w:r>
          </w:p>
        </w:tc>
        <w:tc>
          <w:tcPr>
            <w:tcW w:w="627" w:type="dxa"/>
            <w:shd w:val="clear" w:color="auto" w:fill="auto"/>
            <w:noWrap/>
            <w:vAlign w:val="center"/>
            <w:hideMark/>
          </w:tcPr>
          <w:p w14:paraId="492B188E"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88.7</w:t>
            </w:r>
          </w:p>
        </w:tc>
        <w:tc>
          <w:tcPr>
            <w:tcW w:w="804" w:type="dxa"/>
            <w:shd w:val="clear" w:color="auto" w:fill="auto"/>
            <w:noWrap/>
            <w:vAlign w:val="center"/>
            <w:hideMark/>
          </w:tcPr>
          <w:p w14:paraId="1559CFB0"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-122.0</w:t>
            </w:r>
          </w:p>
        </w:tc>
        <w:tc>
          <w:tcPr>
            <w:tcW w:w="804" w:type="dxa"/>
            <w:shd w:val="clear" w:color="auto" w:fill="auto"/>
            <w:noWrap/>
            <w:vAlign w:val="center"/>
            <w:hideMark/>
          </w:tcPr>
          <w:p w14:paraId="31814D15"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-298.1</w:t>
            </w:r>
          </w:p>
        </w:tc>
        <w:tc>
          <w:tcPr>
            <w:tcW w:w="804" w:type="dxa"/>
            <w:shd w:val="clear" w:color="auto" w:fill="auto"/>
            <w:noWrap/>
            <w:vAlign w:val="center"/>
            <w:hideMark/>
          </w:tcPr>
          <w:p w14:paraId="4876F6AB"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-224.0</w:t>
            </w:r>
          </w:p>
        </w:tc>
        <w:tc>
          <w:tcPr>
            <w:tcW w:w="715" w:type="dxa"/>
            <w:shd w:val="clear" w:color="auto" w:fill="auto"/>
            <w:noWrap/>
            <w:vAlign w:val="center"/>
            <w:hideMark/>
          </w:tcPr>
          <w:p w14:paraId="16E1E85F"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-304.1</w:t>
            </w:r>
          </w:p>
        </w:tc>
        <w:tc>
          <w:tcPr>
            <w:tcW w:w="809" w:type="dxa"/>
            <w:shd w:val="clear" w:color="auto" w:fill="auto"/>
            <w:noWrap/>
            <w:vAlign w:val="center"/>
            <w:hideMark/>
          </w:tcPr>
          <w:p w14:paraId="739C4DB7"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-76.0</w:t>
            </w:r>
          </w:p>
        </w:tc>
      </w:tr>
      <w:tr w:rsidR="00D1280E" w:rsidRPr="009A3034" w14:paraId="7D483E70" w14:textId="77777777" w:rsidTr="00BC398D">
        <w:trPr>
          <w:trHeight w:val="258"/>
        </w:trPr>
        <w:tc>
          <w:tcPr>
            <w:tcW w:w="1260" w:type="dxa"/>
            <w:vMerge w:val="restart"/>
            <w:shd w:val="clear" w:color="auto" w:fill="auto"/>
            <w:vAlign w:val="center"/>
            <w:hideMark/>
          </w:tcPr>
          <w:p w14:paraId="13593FD0"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PG 64-22 + 0.5% ASA</w:t>
            </w:r>
          </w:p>
        </w:tc>
        <w:tc>
          <w:tcPr>
            <w:tcW w:w="740" w:type="dxa"/>
            <w:shd w:val="clear" w:color="auto" w:fill="auto"/>
            <w:noWrap/>
            <w:vAlign w:val="center"/>
            <w:hideMark/>
          </w:tcPr>
          <w:p w14:paraId="61F1D658"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Unaged</w:t>
            </w:r>
          </w:p>
        </w:tc>
        <w:tc>
          <w:tcPr>
            <w:tcW w:w="554" w:type="dxa"/>
            <w:shd w:val="clear" w:color="auto" w:fill="auto"/>
            <w:noWrap/>
            <w:vAlign w:val="center"/>
            <w:hideMark/>
          </w:tcPr>
          <w:p w14:paraId="15B8C843"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100.0</w:t>
            </w:r>
          </w:p>
        </w:tc>
        <w:tc>
          <w:tcPr>
            <w:tcW w:w="625" w:type="dxa"/>
            <w:shd w:val="clear" w:color="auto" w:fill="auto"/>
            <w:noWrap/>
            <w:vAlign w:val="center"/>
            <w:hideMark/>
          </w:tcPr>
          <w:p w14:paraId="6CE76118"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124.3</w:t>
            </w:r>
          </w:p>
        </w:tc>
        <w:tc>
          <w:tcPr>
            <w:tcW w:w="625" w:type="dxa"/>
            <w:shd w:val="clear" w:color="auto" w:fill="auto"/>
            <w:noWrap/>
            <w:vAlign w:val="center"/>
            <w:hideMark/>
          </w:tcPr>
          <w:p w14:paraId="0384BCC0"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119.1</w:t>
            </w:r>
          </w:p>
        </w:tc>
        <w:tc>
          <w:tcPr>
            <w:tcW w:w="625" w:type="dxa"/>
            <w:shd w:val="clear" w:color="auto" w:fill="auto"/>
            <w:noWrap/>
            <w:vAlign w:val="center"/>
            <w:hideMark/>
          </w:tcPr>
          <w:p w14:paraId="1649BBF0"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143.5</w:t>
            </w:r>
          </w:p>
        </w:tc>
        <w:tc>
          <w:tcPr>
            <w:tcW w:w="627" w:type="dxa"/>
            <w:shd w:val="clear" w:color="auto" w:fill="auto"/>
            <w:noWrap/>
            <w:vAlign w:val="center"/>
            <w:hideMark/>
          </w:tcPr>
          <w:p w14:paraId="25BBA3C8"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87.7</w:t>
            </w:r>
          </w:p>
        </w:tc>
        <w:tc>
          <w:tcPr>
            <w:tcW w:w="804" w:type="dxa"/>
            <w:shd w:val="clear" w:color="auto" w:fill="auto"/>
            <w:noWrap/>
            <w:vAlign w:val="center"/>
            <w:hideMark/>
          </w:tcPr>
          <w:p w14:paraId="2A86EEF9"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-124.7</w:t>
            </w:r>
          </w:p>
        </w:tc>
        <w:tc>
          <w:tcPr>
            <w:tcW w:w="804" w:type="dxa"/>
            <w:shd w:val="clear" w:color="auto" w:fill="auto"/>
            <w:noWrap/>
            <w:vAlign w:val="center"/>
            <w:hideMark/>
          </w:tcPr>
          <w:p w14:paraId="158A8C98"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-298.4</w:t>
            </w:r>
          </w:p>
        </w:tc>
        <w:tc>
          <w:tcPr>
            <w:tcW w:w="804" w:type="dxa"/>
            <w:shd w:val="clear" w:color="auto" w:fill="auto"/>
            <w:noWrap/>
            <w:vAlign w:val="center"/>
            <w:hideMark/>
          </w:tcPr>
          <w:p w14:paraId="7F40574A"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-231.5</w:t>
            </w:r>
          </w:p>
        </w:tc>
        <w:tc>
          <w:tcPr>
            <w:tcW w:w="715" w:type="dxa"/>
            <w:shd w:val="clear" w:color="auto" w:fill="auto"/>
            <w:noWrap/>
            <w:vAlign w:val="center"/>
            <w:hideMark/>
          </w:tcPr>
          <w:p w14:paraId="6261BB4D"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-319.1</w:t>
            </w:r>
          </w:p>
        </w:tc>
        <w:tc>
          <w:tcPr>
            <w:tcW w:w="809" w:type="dxa"/>
            <w:shd w:val="clear" w:color="auto" w:fill="auto"/>
            <w:noWrap/>
            <w:vAlign w:val="center"/>
            <w:hideMark/>
          </w:tcPr>
          <w:p w14:paraId="5A5B57E8"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-83.5</w:t>
            </w:r>
          </w:p>
        </w:tc>
      </w:tr>
      <w:tr w:rsidR="00D1280E" w:rsidRPr="009A3034" w14:paraId="76395C9E" w14:textId="77777777" w:rsidTr="00BC398D">
        <w:trPr>
          <w:trHeight w:val="258"/>
        </w:trPr>
        <w:tc>
          <w:tcPr>
            <w:tcW w:w="1260" w:type="dxa"/>
            <w:vMerge/>
            <w:shd w:val="clear" w:color="auto" w:fill="auto"/>
            <w:vAlign w:val="center"/>
            <w:hideMark/>
          </w:tcPr>
          <w:p w14:paraId="579042C0" w14:textId="77777777" w:rsidR="00D1280E" w:rsidRPr="009A3034" w:rsidRDefault="00D1280E" w:rsidP="00650395">
            <w:pPr>
              <w:spacing w:line="240" w:lineRule="auto"/>
              <w:rPr>
                <w:rFonts w:eastAsia="Times New Roman" w:cs="Times New Roman"/>
                <w:color w:val="000000"/>
                <w:sz w:val="20"/>
                <w:szCs w:val="20"/>
              </w:rPr>
            </w:pPr>
          </w:p>
        </w:tc>
        <w:tc>
          <w:tcPr>
            <w:tcW w:w="740" w:type="dxa"/>
            <w:shd w:val="clear" w:color="auto" w:fill="auto"/>
            <w:noWrap/>
            <w:vAlign w:val="center"/>
            <w:hideMark/>
          </w:tcPr>
          <w:p w14:paraId="545DA786"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RTFO</w:t>
            </w:r>
          </w:p>
        </w:tc>
        <w:tc>
          <w:tcPr>
            <w:tcW w:w="554" w:type="dxa"/>
            <w:shd w:val="clear" w:color="auto" w:fill="auto"/>
            <w:noWrap/>
            <w:vAlign w:val="center"/>
            <w:hideMark/>
          </w:tcPr>
          <w:p w14:paraId="27F0AF79"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89.6</w:t>
            </w:r>
          </w:p>
        </w:tc>
        <w:tc>
          <w:tcPr>
            <w:tcW w:w="625" w:type="dxa"/>
            <w:shd w:val="clear" w:color="auto" w:fill="auto"/>
            <w:noWrap/>
            <w:vAlign w:val="center"/>
            <w:hideMark/>
          </w:tcPr>
          <w:p w14:paraId="57888F18"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98.0</w:t>
            </w:r>
          </w:p>
        </w:tc>
        <w:tc>
          <w:tcPr>
            <w:tcW w:w="625" w:type="dxa"/>
            <w:shd w:val="clear" w:color="auto" w:fill="auto"/>
            <w:noWrap/>
            <w:vAlign w:val="center"/>
            <w:hideMark/>
          </w:tcPr>
          <w:p w14:paraId="2CE67944"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104.1</w:t>
            </w:r>
          </w:p>
        </w:tc>
        <w:tc>
          <w:tcPr>
            <w:tcW w:w="625" w:type="dxa"/>
            <w:shd w:val="clear" w:color="auto" w:fill="auto"/>
            <w:noWrap/>
            <w:vAlign w:val="center"/>
            <w:hideMark/>
          </w:tcPr>
          <w:p w14:paraId="20C6EE9C"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128.7</w:t>
            </w:r>
          </w:p>
        </w:tc>
        <w:tc>
          <w:tcPr>
            <w:tcW w:w="627" w:type="dxa"/>
            <w:shd w:val="clear" w:color="auto" w:fill="auto"/>
            <w:noWrap/>
            <w:vAlign w:val="center"/>
            <w:hideMark/>
          </w:tcPr>
          <w:p w14:paraId="0ABCA666"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83.2</w:t>
            </w:r>
          </w:p>
        </w:tc>
        <w:tc>
          <w:tcPr>
            <w:tcW w:w="804" w:type="dxa"/>
            <w:shd w:val="clear" w:color="auto" w:fill="auto"/>
            <w:noWrap/>
            <w:vAlign w:val="center"/>
            <w:hideMark/>
          </w:tcPr>
          <w:p w14:paraId="024854BA"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-129.3</w:t>
            </w:r>
          </w:p>
        </w:tc>
        <w:tc>
          <w:tcPr>
            <w:tcW w:w="804" w:type="dxa"/>
            <w:shd w:val="clear" w:color="auto" w:fill="auto"/>
            <w:noWrap/>
            <w:vAlign w:val="center"/>
            <w:hideMark/>
          </w:tcPr>
          <w:p w14:paraId="2BE7037E"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-318.8</w:t>
            </w:r>
          </w:p>
        </w:tc>
        <w:tc>
          <w:tcPr>
            <w:tcW w:w="804" w:type="dxa"/>
            <w:shd w:val="clear" w:color="auto" w:fill="auto"/>
            <w:noWrap/>
            <w:vAlign w:val="center"/>
            <w:hideMark/>
          </w:tcPr>
          <w:p w14:paraId="587DBAC9"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-240.6</w:t>
            </w:r>
          </w:p>
        </w:tc>
        <w:tc>
          <w:tcPr>
            <w:tcW w:w="715" w:type="dxa"/>
            <w:shd w:val="clear" w:color="auto" w:fill="auto"/>
            <w:noWrap/>
            <w:vAlign w:val="center"/>
            <w:hideMark/>
          </w:tcPr>
          <w:p w14:paraId="6A73A2D5"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-328.0</w:t>
            </w:r>
          </w:p>
        </w:tc>
        <w:tc>
          <w:tcPr>
            <w:tcW w:w="809" w:type="dxa"/>
            <w:shd w:val="clear" w:color="auto" w:fill="auto"/>
            <w:noWrap/>
            <w:vAlign w:val="center"/>
            <w:hideMark/>
          </w:tcPr>
          <w:p w14:paraId="713AC235"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-82.1</w:t>
            </w:r>
          </w:p>
        </w:tc>
      </w:tr>
      <w:tr w:rsidR="00D1280E" w:rsidRPr="009A3034" w14:paraId="15E8A040" w14:textId="77777777" w:rsidTr="00BC398D">
        <w:trPr>
          <w:trHeight w:val="258"/>
        </w:trPr>
        <w:tc>
          <w:tcPr>
            <w:tcW w:w="1260" w:type="dxa"/>
            <w:vMerge/>
            <w:shd w:val="clear" w:color="auto" w:fill="auto"/>
            <w:vAlign w:val="center"/>
            <w:hideMark/>
          </w:tcPr>
          <w:p w14:paraId="11A312DC" w14:textId="77777777" w:rsidR="00D1280E" w:rsidRPr="009A3034" w:rsidRDefault="00D1280E" w:rsidP="00650395">
            <w:pPr>
              <w:spacing w:line="240" w:lineRule="auto"/>
              <w:rPr>
                <w:rFonts w:eastAsia="Times New Roman" w:cs="Times New Roman"/>
                <w:color w:val="000000"/>
                <w:sz w:val="20"/>
                <w:szCs w:val="20"/>
              </w:rPr>
            </w:pPr>
          </w:p>
        </w:tc>
        <w:tc>
          <w:tcPr>
            <w:tcW w:w="740" w:type="dxa"/>
            <w:shd w:val="clear" w:color="auto" w:fill="auto"/>
            <w:noWrap/>
            <w:vAlign w:val="center"/>
            <w:hideMark/>
          </w:tcPr>
          <w:p w14:paraId="38174655"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PAV</w:t>
            </w:r>
          </w:p>
        </w:tc>
        <w:tc>
          <w:tcPr>
            <w:tcW w:w="554" w:type="dxa"/>
            <w:shd w:val="clear" w:color="auto" w:fill="auto"/>
            <w:noWrap/>
            <w:vAlign w:val="center"/>
            <w:hideMark/>
          </w:tcPr>
          <w:p w14:paraId="6FF1FE7F"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90.4</w:t>
            </w:r>
          </w:p>
        </w:tc>
        <w:tc>
          <w:tcPr>
            <w:tcW w:w="625" w:type="dxa"/>
            <w:shd w:val="clear" w:color="auto" w:fill="auto"/>
            <w:noWrap/>
            <w:vAlign w:val="center"/>
            <w:hideMark/>
          </w:tcPr>
          <w:p w14:paraId="31BD4340"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100.8</w:t>
            </w:r>
          </w:p>
        </w:tc>
        <w:tc>
          <w:tcPr>
            <w:tcW w:w="625" w:type="dxa"/>
            <w:shd w:val="clear" w:color="auto" w:fill="auto"/>
            <w:noWrap/>
            <w:vAlign w:val="center"/>
            <w:hideMark/>
          </w:tcPr>
          <w:p w14:paraId="44C9C47E"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106.7</w:t>
            </w:r>
          </w:p>
        </w:tc>
        <w:tc>
          <w:tcPr>
            <w:tcW w:w="625" w:type="dxa"/>
            <w:shd w:val="clear" w:color="auto" w:fill="auto"/>
            <w:noWrap/>
            <w:vAlign w:val="center"/>
            <w:hideMark/>
          </w:tcPr>
          <w:p w14:paraId="0B83F23D"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133.0</w:t>
            </w:r>
          </w:p>
        </w:tc>
        <w:tc>
          <w:tcPr>
            <w:tcW w:w="627" w:type="dxa"/>
            <w:shd w:val="clear" w:color="auto" w:fill="auto"/>
            <w:noWrap/>
            <w:vAlign w:val="center"/>
            <w:hideMark/>
          </w:tcPr>
          <w:p w14:paraId="5FF0C72E"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84.2</w:t>
            </w:r>
          </w:p>
        </w:tc>
        <w:tc>
          <w:tcPr>
            <w:tcW w:w="804" w:type="dxa"/>
            <w:shd w:val="clear" w:color="auto" w:fill="auto"/>
            <w:noWrap/>
            <w:vAlign w:val="center"/>
            <w:hideMark/>
          </w:tcPr>
          <w:p w14:paraId="33161251"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-128.0</w:t>
            </w:r>
          </w:p>
        </w:tc>
        <w:tc>
          <w:tcPr>
            <w:tcW w:w="804" w:type="dxa"/>
            <w:shd w:val="clear" w:color="auto" w:fill="auto"/>
            <w:noWrap/>
            <w:vAlign w:val="center"/>
            <w:hideMark/>
          </w:tcPr>
          <w:p w14:paraId="70C988C3"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-315.5</w:t>
            </w:r>
          </w:p>
        </w:tc>
        <w:tc>
          <w:tcPr>
            <w:tcW w:w="804" w:type="dxa"/>
            <w:shd w:val="clear" w:color="auto" w:fill="auto"/>
            <w:noWrap/>
            <w:vAlign w:val="center"/>
            <w:hideMark/>
          </w:tcPr>
          <w:p w14:paraId="7E908AC9"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-237.5</w:t>
            </w:r>
          </w:p>
        </w:tc>
        <w:tc>
          <w:tcPr>
            <w:tcW w:w="715" w:type="dxa"/>
            <w:shd w:val="clear" w:color="auto" w:fill="auto"/>
            <w:noWrap/>
            <w:vAlign w:val="center"/>
            <w:hideMark/>
          </w:tcPr>
          <w:p w14:paraId="0A293B3B"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-323.3</w:t>
            </w:r>
          </w:p>
        </w:tc>
        <w:tc>
          <w:tcPr>
            <w:tcW w:w="809" w:type="dxa"/>
            <w:shd w:val="clear" w:color="auto" w:fill="auto"/>
            <w:noWrap/>
            <w:vAlign w:val="center"/>
            <w:hideMark/>
          </w:tcPr>
          <w:p w14:paraId="6AD203CC"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-80.6</w:t>
            </w:r>
          </w:p>
        </w:tc>
      </w:tr>
      <w:tr w:rsidR="00D1280E" w:rsidRPr="009A3034" w14:paraId="25C4B228" w14:textId="77777777" w:rsidTr="00BC398D">
        <w:trPr>
          <w:trHeight w:val="258"/>
        </w:trPr>
        <w:tc>
          <w:tcPr>
            <w:tcW w:w="1260" w:type="dxa"/>
            <w:vMerge w:val="restart"/>
            <w:shd w:val="clear" w:color="auto" w:fill="auto"/>
            <w:vAlign w:val="center"/>
            <w:hideMark/>
          </w:tcPr>
          <w:p w14:paraId="18586389"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PG 64-22 + 20% RAP</w:t>
            </w:r>
          </w:p>
        </w:tc>
        <w:tc>
          <w:tcPr>
            <w:tcW w:w="740" w:type="dxa"/>
            <w:shd w:val="clear" w:color="auto" w:fill="auto"/>
            <w:noWrap/>
            <w:vAlign w:val="center"/>
            <w:hideMark/>
          </w:tcPr>
          <w:p w14:paraId="11EF3FA9"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Unaged</w:t>
            </w:r>
          </w:p>
        </w:tc>
        <w:tc>
          <w:tcPr>
            <w:tcW w:w="554" w:type="dxa"/>
            <w:shd w:val="clear" w:color="auto" w:fill="auto"/>
            <w:noWrap/>
            <w:vAlign w:val="center"/>
            <w:hideMark/>
          </w:tcPr>
          <w:p w14:paraId="2269F569"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93.8</w:t>
            </w:r>
          </w:p>
        </w:tc>
        <w:tc>
          <w:tcPr>
            <w:tcW w:w="625" w:type="dxa"/>
            <w:shd w:val="clear" w:color="auto" w:fill="auto"/>
            <w:noWrap/>
            <w:vAlign w:val="center"/>
            <w:hideMark/>
          </w:tcPr>
          <w:p w14:paraId="55F88DC4"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109.3</w:t>
            </w:r>
          </w:p>
        </w:tc>
        <w:tc>
          <w:tcPr>
            <w:tcW w:w="625" w:type="dxa"/>
            <w:shd w:val="clear" w:color="auto" w:fill="auto"/>
            <w:noWrap/>
            <w:vAlign w:val="center"/>
            <w:hideMark/>
          </w:tcPr>
          <w:p w14:paraId="3B638320"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111.1</w:t>
            </w:r>
          </w:p>
        </w:tc>
        <w:tc>
          <w:tcPr>
            <w:tcW w:w="625" w:type="dxa"/>
            <w:shd w:val="clear" w:color="auto" w:fill="auto"/>
            <w:noWrap/>
            <w:vAlign w:val="center"/>
            <w:hideMark/>
          </w:tcPr>
          <w:p w14:paraId="73AA442E"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136.5</w:t>
            </w:r>
          </w:p>
        </w:tc>
        <w:tc>
          <w:tcPr>
            <w:tcW w:w="627" w:type="dxa"/>
            <w:shd w:val="clear" w:color="auto" w:fill="auto"/>
            <w:noWrap/>
            <w:vAlign w:val="center"/>
            <w:hideMark/>
          </w:tcPr>
          <w:p w14:paraId="66068594"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85.3</w:t>
            </w:r>
          </w:p>
        </w:tc>
        <w:tc>
          <w:tcPr>
            <w:tcW w:w="804" w:type="dxa"/>
            <w:shd w:val="clear" w:color="auto" w:fill="auto"/>
            <w:noWrap/>
            <w:vAlign w:val="center"/>
            <w:hideMark/>
          </w:tcPr>
          <w:p w14:paraId="233F7C1F"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-126.9</w:t>
            </w:r>
          </w:p>
        </w:tc>
        <w:tc>
          <w:tcPr>
            <w:tcW w:w="804" w:type="dxa"/>
            <w:shd w:val="clear" w:color="auto" w:fill="auto"/>
            <w:noWrap/>
            <w:vAlign w:val="center"/>
            <w:hideMark/>
          </w:tcPr>
          <w:p w14:paraId="558986AE"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-309.3</w:t>
            </w:r>
          </w:p>
        </w:tc>
        <w:tc>
          <w:tcPr>
            <w:tcW w:w="804" w:type="dxa"/>
            <w:shd w:val="clear" w:color="auto" w:fill="auto"/>
            <w:noWrap/>
            <w:vAlign w:val="center"/>
            <w:hideMark/>
          </w:tcPr>
          <w:p w14:paraId="18009DC0"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-235.5</w:t>
            </w:r>
          </w:p>
        </w:tc>
        <w:tc>
          <w:tcPr>
            <w:tcW w:w="715" w:type="dxa"/>
            <w:shd w:val="clear" w:color="auto" w:fill="auto"/>
            <w:noWrap/>
            <w:vAlign w:val="center"/>
            <w:hideMark/>
          </w:tcPr>
          <w:p w14:paraId="6AB08EBD"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-322.0</w:t>
            </w:r>
          </w:p>
        </w:tc>
        <w:tc>
          <w:tcPr>
            <w:tcW w:w="809" w:type="dxa"/>
            <w:shd w:val="clear" w:color="auto" w:fill="auto"/>
            <w:noWrap/>
            <w:vAlign w:val="center"/>
            <w:hideMark/>
          </w:tcPr>
          <w:p w14:paraId="1260C726"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-81.8</w:t>
            </w:r>
          </w:p>
        </w:tc>
      </w:tr>
      <w:tr w:rsidR="00D1280E" w:rsidRPr="009A3034" w14:paraId="7583AC00" w14:textId="77777777" w:rsidTr="00BC398D">
        <w:trPr>
          <w:trHeight w:val="258"/>
        </w:trPr>
        <w:tc>
          <w:tcPr>
            <w:tcW w:w="1260" w:type="dxa"/>
            <w:vMerge/>
            <w:shd w:val="clear" w:color="auto" w:fill="auto"/>
            <w:vAlign w:val="center"/>
            <w:hideMark/>
          </w:tcPr>
          <w:p w14:paraId="05F36899" w14:textId="77777777" w:rsidR="00D1280E" w:rsidRPr="009A3034" w:rsidRDefault="00D1280E" w:rsidP="00650395">
            <w:pPr>
              <w:spacing w:line="240" w:lineRule="auto"/>
              <w:rPr>
                <w:rFonts w:eastAsia="Times New Roman" w:cs="Times New Roman"/>
                <w:color w:val="000000"/>
                <w:sz w:val="20"/>
                <w:szCs w:val="20"/>
              </w:rPr>
            </w:pPr>
          </w:p>
        </w:tc>
        <w:tc>
          <w:tcPr>
            <w:tcW w:w="740" w:type="dxa"/>
            <w:shd w:val="clear" w:color="auto" w:fill="auto"/>
            <w:noWrap/>
            <w:vAlign w:val="center"/>
            <w:hideMark/>
          </w:tcPr>
          <w:p w14:paraId="660074AB"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RTFO</w:t>
            </w:r>
          </w:p>
        </w:tc>
        <w:tc>
          <w:tcPr>
            <w:tcW w:w="554" w:type="dxa"/>
            <w:shd w:val="clear" w:color="auto" w:fill="auto"/>
            <w:noWrap/>
            <w:vAlign w:val="center"/>
            <w:hideMark/>
          </w:tcPr>
          <w:p w14:paraId="3A88C214"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92.1</w:t>
            </w:r>
          </w:p>
        </w:tc>
        <w:tc>
          <w:tcPr>
            <w:tcW w:w="625" w:type="dxa"/>
            <w:shd w:val="clear" w:color="auto" w:fill="auto"/>
            <w:noWrap/>
            <w:vAlign w:val="center"/>
            <w:hideMark/>
          </w:tcPr>
          <w:p w14:paraId="2B8A39B5"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103.5</w:t>
            </w:r>
          </w:p>
        </w:tc>
        <w:tc>
          <w:tcPr>
            <w:tcW w:w="625" w:type="dxa"/>
            <w:shd w:val="clear" w:color="auto" w:fill="auto"/>
            <w:noWrap/>
            <w:vAlign w:val="center"/>
            <w:hideMark/>
          </w:tcPr>
          <w:p w14:paraId="70D49052"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109.6</w:t>
            </w:r>
          </w:p>
        </w:tc>
        <w:tc>
          <w:tcPr>
            <w:tcW w:w="625" w:type="dxa"/>
            <w:shd w:val="clear" w:color="auto" w:fill="auto"/>
            <w:noWrap/>
            <w:vAlign w:val="center"/>
            <w:hideMark/>
          </w:tcPr>
          <w:p w14:paraId="25B18324"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137.0</w:t>
            </w:r>
          </w:p>
        </w:tc>
        <w:tc>
          <w:tcPr>
            <w:tcW w:w="627" w:type="dxa"/>
            <w:shd w:val="clear" w:color="auto" w:fill="auto"/>
            <w:noWrap/>
            <w:vAlign w:val="center"/>
            <w:hideMark/>
          </w:tcPr>
          <w:p w14:paraId="2600BE8B"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85.9</w:t>
            </w:r>
          </w:p>
        </w:tc>
        <w:tc>
          <w:tcPr>
            <w:tcW w:w="804" w:type="dxa"/>
            <w:shd w:val="clear" w:color="auto" w:fill="auto"/>
            <w:noWrap/>
            <w:vAlign w:val="center"/>
            <w:hideMark/>
          </w:tcPr>
          <w:p w14:paraId="059A9266"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-126.7</w:t>
            </w:r>
          </w:p>
        </w:tc>
        <w:tc>
          <w:tcPr>
            <w:tcW w:w="804" w:type="dxa"/>
            <w:shd w:val="clear" w:color="auto" w:fill="auto"/>
            <w:noWrap/>
            <w:vAlign w:val="center"/>
            <w:hideMark/>
          </w:tcPr>
          <w:p w14:paraId="15EEF380"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-313.2</w:t>
            </w:r>
          </w:p>
        </w:tc>
        <w:tc>
          <w:tcPr>
            <w:tcW w:w="804" w:type="dxa"/>
            <w:shd w:val="clear" w:color="auto" w:fill="auto"/>
            <w:noWrap/>
            <w:vAlign w:val="center"/>
            <w:hideMark/>
          </w:tcPr>
          <w:p w14:paraId="0B0041EE"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-235.1</w:t>
            </w:r>
          </w:p>
        </w:tc>
        <w:tc>
          <w:tcPr>
            <w:tcW w:w="715" w:type="dxa"/>
            <w:shd w:val="clear" w:color="auto" w:fill="auto"/>
            <w:noWrap/>
            <w:vAlign w:val="center"/>
            <w:hideMark/>
          </w:tcPr>
          <w:p w14:paraId="23EE056E"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-319.6</w:t>
            </w:r>
          </w:p>
        </w:tc>
        <w:tc>
          <w:tcPr>
            <w:tcW w:w="809" w:type="dxa"/>
            <w:shd w:val="clear" w:color="auto" w:fill="auto"/>
            <w:noWrap/>
            <w:vAlign w:val="center"/>
            <w:hideMark/>
          </w:tcPr>
          <w:p w14:paraId="7D5308C0"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-79.4</w:t>
            </w:r>
          </w:p>
        </w:tc>
      </w:tr>
      <w:tr w:rsidR="00D1280E" w:rsidRPr="009A3034" w14:paraId="38850F77" w14:textId="77777777" w:rsidTr="00BC398D">
        <w:trPr>
          <w:trHeight w:val="258"/>
        </w:trPr>
        <w:tc>
          <w:tcPr>
            <w:tcW w:w="1260" w:type="dxa"/>
            <w:vMerge/>
            <w:shd w:val="clear" w:color="auto" w:fill="auto"/>
            <w:vAlign w:val="center"/>
            <w:hideMark/>
          </w:tcPr>
          <w:p w14:paraId="576A7EC0" w14:textId="77777777" w:rsidR="00D1280E" w:rsidRPr="009A3034" w:rsidRDefault="00D1280E" w:rsidP="00650395">
            <w:pPr>
              <w:spacing w:line="240" w:lineRule="auto"/>
              <w:rPr>
                <w:rFonts w:eastAsia="Times New Roman" w:cs="Times New Roman"/>
                <w:color w:val="000000"/>
                <w:sz w:val="20"/>
                <w:szCs w:val="20"/>
              </w:rPr>
            </w:pPr>
          </w:p>
        </w:tc>
        <w:tc>
          <w:tcPr>
            <w:tcW w:w="740" w:type="dxa"/>
            <w:shd w:val="clear" w:color="auto" w:fill="auto"/>
            <w:noWrap/>
            <w:vAlign w:val="center"/>
            <w:hideMark/>
          </w:tcPr>
          <w:p w14:paraId="2B8D643E"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PAV</w:t>
            </w:r>
          </w:p>
        </w:tc>
        <w:tc>
          <w:tcPr>
            <w:tcW w:w="554" w:type="dxa"/>
            <w:shd w:val="clear" w:color="auto" w:fill="auto"/>
            <w:noWrap/>
            <w:vAlign w:val="center"/>
            <w:hideMark/>
          </w:tcPr>
          <w:p w14:paraId="6A4B65DA"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83.3</w:t>
            </w:r>
          </w:p>
        </w:tc>
        <w:tc>
          <w:tcPr>
            <w:tcW w:w="625" w:type="dxa"/>
            <w:shd w:val="clear" w:color="auto" w:fill="auto"/>
            <w:noWrap/>
            <w:vAlign w:val="center"/>
            <w:hideMark/>
          </w:tcPr>
          <w:p w14:paraId="698F5966"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84.4</w:t>
            </w:r>
          </w:p>
        </w:tc>
        <w:tc>
          <w:tcPr>
            <w:tcW w:w="625" w:type="dxa"/>
            <w:shd w:val="clear" w:color="auto" w:fill="auto"/>
            <w:noWrap/>
            <w:vAlign w:val="center"/>
            <w:hideMark/>
          </w:tcPr>
          <w:p w14:paraId="3B658BE6"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91.0</w:t>
            </w:r>
          </w:p>
        </w:tc>
        <w:tc>
          <w:tcPr>
            <w:tcW w:w="625" w:type="dxa"/>
            <w:shd w:val="clear" w:color="auto" w:fill="auto"/>
            <w:noWrap/>
            <w:vAlign w:val="center"/>
            <w:hideMark/>
          </w:tcPr>
          <w:p w14:paraId="41B4DB55"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108.7</w:t>
            </w:r>
          </w:p>
        </w:tc>
        <w:tc>
          <w:tcPr>
            <w:tcW w:w="627" w:type="dxa"/>
            <w:shd w:val="clear" w:color="auto" w:fill="auto"/>
            <w:noWrap/>
            <w:vAlign w:val="center"/>
            <w:hideMark/>
          </w:tcPr>
          <w:p w14:paraId="524F317B"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76.7</w:t>
            </w:r>
          </w:p>
        </w:tc>
        <w:tc>
          <w:tcPr>
            <w:tcW w:w="804" w:type="dxa"/>
            <w:shd w:val="clear" w:color="auto" w:fill="auto"/>
            <w:noWrap/>
            <w:vAlign w:val="center"/>
            <w:hideMark/>
          </w:tcPr>
          <w:p w14:paraId="432A2136"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-135.5</w:t>
            </w:r>
          </w:p>
        </w:tc>
        <w:tc>
          <w:tcPr>
            <w:tcW w:w="804" w:type="dxa"/>
            <w:shd w:val="clear" w:color="auto" w:fill="auto"/>
            <w:noWrap/>
            <w:vAlign w:val="center"/>
            <w:hideMark/>
          </w:tcPr>
          <w:p w14:paraId="4248F32D"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-332.2</w:t>
            </w:r>
          </w:p>
        </w:tc>
        <w:tc>
          <w:tcPr>
            <w:tcW w:w="804" w:type="dxa"/>
            <w:shd w:val="clear" w:color="auto" w:fill="auto"/>
            <w:noWrap/>
            <w:vAlign w:val="center"/>
            <w:hideMark/>
          </w:tcPr>
          <w:p w14:paraId="03A5E808"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-253.6</w:t>
            </w:r>
          </w:p>
        </w:tc>
        <w:tc>
          <w:tcPr>
            <w:tcW w:w="715" w:type="dxa"/>
            <w:shd w:val="clear" w:color="auto" w:fill="auto"/>
            <w:noWrap/>
            <w:vAlign w:val="center"/>
            <w:hideMark/>
          </w:tcPr>
          <w:p w14:paraId="0EC336DA"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-347.9</w:t>
            </w:r>
          </w:p>
        </w:tc>
        <w:tc>
          <w:tcPr>
            <w:tcW w:w="809" w:type="dxa"/>
            <w:shd w:val="clear" w:color="auto" w:fill="auto"/>
            <w:noWrap/>
            <w:vAlign w:val="center"/>
            <w:hideMark/>
          </w:tcPr>
          <w:p w14:paraId="721C08A8"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-88.5</w:t>
            </w:r>
          </w:p>
        </w:tc>
      </w:tr>
      <w:tr w:rsidR="00D1280E" w:rsidRPr="009A3034" w14:paraId="201BA986" w14:textId="77777777" w:rsidTr="00BC398D">
        <w:trPr>
          <w:trHeight w:val="258"/>
        </w:trPr>
        <w:tc>
          <w:tcPr>
            <w:tcW w:w="1260" w:type="dxa"/>
            <w:vMerge w:val="restart"/>
            <w:shd w:val="clear" w:color="auto" w:fill="auto"/>
            <w:vAlign w:val="center"/>
            <w:hideMark/>
          </w:tcPr>
          <w:p w14:paraId="63AF1A93"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PG 64-22 + 1.5% PPA</w:t>
            </w:r>
          </w:p>
        </w:tc>
        <w:tc>
          <w:tcPr>
            <w:tcW w:w="740" w:type="dxa"/>
            <w:shd w:val="clear" w:color="auto" w:fill="auto"/>
            <w:noWrap/>
            <w:vAlign w:val="center"/>
            <w:hideMark/>
          </w:tcPr>
          <w:p w14:paraId="4F9B6B25"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Unaged</w:t>
            </w:r>
          </w:p>
        </w:tc>
        <w:tc>
          <w:tcPr>
            <w:tcW w:w="554" w:type="dxa"/>
            <w:shd w:val="clear" w:color="auto" w:fill="auto"/>
            <w:noWrap/>
            <w:vAlign w:val="center"/>
            <w:hideMark/>
          </w:tcPr>
          <w:p w14:paraId="186A39F1"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93.6</w:t>
            </w:r>
          </w:p>
        </w:tc>
        <w:tc>
          <w:tcPr>
            <w:tcW w:w="625" w:type="dxa"/>
            <w:shd w:val="clear" w:color="auto" w:fill="auto"/>
            <w:noWrap/>
            <w:vAlign w:val="center"/>
            <w:hideMark/>
          </w:tcPr>
          <w:p w14:paraId="3E3DA1AD"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112.3</w:t>
            </w:r>
          </w:p>
        </w:tc>
        <w:tc>
          <w:tcPr>
            <w:tcW w:w="625" w:type="dxa"/>
            <w:shd w:val="clear" w:color="auto" w:fill="auto"/>
            <w:noWrap/>
            <w:vAlign w:val="center"/>
            <w:hideMark/>
          </w:tcPr>
          <w:p w14:paraId="5D703C7E"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112.6</w:t>
            </w:r>
          </w:p>
        </w:tc>
        <w:tc>
          <w:tcPr>
            <w:tcW w:w="625" w:type="dxa"/>
            <w:shd w:val="clear" w:color="auto" w:fill="auto"/>
            <w:noWrap/>
            <w:vAlign w:val="center"/>
            <w:hideMark/>
          </w:tcPr>
          <w:p w14:paraId="35CD9507"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138.8</w:t>
            </w:r>
          </w:p>
        </w:tc>
        <w:tc>
          <w:tcPr>
            <w:tcW w:w="627" w:type="dxa"/>
            <w:shd w:val="clear" w:color="auto" w:fill="auto"/>
            <w:noWrap/>
            <w:vAlign w:val="center"/>
            <w:hideMark/>
          </w:tcPr>
          <w:p w14:paraId="2ADAEC8F"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84.7</w:t>
            </w:r>
          </w:p>
        </w:tc>
        <w:tc>
          <w:tcPr>
            <w:tcW w:w="804" w:type="dxa"/>
            <w:shd w:val="clear" w:color="auto" w:fill="auto"/>
            <w:noWrap/>
            <w:vAlign w:val="center"/>
            <w:hideMark/>
          </w:tcPr>
          <w:p w14:paraId="2BB1FA93"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-126.1</w:t>
            </w:r>
          </w:p>
        </w:tc>
        <w:tc>
          <w:tcPr>
            <w:tcW w:w="804" w:type="dxa"/>
            <w:shd w:val="clear" w:color="auto" w:fill="auto"/>
            <w:noWrap/>
            <w:vAlign w:val="center"/>
            <w:hideMark/>
          </w:tcPr>
          <w:p w14:paraId="65E69DF6"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-305.3</w:t>
            </w:r>
          </w:p>
        </w:tc>
        <w:tc>
          <w:tcPr>
            <w:tcW w:w="804" w:type="dxa"/>
            <w:shd w:val="clear" w:color="auto" w:fill="auto"/>
            <w:noWrap/>
            <w:vAlign w:val="center"/>
            <w:hideMark/>
          </w:tcPr>
          <w:p w14:paraId="5B46C7EC"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-233.0</w:t>
            </w:r>
          </w:p>
        </w:tc>
        <w:tc>
          <w:tcPr>
            <w:tcW w:w="715" w:type="dxa"/>
            <w:shd w:val="clear" w:color="auto" w:fill="auto"/>
            <w:noWrap/>
            <w:vAlign w:val="center"/>
            <w:hideMark/>
          </w:tcPr>
          <w:p w14:paraId="4570959B"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-318.7</w:t>
            </w:r>
          </w:p>
        </w:tc>
        <w:tc>
          <w:tcPr>
            <w:tcW w:w="809" w:type="dxa"/>
            <w:shd w:val="clear" w:color="auto" w:fill="auto"/>
            <w:noWrap/>
            <w:vAlign w:val="center"/>
            <w:hideMark/>
          </w:tcPr>
          <w:p w14:paraId="0B28323B"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-81.5</w:t>
            </w:r>
          </w:p>
        </w:tc>
      </w:tr>
      <w:tr w:rsidR="00D1280E" w:rsidRPr="009A3034" w14:paraId="416BEFDA" w14:textId="77777777" w:rsidTr="00BC398D">
        <w:trPr>
          <w:trHeight w:val="258"/>
        </w:trPr>
        <w:tc>
          <w:tcPr>
            <w:tcW w:w="1260" w:type="dxa"/>
            <w:vMerge/>
            <w:shd w:val="clear" w:color="auto" w:fill="auto"/>
            <w:vAlign w:val="center"/>
            <w:hideMark/>
          </w:tcPr>
          <w:p w14:paraId="604333F9" w14:textId="77777777" w:rsidR="00D1280E" w:rsidRPr="009A3034" w:rsidRDefault="00D1280E" w:rsidP="00650395">
            <w:pPr>
              <w:spacing w:line="240" w:lineRule="auto"/>
              <w:rPr>
                <w:rFonts w:eastAsia="Times New Roman" w:cs="Times New Roman"/>
                <w:color w:val="000000"/>
                <w:sz w:val="20"/>
                <w:szCs w:val="20"/>
              </w:rPr>
            </w:pPr>
          </w:p>
        </w:tc>
        <w:tc>
          <w:tcPr>
            <w:tcW w:w="740" w:type="dxa"/>
            <w:shd w:val="clear" w:color="auto" w:fill="auto"/>
            <w:noWrap/>
            <w:vAlign w:val="center"/>
            <w:hideMark/>
          </w:tcPr>
          <w:p w14:paraId="0D2DBD70"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RTFO</w:t>
            </w:r>
          </w:p>
        </w:tc>
        <w:tc>
          <w:tcPr>
            <w:tcW w:w="554" w:type="dxa"/>
            <w:shd w:val="clear" w:color="auto" w:fill="auto"/>
            <w:noWrap/>
            <w:vAlign w:val="center"/>
            <w:hideMark/>
          </w:tcPr>
          <w:p w14:paraId="2EC92D55"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99.7</w:t>
            </w:r>
          </w:p>
        </w:tc>
        <w:tc>
          <w:tcPr>
            <w:tcW w:w="625" w:type="dxa"/>
            <w:shd w:val="clear" w:color="auto" w:fill="auto"/>
            <w:noWrap/>
            <w:vAlign w:val="center"/>
            <w:hideMark/>
          </w:tcPr>
          <w:p w14:paraId="76DCDFD5"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127.0</w:t>
            </w:r>
          </w:p>
        </w:tc>
        <w:tc>
          <w:tcPr>
            <w:tcW w:w="625" w:type="dxa"/>
            <w:shd w:val="clear" w:color="auto" w:fill="auto"/>
            <w:noWrap/>
            <w:vAlign w:val="center"/>
            <w:hideMark/>
          </w:tcPr>
          <w:p w14:paraId="1283D2F0"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116.8</w:t>
            </w:r>
          </w:p>
        </w:tc>
        <w:tc>
          <w:tcPr>
            <w:tcW w:w="625" w:type="dxa"/>
            <w:shd w:val="clear" w:color="auto" w:fill="auto"/>
            <w:noWrap/>
            <w:vAlign w:val="center"/>
            <w:hideMark/>
          </w:tcPr>
          <w:p w14:paraId="663FEBAB"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136.9</w:t>
            </w:r>
          </w:p>
        </w:tc>
        <w:tc>
          <w:tcPr>
            <w:tcW w:w="627" w:type="dxa"/>
            <w:shd w:val="clear" w:color="auto" w:fill="auto"/>
            <w:noWrap/>
            <w:vAlign w:val="center"/>
            <w:hideMark/>
          </w:tcPr>
          <w:p w14:paraId="3D40FEF3"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84.7</w:t>
            </w:r>
          </w:p>
        </w:tc>
        <w:tc>
          <w:tcPr>
            <w:tcW w:w="804" w:type="dxa"/>
            <w:shd w:val="clear" w:color="auto" w:fill="auto"/>
            <w:noWrap/>
            <w:vAlign w:val="center"/>
            <w:hideMark/>
          </w:tcPr>
          <w:p w14:paraId="0181857A"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-126.8</w:t>
            </w:r>
          </w:p>
        </w:tc>
        <w:tc>
          <w:tcPr>
            <w:tcW w:w="804" w:type="dxa"/>
            <w:shd w:val="clear" w:color="auto" w:fill="auto"/>
            <w:noWrap/>
            <w:vAlign w:val="center"/>
            <w:hideMark/>
          </w:tcPr>
          <w:p w14:paraId="60EA3A96"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-297.4</w:t>
            </w:r>
          </w:p>
        </w:tc>
        <w:tc>
          <w:tcPr>
            <w:tcW w:w="804" w:type="dxa"/>
            <w:shd w:val="clear" w:color="auto" w:fill="auto"/>
            <w:noWrap/>
            <w:vAlign w:val="center"/>
            <w:hideMark/>
          </w:tcPr>
          <w:p w14:paraId="14D67F36"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-235.5</w:t>
            </w:r>
          </w:p>
        </w:tc>
        <w:tc>
          <w:tcPr>
            <w:tcW w:w="715" w:type="dxa"/>
            <w:shd w:val="clear" w:color="auto" w:fill="auto"/>
            <w:noWrap/>
            <w:vAlign w:val="center"/>
            <w:hideMark/>
          </w:tcPr>
          <w:p w14:paraId="03DAFD15"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-327.4</w:t>
            </w:r>
          </w:p>
        </w:tc>
        <w:tc>
          <w:tcPr>
            <w:tcW w:w="809" w:type="dxa"/>
            <w:shd w:val="clear" w:color="auto" w:fill="auto"/>
            <w:noWrap/>
            <w:vAlign w:val="center"/>
            <w:hideMark/>
          </w:tcPr>
          <w:p w14:paraId="032BC688"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-88.3</w:t>
            </w:r>
          </w:p>
        </w:tc>
      </w:tr>
      <w:tr w:rsidR="00D1280E" w:rsidRPr="009A3034" w14:paraId="32B81BDD" w14:textId="77777777" w:rsidTr="00BC398D">
        <w:trPr>
          <w:trHeight w:val="258"/>
        </w:trPr>
        <w:tc>
          <w:tcPr>
            <w:tcW w:w="1260" w:type="dxa"/>
            <w:vMerge/>
            <w:shd w:val="clear" w:color="auto" w:fill="auto"/>
            <w:vAlign w:val="center"/>
            <w:hideMark/>
          </w:tcPr>
          <w:p w14:paraId="64DD4A9F" w14:textId="77777777" w:rsidR="00D1280E" w:rsidRPr="009A3034" w:rsidRDefault="00D1280E" w:rsidP="00650395">
            <w:pPr>
              <w:spacing w:line="240" w:lineRule="auto"/>
              <w:rPr>
                <w:rFonts w:eastAsia="Times New Roman" w:cs="Times New Roman"/>
                <w:color w:val="000000"/>
                <w:sz w:val="20"/>
                <w:szCs w:val="20"/>
              </w:rPr>
            </w:pPr>
          </w:p>
        </w:tc>
        <w:tc>
          <w:tcPr>
            <w:tcW w:w="740" w:type="dxa"/>
            <w:shd w:val="clear" w:color="auto" w:fill="auto"/>
            <w:noWrap/>
            <w:vAlign w:val="center"/>
            <w:hideMark/>
          </w:tcPr>
          <w:p w14:paraId="1884B119"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PAV</w:t>
            </w:r>
          </w:p>
        </w:tc>
        <w:tc>
          <w:tcPr>
            <w:tcW w:w="554" w:type="dxa"/>
            <w:shd w:val="clear" w:color="auto" w:fill="auto"/>
            <w:noWrap/>
            <w:vAlign w:val="center"/>
            <w:hideMark/>
          </w:tcPr>
          <w:p w14:paraId="358ABECF"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95.0</w:t>
            </w:r>
          </w:p>
        </w:tc>
        <w:tc>
          <w:tcPr>
            <w:tcW w:w="625" w:type="dxa"/>
            <w:shd w:val="clear" w:color="auto" w:fill="auto"/>
            <w:noWrap/>
            <w:vAlign w:val="center"/>
            <w:hideMark/>
          </w:tcPr>
          <w:p w14:paraId="26C6E3EB"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118.3</w:t>
            </w:r>
          </w:p>
        </w:tc>
        <w:tc>
          <w:tcPr>
            <w:tcW w:w="625" w:type="dxa"/>
            <w:shd w:val="clear" w:color="auto" w:fill="auto"/>
            <w:noWrap/>
            <w:vAlign w:val="center"/>
            <w:hideMark/>
          </w:tcPr>
          <w:p w14:paraId="3722643F"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106.8</w:t>
            </w:r>
          </w:p>
        </w:tc>
        <w:tc>
          <w:tcPr>
            <w:tcW w:w="625" w:type="dxa"/>
            <w:shd w:val="clear" w:color="auto" w:fill="auto"/>
            <w:noWrap/>
            <w:vAlign w:val="center"/>
            <w:hideMark/>
          </w:tcPr>
          <w:p w14:paraId="3D6C8F5E"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120.7</w:t>
            </w:r>
          </w:p>
        </w:tc>
        <w:tc>
          <w:tcPr>
            <w:tcW w:w="627" w:type="dxa"/>
            <w:shd w:val="clear" w:color="auto" w:fill="auto"/>
            <w:noWrap/>
            <w:vAlign w:val="center"/>
            <w:hideMark/>
          </w:tcPr>
          <w:p w14:paraId="08C4D1C2"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78.9</w:t>
            </w:r>
          </w:p>
        </w:tc>
        <w:tc>
          <w:tcPr>
            <w:tcW w:w="804" w:type="dxa"/>
            <w:shd w:val="clear" w:color="auto" w:fill="auto"/>
            <w:noWrap/>
            <w:vAlign w:val="center"/>
            <w:hideMark/>
          </w:tcPr>
          <w:p w14:paraId="01AFB355"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-131.8</w:t>
            </w:r>
          </w:p>
        </w:tc>
        <w:tc>
          <w:tcPr>
            <w:tcW w:w="804" w:type="dxa"/>
            <w:shd w:val="clear" w:color="auto" w:fill="auto"/>
            <w:noWrap/>
            <w:vAlign w:val="center"/>
            <w:hideMark/>
          </w:tcPr>
          <w:p w14:paraId="4C7F6BAA"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-306.4</w:t>
            </w:r>
          </w:p>
        </w:tc>
        <w:tc>
          <w:tcPr>
            <w:tcW w:w="804" w:type="dxa"/>
            <w:shd w:val="clear" w:color="auto" w:fill="auto"/>
            <w:noWrap/>
            <w:vAlign w:val="center"/>
            <w:hideMark/>
          </w:tcPr>
          <w:p w14:paraId="4F5243E8"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-245.9</w:t>
            </w:r>
          </w:p>
        </w:tc>
        <w:tc>
          <w:tcPr>
            <w:tcW w:w="715" w:type="dxa"/>
            <w:shd w:val="clear" w:color="auto" w:fill="auto"/>
            <w:noWrap/>
            <w:vAlign w:val="center"/>
            <w:hideMark/>
          </w:tcPr>
          <w:p w14:paraId="22040262"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-344.0</w:t>
            </w:r>
          </w:p>
        </w:tc>
        <w:tc>
          <w:tcPr>
            <w:tcW w:w="809" w:type="dxa"/>
            <w:shd w:val="clear" w:color="auto" w:fill="auto"/>
            <w:noWrap/>
            <w:vAlign w:val="center"/>
            <w:hideMark/>
          </w:tcPr>
          <w:p w14:paraId="0EDC410C"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-94.3</w:t>
            </w:r>
          </w:p>
        </w:tc>
      </w:tr>
      <w:tr w:rsidR="00D1280E" w:rsidRPr="009A3034" w14:paraId="40A29030" w14:textId="77777777" w:rsidTr="00BC398D">
        <w:trPr>
          <w:trHeight w:val="258"/>
        </w:trPr>
        <w:tc>
          <w:tcPr>
            <w:tcW w:w="1260" w:type="dxa"/>
            <w:vMerge w:val="restart"/>
            <w:shd w:val="clear" w:color="auto" w:fill="auto"/>
            <w:noWrap/>
            <w:vAlign w:val="center"/>
            <w:hideMark/>
          </w:tcPr>
          <w:p w14:paraId="5C11B118"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PG 76-28</w:t>
            </w:r>
          </w:p>
        </w:tc>
        <w:tc>
          <w:tcPr>
            <w:tcW w:w="740" w:type="dxa"/>
            <w:shd w:val="clear" w:color="auto" w:fill="auto"/>
            <w:noWrap/>
            <w:vAlign w:val="center"/>
            <w:hideMark/>
          </w:tcPr>
          <w:p w14:paraId="2DC3CE52"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Unaged</w:t>
            </w:r>
          </w:p>
        </w:tc>
        <w:tc>
          <w:tcPr>
            <w:tcW w:w="554" w:type="dxa"/>
            <w:shd w:val="clear" w:color="auto" w:fill="auto"/>
            <w:noWrap/>
            <w:vAlign w:val="center"/>
            <w:hideMark/>
          </w:tcPr>
          <w:p w14:paraId="4BCEE925"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73.9</w:t>
            </w:r>
          </w:p>
        </w:tc>
        <w:tc>
          <w:tcPr>
            <w:tcW w:w="625" w:type="dxa"/>
            <w:shd w:val="clear" w:color="auto" w:fill="auto"/>
            <w:noWrap/>
            <w:vAlign w:val="center"/>
            <w:hideMark/>
          </w:tcPr>
          <w:p w14:paraId="5BD3039C"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93.1</w:t>
            </w:r>
          </w:p>
        </w:tc>
        <w:tc>
          <w:tcPr>
            <w:tcW w:w="625" w:type="dxa"/>
            <w:shd w:val="clear" w:color="auto" w:fill="auto"/>
            <w:noWrap/>
            <w:vAlign w:val="center"/>
            <w:hideMark/>
          </w:tcPr>
          <w:p w14:paraId="493E6956"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76.6</w:t>
            </w:r>
          </w:p>
        </w:tc>
        <w:tc>
          <w:tcPr>
            <w:tcW w:w="625" w:type="dxa"/>
            <w:shd w:val="clear" w:color="auto" w:fill="auto"/>
            <w:noWrap/>
            <w:vAlign w:val="center"/>
            <w:hideMark/>
          </w:tcPr>
          <w:p w14:paraId="7A5BF722"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77.8</w:t>
            </w:r>
          </w:p>
        </w:tc>
        <w:tc>
          <w:tcPr>
            <w:tcW w:w="627" w:type="dxa"/>
            <w:shd w:val="clear" w:color="auto" w:fill="auto"/>
            <w:noWrap/>
            <w:vAlign w:val="center"/>
            <w:hideMark/>
          </w:tcPr>
          <w:p w14:paraId="3524CCF6"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56.6</w:t>
            </w:r>
          </w:p>
        </w:tc>
        <w:tc>
          <w:tcPr>
            <w:tcW w:w="804" w:type="dxa"/>
            <w:shd w:val="clear" w:color="auto" w:fill="auto"/>
            <w:noWrap/>
            <w:vAlign w:val="center"/>
            <w:hideMark/>
          </w:tcPr>
          <w:p w14:paraId="5FD7CBB6"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-144.8</w:t>
            </w:r>
          </w:p>
        </w:tc>
        <w:tc>
          <w:tcPr>
            <w:tcW w:w="804" w:type="dxa"/>
            <w:shd w:val="clear" w:color="auto" w:fill="auto"/>
            <w:noWrap/>
            <w:vAlign w:val="center"/>
            <w:hideMark/>
          </w:tcPr>
          <w:p w14:paraId="74AEF6DB"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-323.5</w:t>
            </w:r>
          </w:p>
        </w:tc>
        <w:tc>
          <w:tcPr>
            <w:tcW w:w="804" w:type="dxa"/>
            <w:shd w:val="clear" w:color="auto" w:fill="auto"/>
            <w:noWrap/>
            <w:vAlign w:val="center"/>
            <w:hideMark/>
          </w:tcPr>
          <w:p w14:paraId="7741256B"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-267.9</w:t>
            </w:r>
          </w:p>
        </w:tc>
        <w:tc>
          <w:tcPr>
            <w:tcW w:w="715" w:type="dxa"/>
            <w:shd w:val="clear" w:color="auto" w:fill="auto"/>
            <w:noWrap/>
            <w:vAlign w:val="center"/>
            <w:hideMark/>
          </w:tcPr>
          <w:p w14:paraId="19456F70"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-378.8</w:t>
            </w:r>
          </w:p>
        </w:tc>
        <w:tc>
          <w:tcPr>
            <w:tcW w:w="809" w:type="dxa"/>
            <w:shd w:val="clear" w:color="auto" w:fill="auto"/>
            <w:noWrap/>
            <w:vAlign w:val="center"/>
            <w:hideMark/>
          </w:tcPr>
          <w:p w14:paraId="17D0CF04"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-108.5</w:t>
            </w:r>
          </w:p>
        </w:tc>
      </w:tr>
      <w:tr w:rsidR="00D1280E" w:rsidRPr="009A3034" w14:paraId="6420BB2D" w14:textId="77777777" w:rsidTr="00BC398D">
        <w:trPr>
          <w:trHeight w:val="258"/>
        </w:trPr>
        <w:tc>
          <w:tcPr>
            <w:tcW w:w="1260" w:type="dxa"/>
            <w:vMerge/>
            <w:shd w:val="clear" w:color="auto" w:fill="auto"/>
            <w:vAlign w:val="center"/>
            <w:hideMark/>
          </w:tcPr>
          <w:p w14:paraId="37826312" w14:textId="77777777" w:rsidR="00D1280E" w:rsidRPr="009A3034" w:rsidRDefault="00D1280E" w:rsidP="00650395">
            <w:pPr>
              <w:spacing w:line="240" w:lineRule="auto"/>
              <w:rPr>
                <w:rFonts w:eastAsia="Times New Roman" w:cs="Times New Roman"/>
                <w:color w:val="000000"/>
                <w:sz w:val="20"/>
                <w:szCs w:val="20"/>
              </w:rPr>
            </w:pPr>
          </w:p>
        </w:tc>
        <w:tc>
          <w:tcPr>
            <w:tcW w:w="740" w:type="dxa"/>
            <w:shd w:val="clear" w:color="auto" w:fill="auto"/>
            <w:noWrap/>
            <w:vAlign w:val="center"/>
            <w:hideMark/>
          </w:tcPr>
          <w:p w14:paraId="201F7704"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RTFO</w:t>
            </w:r>
          </w:p>
        </w:tc>
        <w:tc>
          <w:tcPr>
            <w:tcW w:w="554" w:type="dxa"/>
            <w:shd w:val="clear" w:color="auto" w:fill="auto"/>
            <w:noWrap/>
            <w:vAlign w:val="center"/>
            <w:hideMark/>
          </w:tcPr>
          <w:p w14:paraId="7225A73F"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82.3</w:t>
            </w:r>
          </w:p>
        </w:tc>
        <w:tc>
          <w:tcPr>
            <w:tcW w:w="625" w:type="dxa"/>
            <w:shd w:val="clear" w:color="auto" w:fill="auto"/>
            <w:noWrap/>
            <w:vAlign w:val="center"/>
            <w:hideMark/>
          </w:tcPr>
          <w:p w14:paraId="298E1114"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103.9</w:t>
            </w:r>
          </w:p>
        </w:tc>
        <w:tc>
          <w:tcPr>
            <w:tcW w:w="625" w:type="dxa"/>
            <w:shd w:val="clear" w:color="auto" w:fill="auto"/>
            <w:noWrap/>
            <w:vAlign w:val="center"/>
            <w:hideMark/>
          </w:tcPr>
          <w:p w14:paraId="4A31E30A"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91.8</w:t>
            </w:r>
          </w:p>
        </w:tc>
        <w:tc>
          <w:tcPr>
            <w:tcW w:w="625" w:type="dxa"/>
            <w:shd w:val="clear" w:color="auto" w:fill="auto"/>
            <w:noWrap/>
            <w:vAlign w:val="center"/>
            <w:hideMark/>
          </w:tcPr>
          <w:p w14:paraId="76DFC800"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102.1</w:t>
            </w:r>
          </w:p>
        </w:tc>
        <w:tc>
          <w:tcPr>
            <w:tcW w:w="627" w:type="dxa"/>
            <w:shd w:val="clear" w:color="auto" w:fill="auto"/>
            <w:noWrap/>
            <w:vAlign w:val="center"/>
            <w:hideMark/>
          </w:tcPr>
          <w:p w14:paraId="0208B23F"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67.3</w:t>
            </w:r>
          </w:p>
        </w:tc>
        <w:tc>
          <w:tcPr>
            <w:tcW w:w="804" w:type="dxa"/>
            <w:shd w:val="clear" w:color="auto" w:fill="auto"/>
            <w:noWrap/>
            <w:vAlign w:val="center"/>
            <w:hideMark/>
          </w:tcPr>
          <w:p w14:paraId="22AAD34F"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-137.3</w:t>
            </w:r>
          </w:p>
        </w:tc>
        <w:tc>
          <w:tcPr>
            <w:tcW w:w="804" w:type="dxa"/>
            <w:shd w:val="clear" w:color="auto" w:fill="auto"/>
            <w:noWrap/>
            <w:vAlign w:val="center"/>
            <w:hideMark/>
          </w:tcPr>
          <w:p w14:paraId="0E794EED"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-313.7</w:t>
            </w:r>
          </w:p>
        </w:tc>
        <w:tc>
          <w:tcPr>
            <w:tcW w:w="804" w:type="dxa"/>
            <w:shd w:val="clear" w:color="auto" w:fill="auto"/>
            <w:noWrap/>
            <w:vAlign w:val="center"/>
            <w:hideMark/>
          </w:tcPr>
          <w:p w14:paraId="5ED5A0AE"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-253.8</w:t>
            </w:r>
          </w:p>
        </w:tc>
        <w:tc>
          <w:tcPr>
            <w:tcW w:w="715" w:type="dxa"/>
            <w:shd w:val="clear" w:color="auto" w:fill="auto"/>
            <w:noWrap/>
            <w:vAlign w:val="center"/>
            <w:hideMark/>
          </w:tcPr>
          <w:p w14:paraId="44821119"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-355.4</w:t>
            </w:r>
          </w:p>
        </w:tc>
        <w:tc>
          <w:tcPr>
            <w:tcW w:w="809" w:type="dxa"/>
            <w:shd w:val="clear" w:color="auto" w:fill="auto"/>
            <w:noWrap/>
            <w:vAlign w:val="center"/>
            <w:hideMark/>
          </w:tcPr>
          <w:p w14:paraId="4CD6B669"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-98.9</w:t>
            </w:r>
          </w:p>
        </w:tc>
      </w:tr>
      <w:tr w:rsidR="00D1280E" w:rsidRPr="009A3034" w14:paraId="40FA6FB0" w14:textId="77777777" w:rsidTr="00BC398D">
        <w:trPr>
          <w:trHeight w:val="258"/>
        </w:trPr>
        <w:tc>
          <w:tcPr>
            <w:tcW w:w="1260" w:type="dxa"/>
            <w:vMerge/>
            <w:shd w:val="clear" w:color="auto" w:fill="auto"/>
            <w:vAlign w:val="center"/>
            <w:hideMark/>
          </w:tcPr>
          <w:p w14:paraId="56B98FCD" w14:textId="77777777" w:rsidR="00D1280E" w:rsidRPr="009A3034" w:rsidRDefault="00D1280E" w:rsidP="00650395">
            <w:pPr>
              <w:spacing w:line="240" w:lineRule="auto"/>
              <w:rPr>
                <w:rFonts w:eastAsia="Times New Roman" w:cs="Times New Roman"/>
                <w:color w:val="000000"/>
                <w:sz w:val="20"/>
                <w:szCs w:val="20"/>
              </w:rPr>
            </w:pPr>
          </w:p>
        </w:tc>
        <w:tc>
          <w:tcPr>
            <w:tcW w:w="740" w:type="dxa"/>
            <w:shd w:val="clear" w:color="auto" w:fill="auto"/>
            <w:noWrap/>
            <w:vAlign w:val="center"/>
            <w:hideMark/>
          </w:tcPr>
          <w:p w14:paraId="27CE9F3D"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PAV</w:t>
            </w:r>
          </w:p>
        </w:tc>
        <w:tc>
          <w:tcPr>
            <w:tcW w:w="554" w:type="dxa"/>
            <w:shd w:val="clear" w:color="auto" w:fill="auto"/>
            <w:noWrap/>
            <w:vAlign w:val="center"/>
            <w:hideMark/>
          </w:tcPr>
          <w:p w14:paraId="3CBFB2FD"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77.6</w:t>
            </w:r>
          </w:p>
        </w:tc>
        <w:tc>
          <w:tcPr>
            <w:tcW w:w="625" w:type="dxa"/>
            <w:shd w:val="clear" w:color="auto" w:fill="auto"/>
            <w:noWrap/>
            <w:vAlign w:val="center"/>
            <w:hideMark/>
          </w:tcPr>
          <w:p w14:paraId="214266DC"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90.6</w:t>
            </w:r>
          </w:p>
        </w:tc>
        <w:tc>
          <w:tcPr>
            <w:tcW w:w="625" w:type="dxa"/>
            <w:shd w:val="clear" w:color="auto" w:fill="auto"/>
            <w:noWrap/>
            <w:vAlign w:val="center"/>
            <w:hideMark/>
          </w:tcPr>
          <w:p w14:paraId="0B70BC53"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83.1</w:t>
            </w:r>
          </w:p>
        </w:tc>
        <w:tc>
          <w:tcPr>
            <w:tcW w:w="625" w:type="dxa"/>
            <w:shd w:val="clear" w:color="auto" w:fill="auto"/>
            <w:noWrap/>
            <w:vAlign w:val="center"/>
            <w:hideMark/>
          </w:tcPr>
          <w:p w14:paraId="7EF56AAE"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91.5</w:t>
            </w:r>
          </w:p>
        </w:tc>
        <w:tc>
          <w:tcPr>
            <w:tcW w:w="627" w:type="dxa"/>
            <w:shd w:val="clear" w:color="auto" w:fill="auto"/>
            <w:noWrap/>
            <w:vAlign w:val="center"/>
            <w:hideMark/>
          </w:tcPr>
          <w:p w14:paraId="280A8DB3"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64.7</w:t>
            </w:r>
          </w:p>
        </w:tc>
        <w:tc>
          <w:tcPr>
            <w:tcW w:w="804" w:type="dxa"/>
            <w:shd w:val="clear" w:color="auto" w:fill="auto"/>
            <w:noWrap/>
            <w:vAlign w:val="center"/>
            <w:hideMark/>
          </w:tcPr>
          <w:p w14:paraId="37EAC280"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-140.6</w:t>
            </w:r>
          </w:p>
        </w:tc>
        <w:tc>
          <w:tcPr>
            <w:tcW w:w="804" w:type="dxa"/>
            <w:shd w:val="clear" w:color="auto" w:fill="auto"/>
            <w:noWrap/>
            <w:vAlign w:val="center"/>
            <w:hideMark/>
          </w:tcPr>
          <w:p w14:paraId="4434845D"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-325.6</w:t>
            </w:r>
          </w:p>
        </w:tc>
        <w:tc>
          <w:tcPr>
            <w:tcW w:w="804" w:type="dxa"/>
            <w:shd w:val="clear" w:color="auto" w:fill="auto"/>
            <w:noWrap/>
            <w:vAlign w:val="center"/>
            <w:hideMark/>
          </w:tcPr>
          <w:p w14:paraId="2DC6B1C9"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-261.0</w:t>
            </w:r>
          </w:p>
        </w:tc>
        <w:tc>
          <w:tcPr>
            <w:tcW w:w="715" w:type="dxa"/>
            <w:shd w:val="clear" w:color="auto" w:fill="auto"/>
            <w:noWrap/>
            <w:vAlign w:val="center"/>
            <w:hideMark/>
          </w:tcPr>
          <w:p w14:paraId="3A9F493B"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-364.5</w:t>
            </w:r>
          </w:p>
        </w:tc>
        <w:tc>
          <w:tcPr>
            <w:tcW w:w="809" w:type="dxa"/>
            <w:shd w:val="clear" w:color="auto" w:fill="auto"/>
            <w:noWrap/>
            <w:vAlign w:val="center"/>
            <w:hideMark/>
          </w:tcPr>
          <w:p w14:paraId="0BC934C7"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-100.0</w:t>
            </w:r>
          </w:p>
        </w:tc>
      </w:tr>
      <w:tr w:rsidR="00D1280E" w:rsidRPr="009A3034" w14:paraId="6F90350A" w14:textId="77777777" w:rsidTr="00BC398D">
        <w:trPr>
          <w:trHeight w:val="258"/>
        </w:trPr>
        <w:tc>
          <w:tcPr>
            <w:tcW w:w="1260" w:type="dxa"/>
            <w:vMerge w:val="restart"/>
            <w:shd w:val="clear" w:color="auto" w:fill="auto"/>
            <w:vAlign w:val="center"/>
            <w:hideMark/>
          </w:tcPr>
          <w:p w14:paraId="629B9205"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PG 76-28 + 0.5% WMA</w:t>
            </w:r>
          </w:p>
        </w:tc>
        <w:tc>
          <w:tcPr>
            <w:tcW w:w="740" w:type="dxa"/>
            <w:shd w:val="clear" w:color="auto" w:fill="auto"/>
            <w:noWrap/>
            <w:vAlign w:val="center"/>
            <w:hideMark/>
          </w:tcPr>
          <w:p w14:paraId="053DB6EA"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Unaged</w:t>
            </w:r>
          </w:p>
        </w:tc>
        <w:tc>
          <w:tcPr>
            <w:tcW w:w="554" w:type="dxa"/>
            <w:shd w:val="clear" w:color="auto" w:fill="auto"/>
            <w:noWrap/>
            <w:vAlign w:val="center"/>
            <w:hideMark/>
          </w:tcPr>
          <w:p w14:paraId="2B9EF478"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65.4</w:t>
            </w:r>
          </w:p>
        </w:tc>
        <w:tc>
          <w:tcPr>
            <w:tcW w:w="625" w:type="dxa"/>
            <w:shd w:val="clear" w:color="auto" w:fill="auto"/>
            <w:noWrap/>
            <w:vAlign w:val="center"/>
            <w:hideMark/>
          </w:tcPr>
          <w:p w14:paraId="0C1561AF"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73.4</w:t>
            </w:r>
          </w:p>
        </w:tc>
        <w:tc>
          <w:tcPr>
            <w:tcW w:w="625" w:type="dxa"/>
            <w:shd w:val="clear" w:color="auto" w:fill="auto"/>
            <w:noWrap/>
            <w:vAlign w:val="center"/>
            <w:hideMark/>
          </w:tcPr>
          <w:p w14:paraId="2B5131FE"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69.3</w:t>
            </w:r>
          </w:p>
        </w:tc>
        <w:tc>
          <w:tcPr>
            <w:tcW w:w="625" w:type="dxa"/>
            <w:shd w:val="clear" w:color="auto" w:fill="auto"/>
            <w:noWrap/>
            <w:vAlign w:val="center"/>
            <w:hideMark/>
          </w:tcPr>
          <w:p w14:paraId="64F7B8AF"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76.8</w:t>
            </w:r>
          </w:p>
        </w:tc>
        <w:tc>
          <w:tcPr>
            <w:tcW w:w="627" w:type="dxa"/>
            <w:shd w:val="clear" w:color="auto" w:fill="auto"/>
            <w:noWrap/>
            <w:vAlign w:val="center"/>
            <w:hideMark/>
          </w:tcPr>
          <w:p w14:paraId="0E75027F"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55.5</w:t>
            </w:r>
          </w:p>
        </w:tc>
        <w:tc>
          <w:tcPr>
            <w:tcW w:w="804" w:type="dxa"/>
            <w:shd w:val="clear" w:color="auto" w:fill="auto"/>
            <w:noWrap/>
            <w:vAlign w:val="center"/>
            <w:hideMark/>
          </w:tcPr>
          <w:p w14:paraId="39ED6B59"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-145.0</w:t>
            </w:r>
          </w:p>
        </w:tc>
        <w:tc>
          <w:tcPr>
            <w:tcW w:w="804" w:type="dxa"/>
            <w:shd w:val="clear" w:color="auto" w:fill="auto"/>
            <w:noWrap/>
            <w:vAlign w:val="center"/>
            <w:hideMark/>
          </w:tcPr>
          <w:p w14:paraId="643C0B6C"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-335.0</w:t>
            </w:r>
          </w:p>
        </w:tc>
        <w:tc>
          <w:tcPr>
            <w:tcW w:w="804" w:type="dxa"/>
            <w:shd w:val="clear" w:color="auto" w:fill="auto"/>
            <w:noWrap/>
            <w:vAlign w:val="center"/>
            <w:hideMark/>
          </w:tcPr>
          <w:p w14:paraId="6E8F231F"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-267.0</w:t>
            </w:r>
          </w:p>
        </w:tc>
        <w:tc>
          <w:tcPr>
            <w:tcW w:w="715" w:type="dxa"/>
            <w:shd w:val="clear" w:color="auto" w:fill="auto"/>
            <w:noWrap/>
            <w:vAlign w:val="center"/>
            <w:hideMark/>
          </w:tcPr>
          <w:p w14:paraId="044343E4"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-371.5</w:t>
            </w:r>
          </w:p>
        </w:tc>
        <w:tc>
          <w:tcPr>
            <w:tcW w:w="809" w:type="dxa"/>
            <w:shd w:val="clear" w:color="auto" w:fill="auto"/>
            <w:noWrap/>
            <w:vAlign w:val="center"/>
            <w:hideMark/>
          </w:tcPr>
          <w:p w14:paraId="23903D66"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-101.4</w:t>
            </w:r>
          </w:p>
        </w:tc>
      </w:tr>
      <w:tr w:rsidR="00D1280E" w:rsidRPr="009A3034" w14:paraId="17A43692" w14:textId="77777777" w:rsidTr="00BC398D">
        <w:trPr>
          <w:trHeight w:val="258"/>
        </w:trPr>
        <w:tc>
          <w:tcPr>
            <w:tcW w:w="1260" w:type="dxa"/>
            <w:vMerge/>
            <w:shd w:val="clear" w:color="auto" w:fill="auto"/>
            <w:vAlign w:val="center"/>
            <w:hideMark/>
          </w:tcPr>
          <w:p w14:paraId="0A4FA950" w14:textId="77777777" w:rsidR="00D1280E" w:rsidRPr="009A3034" w:rsidRDefault="00D1280E" w:rsidP="00650395">
            <w:pPr>
              <w:spacing w:line="240" w:lineRule="auto"/>
              <w:rPr>
                <w:rFonts w:eastAsia="Times New Roman" w:cs="Times New Roman"/>
                <w:color w:val="000000"/>
                <w:sz w:val="20"/>
                <w:szCs w:val="20"/>
              </w:rPr>
            </w:pPr>
          </w:p>
        </w:tc>
        <w:tc>
          <w:tcPr>
            <w:tcW w:w="740" w:type="dxa"/>
            <w:shd w:val="clear" w:color="auto" w:fill="auto"/>
            <w:noWrap/>
            <w:vAlign w:val="center"/>
            <w:hideMark/>
          </w:tcPr>
          <w:p w14:paraId="2D1F0C19"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RTFO</w:t>
            </w:r>
          </w:p>
        </w:tc>
        <w:tc>
          <w:tcPr>
            <w:tcW w:w="554" w:type="dxa"/>
            <w:shd w:val="clear" w:color="auto" w:fill="auto"/>
            <w:noWrap/>
            <w:vAlign w:val="center"/>
            <w:hideMark/>
          </w:tcPr>
          <w:p w14:paraId="1B1FF11A"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74.8</w:t>
            </w:r>
          </w:p>
        </w:tc>
        <w:tc>
          <w:tcPr>
            <w:tcW w:w="625" w:type="dxa"/>
            <w:shd w:val="clear" w:color="auto" w:fill="auto"/>
            <w:noWrap/>
            <w:vAlign w:val="center"/>
            <w:hideMark/>
          </w:tcPr>
          <w:p w14:paraId="33713A01"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89.3</w:t>
            </w:r>
          </w:p>
        </w:tc>
        <w:tc>
          <w:tcPr>
            <w:tcW w:w="625" w:type="dxa"/>
            <w:shd w:val="clear" w:color="auto" w:fill="auto"/>
            <w:noWrap/>
            <w:vAlign w:val="center"/>
            <w:hideMark/>
          </w:tcPr>
          <w:p w14:paraId="19CAFDC0"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80.8</w:t>
            </w:r>
          </w:p>
        </w:tc>
        <w:tc>
          <w:tcPr>
            <w:tcW w:w="625" w:type="dxa"/>
            <w:shd w:val="clear" w:color="auto" w:fill="auto"/>
            <w:noWrap/>
            <w:vAlign w:val="center"/>
            <w:hideMark/>
          </w:tcPr>
          <w:p w14:paraId="1B7569DF"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89.0</w:t>
            </w:r>
          </w:p>
        </w:tc>
        <w:tc>
          <w:tcPr>
            <w:tcW w:w="627" w:type="dxa"/>
            <w:shd w:val="clear" w:color="auto" w:fill="auto"/>
            <w:noWrap/>
            <w:vAlign w:val="center"/>
            <w:hideMark/>
          </w:tcPr>
          <w:p w14:paraId="026B4F8E"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61.8</w:t>
            </w:r>
          </w:p>
        </w:tc>
        <w:tc>
          <w:tcPr>
            <w:tcW w:w="804" w:type="dxa"/>
            <w:shd w:val="clear" w:color="auto" w:fill="auto"/>
            <w:noWrap/>
            <w:vAlign w:val="center"/>
            <w:hideMark/>
          </w:tcPr>
          <w:p w14:paraId="69D7AF42"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-141.3</w:t>
            </w:r>
          </w:p>
        </w:tc>
        <w:tc>
          <w:tcPr>
            <w:tcW w:w="804" w:type="dxa"/>
            <w:shd w:val="clear" w:color="auto" w:fill="auto"/>
            <w:noWrap/>
            <w:vAlign w:val="center"/>
            <w:hideMark/>
          </w:tcPr>
          <w:p w14:paraId="126B6B6C"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-324.7</w:t>
            </w:r>
          </w:p>
        </w:tc>
        <w:tc>
          <w:tcPr>
            <w:tcW w:w="804" w:type="dxa"/>
            <w:shd w:val="clear" w:color="auto" w:fill="auto"/>
            <w:noWrap/>
            <w:vAlign w:val="center"/>
            <w:hideMark/>
          </w:tcPr>
          <w:p w14:paraId="3E04BCB1"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-261.2</w:t>
            </w:r>
          </w:p>
        </w:tc>
        <w:tc>
          <w:tcPr>
            <w:tcW w:w="715" w:type="dxa"/>
            <w:shd w:val="clear" w:color="auto" w:fill="auto"/>
            <w:noWrap/>
            <w:vAlign w:val="center"/>
            <w:hideMark/>
          </w:tcPr>
          <w:p w14:paraId="56C79D74"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-365.0</w:t>
            </w:r>
          </w:p>
        </w:tc>
        <w:tc>
          <w:tcPr>
            <w:tcW w:w="809" w:type="dxa"/>
            <w:shd w:val="clear" w:color="auto" w:fill="auto"/>
            <w:noWrap/>
            <w:vAlign w:val="center"/>
            <w:hideMark/>
          </w:tcPr>
          <w:p w14:paraId="42F04C19"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-100.8</w:t>
            </w:r>
          </w:p>
        </w:tc>
      </w:tr>
      <w:tr w:rsidR="00D1280E" w:rsidRPr="009A3034" w14:paraId="56C2976E" w14:textId="77777777" w:rsidTr="00BC398D">
        <w:trPr>
          <w:trHeight w:val="258"/>
        </w:trPr>
        <w:tc>
          <w:tcPr>
            <w:tcW w:w="1260" w:type="dxa"/>
            <w:vMerge/>
            <w:shd w:val="clear" w:color="auto" w:fill="auto"/>
            <w:vAlign w:val="center"/>
            <w:hideMark/>
          </w:tcPr>
          <w:p w14:paraId="11CE5090" w14:textId="77777777" w:rsidR="00D1280E" w:rsidRPr="009A3034" w:rsidRDefault="00D1280E" w:rsidP="00650395">
            <w:pPr>
              <w:spacing w:line="240" w:lineRule="auto"/>
              <w:rPr>
                <w:rFonts w:eastAsia="Times New Roman" w:cs="Times New Roman"/>
                <w:color w:val="000000"/>
                <w:sz w:val="20"/>
                <w:szCs w:val="20"/>
              </w:rPr>
            </w:pPr>
          </w:p>
        </w:tc>
        <w:tc>
          <w:tcPr>
            <w:tcW w:w="740" w:type="dxa"/>
            <w:shd w:val="clear" w:color="auto" w:fill="auto"/>
            <w:noWrap/>
            <w:vAlign w:val="center"/>
            <w:hideMark/>
          </w:tcPr>
          <w:p w14:paraId="32F56FC4"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PAV</w:t>
            </w:r>
          </w:p>
        </w:tc>
        <w:tc>
          <w:tcPr>
            <w:tcW w:w="554" w:type="dxa"/>
            <w:shd w:val="clear" w:color="auto" w:fill="auto"/>
            <w:noWrap/>
            <w:vAlign w:val="center"/>
            <w:hideMark/>
          </w:tcPr>
          <w:p w14:paraId="0CCD88AC"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76.5</w:t>
            </w:r>
          </w:p>
        </w:tc>
        <w:tc>
          <w:tcPr>
            <w:tcW w:w="625" w:type="dxa"/>
            <w:shd w:val="clear" w:color="auto" w:fill="auto"/>
            <w:noWrap/>
            <w:vAlign w:val="center"/>
            <w:hideMark/>
          </w:tcPr>
          <w:p w14:paraId="4400F97D"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88.0</w:t>
            </w:r>
          </w:p>
        </w:tc>
        <w:tc>
          <w:tcPr>
            <w:tcW w:w="625" w:type="dxa"/>
            <w:shd w:val="clear" w:color="auto" w:fill="auto"/>
            <w:noWrap/>
            <w:vAlign w:val="center"/>
            <w:hideMark/>
          </w:tcPr>
          <w:p w14:paraId="7470036E"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82.2</w:t>
            </w:r>
          </w:p>
        </w:tc>
        <w:tc>
          <w:tcPr>
            <w:tcW w:w="625" w:type="dxa"/>
            <w:shd w:val="clear" w:color="auto" w:fill="auto"/>
            <w:noWrap/>
            <w:vAlign w:val="center"/>
            <w:hideMark/>
          </w:tcPr>
          <w:p w14:paraId="084076B2"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91.5</w:t>
            </w:r>
          </w:p>
        </w:tc>
        <w:tc>
          <w:tcPr>
            <w:tcW w:w="627" w:type="dxa"/>
            <w:shd w:val="clear" w:color="auto" w:fill="auto"/>
            <w:noWrap/>
            <w:vAlign w:val="center"/>
            <w:hideMark/>
          </w:tcPr>
          <w:p w14:paraId="2C163526"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64.6</w:t>
            </w:r>
          </w:p>
        </w:tc>
        <w:tc>
          <w:tcPr>
            <w:tcW w:w="804" w:type="dxa"/>
            <w:shd w:val="clear" w:color="auto" w:fill="auto"/>
            <w:noWrap/>
            <w:vAlign w:val="center"/>
            <w:hideMark/>
          </w:tcPr>
          <w:p w14:paraId="6B01CC44"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-140.6</w:t>
            </w:r>
          </w:p>
        </w:tc>
        <w:tc>
          <w:tcPr>
            <w:tcW w:w="804" w:type="dxa"/>
            <w:shd w:val="clear" w:color="auto" w:fill="auto"/>
            <w:noWrap/>
            <w:vAlign w:val="center"/>
            <w:hideMark/>
          </w:tcPr>
          <w:p w14:paraId="3F064843"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-327.0</w:t>
            </w:r>
          </w:p>
        </w:tc>
        <w:tc>
          <w:tcPr>
            <w:tcW w:w="804" w:type="dxa"/>
            <w:shd w:val="clear" w:color="auto" w:fill="auto"/>
            <w:noWrap/>
            <w:vAlign w:val="center"/>
            <w:hideMark/>
          </w:tcPr>
          <w:p w14:paraId="6F0EFA0B"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-260.8</w:t>
            </w:r>
          </w:p>
        </w:tc>
        <w:tc>
          <w:tcPr>
            <w:tcW w:w="715" w:type="dxa"/>
            <w:shd w:val="clear" w:color="auto" w:fill="auto"/>
            <w:noWrap/>
            <w:vAlign w:val="center"/>
            <w:hideMark/>
          </w:tcPr>
          <w:p w14:paraId="2C9B71AE"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-363.4</w:t>
            </w:r>
          </w:p>
        </w:tc>
        <w:tc>
          <w:tcPr>
            <w:tcW w:w="809" w:type="dxa"/>
            <w:shd w:val="clear" w:color="auto" w:fill="auto"/>
            <w:noWrap/>
            <w:vAlign w:val="center"/>
            <w:hideMark/>
          </w:tcPr>
          <w:p w14:paraId="6264F973"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-99.0</w:t>
            </w:r>
          </w:p>
        </w:tc>
      </w:tr>
      <w:tr w:rsidR="00D1280E" w:rsidRPr="009A3034" w14:paraId="13FCC38C" w14:textId="77777777" w:rsidTr="00BC398D">
        <w:trPr>
          <w:trHeight w:val="258"/>
        </w:trPr>
        <w:tc>
          <w:tcPr>
            <w:tcW w:w="1260" w:type="dxa"/>
            <w:vMerge w:val="restart"/>
            <w:shd w:val="clear" w:color="auto" w:fill="auto"/>
            <w:vAlign w:val="center"/>
            <w:hideMark/>
          </w:tcPr>
          <w:p w14:paraId="02382AF6"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PG 76-28 + 0.5% ASA</w:t>
            </w:r>
          </w:p>
        </w:tc>
        <w:tc>
          <w:tcPr>
            <w:tcW w:w="740" w:type="dxa"/>
            <w:shd w:val="clear" w:color="auto" w:fill="auto"/>
            <w:noWrap/>
            <w:vAlign w:val="center"/>
            <w:hideMark/>
          </w:tcPr>
          <w:p w14:paraId="3FD4C43B"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Unaged</w:t>
            </w:r>
          </w:p>
        </w:tc>
        <w:tc>
          <w:tcPr>
            <w:tcW w:w="554" w:type="dxa"/>
            <w:shd w:val="clear" w:color="auto" w:fill="auto"/>
            <w:noWrap/>
            <w:vAlign w:val="center"/>
            <w:hideMark/>
          </w:tcPr>
          <w:p w14:paraId="6078F35C"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85.1</w:t>
            </w:r>
          </w:p>
        </w:tc>
        <w:tc>
          <w:tcPr>
            <w:tcW w:w="625" w:type="dxa"/>
            <w:shd w:val="clear" w:color="auto" w:fill="auto"/>
            <w:noWrap/>
            <w:vAlign w:val="center"/>
            <w:hideMark/>
          </w:tcPr>
          <w:p w14:paraId="1B1CFECB"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105.7</w:t>
            </w:r>
          </w:p>
        </w:tc>
        <w:tc>
          <w:tcPr>
            <w:tcW w:w="625" w:type="dxa"/>
            <w:shd w:val="clear" w:color="auto" w:fill="auto"/>
            <w:noWrap/>
            <w:vAlign w:val="center"/>
            <w:hideMark/>
          </w:tcPr>
          <w:p w14:paraId="42677A94"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90.9</w:t>
            </w:r>
          </w:p>
        </w:tc>
        <w:tc>
          <w:tcPr>
            <w:tcW w:w="625" w:type="dxa"/>
            <w:shd w:val="clear" w:color="auto" w:fill="auto"/>
            <w:noWrap/>
            <w:vAlign w:val="center"/>
            <w:hideMark/>
          </w:tcPr>
          <w:p w14:paraId="16D64886"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96.8</w:t>
            </w:r>
          </w:p>
        </w:tc>
        <w:tc>
          <w:tcPr>
            <w:tcW w:w="627" w:type="dxa"/>
            <w:shd w:val="clear" w:color="auto" w:fill="auto"/>
            <w:noWrap/>
            <w:vAlign w:val="center"/>
            <w:hideMark/>
          </w:tcPr>
          <w:p w14:paraId="35A8FE78"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67.7</w:t>
            </w:r>
          </w:p>
        </w:tc>
        <w:tc>
          <w:tcPr>
            <w:tcW w:w="804" w:type="dxa"/>
            <w:shd w:val="clear" w:color="auto" w:fill="auto"/>
            <w:noWrap/>
            <w:vAlign w:val="center"/>
            <w:hideMark/>
          </w:tcPr>
          <w:p w14:paraId="2F370781"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-139.1</w:t>
            </w:r>
          </w:p>
        </w:tc>
        <w:tc>
          <w:tcPr>
            <w:tcW w:w="804" w:type="dxa"/>
            <w:shd w:val="clear" w:color="auto" w:fill="auto"/>
            <w:noWrap/>
            <w:vAlign w:val="center"/>
            <w:hideMark/>
          </w:tcPr>
          <w:p w14:paraId="6D27A565"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-316.5</w:t>
            </w:r>
          </w:p>
        </w:tc>
        <w:tc>
          <w:tcPr>
            <w:tcW w:w="804" w:type="dxa"/>
            <w:shd w:val="clear" w:color="auto" w:fill="auto"/>
            <w:noWrap/>
            <w:vAlign w:val="center"/>
            <w:hideMark/>
          </w:tcPr>
          <w:p w14:paraId="2501031D"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-259.2</w:t>
            </w:r>
          </w:p>
        </w:tc>
        <w:tc>
          <w:tcPr>
            <w:tcW w:w="715" w:type="dxa"/>
            <w:shd w:val="clear" w:color="auto" w:fill="auto"/>
            <w:noWrap/>
            <w:vAlign w:val="center"/>
            <w:hideMark/>
          </w:tcPr>
          <w:p w14:paraId="32E126E9"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-365.3</w:t>
            </w:r>
          </w:p>
        </w:tc>
        <w:tc>
          <w:tcPr>
            <w:tcW w:w="809" w:type="dxa"/>
            <w:shd w:val="clear" w:color="auto" w:fill="auto"/>
            <w:noWrap/>
            <w:vAlign w:val="center"/>
            <w:hideMark/>
          </w:tcPr>
          <w:p w14:paraId="029E750A"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-103.0</w:t>
            </w:r>
          </w:p>
        </w:tc>
      </w:tr>
      <w:tr w:rsidR="00D1280E" w:rsidRPr="009A3034" w14:paraId="3D19C637" w14:textId="77777777" w:rsidTr="00BC398D">
        <w:trPr>
          <w:trHeight w:val="258"/>
        </w:trPr>
        <w:tc>
          <w:tcPr>
            <w:tcW w:w="1260" w:type="dxa"/>
            <w:vMerge/>
            <w:shd w:val="clear" w:color="auto" w:fill="auto"/>
            <w:vAlign w:val="center"/>
            <w:hideMark/>
          </w:tcPr>
          <w:p w14:paraId="62E68D34" w14:textId="77777777" w:rsidR="00D1280E" w:rsidRPr="009A3034" w:rsidRDefault="00D1280E" w:rsidP="00650395">
            <w:pPr>
              <w:spacing w:line="240" w:lineRule="auto"/>
              <w:rPr>
                <w:rFonts w:eastAsia="Times New Roman" w:cs="Times New Roman"/>
                <w:color w:val="000000"/>
                <w:sz w:val="20"/>
                <w:szCs w:val="20"/>
              </w:rPr>
            </w:pPr>
          </w:p>
        </w:tc>
        <w:tc>
          <w:tcPr>
            <w:tcW w:w="740" w:type="dxa"/>
            <w:shd w:val="clear" w:color="auto" w:fill="auto"/>
            <w:noWrap/>
            <w:vAlign w:val="center"/>
            <w:hideMark/>
          </w:tcPr>
          <w:p w14:paraId="41C3EF57"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RTFO</w:t>
            </w:r>
          </w:p>
        </w:tc>
        <w:tc>
          <w:tcPr>
            <w:tcW w:w="554" w:type="dxa"/>
            <w:shd w:val="clear" w:color="auto" w:fill="auto"/>
            <w:noWrap/>
            <w:vAlign w:val="center"/>
            <w:hideMark/>
          </w:tcPr>
          <w:p w14:paraId="14C1A238"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78.3</w:t>
            </w:r>
          </w:p>
        </w:tc>
        <w:tc>
          <w:tcPr>
            <w:tcW w:w="625" w:type="dxa"/>
            <w:shd w:val="clear" w:color="auto" w:fill="auto"/>
            <w:noWrap/>
            <w:vAlign w:val="center"/>
            <w:hideMark/>
          </w:tcPr>
          <w:p w14:paraId="6378E801"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87.8</w:t>
            </w:r>
          </w:p>
        </w:tc>
        <w:tc>
          <w:tcPr>
            <w:tcW w:w="625" w:type="dxa"/>
            <w:shd w:val="clear" w:color="auto" w:fill="auto"/>
            <w:noWrap/>
            <w:vAlign w:val="center"/>
            <w:hideMark/>
          </w:tcPr>
          <w:p w14:paraId="306947E7"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84.2</w:t>
            </w:r>
          </w:p>
        </w:tc>
        <w:tc>
          <w:tcPr>
            <w:tcW w:w="625" w:type="dxa"/>
            <w:shd w:val="clear" w:color="auto" w:fill="auto"/>
            <w:noWrap/>
            <w:vAlign w:val="center"/>
            <w:hideMark/>
          </w:tcPr>
          <w:p w14:paraId="51F84514"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95.0</w:t>
            </w:r>
          </w:p>
        </w:tc>
        <w:tc>
          <w:tcPr>
            <w:tcW w:w="627" w:type="dxa"/>
            <w:shd w:val="clear" w:color="auto" w:fill="auto"/>
            <w:noWrap/>
            <w:vAlign w:val="center"/>
            <w:hideMark/>
          </w:tcPr>
          <w:p w14:paraId="3C7EFA24"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67.2</w:t>
            </w:r>
          </w:p>
        </w:tc>
        <w:tc>
          <w:tcPr>
            <w:tcW w:w="804" w:type="dxa"/>
            <w:shd w:val="clear" w:color="auto" w:fill="auto"/>
            <w:noWrap/>
            <w:vAlign w:val="center"/>
            <w:hideMark/>
          </w:tcPr>
          <w:p w14:paraId="6E4F03CD"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-139.6</w:t>
            </w:r>
          </w:p>
        </w:tc>
        <w:tc>
          <w:tcPr>
            <w:tcW w:w="804" w:type="dxa"/>
            <w:shd w:val="clear" w:color="auto" w:fill="auto"/>
            <w:noWrap/>
            <w:vAlign w:val="center"/>
            <w:hideMark/>
          </w:tcPr>
          <w:p w14:paraId="6851CFAC"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-328.0</w:t>
            </w:r>
          </w:p>
        </w:tc>
        <w:tc>
          <w:tcPr>
            <w:tcW w:w="804" w:type="dxa"/>
            <w:shd w:val="clear" w:color="auto" w:fill="auto"/>
            <w:noWrap/>
            <w:vAlign w:val="center"/>
            <w:hideMark/>
          </w:tcPr>
          <w:p w14:paraId="2598F199"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-259.5</w:t>
            </w:r>
          </w:p>
        </w:tc>
        <w:tc>
          <w:tcPr>
            <w:tcW w:w="715" w:type="dxa"/>
            <w:shd w:val="clear" w:color="auto" w:fill="auto"/>
            <w:noWrap/>
            <w:vAlign w:val="center"/>
            <w:hideMark/>
          </w:tcPr>
          <w:p w14:paraId="77793493"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-360.8</w:t>
            </w:r>
          </w:p>
        </w:tc>
        <w:tc>
          <w:tcPr>
            <w:tcW w:w="809" w:type="dxa"/>
            <w:shd w:val="clear" w:color="auto" w:fill="auto"/>
            <w:noWrap/>
            <w:vAlign w:val="center"/>
            <w:hideMark/>
          </w:tcPr>
          <w:p w14:paraId="7FE2DBDE"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-97.1</w:t>
            </w:r>
          </w:p>
        </w:tc>
      </w:tr>
      <w:tr w:rsidR="00D1280E" w:rsidRPr="009A3034" w14:paraId="778B7F7F" w14:textId="77777777" w:rsidTr="00BC398D">
        <w:trPr>
          <w:trHeight w:val="258"/>
        </w:trPr>
        <w:tc>
          <w:tcPr>
            <w:tcW w:w="1260" w:type="dxa"/>
            <w:vMerge/>
            <w:shd w:val="clear" w:color="auto" w:fill="auto"/>
            <w:vAlign w:val="center"/>
            <w:hideMark/>
          </w:tcPr>
          <w:p w14:paraId="20D5FB7B" w14:textId="77777777" w:rsidR="00D1280E" w:rsidRPr="009A3034" w:rsidRDefault="00D1280E" w:rsidP="00650395">
            <w:pPr>
              <w:spacing w:line="240" w:lineRule="auto"/>
              <w:rPr>
                <w:rFonts w:eastAsia="Times New Roman" w:cs="Times New Roman"/>
                <w:color w:val="000000"/>
                <w:sz w:val="20"/>
                <w:szCs w:val="20"/>
              </w:rPr>
            </w:pPr>
          </w:p>
        </w:tc>
        <w:tc>
          <w:tcPr>
            <w:tcW w:w="740" w:type="dxa"/>
            <w:shd w:val="clear" w:color="auto" w:fill="auto"/>
            <w:noWrap/>
            <w:vAlign w:val="center"/>
            <w:hideMark/>
          </w:tcPr>
          <w:p w14:paraId="4C1D6CCF"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PAV</w:t>
            </w:r>
          </w:p>
        </w:tc>
        <w:tc>
          <w:tcPr>
            <w:tcW w:w="554" w:type="dxa"/>
            <w:shd w:val="clear" w:color="auto" w:fill="auto"/>
            <w:noWrap/>
            <w:vAlign w:val="center"/>
            <w:hideMark/>
          </w:tcPr>
          <w:p w14:paraId="1FE413D9"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77.1</w:t>
            </w:r>
          </w:p>
        </w:tc>
        <w:tc>
          <w:tcPr>
            <w:tcW w:w="625" w:type="dxa"/>
            <w:shd w:val="clear" w:color="auto" w:fill="auto"/>
            <w:noWrap/>
            <w:vAlign w:val="center"/>
            <w:hideMark/>
          </w:tcPr>
          <w:p w14:paraId="0BDA2CB9"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84.7</w:t>
            </w:r>
          </w:p>
        </w:tc>
        <w:tc>
          <w:tcPr>
            <w:tcW w:w="625" w:type="dxa"/>
            <w:shd w:val="clear" w:color="auto" w:fill="auto"/>
            <w:noWrap/>
            <w:vAlign w:val="center"/>
            <w:hideMark/>
          </w:tcPr>
          <w:p w14:paraId="4BF27439"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84.3</w:t>
            </w:r>
          </w:p>
        </w:tc>
        <w:tc>
          <w:tcPr>
            <w:tcW w:w="625" w:type="dxa"/>
            <w:shd w:val="clear" w:color="auto" w:fill="auto"/>
            <w:noWrap/>
            <w:vAlign w:val="center"/>
            <w:hideMark/>
          </w:tcPr>
          <w:p w14:paraId="2F617F55"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97.7</w:t>
            </w:r>
          </w:p>
        </w:tc>
        <w:tc>
          <w:tcPr>
            <w:tcW w:w="627" w:type="dxa"/>
            <w:shd w:val="clear" w:color="auto" w:fill="auto"/>
            <w:noWrap/>
            <w:vAlign w:val="center"/>
            <w:hideMark/>
          </w:tcPr>
          <w:p w14:paraId="4A5EA470"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68.0</w:t>
            </w:r>
          </w:p>
        </w:tc>
        <w:tc>
          <w:tcPr>
            <w:tcW w:w="804" w:type="dxa"/>
            <w:shd w:val="clear" w:color="auto" w:fill="auto"/>
            <w:noWrap/>
            <w:vAlign w:val="center"/>
            <w:hideMark/>
          </w:tcPr>
          <w:p w14:paraId="2BD73E3F"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-138.7</w:t>
            </w:r>
          </w:p>
        </w:tc>
        <w:tc>
          <w:tcPr>
            <w:tcW w:w="804" w:type="dxa"/>
            <w:shd w:val="clear" w:color="auto" w:fill="auto"/>
            <w:noWrap/>
            <w:vAlign w:val="center"/>
            <w:hideMark/>
          </w:tcPr>
          <w:p w14:paraId="7B7BBD64"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-329.1</w:t>
            </w:r>
          </w:p>
        </w:tc>
        <w:tc>
          <w:tcPr>
            <w:tcW w:w="804" w:type="dxa"/>
            <w:shd w:val="clear" w:color="auto" w:fill="auto"/>
            <w:noWrap/>
            <w:vAlign w:val="center"/>
            <w:hideMark/>
          </w:tcPr>
          <w:p w14:paraId="551DA29B"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-257.4</w:t>
            </w:r>
          </w:p>
        </w:tc>
        <w:tc>
          <w:tcPr>
            <w:tcW w:w="715" w:type="dxa"/>
            <w:shd w:val="clear" w:color="auto" w:fill="auto"/>
            <w:noWrap/>
            <w:vAlign w:val="center"/>
            <w:hideMark/>
          </w:tcPr>
          <w:p w14:paraId="6CF4091F"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-355.9</w:t>
            </w:r>
          </w:p>
        </w:tc>
        <w:tc>
          <w:tcPr>
            <w:tcW w:w="809" w:type="dxa"/>
            <w:shd w:val="clear" w:color="auto" w:fill="auto"/>
            <w:noWrap/>
            <w:vAlign w:val="center"/>
            <w:hideMark/>
          </w:tcPr>
          <w:p w14:paraId="690ECAEB"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-94.3</w:t>
            </w:r>
          </w:p>
        </w:tc>
      </w:tr>
      <w:tr w:rsidR="00D1280E" w:rsidRPr="009A3034" w14:paraId="636ADF3C" w14:textId="77777777" w:rsidTr="00BC398D">
        <w:trPr>
          <w:trHeight w:val="258"/>
        </w:trPr>
        <w:tc>
          <w:tcPr>
            <w:tcW w:w="1260" w:type="dxa"/>
            <w:vMerge w:val="restart"/>
            <w:shd w:val="clear" w:color="auto" w:fill="auto"/>
            <w:vAlign w:val="center"/>
            <w:hideMark/>
          </w:tcPr>
          <w:p w14:paraId="3DA71B14"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PG 76-28 + 20% RAP</w:t>
            </w:r>
          </w:p>
        </w:tc>
        <w:tc>
          <w:tcPr>
            <w:tcW w:w="740" w:type="dxa"/>
            <w:shd w:val="clear" w:color="auto" w:fill="auto"/>
            <w:noWrap/>
            <w:vAlign w:val="center"/>
            <w:hideMark/>
          </w:tcPr>
          <w:p w14:paraId="4EC6B67E"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Unaged</w:t>
            </w:r>
          </w:p>
        </w:tc>
        <w:tc>
          <w:tcPr>
            <w:tcW w:w="554" w:type="dxa"/>
            <w:shd w:val="clear" w:color="auto" w:fill="auto"/>
            <w:noWrap/>
            <w:vAlign w:val="center"/>
            <w:hideMark/>
          </w:tcPr>
          <w:p w14:paraId="3853CCA7"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87.3</w:t>
            </w:r>
          </w:p>
        </w:tc>
        <w:tc>
          <w:tcPr>
            <w:tcW w:w="625" w:type="dxa"/>
            <w:shd w:val="clear" w:color="auto" w:fill="auto"/>
            <w:noWrap/>
            <w:vAlign w:val="center"/>
            <w:hideMark/>
          </w:tcPr>
          <w:p w14:paraId="01DEE416"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100.9</w:t>
            </w:r>
          </w:p>
        </w:tc>
        <w:tc>
          <w:tcPr>
            <w:tcW w:w="625" w:type="dxa"/>
            <w:shd w:val="clear" w:color="auto" w:fill="auto"/>
            <w:noWrap/>
            <w:vAlign w:val="center"/>
            <w:hideMark/>
          </w:tcPr>
          <w:p w14:paraId="5EE0C30F"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103.1</w:t>
            </w:r>
          </w:p>
        </w:tc>
        <w:tc>
          <w:tcPr>
            <w:tcW w:w="625" w:type="dxa"/>
            <w:shd w:val="clear" w:color="auto" w:fill="auto"/>
            <w:noWrap/>
            <w:vAlign w:val="center"/>
            <w:hideMark/>
          </w:tcPr>
          <w:p w14:paraId="6FA7F096"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126.7</w:t>
            </w:r>
          </w:p>
        </w:tc>
        <w:tc>
          <w:tcPr>
            <w:tcW w:w="627" w:type="dxa"/>
            <w:shd w:val="clear" w:color="auto" w:fill="auto"/>
            <w:noWrap/>
            <w:vAlign w:val="center"/>
            <w:hideMark/>
          </w:tcPr>
          <w:p w14:paraId="18C5AF0B"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79.5</w:t>
            </w:r>
          </w:p>
        </w:tc>
        <w:tc>
          <w:tcPr>
            <w:tcW w:w="804" w:type="dxa"/>
            <w:shd w:val="clear" w:color="auto" w:fill="auto"/>
            <w:noWrap/>
            <w:vAlign w:val="center"/>
            <w:hideMark/>
          </w:tcPr>
          <w:p w14:paraId="72D8F8E8"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-129.8</w:t>
            </w:r>
          </w:p>
        </w:tc>
        <w:tc>
          <w:tcPr>
            <w:tcW w:w="804" w:type="dxa"/>
            <w:shd w:val="clear" w:color="auto" w:fill="auto"/>
            <w:noWrap/>
            <w:vAlign w:val="center"/>
            <w:hideMark/>
          </w:tcPr>
          <w:p w14:paraId="08D1DA2A"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-314.1</w:t>
            </w:r>
          </w:p>
        </w:tc>
        <w:tc>
          <w:tcPr>
            <w:tcW w:w="804" w:type="dxa"/>
            <w:shd w:val="clear" w:color="auto" w:fill="auto"/>
            <w:noWrap/>
            <w:vAlign w:val="center"/>
            <w:hideMark/>
          </w:tcPr>
          <w:p w14:paraId="75AB36BA"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-239.9</w:t>
            </w:r>
          </w:p>
        </w:tc>
        <w:tc>
          <w:tcPr>
            <w:tcW w:w="715" w:type="dxa"/>
            <w:shd w:val="clear" w:color="auto" w:fill="auto"/>
            <w:noWrap/>
            <w:vAlign w:val="center"/>
            <w:hideMark/>
          </w:tcPr>
          <w:p w14:paraId="445F639F"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-328.2</w:t>
            </w:r>
          </w:p>
        </w:tc>
        <w:tc>
          <w:tcPr>
            <w:tcW w:w="809" w:type="dxa"/>
            <w:shd w:val="clear" w:color="auto" w:fill="auto"/>
            <w:noWrap/>
            <w:vAlign w:val="center"/>
            <w:hideMark/>
          </w:tcPr>
          <w:p w14:paraId="1A7DB3E4"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-84.0</w:t>
            </w:r>
          </w:p>
        </w:tc>
      </w:tr>
      <w:tr w:rsidR="00D1280E" w:rsidRPr="009A3034" w14:paraId="08A8CEB8" w14:textId="77777777" w:rsidTr="00BC398D">
        <w:trPr>
          <w:trHeight w:val="258"/>
        </w:trPr>
        <w:tc>
          <w:tcPr>
            <w:tcW w:w="1260" w:type="dxa"/>
            <w:vMerge/>
            <w:shd w:val="clear" w:color="auto" w:fill="auto"/>
            <w:vAlign w:val="center"/>
            <w:hideMark/>
          </w:tcPr>
          <w:p w14:paraId="1602DD7C" w14:textId="77777777" w:rsidR="00D1280E" w:rsidRPr="009A3034" w:rsidRDefault="00D1280E" w:rsidP="00650395">
            <w:pPr>
              <w:spacing w:line="240" w:lineRule="auto"/>
              <w:rPr>
                <w:rFonts w:eastAsia="Times New Roman" w:cs="Times New Roman"/>
                <w:color w:val="000000"/>
                <w:sz w:val="20"/>
                <w:szCs w:val="20"/>
              </w:rPr>
            </w:pPr>
          </w:p>
        </w:tc>
        <w:tc>
          <w:tcPr>
            <w:tcW w:w="740" w:type="dxa"/>
            <w:shd w:val="clear" w:color="auto" w:fill="auto"/>
            <w:noWrap/>
            <w:vAlign w:val="center"/>
            <w:hideMark/>
          </w:tcPr>
          <w:p w14:paraId="06F7ABFA"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RTFO</w:t>
            </w:r>
          </w:p>
        </w:tc>
        <w:tc>
          <w:tcPr>
            <w:tcW w:w="554" w:type="dxa"/>
            <w:shd w:val="clear" w:color="auto" w:fill="auto"/>
            <w:noWrap/>
            <w:vAlign w:val="center"/>
            <w:hideMark/>
          </w:tcPr>
          <w:p w14:paraId="668D45B3"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86.5</w:t>
            </w:r>
          </w:p>
        </w:tc>
        <w:tc>
          <w:tcPr>
            <w:tcW w:w="625" w:type="dxa"/>
            <w:shd w:val="clear" w:color="auto" w:fill="auto"/>
            <w:noWrap/>
            <w:vAlign w:val="center"/>
            <w:hideMark/>
          </w:tcPr>
          <w:p w14:paraId="54B7C07D"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108.6</w:t>
            </w:r>
          </w:p>
        </w:tc>
        <w:tc>
          <w:tcPr>
            <w:tcW w:w="625" w:type="dxa"/>
            <w:shd w:val="clear" w:color="auto" w:fill="auto"/>
            <w:noWrap/>
            <w:vAlign w:val="center"/>
            <w:hideMark/>
          </w:tcPr>
          <w:p w14:paraId="28605ACC"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98.3</w:t>
            </w:r>
          </w:p>
        </w:tc>
        <w:tc>
          <w:tcPr>
            <w:tcW w:w="625" w:type="dxa"/>
            <w:shd w:val="clear" w:color="auto" w:fill="auto"/>
            <w:noWrap/>
            <w:vAlign w:val="center"/>
            <w:hideMark/>
          </w:tcPr>
          <w:p w14:paraId="1388005B"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112.2</w:t>
            </w:r>
          </w:p>
        </w:tc>
        <w:tc>
          <w:tcPr>
            <w:tcW w:w="627" w:type="dxa"/>
            <w:shd w:val="clear" w:color="auto" w:fill="auto"/>
            <w:noWrap/>
            <w:vAlign w:val="center"/>
            <w:hideMark/>
          </w:tcPr>
          <w:p w14:paraId="63825808"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72.2</w:t>
            </w:r>
          </w:p>
        </w:tc>
        <w:tc>
          <w:tcPr>
            <w:tcW w:w="804" w:type="dxa"/>
            <w:shd w:val="clear" w:color="auto" w:fill="auto"/>
            <w:noWrap/>
            <w:vAlign w:val="center"/>
            <w:hideMark/>
          </w:tcPr>
          <w:p w14:paraId="1A7814DC"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-134.3</w:t>
            </w:r>
          </w:p>
        </w:tc>
        <w:tc>
          <w:tcPr>
            <w:tcW w:w="804" w:type="dxa"/>
            <w:shd w:val="clear" w:color="auto" w:fill="auto"/>
            <w:noWrap/>
            <w:vAlign w:val="center"/>
            <w:hideMark/>
          </w:tcPr>
          <w:p w14:paraId="0BC4E942"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-310.1</w:t>
            </w:r>
          </w:p>
        </w:tc>
        <w:tc>
          <w:tcPr>
            <w:tcW w:w="804" w:type="dxa"/>
            <w:shd w:val="clear" w:color="auto" w:fill="auto"/>
            <w:noWrap/>
            <w:vAlign w:val="center"/>
            <w:hideMark/>
          </w:tcPr>
          <w:p w14:paraId="1C353855"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-248.3</w:t>
            </w:r>
          </w:p>
        </w:tc>
        <w:tc>
          <w:tcPr>
            <w:tcW w:w="715" w:type="dxa"/>
            <w:shd w:val="clear" w:color="auto" w:fill="auto"/>
            <w:noWrap/>
            <w:vAlign w:val="center"/>
            <w:hideMark/>
          </w:tcPr>
          <w:p w14:paraId="40BEE6ED"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-346.4</w:t>
            </w:r>
          </w:p>
        </w:tc>
        <w:tc>
          <w:tcPr>
            <w:tcW w:w="809" w:type="dxa"/>
            <w:shd w:val="clear" w:color="auto" w:fill="auto"/>
            <w:noWrap/>
            <w:vAlign w:val="center"/>
            <w:hideMark/>
          </w:tcPr>
          <w:p w14:paraId="76ADE7F6"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-95.0</w:t>
            </w:r>
          </w:p>
        </w:tc>
      </w:tr>
      <w:tr w:rsidR="00D1280E" w:rsidRPr="009A3034" w14:paraId="796037F8" w14:textId="77777777" w:rsidTr="00BC398D">
        <w:trPr>
          <w:trHeight w:val="66"/>
        </w:trPr>
        <w:tc>
          <w:tcPr>
            <w:tcW w:w="1260" w:type="dxa"/>
            <w:vMerge/>
            <w:shd w:val="clear" w:color="auto" w:fill="auto"/>
            <w:vAlign w:val="center"/>
            <w:hideMark/>
          </w:tcPr>
          <w:p w14:paraId="4F0F102E" w14:textId="77777777" w:rsidR="00D1280E" w:rsidRPr="009A3034" w:rsidRDefault="00D1280E" w:rsidP="00650395">
            <w:pPr>
              <w:spacing w:line="240" w:lineRule="auto"/>
              <w:rPr>
                <w:rFonts w:eastAsia="Times New Roman" w:cs="Times New Roman"/>
                <w:color w:val="000000"/>
                <w:sz w:val="20"/>
                <w:szCs w:val="20"/>
              </w:rPr>
            </w:pPr>
          </w:p>
        </w:tc>
        <w:tc>
          <w:tcPr>
            <w:tcW w:w="740" w:type="dxa"/>
            <w:shd w:val="clear" w:color="auto" w:fill="auto"/>
            <w:noWrap/>
            <w:vAlign w:val="center"/>
            <w:hideMark/>
          </w:tcPr>
          <w:p w14:paraId="0FEC9C6A" w14:textId="77777777" w:rsidR="00D1280E" w:rsidRPr="009A3034" w:rsidRDefault="00D1280E"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PAV</w:t>
            </w:r>
          </w:p>
        </w:tc>
        <w:tc>
          <w:tcPr>
            <w:tcW w:w="554" w:type="dxa"/>
            <w:shd w:val="clear" w:color="auto" w:fill="auto"/>
            <w:noWrap/>
            <w:vAlign w:val="center"/>
            <w:hideMark/>
          </w:tcPr>
          <w:p w14:paraId="033950F9"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86.1</w:t>
            </w:r>
          </w:p>
        </w:tc>
        <w:tc>
          <w:tcPr>
            <w:tcW w:w="625" w:type="dxa"/>
            <w:shd w:val="clear" w:color="auto" w:fill="auto"/>
            <w:noWrap/>
            <w:vAlign w:val="center"/>
            <w:hideMark/>
          </w:tcPr>
          <w:p w14:paraId="48E4185A"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105.7</w:t>
            </w:r>
          </w:p>
        </w:tc>
        <w:tc>
          <w:tcPr>
            <w:tcW w:w="625" w:type="dxa"/>
            <w:shd w:val="clear" w:color="auto" w:fill="auto"/>
            <w:noWrap/>
            <w:vAlign w:val="center"/>
            <w:hideMark/>
          </w:tcPr>
          <w:p w14:paraId="718721DE"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98.9</w:t>
            </w:r>
          </w:p>
        </w:tc>
        <w:tc>
          <w:tcPr>
            <w:tcW w:w="625" w:type="dxa"/>
            <w:shd w:val="clear" w:color="auto" w:fill="auto"/>
            <w:noWrap/>
            <w:vAlign w:val="center"/>
            <w:hideMark/>
          </w:tcPr>
          <w:p w14:paraId="682B2513"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115.2</w:t>
            </w:r>
          </w:p>
        </w:tc>
        <w:tc>
          <w:tcPr>
            <w:tcW w:w="627" w:type="dxa"/>
            <w:shd w:val="clear" w:color="auto" w:fill="auto"/>
            <w:noWrap/>
            <w:vAlign w:val="center"/>
            <w:hideMark/>
          </w:tcPr>
          <w:p w14:paraId="5A3A4B9A" w14:textId="77777777" w:rsidR="00D1280E" w:rsidRPr="009A3034" w:rsidRDefault="00D1280E" w:rsidP="00650395">
            <w:pPr>
              <w:spacing w:line="240" w:lineRule="auto"/>
              <w:ind w:left="-113"/>
              <w:jc w:val="right"/>
              <w:rPr>
                <w:rFonts w:eastAsia="Times New Roman" w:cs="Times New Roman"/>
                <w:color w:val="000000"/>
                <w:sz w:val="20"/>
                <w:szCs w:val="20"/>
              </w:rPr>
            </w:pPr>
            <w:r w:rsidRPr="009A3034">
              <w:rPr>
                <w:rFonts w:eastAsia="Times New Roman" w:cs="Times New Roman"/>
                <w:color w:val="000000"/>
                <w:sz w:val="20"/>
                <w:szCs w:val="20"/>
              </w:rPr>
              <w:t>73.6</w:t>
            </w:r>
          </w:p>
        </w:tc>
        <w:tc>
          <w:tcPr>
            <w:tcW w:w="804" w:type="dxa"/>
            <w:shd w:val="clear" w:color="auto" w:fill="auto"/>
            <w:noWrap/>
            <w:vAlign w:val="center"/>
            <w:hideMark/>
          </w:tcPr>
          <w:p w14:paraId="09733CE6"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-133.3</w:t>
            </w:r>
          </w:p>
        </w:tc>
        <w:tc>
          <w:tcPr>
            <w:tcW w:w="804" w:type="dxa"/>
            <w:shd w:val="clear" w:color="auto" w:fill="auto"/>
            <w:noWrap/>
            <w:vAlign w:val="center"/>
            <w:hideMark/>
          </w:tcPr>
          <w:p w14:paraId="24F3F0E3"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-311.6</w:t>
            </w:r>
          </w:p>
        </w:tc>
        <w:tc>
          <w:tcPr>
            <w:tcW w:w="804" w:type="dxa"/>
            <w:shd w:val="clear" w:color="auto" w:fill="auto"/>
            <w:noWrap/>
            <w:vAlign w:val="center"/>
            <w:hideMark/>
          </w:tcPr>
          <w:p w14:paraId="3D6D0A2F"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-246.5</w:t>
            </w:r>
          </w:p>
        </w:tc>
        <w:tc>
          <w:tcPr>
            <w:tcW w:w="715" w:type="dxa"/>
            <w:shd w:val="clear" w:color="auto" w:fill="auto"/>
            <w:noWrap/>
            <w:vAlign w:val="center"/>
            <w:hideMark/>
          </w:tcPr>
          <w:p w14:paraId="1B2C7F20"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-342.1</w:t>
            </w:r>
          </w:p>
        </w:tc>
        <w:tc>
          <w:tcPr>
            <w:tcW w:w="809" w:type="dxa"/>
            <w:shd w:val="clear" w:color="auto" w:fill="auto"/>
            <w:noWrap/>
            <w:vAlign w:val="center"/>
            <w:hideMark/>
          </w:tcPr>
          <w:p w14:paraId="15159E22" w14:textId="77777777" w:rsidR="00D1280E" w:rsidRPr="009A3034" w:rsidRDefault="00D1280E" w:rsidP="00650395">
            <w:pPr>
              <w:spacing w:line="240" w:lineRule="auto"/>
              <w:ind w:left="-113"/>
              <w:jc w:val="center"/>
              <w:rPr>
                <w:rFonts w:eastAsia="Times New Roman" w:cs="Times New Roman"/>
                <w:color w:val="000000"/>
                <w:sz w:val="20"/>
                <w:szCs w:val="20"/>
              </w:rPr>
            </w:pPr>
            <w:r w:rsidRPr="009A3034">
              <w:rPr>
                <w:rFonts w:eastAsia="Times New Roman" w:cs="Times New Roman"/>
                <w:color w:val="000000"/>
                <w:sz w:val="20"/>
                <w:szCs w:val="20"/>
              </w:rPr>
              <w:t>-92.3</w:t>
            </w:r>
          </w:p>
        </w:tc>
      </w:tr>
    </w:tbl>
    <w:p w14:paraId="7B501914" w14:textId="77777777" w:rsidR="00D1280E" w:rsidRDefault="00D1280E" w:rsidP="00D1280E">
      <w:pPr>
        <w:rPr>
          <w:rFonts w:cs="Times New Roman"/>
          <w:lang w:val="en-CA"/>
        </w:rPr>
      </w:pPr>
    </w:p>
    <w:p w14:paraId="7A3863A5" w14:textId="77777777" w:rsidR="000723A8" w:rsidRDefault="000723A8" w:rsidP="001E7461">
      <w:pPr>
        <w:pStyle w:val="Caption"/>
      </w:pPr>
    </w:p>
    <w:p w14:paraId="02757029" w14:textId="77777777" w:rsidR="000723A8" w:rsidRDefault="000723A8" w:rsidP="001E7461">
      <w:pPr>
        <w:pStyle w:val="Caption"/>
      </w:pPr>
    </w:p>
    <w:p w14:paraId="6DE8A1B2" w14:textId="77777777" w:rsidR="000723A8" w:rsidRDefault="000723A8" w:rsidP="001E7461">
      <w:pPr>
        <w:pStyle w:val="Caption"/>
      </w:pPr>
    </w:p>
    <w:p w14:paraId="00BDB3C9" w14:textId="77777777" w:rsidR="000723A8" w:rsidRDefault="000723A8" w:rsidP="001E7461">
      <w:pPr>
        <w:pStyle w:val="Caption"/>
      </w:pPr>
    </w:p>
    <w:p w14:paraId="03FB4E6D" w14:textId="77777777" w:rsidR="000723A8" w:rsidRDefault="000723A8" w:rsidP="001E7461">
      <w:pPr>
        <w:pStyle w:val="Caption"/>
      </w:pPr>
    </w:p>
    <w:p w14:paraId="1EA5DFD7" w14:textId="77777777" w:rsidR="000723A8" w:rsidRDefault="000723A8" w:rsidP="001E7461">
      <w:pPr>
        <w:pStyle w:val="Caption"/>
      </w:pPr>
    </w:p>
    <w:p w14:paraId="0E54E35D" w14:textId="77777777" w:rsidR="000723A8" w:rsidRDefault="000723A8" w:rsidP="001E7461">
      <w:pPr>
        <w:pStyle w:val="Caption"/>
      </w:pPr>
    </w:p>
    <w:p w14:paraId="2F6482D6" w14:textId="77777777" w:rsidR="000723A8" w:rsidRDefault="000723A8" w:rsidP="001E7461">
      <w:pPr>
        <w:pStyle w:val="Caption"/>
      </w:pPr>
    </w:p>
    <w:p w14:paraId="091BA644" w14:textId="77777777" w:rsidR="000723A8" w:rsidRDefault="000723A8" w:rsidP="001E7461">
      <w:pPr>
        <w:pStyle w:val="Caption"/>
      </w:pPr>
    </w:p>
    <w:p w14:paraId="44DE6518" w14:textId="77777777" w:rsidR="000723A8" w:rsidRDefault="000723A8" w:rsidP="001E7461">
      <w:pPr>
        <w:pStyle w:val="Caption"/>
      </w:pPr>
    </w:p>
    <w:p w14:paraId="1A41DA14" w14:textId="52D381F6" w:rsidR="0010030C" w:rsidRPr="009A3034" w:rsidRDefault="001E7461" w:rsidP="000723A8">
      <w:pPr>
        <w:pStyle w:val="Caption"/>
        <w:spacing w:line="480" w:lineRule="auto"/>
        <w:jc w:val="center"/>
        <w:rPr>
          <w:lang w:val="en-CA"/>
        </w:rPr>
      </w:pPr>
      <w:bookmarkStart w:id="99" w:name="_Toc71330993"/>
      <w:r>
        <w:t xml:space="preserve">Table </w:t>
      </w:r>
      <w:fldSimple w:instr=" STYLEREF 1 \s ">
        <w:r w:rsidR="005050F0">
          <w:rPr>
            <w:noProof/>
          </w:rPr>
          <w:t>3</w:t>
        </w:r>
      </w:fldSimple>
      <w:r w:rsidR="00700639">
        <w:t>.</w:t>
      </w:r>
      <w:fldSimple w:instr=" SEQ Table \* ARABIC \s 1 ">
        <w:r w:rsidR="005050F0">
          <w:rPr>
            <w:noProof/>
          </w:rPr>
          <w:t>7</w:t>
        </w:r>
      </w:fldSimple>
      <w:r>
        <w:rPr>
          <w:lang w:val="en-CA"/>
        </w:rPr>
        <w:t xml:space="preserve"> </w:t>
      </w:r>
      <w:r w:rsidR="0010030C" w:rsidRPr="009A3034">
        <w:rPr>
          <w:lang w:val="en-CA"/>
        </w:rPr>
        <w:t xml:space="preserve">Energy </w:t>
      </w:r>
      <w:r w:rsidR="0010030C">
        <w:rPr>
          <w:lang w:val="en-CA"/>
        </w:rPr>
        <w:t>r</w:t>
      </w:r>
      <w:r w:rsidR="0010030C" w:rsidRPr="009A3034">
        <w:rPr>
          <w:lang w:val="en-CA"/>
        </w:rPr>
        <w:t>atios (</w:t>
      </w:r>
      <w:r w:rsidR="0010030C" w:rsidRPr="00234A2E">
        <w:rPr>
          <w:i/>
          <w:iCs/>
          <w:lang w:val="en-CA"/>
        </w:rPr>
        <w:t>ER</w:t>
      </w:r>
      <w:r w:rsidR="0010030C" w:rsidRPr="00234A2E">
        <w:rPr>
          <w:i/>
          <w:iCs/>
          <w:vertAlign w:val="subscript"/>
          <w:lang w:val="en-CA"/>
        </w:rPr>
        <w:t>1</w:t>
      </w:r>
      <w:r w:rsidR="0010030C" w:rsidRPr="009A3034">
        <w:rPr>
          <w:lang w:val="en-CA"/>
        </w:rPr>
        <w:t xml:space="preserve"> and </w:t>
      </w:r>
      <w:r w:rsidR="0010030C" w:rsidRPr="00234A2E">
        <w:rPr>
          <w:i/>
          <w:iCs/>
          <w:lang w:val="en-CA"/>
        </w:rPr>
        <w:t>ER</w:t>
      </w:r>
      <w:r w:rsidR="0010030C" w:rsidRPr="00234A2E">
        <w:rPr>
          <w:i/>
          <w:iCs/>
          <w:vertAlign w:val="subscript"/>
          <w:lang w:val="en-CA"/>
        </w:rPr>
        <w:t>2</w:t>
      </w:r>
      <w:r w:rsidR="0010030C" w:rsidRPr="009A3034">
        <w:rPr>
          <w:lang w:val="en-CA"/>
        </w:rPr>
        <w:t>) of PG 64-22 and PG 76-28 binder blends with different aggregates</w:t>
      </w:r>
      <w:bookmarkEnd w:id="99"/>
    </w:p>
    <w:tbl>
      <w:tblPr>
        <w:tblW w:w="93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60"/>
        <w:gridCol w:w="810"/>
        <w:gridCol w:w="712"/>
        <w:gridCol w:w="728"/>
        <w:gridCol w:w="728"/>
        <w:gridCol w:w="728"/>
        <w:gridCol w:w="732"/>
        <w:gridCol w:w="728"/>
        <w:gridCol w:w="728"/>
        <w:gridCol w:w="728"/>
        <w:gridCol w:w="728"/>
        <w:gridCol w:w="732"/>
      </w:tblGrid>
      <w:tr w:rsidR="0010030C" w:rsidRPr="009A3034" w14:paraId="79AE341F" w14:textId="77777777" w:rsidTr="00BC398D">
        <w:trPr>
          <w:trHeight w:val="189"/>
        </w:trPr>
        <w:tc>
          <w:tcPr>
            <w:tcW w:w="1260" w:type="dxa"/>
            <w:vMerge w:val="restart"/>
            <w:shd w:val="clear" w:color="auto" w:fill="auto"/>
            <w:noWrap/>
            <w:vAlign w:val="center"/>
            <w:hideMark/>
          </w:tcPr>
          <w:p w14:paraId="6B57DF7F" w14:textId="77777777" w:rsidR="0010030C" w:rsidRPr="009A3034" w:rsidRDefault="0010030C" w:rsidP="00650395">
            <w:pPr>
              <w:spacing w:line="240" w:lineRule="auto"/>
              <w:jc w:val="center"/>
              <w:rPr>
                <w:rFonts w:eastAsia="Times New Roman" w:cs="Times New Roman"/>
                <w:b/>
                <w:bCs/>
                <w:color w:val="000000"/>
                <w:sz w:val="20"/>
                <w:szCs w:val="20"/>
              </w:rPr>
            </w:pPr>
            <w:r w:rsidRPr="009A3034">
              <w:rPr>
                <w:rFonts w:eastAsia="Times New Roman" w:cs="Times New Roman"/>
                <w:b/>
                <w:bCs/>
                <w:color w:val="000000"/>
                <w:sz w:val="20"/>
                <w:szCs w:val="20"/>
              </w:rPr>
              <w:t>Binder Type</w:t>
            </w:r>
          </w:p>
        </w:tc>
        <w:tc>
          <w:tcPr>
            <w:tcW w:w="810" w:type="dxa"/>
            <w:vMerge w:val="restart"/>
            <w:shd w:val="clear" w:color="auto" w:fill="auto"/>
            <w:noWrap/>
            <w:vAlign w:val="center"/>
            <w:hideMark/>
          </w:tcPr>
          <w:p w14:paraId="2525FEC1" w14:textId="77777777" w:rsidR="0010030C" w:rsidRPr="009A3034" w:rsidRDefault="0010030C" w:rsidP="00650395">
            <w:pPr>
              <w:spacing w:line="240" w:lineRule="auto"/>
              <w:jc w:val="center"/>
              <w:rPr>
                <w:rFonts w:eastAsia="Times New Roman" w:cs="Times New Roman"/>
                <w:b/>
                <w:bCs/>
                <w:color w:val="000000"/>
                <w:sz w:val="20"/>
                <w:szCs w:val="20"/>
              </w:rPr>
            </w:pPr>
            <w:r w:rsidRPr="009A3034">
              <w:rPr>
                <w:rFonts w:eastAsia="Times New Roman" w:cs="Times New Roman"/>
                <w:b/>
                <w:bCs/>
                <w:color w:val="000000"/>
                <w:sz w:val="20"/>
                <w:szCs w:val="20"/>
              </w:rPr>
              <w:t>Aging</w:t>
            </w:r>
          </w:p>
        </w:tc>
        <w:tc>
          <w:tcPr>
            <w:tcW w:w="3628" w:type="dxa"/>
            <w:gridSpan w:val="5"/>
            <w:shd w:val="clear" w:color="auto" w:fill="auto"/>
            <w:noWrap/>
            <w:vAlign w:val="bottom"/>
            <w:hideMark/>
          </w:tcPr>
          <w:p w14:paraId="3DAAF014" w14:textId="77777777" w:rsidR="0010030C" w:rsidRPr="009A3034" w:rsidRDefault="0010030C" w:rsidP="00650395">
            <w:pPr>
              <w:spacing w:line="240" w:lineRule="auto"/>
              <w:jc w:val="center"/>
              <w:rPr>
                <w:rFonts w:eastAsia="Times New Roman" w:cs="Times New Roman"/>
                <w:b/>
                <w:bCs/>
                <w:color w:val="000000"/>
                <w:sz w:val="20"/>
                <w:szCs w:val="20"/>
              </w:rPr>
            </w:pPr>
            <w:r w:rsidRPr="009A3034">
              <w:rPr>
                <w:rFonts w:eastAsia="Times New Roman" w:cs="Times New Roman"/>
                <w:b/>
                <w:bCs/>
                <w:color w:val="000000"/>
                <w:sz w:val="20"/>
                <w:szCs w:val="20"/>
              </w:rPr>
              <w:t>ER</w:t>
            </w:r>
            <w:r w:rsidRPr="009A3034">
              <w:rPr>
                <w:rFonts w:eastAsia="Times New Roman" w:cs="Times New Roman"/>
                <w:b/>
                <w:bCs/>
                <w:color w:val="000000"/>
                <w:sz w:val="20"/>
                <w:szCs w:val="20"/>
                <w:vertAlign w:val="subscript"/>
              </w:rPr>
              <w:t>1</w:t>
            </w:r>
          </w:p>
        </w:tc>
        <w:tc>
          <w:tcPr>
            <w:tcW w:w="3644" w:type="dxa"/>
            <w:gridSpan w:val="5"/>
            <w:shd w:val="clear" w:color="auto" w:fill="auto"/>
            <w:noWrap/>
            <w:vAlign w:val="bottom"/>
            <w:hideMark/>
          </w:tcPr>
          <w:p w14:paraId="61C9116C" w14:textId="77777777" w:rsidR="0010030C" w:rsidRPr="009A3034" w:rsidRDefault="0010030C" w:rsidP="00650395">
            <w:pPr>
              <w:spacing w:line="240" w:lineRule="auto"/>
              <w:jc w:val="center"/>
              <w:rPr>
                <w:rFonts w:eastAsia="Times New Roman" w:cs="Times New Roman"/>
                <w:b/>
                <w:bCs/>
                <w:color w:val="000000"/>
                <w:sz w:val="20"/>
                <w:szCs w:val="20"/>
              </w:rPr>
            </w:pPr>
            <w:r w:rsidRPr="009A3034">
              <w:rPr>
                <w:rFonts w:eastAsia="Times New Roman" w:cs="Times New Roman"/>
                <w:b/>
                <w:bCs/>
                <w:color w:val="000000"/>
                <w:sz w:val="20"/>
                <w:szCs w:val="20"/>
              </w:rPr>
              <w:t>ER</w:t>
            </w:r>
            <w:r w:rsidRPr="009A3034">
              <w:rPr>
                <w:rFonts w:eastAsia="Times New Roman" w:cs="Times New Roman"/>
                <w:b/>
                <w:bCs/>
                <w:color w:val="000000"/>
                <w:sz w:val="20"/>
                <w:szCs w:val="20"/>
                <w:vertAlign w:val="subscript"/>
              </w:rPr>
              <w:t>2</w:t>
            </w:r>
          </w:p>
        </w:tc>
      </w:tr>
      <w:tr w:rsidR="0010030C" w:rsidRPr="009A3034" w14:paraId="2CE138A4" w14:textId="77777777" w:rsidTr="00BC398D">
        <w:trPr>
          <w:trHeight w:val="189"/>
        </w:trPr>
        <w:tc>
          <w:tcPr>
            <w:tcW w:w="1260" w:type="dxa"/>
            <w:vMerge/>
            <w:shd w:val="clear" w:color="auto" w:fill="auto"/>
            <w:vAlign w:val="center"/>
            <w:hideMark/>
          </w:tcPr>
          <w:p w14:paraId="2B128BF0" w14:textId="77777777" w:rsidR="0010030C" w:rsidRPr="009A3034" w:rsidRDefault="0010030C" w:rsidP="00650395">
            <w:pPr>
              <w:spacing w:line="240" w:lineRule="auto"/>
              <w:rPr>
                <w:rFonts w:eastAsia="Times New Roman" w:cs="Times New Roman"/>
                <w:b/>
                <w:bCs/>
                <w:color w:val="000000"/>
                <w:sz w:val="20"/>
                <w:szCs w:val="20"/>
              </w:rPr>
            </w:pPr>
          </w:p>
        </w:tc>
        <w:tc>
          <w:tcPr>
            <w:tcW w:w="810" w:type="dxa"/>
            <w:vMerge/>
            <w:shd w:val="clear" w:color="auto" w:fill="auto"/>
            <w:vAlign w:val="center"/>
            <w:hideMark/>
          </w:tcPr>
          <w:p w14:paraId="018F47A4" w14:textId="77777777" w:rsidR="0010030C" w:rsidRPr="009A3034" w:rsidRDefault="0010030C" w:rsidP="00650395">
            <w:pPr>
              <w:spacing w:line="240" w:lineRule="auto"/>
              <w:rPr>
                <w:rFonts w:eastAsia="Times New Roman" w:cs="Times New Roman"/>
                <w:b/>
                <w:bCs/>
                <w:color w:val="000000"/>
                <w:sz w:val="20"/>
                <w:szCs w:val="20"/>
              </w:rPr>
            </w:pPr>
          </w:p>
        </w:tc>
        <w:tc>
          <w:tcPr>
            <w:tcW w:w="3628" w:type="dxa"/>
            <w:gridSpan w:val="5"/>
            <w:shd w:val="clear" w:color="auto" w:fill="auto"/>
            <w:noWrap/>
            <w:vAlign w:val="bottom"/>
            <w:hideMark/>
          </w:tcPr>
          <w:p w14:paraId="70BBFCB2" w14:textId="77777777" w:rsidR="0010030C" w:rsidRPr="009A3034" w:rsidRDefault="0010030C" w:rsidP="00650395">
            <w:pPr>
              <w:spacing w:line="240" w:lineRule="auto"/>
              <w:jc w:val="center"/>
              <w:rPr>
                <w:rFonts w:eastAsia="Times New Roman" w:cs="Times New Roman"/>
                <w:b/>
                <w:bCs/>
                <w:color w:val="000000"/>
                <w:sz w:val="20"/>
                <w:szCs w:val="20"/>
              </w:rPr>
            </w:pPr>
            <w:r w:rsidRPr="009A3034">
              <w:rPr>
                <w:rFonts w:eastAsia="Times New Roman" w:cs="Times New Roman"/>
                <w:b/>
                <w:bCs/>
                <w:color w:val="000000"/>
                <w:sz w:val="20"/>
                <w:szCs w:val="20"/>
              </w:rPr>
              <w:t>Aggregate Type</w:t>
            </w:r>
          </w:p>
        </w:tc>
        <w:tc>
          <w:tcPr>
            <w:tcW w:w="3644" w:type="dxa"/>
            <w:gridSpan w:val="5"/>
            <w:shd w:val="clear" w:color="auto" w:fill="auto"/>
            <w:noWrap/>
            <w:vAlign w:val="bottom"/>
            <w:hideMark/>
          </w:tcPr>
          <w:p w14:paraId="76DA399D" w14:textId="77777777" w:rsidR="0010030C" w:rsidRPr="009A3034" w:rsidRDefault="0010030C" w:rsidP="00650395">
            <w:pPr>
              <w:spacing w:line="240" w:lineRule="auto"/>
              <w:jc w:val="center"/>
              <w:rPr>
                <w:rFonts w:eastAsia="Times New Roman" w:cs="Times New Roman"/>
                <w:b/>
                <w:bCs/>
                <w:color w:val="000000"/>
                <w:sz w:val="20"/>
                <w:szCs w:val="20"/>
              </w:rPr>
            </w:pPr>
            <w:r w:rsidRPr="009A3034">
              <w:rPr>
                <w:rFonts w:eastAsia="Times New Roman" w:cs="Times New Roman"/>
                <w:b/>
                <w:bCs/>
                <w:color w:val="000000"/>
                <w:sz w:val="20"/>
                <w:szCs w:val="20"/>
              </w:rPr>
              <w:t>Aggregate Type</w:t>
            </w:r>
          </w:p>
        </w:tc>
      </w:tr>
      <w:tr w:rsidR="0010030C" w:rsidRPr="009A3034" w14:paraId="58A64F35" w14:textId="77777777" w:rsidTr="00BC398D">
        <w:trPr>
          <w:trHeight w:val="189"/>
        </w:trPr>
        <w:tc>
          <w:tcPr>
            <w:tcW w:w="1260" w:type="dxa"/>
            <w:vMerge/>
            <w:shd w:val="clear" w:color="auto" w:fill="auto"/>
            <w:vAlign w:val="center"/>
            <w:hideMark/>
          </w:tcPr>
          <w:p w14:paraId="5746C81D" w14:textId="77777777" w:rsidR="0010030C" w:rsidRPr="009A3034" w:rsidRDefault="0010030C" w:rsidP="00650395">
            <w:pPr>
              <w:spacing w:line="240" w:lineRule="auto"/>
              <w:rPr>
                <w:rFonts w:eastAsia="Times New Roman" w:cs="Times New Roman"/>
                <w:b/>
                <w:bCs/>
                <w:color w:val="000000"/>
                <w:sz w:val="20"/>
                <w:szCs w:val="20"/>
              </w:rPr>
            </w:pPr>
          </w:p>
        </w:tc>
        <w:tc>
          <w:tcPr>
            <w:tcW w:w="810" w:type="dxa"/>
            <w:vMerge/>
            <w:shd w:val="clear" w:color="auto" w:fill="auto"/>
            <w:vAlign w:val="center"/>
            <w:hideMark/>
          </w:tcPr>
          <w:p w14:paraId="5177E6E3" w14:textId="77777777" w:rsidR="0010030C" w:rsidRPr="009A3034" w:rsidRDefault="0010030C" w:rsidP="00650395">
            <w:pPr>
              <w:spacing w:line="240" w:lineRule="auto"/>
              <w:rPr>
                <w:rFonts w:eastAsia="Times New Roman" w:cs="Times New Roman"/>
                <w:b/>
                <w:bCs/>
                <w:color w:val="000000"/>
                <w:sz w:val="20"/>
                <w:szCs w:val="20"/>
              </w:rPr>
            </w:pPr>
          </w:p>
        </w:tc>
        <w:tc>
          <w:tcPr>
            <w:tcW w:w="712" w:type="dxa"/>
            <w:shd w:val="clear" w:color="auto" w:fill="auto"/>
            <w:noWrap/>
            <w:vAlign w:val="center"/>
            <w:hideMark/>
          </w:tcPr>
          <w:p w14:paraId="7FE170F2" w14:textId="77777777" w:rsidR="0010030C" w:rsidRPr="009A3034" w:rsidRDefault="0010030C" w:rsidP="00650395">
            <w:pPr>
              <w:spacing w:line="240" w:lineRule="auto"/>
              <w:jc w:val="center"/>
              <w:rPr>
                <w:rFonts w:eastAsia="Times New Roman" w:cs="Times New Roman"/>
                <w:b/>
                <w:bCs/>
                <w:color w:val="000000"/>
                <w:sz w:val="20"/>
                <w:szCs w:val="20"/>
              </w:rPr>
            </w:pPr>
            <w:r w:rsidRPr="009A3034">
              <w:rPr>
                <w:rFonts w:eastAsia="Times New Roman" w:cs="Times New Roman"/>
                <w:b/>
                <w:bCs/>
                <w:color w:val="000000"/>
                <w:sz w:val="20"/>
                <w:szCs w:val="20"/>
              </w:rPr>
              <w:t>L1</w:t>
            </w:r>
          </w:p>
        </w:tc>
        <w:tc>
          <w:tcPr>
            <w:tcW w:w="728" w:type="dxa"/>
            <w:shd w:val="clear" w:color="auto" w:fill="auto"/>
            <w:noWrap/>
            <w:vAlign w:val="center"/>
            <w:hideMark/>
          </w:tcPr>
          <w:p w14:paraId="06B6F5FE" w14:textId="77777777" w:rsidR="0010030C" w:rsidRPr="009A3034" w:rsidRDefault="0010030C" w:rsidP="00650395">
            <w:pPr>
              <w:spacing w:line="240" w:lineRule="auto"/>
              <w:jc w:val="center"/>
              <w:rPr>
                <w:rFonts w:eastAsia="Times New Roman" w:cs="Times New Roman"/>
                <w:b/>
                <w:bCs/>
                <w:color w:val="000000"/>
                <w:sz w:val="20"/>
                <w:szCs w:val="20"/>
              </w:rPr>
            </w:pPr>
            <w:r w:rsidRPr="009A3034">
              <w:rPr>
                <w:rFonts w:eastAsia="Times New Roman" w:cs="Times New Roman"/>
                <w:b/>
                <w:bCs/>
                <w:color w:val="000000"/>
                <w:sz w:val="20"/>
                <w:szCs w:val="20"/>
              </w:rPr>
              <w:t>L2</w:t>
            </w:r>
          </w:p>
        </w:tc>
        <w:tc>
          <w:tcPr>
            <w:tcW w:w="728" w:type="dxa"/>
            <w:shd w:val="clear" w:color="auto" w:fill="auto"/>
            <w:noWrap/>
            <w:vAlign w:val="center"/>
            <w:hideMark/>
          </w:tcPr>
          <w:p w14:paraId="3407D157" w14:textId="77777777" w:rsidR="0010030C" w:rsidRPr="009A3034" w:rsidRDefault="0010030C" w:rsidP="00650395">
            <w:pPr>
              <w:spacing w:line="240" w:lineRule="auto"/>
              <w:jc w:val="center"/>
              <w:rPr>
                <w:rFonts w:eastAsia="Times New Roman" w:cs="Times New Roman"/>
                <w:b/>
                <w:bCs/>
                <w:color w:val="000000"/>
                <w:sz w:val="20"/>
                <w:szCs w:val="20"/>
              </w:rPr>
            </w:pPr>
            <w:r w:rsidRPr="009A3034">
              <w:rPr>
                <w:rFonts w:eastAsia="Times New Roman" w:cs="Times New Roman"/>
                <w:b/>
                <w:bCs/>
                <w:color w:val="000000"/>
                <w:sz w:val="20"/>
                <w:szCs w:val="20"/>
              </w:rPr>
              <w:t>L3</w:t>
            </w:r>
          </w:p>
        </w:tc>
        <w:tc>
          <w:tcPr>
            <w:tcW w:w="728" w:type="dxa"/>
            <w:shd w:val="clear" w:color="auto" w:fill="auto"/>
            <w:noWrap/>
            <w:vAlign w:val="center"/>
            <w:hideMark/>
          </w:tcPr>
          <w:p w14:paraId="2AF6B5B2" w14:textId="77777777" w:rsidR="0010030C" w:rsidRPr="009A3034" w:rsidRDefault="0010030C" w:rsidP="00650395">
            <w:pPr>
              <w:spacing w:line="240" w:lineRule="auto"/>
              <w:jc w:val="center"/>
              <w:rPr>
                <w:rFonts w:eastAsia="Times New Roman" w:cs="Times New Roman"/>
                <w:b/>
                <w:bCs/>
                <w:color w:val="000000"/>
                <w:sz w:val="20"/>
                <w:szCs w:val="20"/>
              </w:rPr>
            </w:pPr>
            <w:r w:rsidRPr="009A3034">
              <w:rPr>
                <w:rFonts w:eastAsia="Times New Roman" w:cs="Times New Roman"/>
                <w:b/>
                <w:bCs/>
                <w:color w:val="000000"/>
                <w:sz w:val="20"/>
                <w:szCs w:val="20"/>
              </w:rPr>
              <w:t>G1</w:t>
            </w:r>
          </w:p>
        </w:tc>
        <w:tc>
          <w:tcPr>
            <w:tcW w:w="732" w:type="dxa"/>
            <w:shd w:val="clear" w:color="auto" w:fill="auto"/>
            <w:noWrap/>
            <w:vAlign w:val="center"/>
            <w:hideMark/>
          </w:tcPr>
          <w:p w14:paraId="55A54541" w14:textId="77777777" w:rsidR="0010030C" w:rsidRPr="009A3034" w:rsidRDefault="0010030C" w:rsidP="00650395">
            <w:pPr>
              <w:spacing w:line="240" w:lineRule="auto"/>
              <w:jc w:val="center"/>
              <w:rPr>
                <w:rFonts w:eastAsia="Times New Roman" w:cs="Times New Roman"/>
                <w:b/>
                <w:bCs/>
                <w:color w:val="000000"/>
                <w:sz w:val="20"/>
                <w:szCs w:val="20"/>
              </w:rPr>
            </w:pPr>
            <w:r w:rsidRPr="009A3034">
              <w:rPr>
                <w:rFonts w:eastAsia="Times New Roman" w:cs="Times New Roman"/>
                <w:b/>
                <w:bCs/>
                <w:color w:val="000000"/>
                <w:sz w:val="20"/>
                <w:szCs w:val="20"/>
              </w:rPr>
              <w:t>R1</w:t>
            </w:r>
          </w:p>
        </w:tc>
        <w:tc>
          <w:tcPr>
            <w:tcW w:w="728" w:type="dxa"/>
            <w:shd w:val="clear" w:color="auto" w:fill="auto"/>
            <w:noWrap/>
            <w:vAlign w:val="center"/>
            <w:hideMark/>
          </w:tcPr>
          <w:p w14:paraId="405EB56A" w14:textId="77777777" w:rsidR="0010030C" w:rsidRPr="009A3034" w:rsidRDefault="0010030C" w:rsidP="00650395">
            <w:pPr>
              <w:spacing w:line="240" w:lineRule="auto"/>
              <w:jc w:val="center"/>
              <w:rPr>
                <w:rFonts w:eastAsia="Times New Roman" w:cs="Times New Roman"/>
                <w:b/>
                <w:bCs/>
                <w:color w:val="000000"/>
                <w:sz w:val="20"/>
                <w:szCs w:val="20"/>
              </w:rPr>
            </w:pPr>
            <w:r w:rsidRPr="009A3034">
              <w:rPr>
                <w:rFonts w:eastAsia="Times New Roman" w:cs="Times New Roman"/>
                <w:b/>
                <w:bCs/>
                <w:color w:val="000000"/>
                <w:sz w:val="20"/>
                <w:szCs w:val="20"/>
              </w:rPr>
              <w:t>L1</w:t>
            </w:r>
          </w:p>
        </w:tc>
        <w:tc>
          <w:tcPr>
            <w:tcW w:w="728" w:type="dxa"/>
            <w:shd w:val="clear" w:color="auto" w:fill="auto"/>
            <w:noWrap/>
            <w:vAlign w:val="center"/>
            <w:hideMark/>
          </w:tcPr>
          <w:p w14:paraId="0C628571" w14:textId="77777777" w:rsidR="0010030C" w:rsidRPr="009A3034" w:rsidRDefault="0010030C" w:rsidP="00650395">
            <w:pPr>
              <w:spacing w:line="240" w:lineRule="auto"/>
              <w:jc w:val="center"/>
              <w:rPr>
                <w:rFonts w:eastAsia="Times New Roman" w:cs="Times New Roman"/>
                <w:b/>
                <w:bCs/>
                <w:color w:val="000000"/>
                <w:sz w:val="20"/>
                <w:szCs w:val="20"/>
              </w:rPr>
            </w:pPr>
            <w:r w:rsidRPr="009A3034">
              <w:rPr>
                <w:rFonts w:eastAsia="Times New Roman" w:cs="Times New Roman"/>
                <w:b/>
                <w:bCs/>
                <w:color w:val="000000"/>
                <w:sz w:val="20"/>
                <w:szCs w:val="20"/>
              </w:rPr>
              <w:t>L2</w:t>
            </w:r>
          </w:p>
        </w:tc>
        <w:tc>
          <w:tcPr>
            <w:tcW w:w="728" w:type="dxa"/>
            <w:shd w:val="clear" w:color="auto" w:fill="auto"/>
            <w:noWrap/>
            <w:vAlign w:val="center"/>
            <w:hideMark/>
          </w:tcPr>
          <w:p w14:paraId="3AA6030A" w14:textId="77777777" w:rsidR="0010030C" w:rsidRPr="009A3034" w:rsidRDefault="0010030C" w:rsidP="00650395">
            <w:pPr>
              <w:spacing w:line="240" w:lineRule="auto"/>
              <w:jc w:val="center"/>
              <w:rPr>
                <w:rFonts w:eastAsia="Times New Roman" w:cs="Times New Roman"/>
                <w:b/>
                <w:bCs/>
                <w:color w:val="000000"/>
                <w:sz w:val="20"/>
                <w:szCs w:val="20"/>
              </w:rPr>
            </w:pPr>
            <w:r w:rsidRPr="009A3034">
              <w:rPr>
                <w:rFonts w:eastAsia="Times New Roman" w:cs="Times New Roman"/>
                <w:b/>
                <w:bCs/>
                <w:color w:val="000000"/>
                <w:sz w:val="20"/>
                <w:szCs w:val="20"/>
              </w:rPr>
              <w:t>L3</w:t>
            </w:r>
          </w:p>
        </w:tc>
        <w:tc>
          <w:tcPr>
            <w:tcW w:w="728" w:type="dxa"/>
            <w:shd w:val="clear" w:color="auto" w:fill="auto"/>
            <w:noWrap/>
            <w:vAlign w:val="center"/>
            <w:hideMark/>
          </w:tcPr>
          <w:p w14:paraId="0DCF58F3" w14:textId="77777777" w:rsidR="0010030C" w:rsidRPr="009A3034" w:rsidRDefault="0010030C" w:rsidP="00650395">
            <w:pPr>
              <w:spacing w:line="240" w:lineRule="auto"/>
              <w:jc w:val="center"/>
              <w:rPr>
                <w:rFonts w:eastAsia="Times New Roman" w:cs="Times New Roman"/>
                <w:b/>
                <w:bCs/>
                <w:color w:val="000000"/>
                <w:sz w:val="20"/>
                <w:szCs w:val="20"/>
              </w:rPr>
            </w:pPr>
            <w:r w:rsidRPr="009A3034">
              <w:rPr>
                <w:rFonts w:eastAsia="Times New Roman" w:cs="Times New Roman"/>
                <w:b/>
                <w:bCs/>
                <w:color w:val="000000"/>
                <w:sz w:val="20"/>
                <w:szCs w:val="20"/>
              </w:rPr>
              <w:t>G1</w:t>
            </w:r>
          </w:p>
        </w:tc>
        <w:tc>
          <w:tcPr>
            <w:tcW w:w="732" w:type="dxa"/>
            <w:shd w:val="clear" w:color="auto" w:fill="auto"/>
            <w:noWrap/>
            <w:vAlign w:val="center"/>
            <w:hideMark/>
          </w:tcPr>
          <w:p w14:paraId="66940C3C" w14:textId="77777777" w:rsidR="0010030C" w:rsidRPr="009A3034" w:rsidRDefault="0010030C" w:rsidP="00650395">
            <w:pPr>
              <w:spacing w:line="240" w:lineRule="auto"/>
              <w:jc w:val="center"/>
              <w:rPr>
                <w:rFonts w:eastAsia="Times New Roman" w:cs="Times New Roman"/>
                <w:b/>
                <w:bCs/>
                <w:color w:val="000000"/>
                <w:sz w:val="20"/>
                <w:szCs w:val="20"/>
              </w:rPr>
            </w:pPr>
            <w:r w:rsidRPr="009A3034">
              <w:rPr>
                <w:rFonts w:eastAsia="Times New Roman" w:cs="Times New Roman"/>
                <w:b/>
                <w:bCs/>
                <w:color w:val="000000"/>
                <w:sz w:val="20"/>
                <w:szCs w:val="20"/>
              </w:rPr>
              <w:t>R1</w:t>
            </w:r>
          </w:p>
        </w:tc>
      </w:tr>
      <w:tr w:rsidR="0010030C" w:rsidRPr="009A3034" w14:paraId="58BD3BDB" w14:textId="77777777" w:rsidTr="00BC398D">
        <w:trPr>
          <w:trHeight w:val="189"/>
        </w:trPr>
        <w:tc>
          <w:tcPr>
            <w:tcW w:w="1260" w:type="dxa"/>
            <w:vMerge w:val="restart"/>
            <w:shd w:val="clear" w:color="auto" w:fill="auto"/>
            <w:noWrap/>
            <w:vAlign w:val="center"/>
            <w:hideMark/>
          </w:tcPr>
          <w:p w14:paraId="7F39964B"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PG 64-22</w:t>
            </w:r>
          </w:p>
        </w:tc>
        <w:tc>
          <w:tcPr>
            <w:tcW w:w="810" w:type="dxa"/>
            <w:shd w:val="clear" w:color="auto" w:fill="auto"/>
            <w:noWrap/>
            <w:vAlign w:val="center"/>
            <w:hideMark/>
          </w:tcPr>
          <w:p w14:paraId="5F47A69E"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unaged</w:t>
            </w:r>
          </w:p>
        </w:tc>
        <w:tc>
          <w:tcPr>
            <w:tcW w:w="712" w:type="dxa"/>
            <w:shd w:val="clear" w:color="auto" w:fill="auto"/>
            <w:noWrap/>
            <w:vAlign w:val="center"/>
            <w:hideMark/>
          </w:tcPr>
          <w:p w14:paraId="5ACFE07A"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0.75</w:t>
            </w:r>
          </w:p>
        </w:tc>
        <w:tc>
          <w:tcPr>
            <w:tcW w:w="728" w:type="dxa"/>
            <w:shd w:val="clear" w:color="auto" w:fill="auto"/>
            <w:noWrap/>
            <w:vAlign w:val="center"/>
            <w:hideMark/>
          </w:tcPr>
          <w:p w14:paraId="73E3836E"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0.36</w:t>
            </w:r>
          </w:p>
        </w:tc>
        <w:tc>
          <w:tcPr>
            <w:tcW w:w="728" w:type="dxa"/>
            <w:shd w:val="clear" w:color="auto" w:fill="auto"/>
            <w:noWrap/>
            <w:vAlign w:val="center"/>
            <w:hideMark/>
          </w:tcPr>
          <w:p w14:paraId="7A360E5D"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0.49</w:t>
            </w:r>
          </w:p>
        </w:tc>
        <w:tc>
          <w:tcPr>
            <w:tcW w:w="728" w:type="dxa"/>
            <w:shd w:val="clear" w:color="auto" w:fill="auto"/>
            <w:noWrap/>
            <w:vAlign w:val="center"/>
            <w:hideMark/>
          </w:tcPr>
          <w:p w14:paraId="06D20C49"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0.46</w:t>
            </w:r>
          </w:p>
        </w:tc>
        <w:tc>
          <w:tcPr>
            <w:tcW w:w="732" w:type="dxa"/>
            <w:shd w:val="clear" w:color="auto" w:fill="auto"/>
            <w:noWrap/>
            <w:vAlign w:val="center"/>
            <w:hideMark/>
          </w:tcPr>
          <w:p w14:paraId="432E01CB"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1.11</w:t>
            </w:r>
          </w:p>
        </w:tc>
        <w:tc>
          <w:tcPr>
            <w:tcW w:w="728" w:type="dxa"/>
            <w:shd w:val="clear" w:color="auto" w:fill="auto"/>
            <w:noWrap/>
            <w:vAlign w:val="center"/>
            <w:hideMark/>
          </w:tcPr>
          <w:p w14:paraId="5707A834"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0.50</w:t>
            </w:r>
          </w:p>
        </w:tc>
        <w:tc>
          <w:tcPr>
            <w:tcW w:w="728" w:type="dxa"/>
            <w:shd w:val="clear" w:color="auto" w:fill="auto"/>
            <w:noWrap/>
            <w:vAlign w:val="center"/>
            <w:hideMark/>
          </w:tcPr>
          <w:p w14:paraId="5BCCBC77"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0.25</w:t>
            </w:r>
          </w:p>
        </w:tc>
        <w:tc>
          <w:tcPr>
            <w:tcW w:w="728" w:type="dxa"/>
            <w:shd w:val="clear" w:color="auto" w:fill="auto"/>
            <w:noWrap/>
            <w:vAlign w:val="center"/>
            <w:hideMark/>
          </w:tcPr>
          <w:p w14:paraId="5866F872"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0.36</w:t>
            </w:r>
          </w:p>
        </w:tc>
        <w:tc>
          <w:tcPr>
            <w:tcW w:w="728" w:type="dxa"/>
            <w:shd w:val="clear" w:color="auto" w:fill="auto"/>
            <w:noWrap/>
            <w:vAlign w:val="center"/>
            <w:hideMark/>
          </w:tcPr>
          <w:p w14:paraId="015617BE"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0.36</w:t>
            </w:r>
          </w:p>
        </w:tc>
        <w:tc>
          <w:tcPr>
            <w:tcW w:w="732" w:type="dxa"/>
            <w:shd w:val="clear" w:color="auto" w:fill="auto"/>
            <w:noWrap/>
            <w:vAlign w:val="center"/>
            <w:hideMark/>
          </w:tcPr>
          <w:p w14:paraId="5ED97DD5"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0.70</w:t>
            </w:r>
          </w:p>
        </w:tc>
      </w:tr>
      <w:tr w:rsidR="0010030C" w:rsidRPr="009A3034" w14:paraId="6FAB64B8" w14:textId="77777777" w:rsidTr="00BC398D">
        <w:trPr>
          <w:trHeight w:val="189"/>
        </w:trPr>
        <w:tc>
          <w:tcPr>
            <w:tcW w:w="1260" w:type="dxa"/>
            <w:vMerge/>
            <w:shd w:val="clear" w:color="auto" w:fill="auto"/>
            <w:vAlign w:val="center"/>
            <w:hideMark/>
          </w:tcPr>
          <w:p w14:paraId="6EAE1FF1" w14:textId="77777777" w:rsidR="0010030C" w:rsidRPr="009A3034" w:rsidRDefault="0010030C" w:rsidP="00650395">
            <w:pPr>
              <w:spacing w:line="240" w:lineRule="auto"/>
              <w:rPr>
                <w:rFonts w:eastAsia="Times New Roman" w:cs="Times New Roman"/>
                <w:color w:val="000000"/>
                <w:sz w:val="20"/>
                <w:szCs w:val="20"/>
              </w:rPr>
            </w:pPr>
          </w:p>
        </w:tc>
        <w:tc>
          <w:tcPr>
            <w:tcW w:w="810" w:type="dxa"/>
            <w:shd w:val="clear" w:color="auto" w:fill="auto"/>
            <w:noWrap/>
            <w:vAlign w:val="center"/>
            <w:hideMark/>
          </w:tcPr>
          <w:p w14:paraId="290C4328"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RTFO</w:t>
            </w:r>
          </w:p>
        </w:tc>
        <w:tc>
          <w:tcPr>
            <w:tcW w:w="712" w:type="dxa"/>
            <w:shd w:val="clear" w:color="auto" w:fill="auto"/>
            <w:noWrap/>
            <w:vAlign w:val="center"/>
            <w:hideMark/>
          </w:tcPr>
          <w:p w14:paraId="567930DE"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0.67</w:t>
            </w:r>
          </w:p>
        </w:tc>
        <w:tc>
          <w:tcPr>
            <w:tcW w:w="728" w:type="dxa"/>
            <w:shd w:val="clear" w:color="auto" w:fill="auto"/>
            <w:noWrap/>
            <w:vAlign w:val="center"/>
            <w:hideMark/>
          </w:tcPr>
          <w:p w14:paraId="02549E9A"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0.28</w:t>
            </w:r>
          </w:p>
        </w:tc>
        <w:tc>
          <w:tcPr>
            <w:tcW w:w="728" w:type="dxa"/>
            <w:shd w:val="clear" w:color="auto" w:fill="auto"/>
            <w:noWrap/>
            <w:vAlign w:val="center"/>
            <w:hideMark/>
          </w:tcPr>
          <w:p w14:paraId="03552748"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0.41</w:t>
            </w:r>
          </w:p>
        </w:tc>
        <w:tc>
          <w:tcPr>
            <w:tcW w:w="728" w:type="dxa"/>
            <w:shd w:val="clear" w:color="auto" w:fill="auto"/>
            <w:noWrap/>
            <w:vAlign w:val="center"/>
            <w:hideMark/>
          </w:tcPr>
          <w:p w14:paraId="74D0A483"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0.38</w:t>
            </w:r>
          </w:p>
        </w:tc>
        <w:tc>
          <w:tcPr>
            <w:tcW w:w="732" w:type="dxa"/>
            <w:shd w:val="clear" w:color="auto" w:fill="auto"/>
            <w:noWrap/>
            <w:vAlign w:val="center"/>
            <w:hideMark/>
          </w:tcPr>
          <w:p w14:paraId="03441EA3"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0.99</w:t>
            </w:r>
          </w:p>
        </w:tc>
        <w:tc>
          <w:tcPr>
            <w:tcW w:w="728" w:type="dxa"/>
            <w:shd w:val="clear" w:color="auto" w:fill="auto"/>
            <w:noWrap/>
            <w:vAlign w:val="center"/>
            <w:hideMark/>
          </w:tcPr>
          <w:p w14:paraId="67581885"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0.39</w:t>
            </w:r>
          </w:p>
        </w:tc>
        <w:tc>
          <w:tcPr>
            <w:tcW w:w="728" w:type="dxa"/>
            <w:shd w:val="clear" w:color="auto" w:fill="auto"/>
            <w:noWrap/>
            <w:vAlign w:val="center"/>
            <w:hideMark/>
          </w:tcPr>
          <w:p w14:paraId="39B1A732"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0.17</w:t>
            </w:r>
          </w:p>
        </w:tc>
        <w:tc>
          <w:tcPr>
            <w:tcW w:w="728" w:type="dxa"/>
            <w:shd w:val="clear" w:color="auto" w:fill="auto"/>
            <w:noWrap/>
            <w:vAlign w:val="center"/>
            <w:hideMark/>
          </w:tcPr>
          <w:p w14:paraId="6F6803D3"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0.26</w:t>
            </w:r>
          </w:p>
        </w:tc>
        <w:tc>
          <w:tcPr>
            <w:tcW w:w="728" w:type="dxa"/>
            <w:shd w:val="clear" w:color="auto" w:fill="auto"/>
            <w:noWrap/>
            <w:vAlign w:val="center"/>
            <w:hideMark/>
          </w:tcPr>
          <w:p w14:paraId="0467AD9E"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0.26</w:t>
            </w:r>
          </w:p>
        </w:tc>
        <w:tc>
          <w:tcPr>
            <w:tcW w:w="732" w:type="dxa"/>
            <w:shd w:val="clear" w:color="auto" w:fill="auto"/>
            <w:noWrap/>
            <w:vAlign w:val="center"/>
            <w:hideMark/>
          </w:tcPr>
          <w:p w14:paraId="187C3289"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0.55</w:t>
            </w:r>
          </w:p>
        </w:tc>
      </w:tr>
      <w:tr w:rsidR="0010030C" w:rsidRPr="009A3034" w14:paraId="4569BD3A" w14:textId="77777777" w:rsidTr="00BC398D">
        <w:trPr>
          <w:trHeight w:val="189"/>
        </w:trPr>
        <w:tc>
          <w:tcPr>
            <w:tcW w:w="1260" w:type="dxa"/>
            <w:vMerge/>
            <w:shd w:val="clear" w:color="auto" w:fill="auto"/>
            <w:vAlign w:val="center"/>
            <w:hideMark/>
          </w:tcPr>
          <w:p w14:paraId="1D43D477" w14:textId="77777777" w:rsidR="0010030C" w:rsidRPr="009A3034" w:rsidRDefault="0010030C" w:rsidP="00650395">
            <w:pPr>
              <w:spacing w:line="240" w:lineRule="auto"/>
              <w:rPr>
                <w:rFonts w:eastAsia="Times New Roman" w:cs="Times New Roman"/>
                <w:color w:val="000000"/>
                <w:sz w:val="20"/>
                <w:szCs w:val="20"/>
              </w:rPr>
            </w:pPr>
          </w:p>
        </w:tc>
        <w:tc>
          <w:tcPr>
            <w:tcW w:w="810" w:type="dxa"/>
            <w:shd w:val="clear" w:color="auto" w:fill="auto"/>
            <w:noWrap/>
            <w:vAlign w:val="center"/>
            <w:hideMark/>
          </w:tcPr>
          <w:p w14:paraId="4E3AA92E"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PAV</w:t>
            </w:r>
          </w:p>
        </w:tc>
        <w:tc>
          <w:tcPr>
            <w:tcW w:w="712" w:type="dxa"/>
            <w:shd w:val="clear" w:color="auto" w:fill="auto"/>
            <w:noWrap/>
            <w:vAlign w:val="center"/>
            <w:hideMark/>
          </w:tcPr>
          <w:p w14:paraId="3B791C48"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0.67</w:t>
            </w:r>
          </w:p>
        </w:tc>
        <w:tc>
          <w:tcPr>
            <w:tcW w:w="728" w:type="dxa"/>
            <w:shd w:val="clear" w:color="auto" w:fill="auto"/>
            <w:noWrap/>
            <w:vAlign w:val="center"/>
            <w:hideMark/>
          </w:tcPr>
          <w:p w14:paraId="303ED671"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0.30</w:t>
            </w:r>
          </w:p>
        </w:tc>
        <w:tc>
          <w:tcPr>
            <w:tcW w:w="728" w:type="dxa"/>
            <w:shd w:val="clear" w:color="auto" w:fill="auto"/>
            <w:noWrap/>
            <w:vAlign w:val="center"/>
            <w:hideMark/>
          </w:tcPr>
          <w:p w14:paraId="75B5702F"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0.41</w:t>
            </w:r>
          </w:p>
        </w:tc>
        <w:tc>
          <w:tcPr>
            <w:tcW w:w="728" w:type="dxa"/>
            <w:shd w:val="clear" w:color="auto" w:fill="auto"/>
            <w:noWrap/>
            <w:vAlign w:val="center"/>
            <w:hideMark/>
          </w:tcPr>
          <w:p w14:paraId="4C9DB1AF"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0.37</w:t>
            </w:r>
          </w:p>
        </w:tc>
        <w:tc>
          <w:tcPr>
            <w:tcW w:w="732" w:type="dxa"/>
            <w:shd w:val="clear" w:color="auto" w:fill="auto"/>
            <w:noWrap/>
            <w:vAlign w:val="center"/>
            <w:hideMark/>
          </w:tcPr>
          <w:p w14:paraId="58B67518"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0.96</w:t>
            </w:r>
          </w:p>
        </w:tc>
        <w:tc>
          <w:tcPr>
            <w:tcW w:w="728" w:type="dxa"/>
            <w:shd w:val="clear" w:color="auto" w:fill="auto"/>
            <w:noWrap/>
            <w:vAlign w:val="center"/>
            <w:hideMark/>
          </w:tcPr>
          <w:p w14:paraId="6AB6F07C"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0.40</w:t>
            </w:r>
          </w:p>
        </w:tc>
        <w:tc>
          <w:tcPr>
            <w:tcW w:w="728" w:type="dxa"/>
            <w:shd w:val="clear" w:color="auto" w:fill="auto"/>
            <w:noWrap/>
            <w:vAlign w:val="center"/>
            <w:hideMark/>
          </w:tcPr>
          <w:p w14:paraId="0734ABED"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0.19</w:t>
            </w:r>
          </w:p>
        </w:tc>
        <w:tc>
          <w:tcPr>
            <w:tcW w:w="728" w:type="dxa"/>
            <w:shd w:val="clear" w:color="auto" w:fill="auto"/>
            <w:noWrap/>
            <w:vAlign w:val="center"/>
            <w:hideMark/>
          </w:tcPr>
          <w:p w14:paraId="0AB465A3"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0.27</w:t>
            </w:r>
          </w:p>
        </w:tc>
        <w:tc>
          <w:tcPr>
            <w:tcW w:w="728" w:type="dxa"/>
            <w:shd w:val="clear" w:color="auto" w:fill="auto"/>
            <w:noWrap/>
            <w:vAlign w:val="center"/>
            <w:hideMark/>
          </w:tcPr>
          <w:p w14:paraId="45ABDD14"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0.26</w:t>
            </w:r>
          </w:p>
        </w:tc>
        <w:tc>
          <w:tcPr>
            <w:tcW w:w="732" w:type="dxa"/>
            <w:shd w:val="clear" w:color="auto" w:fill="auto"/>
            <w:noWrap/>
            <w:vAlign w:val="center"/>
            <w:hideMark/>
          </w:tcPr>
          <w:p w14:paraId="6D4D3150"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0.54</w:t>
            </w:r>
          </w:p>
        </w:tc>
      </w:tr>
      <w:tr w:rsidR="0010030C" w:rsidRPr="009A3034" w14:paraId="11B5C033" w14:textId="77777777" w:rsidTr="00BC398D">
        <w:trPr>
          <w:trHeight w:val="189"/>
        </w:trPr>
        <w:tc>
          <w:tcPr>
            <w:tcW w:w="1260" w:type="dxa"/>
            <w:vMerge w:val="restart"/>
            <w:shd w:val="clear" w:color="auto" w:fill="auto"/>
            <w:vAlign w:val="center"/>
            <w:hideMark/>
          </w:tcPr>
          <w:p w14:paraId="048D3AF5"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PG 64-22 + 0.5% WMA</w:t>
            </w:r>
          </w:p>
        </w:tc>
        <w:tc>
          <w:tcPr>
            <w:tcW w:w="810" w:type="dxa"/>
            <w:shd w:val="clear" w:color="auto" w:fill="auto"/>
            <w:noWrap/>
            <w:vAlign w:val="center"/>
            <w:hideMark/>
          </w:tcPr>
          <w:p w14:paraId="391B7729"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unaged</w:t>
            </w:r>
          </w:p>
        </w:tc>
        <w:tc>
          <w:tcPr>
            <w:tcW w:w="712" w:type="dxa"/>
            <w:shd w:val="clear" w:color="auto" w:fill="auto"/>
            <w:noWrap/>
            <w:vAlign w:val="center"/>
            <w:hideMark/>
          </w:tcPr>
          <w:p w14:paraId="6DB73589"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0.79</w:t>
            </w:r>
          </w:p>
        </w:tc>
        <w:tc>
          <w:tcPr>
            <w:tcW w:w="728" w:type="dxa"/>
            <w:shd w:val="clear" w:color="auto" w:fill="auto"/>
            <w:noWrap/>
            <w:vAlign w:val="center"/>
            <w:hideMark/>
          </w:tcPr>
          <w:p w14:paraId="288DBA36"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0.39</w:t>
            </w:r>
          </w:p>
        </w:tc>
        <w:tc>
          <w:tcPr>
            <w:tcW w:w="728" w:type="dxa"/>
            <w:shd w:val="clear" w:color="auto" w:fill="auto"/>
            <w:noWrap/>
            <w:vAlign w:val="center"/>
            <w:hideMark/>
          </w:tcPr>
          <w:p w14:paraId="602D83C1"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0.52</w:t>
            </w:r>
          </w:p>
        </w:tc>
        <w:tc>
          <w:tcPr>
            <w:tcW w:w="728" w:type="dxa"/>
            <w:shd w:val="clear" w:color="auto" w:fill="auto"/>
            <w:noWrap/>
            <w:vAlign w:val="center"/>
            <w:hideMark/>
          </w:tcPr>
          <w:p w14:paraId="4D2470A8"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0.47</w:t>
            </w:r>
          </w:p>
        </w:tc>
        <w:tc>
          <w:tcPr>
            <w:tcW w:w="732" w:type="dxa"/>
            <w:shd w:val="clear" w:color="auto" w:fill="auto"/>
            <w:noWrap/>
            <w:vAlign w:val="center"/>
            <w:hideMark/>
          </w:tcPr>
          <w:p w14:paraId="0A02CC4E"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1.13</w:t>
            </w:r>
          </w:p>
        </w:tc>
        <w:tc>
          <w:tcPr>
            <w:tcW w:w="728" w:type="dxa"/>
            <w:shd w:val="clear" w:color="auto" w:fill="auto"/>
            <w:noWrap/>
            <w:vAlign w:val="center"/>
            <w:hideMark/>
          </w:tcPr>
          <w:p w14:paraId="286475B3"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0.53</w:t>
            </w:r>
          </w:p>
        </w:tc>
        <w:tc>
          <w:tcPr>
            <w:tcW w:w="728" w:type="dxa"/>
            <w:shd w:val="clear" w:color="auto" w:fill="auto"/>
            <w:noWrap/>
            <w:vAlign w:val="center"/>
            <w:hideMark/>
          </w:tcPr>
          <w:p w14:paraId="310411B2"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0.29</w:t>
            </w:r>
          </w:p>
        </w:tc>
        <w:tc>
          <w:tcPr>
            <w:tcW w:w="728" w:type="dxa"/>
            <w:shd w:val="clear" w:color="auto" w:fill="auto"/>
            <w:noWrap/>
            <w:vAlign w:val="center"/>
            <w:hideMark/>
          </w:tcPr>
          <w:p w14:paraId="04279FF3"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0.38</w:t>
            </w:r>
          </w:p>
        </w:tc>
        <w:tc>
          <w:tcPr>
            <w:tcW w:w="728" w:type="dxa"/>
            <w:shd w:val="clear" w:color="auto" w:fill="auto"/>
            <w:noWrap/>
            <w:vAlign w:val="center"/>
            <w:hideMark/>
          </w:tcPr>
          <w:p w14:paraId="7F2FEF49"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0.37</w:t>
            </w:r>
          </w:p>
        </w:tc>
        <w:tc>
          <w:tcPr>
            <w:tcW w:w="732" w:type="dxa"/>
            <w:shd w:val="clear" w:color="auto" w:fill="auto"/>
            <w:noWrap/>
            <w:vAlign w:val="center"/>
            <w:hideMark/>
          </w:tcPr>
          <w:p w14:paraId="6CFBC4B2"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0.71</w:t>
            </w:r>
          </w:p>
        </w:tc>
      </w:tr>
      <w:tr w:rsidR="0010030C" w:rsidRPr="009A3034" w14:paraId="51A4BEA8" w14:textId="77777777" w:rsidTr="00BC398D">
        <w:trPr>
          <w:trHeight w:val="189"/>
        </w:trPr>
        <w:tc>
          <w:tcPr>
            <w:tcW w:w="1260" w:type="dxa"/>
            <w:vMerge/>
            <w:shd w:val="clear" w:color="auto" w:fill="auto"/>
            <w:vAlign w:val="center"/>
            <w:hideMark/>
          </w:tcPr>
          <w:p w14:paraId="049B2EC9" w14:textId="77777777" w:rsidR="0010030C" w:rsidRPr="009A3034" w:rsidRDefault="0010030C" w:rsidP="00650395">
            <w:pPr>
              <w:spacing w:line="240" w:lineRule="auto"/>
              <w:rPr>
                <w:rFonts w:eastAsia="Times New Roman" w:cs="Times New Roman"/>
                <w:color w:val="000000"/>
                <w:sz w:val="20"/>
                <w:szCs w:val="20"/>
              </w:rPr>
            </w:pPr>
          </w:p>
        </w:tc>
        <w:tc>
          <w:tcPr>
            <w:tcW w:w="810" w:type="dxa"/>
            <w:shd w:val="clear" w:color="auto" w:fill="auto"/>
            <w:noWrap/>
            <w:vAlign w:val="center"/>
            <w:hideMark/>
          </w:tcPr>
          <w:p w14:paraId="505E88B8"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RTFO</w:t>
            </w:r>
          </w:p>
        </w:tc>
        <w:tc>
          <w:tcPr>
            <w:tcW w:w="712" w:type="dxa"/>
            <w:shd w:val="clear" w:color="auto" w:fill="auto"/>
            <w:noWrap/>
            <w:vAlign w:val="center"/>
            <w:hideMark/>
          </w:tcPr>
          <w:p w14:paraId="55AFE16B"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0.70</w:t>
            </w:r>
          </w:p>
        </w:tc>
        <w:tc>
          <w:tcPr>
            <w:tcW w:w="728" w:type="dxa"/>
            <w:shd w:val="clear" w:color="auto" w:fill="auto"/>
            <w:noWrap/>
            <w:vAlign w:val="center"/>
            <w:hideMark/>
          </w:tcPr>
          <w:p w14:paraId="5767B942"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0.31</w:t>
            </w:r>
          </w:p>
        </w:tc>
        <w:tc>
          <w:tcPr>
            <w:tcW w:w="728" w:type="dxa"/>
            <w:shd w:val="clear" w:color="auto" w:fill="auto"/>
            <w:noWrap/>
            <w:vAlign w:val="center"/>
            <w:hideMark/>
          </w:tcPr>
          <w:p w14:paraId="413B0EB0"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0.44</w:t>
            </w:r>
          </w:p>
        </w:tc>
        <w:tc>
          <w:tcPr>
            <w:tcW w:w="728" w:type="dxa"/>
            <w:shd w:val="clear" w:color="auto" w:fill="auto"/>
            <w:noWrap/>
            <w:vAlign w:val="center"/>
            <w:hideMark/>
          </w:tcPr>
          <w:p w14:paraId="11AF5D7E"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0.40</w:t>
            </w:r>
          </w:p>
        </w:tc>
        <w:tc>
          <w:tcPr>
            <w:tcW w:w="732" w:type="dxa"/>
            <w:shd w:val="clear" w:color="auto" w:fill="auto"/>
            <w:noWrap/>
            <w:vAlign w:val="center"/>
            <w:hideMark/>
          </w:tcPr>
          <w:p w14:paraId="0FA25F4D"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1.05</w:t>
            </w:r>
          </w:p>
        </w:tc>
        <w:tc>
          <w:tcPr>
            <w:tcW w:w="728" w:type="dxa"/>
            <w:shd w:val="clear" w:color="auto" w:fill="auto"/>
            <w:noWrap/>
            <w:vAlign w:val="center"/>
            <w:hideMark/>
          </w:tcPr>
          <w:p w14:paraId="632ECD1C"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0.42</w:t>
            </w:r>
          </w:p>
        </w:tc>
        <w:tc>
          <w:tcPr>
            <w:tcW w:w="728" w:type="dxa"/>
            <w:shd w:val="clear" w:color="auto" w:fill="auto"/>
            <w:noWrap/>
            <w:vAlign w:val="center"/>
            <w:hideMark/>
          </w:tcPr>
          <w:p w14:paraId="157F9799"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0.19</w:t>
            </w:r>
          </w:p>
        </w:tc>
        <w:tc>
          <w:tcPr>
            <w:tcW w:w="728" w:type="dxa"/>
            <w:shd w:val="clear" w:color="auto" w:fill="auto"/>
            <w:noWrap/>
            <w:vAlign w:val="center"/>
            <w:hideMark/>
          </w:tcPr>
          <w:p w14:paraId="5AE775B0"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0.29</w:t>
            </w:r>
          </w:p>
        </w:tc>
        <w:tc>
          <w:tcPr>
            <w:tcW w:w="728" w:type="dxa"/>
            <w:shd w:val="clear" w:color="auto" w:fill="auto"/>
            <w:noWrap/>
            <w:vAlign w:val="center"/>
            <w:hideMark/>
          </w:tcPr>
          <w:p w14:paraId="7C9AC81C"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0.29</w:t>
            </w:r>
          </w:p>
        </w:tc>
        <w:tc>
          <w:tcPr>
            <w:tcW w:w="732" w:type="dxa"/>
            <w:shd w:val="clear" w:color="auto" w:fill="auto"/>
            <w:noWrap/>
            <w:vAlign w:val="center"/>
            <w:hideMark/>
          </w:tcPr>
          <w:p w14:paraId="58FBDEF2"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0.59</w:t>
            </w:r>
          </w:p>
        </w:tc>
      </w:tr>
      <w:tr w:rsidR="0010030C" w:rsidRPr="009A3034" w14:paraId="4B24B058" w14:textId="77777777" w:rsidTr="00BC398D">
        <w:trPr>
          <w:trHeight w:val="189"/>
        </w:trPr>
        <w:tc>
          <w:tcPr>
            <w:tcW w:w="1260" w:type="dxa"/>
            <w:vMerge/>
            <w:shd w:val="clear" w:color="auto" w:fill="auto"/>
            <w:vAlign w:val="center"/>
            <w:hideMark/>
          </w:tcPr>
          <w:p w14:paraId="38331D95" w14:textId="77777777" w:rsidR="0010030C" w:rsidRPr="009A3034" w:rsidRDefault="0010030C" w:rsidP="00650395">
            <w:pPr>
              <w:spacing w:line="240" w:lineRule="auto"/>
              <w:rPr>
                <w:rFonts w:eastAsia="Times New Roman" w:cs="Times New Roman"/>
                <w:color w:val="000000"/>
                <w:sz w:val="20"/>
                <w:szCs w:val="20"/>
              </w:rPr>
            </w:pPr>
          </w:p>
        </w:tc>
        <w:tc>
          <w:tcPr>
            <w:tcW w:w="810" w:type="dxa"/>
            <w:shd w:val="clear" w:color="auto" w:fill="auto"/>
            <w:noWrap/>
            <w:vAlign w:val="center"/>
            <w:hideMark/>
          </w:tcPr>
          <w:p w14:paraId="1C029BD9"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PAV</w:t>
            </w:r>
          </w:p>
        </w:tc>
        <w:tc>
          <w:tcPr>
            <w:tcW w:w="712" w:type="dxa"/>
            <w:shd w:val="clear" w:color="auto" w:fill="auto"/>
            <w:noWrap/>
            <w:vAlign w:val="center"/>
            <w:hideMark/>
          </w:tcPr>
          <w:p w14:paraId="2B218895"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0.79</w:t>
            </w:r>
          </w:p>
        </w:tc>
        <w:tc>
          <w:tcPr>
            <w:tcW w:w="728" w:type="dxa"/>
            <w:shd w:val="clear" w:color="auto" w:fill="auto"/>
            <w:noWrap/>
            <w:vAlign w:val="center"/>
            <w:hideMark/>
          </w:tcPr>
          <w:p w14:paraId="4081912C"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0.40</w:t>
            </w:r>
          </w:p>
        </w:tc>
        <w:tc>
          <w:tcPr>
            <w:tcW w:w="728" w:type="dxa"/>
            <w:shd w:val="clear" w:color="auto" w:fill="auto"/>
            <w:noWrap/>
            <w:vAlign w:val="center"/>
            <w:hideMark/>
          </w:tcPr>
          <w:p w14:paraId="45AB250B"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0.54</w:t>
            </w:r>
          </w:p>
        </w:tc>
        <w:tc>
          <w:tcPr>
            <w:tcW w:w="728" w:type="dxa"/>
            <w:shd w:val="clear" w:color="auto" w:fill="auto"/>
            <w:noWrap/>
            <w:vAlign w:val="center"/>
            <w:hideMark/>
          </w:tcPr>
          <w:p w14:paraId="51B8EB97"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0.50</w:t>
            </w:r>
          </w:p>
        </w:tc>
        <w:tc>
          <w:tcPr>
            <w:tcW w:w="732" w:type="dxa"/>
            <w:shd w:val="clear" w:color="auto" w:fill="auto"/>
            <w:noWrap/>
            <w:vAlign w:val="center"/>
            <w:hideMark/>
          </w:tcPr>
          <w:p w14:paraId="3E32DC78"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1.17</w:t>
            </w:r>
          </w:p>
        </w:tc>
        <w:tc>
          <w:tcPr>
            <w:tcW w:w="728" w:type="dxa"/>
            <w:shd w:val="clear" w:color="auto" w:fill="auto"/>
            <w:noWrap/>
            <w:vAlign w:val="center"/>
            <w:hideMark/>
          </w:tcPr>
          <w:p w14:paraId="4040AE8D"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0.55</w:t>
            </w:r>
          </w:p>
        </w:tc>
        <w:tc>
          <w:tcPr>
            <w:tcW w:w="728" w:type="dxa"/>
            <w:shd w:val="clear" w:color="auto" w:fill="auto"/>
            <w:noWrap/>
            <w:vAlign w:val="center"/>
            <w:hideMark/>
          </w:tcPr>
          <w:p w14:paraId="0C753197"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0.30</w:t>
            </w:r>
          </w:p>
        </w:tc>
        <w:tc>
          <w:tcPr>
            <w:tcW w:w="728" w:type="dxa"/>
            <w:shd w:val="clear" w:color="auto" w:fill="auto"/>
            <w:noWrap/>
            <w:vAlign w:val="center"/>
            <w:hideMark/>
          </w:tcPr>
          <w:p w14:paraId="06FC2395"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0.41</w:t>
            </w:r>
          </w:p>
        </w:tc>
        <w:tc>
          <w:tcPr>
            <w:tcW w:w="728" w:type="dxa"/>
            <w:shd w:val="clear" w:color="auto" w:fill="auto"/>
            <w:noWrap/>
            <w:vAlign w:val="center"/>
            <w:hideMark/>
          </w:tcPr>
          <w:p w14:paraId="11EDC7AD"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0.40</w:t>
            </w:r>
          </w:p>
        </w:tc>
        <w:tc>
          <w:tcPr>
            <w:tcW w:w="732" w:type="dxa"/>
            <w:shd w:val="clear" w:color="auto" w:fill="auto"/>
            <w:noWrap/>
            <w:vAlign w:val="center"/>
            <w:hideMark/>
          </w:tcPr>
          <w:p w14:paraId="6A11E254"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0.78</w:t>
            </w:r>
          </w:p>
        </w:tc>
      </w:tr>
      <w:tr w:rsidR="0010030C" w:rsidRPr="009A3034" w14:paraId="2472AFDF" w14:textId="77777777" w:rsidTr="00BC398D">
        <w:trPr>
          <w:trHeight w:val="189"/>
        </w:trPr>
        <w:tc>
          <w:tcPr>
            <w:tcW w:w="1260" w:type="dxa"/>
            <w:vMerge w:val="restart"/>
            <w:shd w:val="clear" w:color="auto" w:fill="auto"/>
            <w:vAlign w:val="center"/>
            <w:hideMark/>
          </w:tcPr>
          <w:p w14:paraId="598DF529"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PG 64-22 + 0.5% ASA</w:t>
            </w:r>
          </w:p>
        </w:tc>
        <w:tc>
          <w:tcPr>
            <w:tcW w:w="810" w:type="dxa"/>
            <w:shd w:val="clear" w:color="auto" w:fill="auto"/>
            <w:noWrap/>
            <w:vAlign w:val="center"/>
            <w:hideMark/>
          </w:tcPr>
          <w:p w14:paraId="360313E4"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unaged</w:t>
            </w:r>
          </w:p>
        </w:tc>
        <w:tc>
          <w:tcPr>
            <w:tcW w:w="712" w:type="dxa"/>
            <w:shd w:val="clear" w:color="auto" w:fill="auto"/>
            <w:noWrap/>
            <w:vAlign w:val="center"/>
            <w:hideMark/>
          </w:tcPr>
          <w:p w14:paraId="2F1EDE2E"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0.80</w:t>
            </w:r>
          </w:p>
        </w:tc>
        <w:tc>
          <w:tcPr>
            <w:tcW w:w="728" w:type="dxa"/>
            <w:shd w:val="clear" w:color="auto" w:fill="auto"/>
            <w:noWrap/>
            <w:vAlign w:val="center"/>
            <w:hideMark/>
          </w:tcPr>
          <w:p w14:paraId="4E3E6812"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0.42</w:t>
            </w:r>
          </w:p>
        </w:tc>
        <w:tc>
          <w:tcPr>
            <w:tcW w:w="728" w:type="dxa"/>
            <w:shd w:val="clear" w:color="auto" w:fill="auto"/>
            <w:noWrap/>
            <w:vAlign w:val="center"/>
            <w:hideMark/>
          </w:tcPr>
          <w:p w14:paraId="4B2B60D1"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0.51</w:t>
            </w:r>
          </w:p>
        </w:tc>
        <w:tc>
          <w:tcPr>
            <w:tcW w:w="728" w:type="dxa"/>
            <w:shd w:val="clear" w:color="auto" w:fill="auto"/>
            <w:noWrap/>
            <w:vAlign w:val="center"/>
            <w:hideMark/>
          </w:tcPr>
          <w:p w14:paraId="5A2E0971"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0.45</w:t>
            </w:r>
          </w:p>
        </w:tc>
        <w:tc>
          <w:tcPr>
            <w:tcW w:w="732" w:type="dxa"/>
            <w:shd w:val="clear" w:color="auto" w:fill="auto"/>
            <w:noWrap/>
            <w:vAlign w:val="center"/>
            <w:hideMark/>
          </w:tcPr>
          <w:p w14:paraId="332D13E3"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1.05</w:t>
            </w:r>
          </w:p>
        </w:tc>
        <w:tc>
          <w:tcPr>
            <w:tcW w:w="728" w:type="dxa"/>
            <w:shd w:val="clear" w:color="auto" w:fill="auto"/>
            <w:noWrap/>
            <w:vAlign w:val="center"/>
            <w:hideMark/>
          </w:tcPr>
          <w:p w14:paraId="6360AB27"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0.53</w:t>
            </w:r>
          </w:p>
        </w:tc>
        <w:tc>
          <w:tcPr>
            <w:tcW w:w="728" w:type="dxa"/>
            <w:shd w:val="clear" w:color="auto" w:fill="auto"/>
            <w:noWrap/>
            <w:vAlign w:val="center"/>
            <w:hideMark/>
          </w:tcPr>
          <w:p w14:paraId="0E92E025"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0.30</w:t>
            </w:r>
          </w:p>
        </w:tc>
        <w:tc>
          <w:tcPr>
            <w:tcW w:w="728" w:type="dxa"/>
            <w:shd w:val="clear" w:color="auto" w:fill="auto"/>
            <w:noWrap/>
            <w:vAlign w:val="center"/>
            <w:hideMark/>
          </w:tcPr>
          <w:p w14:paraId="33ADB147"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0.37</w:t>
            </w:r>
          </w:p>
        </w:tc>
        <w:tc>
          <w:tcPr>
            <w:tcW w:w="728" w:type="dxa"/>
            <w:shd w:val="clear" w:color="auto" w:fill="auto"/>
            <w:noWrap/>
            <w:vAlign w:val="center"/>
            <w:hideMark/>
          </w:tcPr>
          <w:p w14:paraId="2976AF5C"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0.34</w:t>
            </w:r>
          </w:p>
        </w:tc>
        <w:tc>
          <w:tcPr>
            <w:tcW w:w="732" w:type="dxa"/>
            <w:shd w:val="clear" w:color="auto" w:fill="auto"/>
            <w:noWrap/>
            <w:vAlign w:val="center"/>
            <w:hideMark/>
          </w:tcPr>
          <w:p w14:paraId="49322999"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0.64</w:t>
            </w:r>
          </w:p>
        </w:tc>
      </w:tr>
      <w:tr w:rsidR="0010030C" w:rsidRPr="009A3034" w14:paraId="728FFCC5" w14:textId="77777777" w:rsidTr="00BC398D">
        <w:trPr>
          <w:trHeight w:val="189"/>
        </w:trPr>
        <w:tc>
          <w:tcPr>
            <w:tcW w:w="1260" w:type="dxa"/>
            <w:vMerge/>
            <w:shd w:val="clear" w:color="auto" w:fill="auto"/>
            <w:vAlign w:val="center"/>
            <w:hideMark/>
          </w:tcPr>
          <w:p w14:paraId="5ED1B6F5" w14:textId="77777777" w:rsidR="0010030C" w:rsidRPr="009A3034" w:rsidRDefault="0010030C" w:rsidP="00650395">
            <w:pPr>
              <w:spacing w:line="240" w:lineRule="auto"/>
              <w:rPr>
                <w:rFonts w:eastAsia="Times New Roman" w:cs="Times New Roman"/>
                <w:color w:val="000000"/>
                <w:sz w:val="20"/>
                <w:szCs w:val="20"/>
              </w:rPr>
            </w:pPr>
          </w:p>
        </w:tc>
        <w:tc>
          <w:tcPr>
            <w:tcW w:w="810" w:type="dxa"/>
            <w:shd w:val="clear" w:color="auto" w:fill="auto"/>
            <w:noWrap/>
            <w:vAlign w:val="center"/>
            <w:hideMark/>
          </w:tcPr>
          <w:p w14:paraId="2E64B0A5"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RTFO</w:t>
            </w:r>
          </w:p>
        </w:tc>
        <w:tc>
          <w:tcPr>
            <w:tcW w:w="712" w:type="dxa"/>
            <w:shd w:val="clear" w:color="auto" w:fill="auto"/>
            <w:noWrap/>
            <w:vAlign w:val="center"/>
            <w:hideMark/>
          </w:tcPr>
          <w:p w14:paraId="67D96309"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0.69</w:t>
            </w:r>
          </w:p>
        </w:tc>
        <w:tc>
          <w:tcPr>
            <w:tcW w:w="728" w:type="dxa"/>
            <w:shd w:val="clear" w:color="auto" w:fill="auto"/>
            <w:noWrap/>
            <w:vAlign w:val="center"/>
            <w:hideMark/>
          </w:tcPr>
          <w:p w14:paraId="19B939D9"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0.31</w:t>
            </w:r>
          </w:p>
        </w:tc>
        <w:tc>
          <w:tcPr>
            <w:tcW w:w="728" w:type="dxa"/>
            <w:shd w:val="clear" w:color="auto" w:fill="auto"/>
            <w:noWrap/>
            <w:vAlign w:val="center"/>
            <w:hideMark/>
          </w:tcPr>
          <w:p w14:paraId="71ECEAAF"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0.43</w:t>
            </w:r>
          </w:p>
        </w:tc>
        <w:tc>
          <w:tcPr>
            <w:tcW w:w="728" w:type="dxa"/>
            <w:shd w:val="clear" w:color="auto" w:fill="auto"/>
            <w:noWrap/>
            <w:vAlign w:val="center"/>
            <w:hideMark/>
          </w:tcPr>
          <w:p w14:paraId="28F425E6"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0.39</w:t>
            </w:r>
          </w:p>
        </w:tc>
        <w:tc>
          <w:tcPr>
            <w:tcW w:w="732" w:type="dxa"/>
            <w:shd w:val="clear" w:color="auto" w:fill="auto"/>
            <w:noWrap/>
            <w:vAlign w:val="center"/>
            <w:hideMark/>
          </w:tcPr>
          <w:p w14:paraId="395EB8CE"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1.01</w:t>
            </w:r>
          </w:p>
        </w:tc>
        <w:tc>
          <w:tcPr>
            <w:tcW w:w="728" w:type="dxa"/>
            <w:shd w:val="clear" w:color="auto" w:fill="auto"/>
            <w:noWrap/>
            <w:vAlign w:val="center"/>
            <w:hideMark/>
          </w:tcPr>
          <w:p w14:paraId="01E47EEC"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0.41</w:t>
            </w:r>
          </w:p>
        </w:tc>
        <w:tc>
          <w:tcPr>
            <w:tcW w:w="728" w:type="dxa"/>
            <w:shd w:val="clear" w:color="auto" w:fill="auto"/>
            <w:noWrap/>
            <w:vAlign w:val="center"/>
            <w:hideMark/>
          </w:tcPr>
          <w:p w14:paraId="35E5CD2C"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0.19</w:t>
            </w:r>
          </w:p>
        </w:tc>
        <w:tc>
          <w:tcPr>
            <w:tcW w:w="728" w:type="dxa"/>
            <w:shd w:val="clear" w:color="auto" w:fill="auto"/>
            <w:noWrap/>
            <w:vAlign w:val="center"/>
            <w:hideMark/>
          </w:tcPr>
          <w:p w14:paraId="4BFCD59F"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0.28</w:t>
            </w:r>
          </w:p>
        </w:tc>
        <w:tc>
          <w:tcPr>
            <w:tcW w:w="728" w:type="dxa"/>
            <w:shd w:val="clear" w:color="auto" w:fill="auto"/>
            <w:noWrap/>
            <w:vAlign w:val="center"/>
            <w:hideMark/>
          </w:tcPr>
          <w:p w14:paraId="3D9C0DED"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0.28</w:t>
            </w:r>
          </w:p>
        </w:tc>
        <w:tc>
          <w:tcPr>
            <w:tcW w:w="732" w:type="dxa"/>
            <w:shd w:val="clear" w:color="auto" w:fill="auto"/>
            <w:noWrap/>
            <w:vAlign w:val="center"/>
            <w:hideMark/>
          </w:tcPr>
          <w:p w14:paraId="26CF1CC8"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0.58</w:t>
            </w:r>
          </w:p>
        </w:tc>
      </w:tr>
      <w:tr w:rsidR="0010030C" w:rsidRPr="009A3034" w14:paraId="3AA57B61" w14:textId="77777777" w:rsidTr="00BC398D">
        <w:trPr>
          <w:trHeight w:val="189"/>
        </w:trPr>
        <w:tc>
          <w:tcPr>
            <w:tcW w:w="1260" w:type="dxa"/>
            <w:vMerge/>
            <w:shd w:val="clear" w:color="auto" w:fill="auto"/>
            <w:vAlign w:val="center"/>
            <w:hideMark/>
          </w:tcPr>
          <w:p w14:paraId="18E102C9" w14:textId="77777777" w:rsidR="0010030C" w:rsidRPr="009A3034" w:rsidRDefault="0010030C" w:rsidP="00650395">
            <w:pPr>
              <w:spacing w:line="240" w:lineRule="auto"/>
              <w:rPr>
                <w:rFonts w:eastAsia="Times New Roman" w:cs="Times New Roman"/>
                <w:color w:val="000000"/>
                <w:sz w:val="20"/>
                <w:szCs w:val="20"/>
              </w:rPr>
            </w:pPr>
          </w:p>
        </w:tc>
        <w:tc>
          <w:tcPr>
            <w:tcW w:w="810" w:type="dxa"/>
            <w:shd w:val="clear" w:color="auto" w:fill="auto"/>
            <w:noWrap/>
            <w:vAlign w:val="center"/>
            <w:hideMark/>
          </w:tcPr>
          <w:p w14:paraId="0B349E2F"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PAV</w:t>
            </w:r>
          </w:p>
        </w:tc>
        <w:tc>
          <w:tcPr>
            <w:tcW w:w="712" w:type="dxa"/>
            <w:shd w:val="clear" w:color="auto" w:fill="auto"/>
            <w:noWrap/>
            <w:vAlign w:val="center"/>
            <w:hideMark/>
          </w:tcPr>
          <w:p w14:paraId="7CA51749"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0.71</w:t>
            </w:r>
          </w:p>
        </w:tc>
        <w:tc>
          <w:tcPr>
            <w:tcW w:w="728" w:type="dxa"/>
            <w:shd w:val="clear" w:color="auto" w:fill="auto"/>
            <w:noWrap/>
            <w:vAlign w:val="center"/>
            <w:hideMark/>
          </w:tcPr>
          <w:p w14:paraId="647B3DC9"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0.32</w:t>
            </w:r>
          </w:p>
        </w:tc>
        <w:tc>
          <w:tcPr>
            <w:tcW w:w="728" w:type="dxa"/>
            <w:shd w:val="clear" w:color="auto" w:fill="auto"/>
            <w:noWrap/>
            <w:vAlign w:val="center"/>
            <w:hideMark/>
          </w:tcPr>
          <w:p w14:paraId="66FE2202"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0.45</w:t>
            </w:r>
          </w:p>
        </w:tc>
        <w:tc>
          <w:tcPr>
            <w:tcW w:w="728" w:type="dxa"/>
            <w:shd w:val="clear" w:color="auto" w:fill="auto"/>
            <w:noWrap/>
            <w:vAlign w:val="center"/>
            <w:hideMark/>
          </w:tcPr>
          <w:p w14:paraId="3E6B8656"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0.41</w:t>
            </w:r>
          </w:p>
        </w:tc>
        <w:tc>
          <w:tcPr>
            <w:tcW w:w="732" w:type="dxa"/>
            <w:shd w:val="clear" w:color="auto" w:fill="auto"/>
            <w:noWrap/>
            <w:vAlign w:val="center"/>
            <w:hideMark/>
          </w:tcPr>
          <w:p w14:paraId="3E0D6264"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1.04</w:t>
            </w:r>
          </w:p>
        </w:tc>
        <w:tc>
          <w:tcPr>
            <w:tcW w:w="728" w:type="dxa"/>
            <w:shd w:val="clear" w:color="auto" w:fill="auto"/>
            <w:noWrap/>
            <w:vAlign w:val="center"/>
            <w:hideMark/>
          </w:tcPr>
          <w:p w14:paraId="2284654E"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0.44</w:t>
            </w:r>
          </w:p>
        </w:tc>
        <w:tc>
          <w:tcPr>
            <w:tcW w:w="728" w:type="dxa"/>
            <w:shd w:val="clear" w:color="auto" w:fill="auto"/>
            <w:noWrap/>
            <w:vAlign w:val="center"/>
            <w:hideMark/>
          </w:tcPr>
          <w:p w14:paraId="4C2F260B"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0.21</w:t>
            </w:r>
          </w:p>
        </w:tc>
        <w:tc>
          <w:tcPr>
            <w:tcW w:w="728" w:type="dxa"/>
            <w:shd w:val="clear" w:color="auto" w:fill="auto"/>
            <w:noWrap/>
            <w:vAlign w:val="center"/>
            <w:hideMark/>
          </w:tcPr>
          <w:p w14:paraId="47D3637D"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0.30</w:t>
            </w:r>
          </w:p>
        </w:tc>
        <w:tc>
          <w:tcPr>
            <w:tcW w:w="728" w:type="dxa"/>
            <w:shd w:val="clear" w:color="auto" w:fill="auto"/>
            <w:noWrap/>
            <w:vAlign w:val="center"/>
            <w:hideMark/>
          </w:tcPr>
          <w:p w14:paraId="139C970B"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0.30</w:t>
            </w:r>
          </w:p>
        </w:tc>
        <w:tc>
          <w:tcPr>
            <w:tcW w:w="732" w:type="dxa"/>
            <w:shd w:val="clear" w:color="auto" w:fill="auto"/>
            <w:noWrap/>
            <w:vAlign w:val="center"/>
            <w:hideMark/>
          </w:tcPr>
          <w:p w14:paraId="795B324C"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0.62</w:t>
            </w:r>
          </w:p>
        </w:tc>
      </w:tr>
      <w:tr w:rsidR="0010030C" w:rsidRPr="009A3034" w14:paraId="127C55B4" w14:textId="77777777" w:rsidTr="00BC398D">
        <w:trPr>
          <w:trHeight w:val="189"/>
        </w:trPr>
        <w:tc>
          <w:tcPr>
            <w:tcW w:w="1260" w:type="dxa"/>
            <w:vMerge w:val="restart"/>
            <w:shd w:val="clear" w:color="auto" w:fill="auto"/>
            <w:vAlign w:val="center"/>
            <w:hideMark/>
          </w:tcPr>
          <w:p w14:paraId="797B161F"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PG 64-22 + 20% RAP</w:t>
            </w:r>
          </w:p>
        </w:tc>
        <w:tc>
          <w:tcPr>
            <w:tcW w:w="810" w:type="dxa"/>
            <w:shd w:val="clear" w:color="auto" w:fill="auto"/>
            <w:noWrap/>
            <w:vAlign w:val="center"/>
            <w:hideMark/>
          </w:tcPr>
          <w:p w14:paraId="020C93F5"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unaged</w:t>
            </w:r>
          </w:p>
        </w:tc>
        <w:tc>
          <w:tcPr>
            <w:tcW w:w="712" w:type="dxa"/>
            <w:shd w:val="clear" w:color="auto" w:fill="auto"/>
            <w:noWrap/>
            <w:vAlign w:val="center"/>
            <w:hideMark/>
          </w:tcPr>
          <w:p w14:paraId="3794D8AC"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0.74</w:t>
            </w:r>
          </w:p>
        </w:tc>
        <w:tc>
          <w:tcPr>
            <w:tcW w:w="728" w:type="dxa"/>
            <w:shd w:val="clear" w:color="auto" w:fill="auto"/>
            <w:noWrap/>
            <w:vAlign w:val="center"/>
            <w:hideMark/>
          </w:tcPr>
          <w:p w14:paraId="644920F1"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0.35</w:t>
            </w:r>
          </w:p>
        </w:tc>
        <w:tc>
          <w:tcPr>
            <w:tcW w:w="728" w:type="dxa"/>
            <w:shd w:val="clear" w:color="auto" w:fill="auto"/>
            <w:noWrap/>
            <w:vAlign w:val="center"/>
            <w:hideMark/>
          </w:tcPr>
          <w:p w14:paraId="6481A1F4"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0.47</w:t>
            </w:r>
          </w:p>
        </w:tc>
        <w:tc>
          <w:tcPr>
            <w:tcW w:w="728" w:type="dxa"/>
            <w:shd w:val="clear" w:color="auto" w:fill="auto"/>
            <w:noWrap/>
            <w:vAlign w:val="center"/>
            <w:hideMark/>
          </w:tcPr>
          <w:p w14:paraId="5C2EF6C3"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0.42</w:t>
            </w:r>
          </w:p>
        </w:tc>
        <w:tc>
          <w:tcPr>
            <w:tcW w:w="732" w:type="dxa"/>
            <w:shd w:val="clear" w:color="auto" w:fill="auto"/>
            <w:noWrap/>
            <w:vAlign w:val="center"/>
            <w:hideMark/>
          </w:tcPr>
          <w:p w14:paraId="10BD90FA"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1.04</w:t>
            </w:r>
          </w:p>
        </w:tc>
        <w:tc>
          <w:tcPr>
            <w:tcW w:w="728" w:type="dxa"/>
            <w:shd w:val="clear" w:color="auto" w:fill="auto"/>
            <w:noWrap/>
            <w:vAlign w:val="center"/>
            <w:hideMark/>
          </w:tcPr>
          <w:p w14:paraId="536F7D24"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0.47</w:t>
            </w:r>
          </w:p>
        </w:tc>
        <w:tc>
          <w:tcPr>
            <w:tcW w:w="728" w:type="dxa"/>
            <w:shd w:val="clear" w:color="auto" w:fill="auto"/>
            <w:noWrap/>
            <w:vAlign w:val="center"/>
            <w:hideMark/>
          </w:tcPr>
          <w:p w14:paraId="7720C25D"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0.24</w:t>
            </w:r>
          </w:p>
        </w:tc>
        <w:tc>
          <w:tcPr>
            <w:tcW w:w="728" w:type="dxa"/>
            <w:shd w:val="clear" w:color="auto" w:fill="auto"/>
            <w:noWrap/>
            <w:vAlign w:val="center"/>
            <w:hideMark/>
          </w:tcPr>
          <w:p w14:paraId="3ECD6664"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0.33</w:t>
            </w:r>
          </w:p>
        </w:tc>
        <w:tc>
          <w:tcPr>
            <w:tcW w:w="728" w:type="dxa"/>
            <w:shd w:val="clear" w:color="auto" w:fill="auto"/>
            <w:noWrap/>
            <w:vAlign w:val="center"/>
            <w:hideMark/>
          </w:tcPr>
          <w:p w14:paraId="68DDE6DD"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0.32</w:t>
            </w:r>
          </w:p>
        </w:tc>
        <w:tc>
          <w:tcPr>
            <w:tcW w:w="732" w:type="dxa"/>
            <w:shd w:val="clear" w:color="auto" w:fill="auto"/>
            <w:noWrap/>
            <w:vAlign w:val="center"/>
            <w:hideMark/>
          </w:tcPr>
          <w:p w14:paraId="23EE92A4"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0.62</w:t>
            </w:r>
          </w:p>
        </w:tc>
      </w:tr>
      <w:tr w:rsidR="0010030C" w:rsidRPr="009A3034" w14:paraId="4E1CFE4E" w14:textId="77777777" w:rsidTr="00BC398D">
        <w:trPr>
          <w:trHeight w:val="189"/>
        </w:trPr>
        <w:tc>
          <w:tcPr>
            <w:tcW w:w="1260" w:type="dxa"/>
            <w:vMerge/>
            <w:shd w:val="clear" w:color="auto" w:fill="auto"/>
            <w:vAlign w:val="center"/>
            <w:hideMark/>
          </w:tcPr>
          <w:p w14:paraId="46F08FBD" w14:textId="77777777" w:rsidR="0010030C" w:rsidRPr="009A3034" w:rsidRDefault="0010030C" w:rsidP="00650395">
            <w:pPr>
              <w:spacing w:line="240" w:lineRule="auto"/>
              <w:rPr>
                <w:rFonts w:eastAsia="Times New Roman" w:cs="Times New Roman"/>
                <w:color w:val="000000"/>
                <w:sz w:val="20"/>
                <w:szCs w:val="20"/>
              </w:rPr>
            </w:pPr>
          </w:p>
        </w:tc>
        <w:tc>
          <w:tcPr>
            <w:tcW w:w="810" w:type="dxa"/>
            <w:shd w:val="clear" w:color="auto" w:fill="auto"/>
            <w:noWrap/>
            <w:vAlign w:val="center"/>
            <w:hideMark/>
          </w:tcPr>
          <w:p w14:paraId="15C72C17"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RTFO</w:t>
            </w:r>
          </w:p>
        </w:tc>
        <w:tc>
          <w:tcPr>
            <w:tcW w:w="712" w:type="dxa"/>
            <w:shd w:val="clear" w:color="auto" w:fill="auto"/>
            <w:noWrap/>
            <w:vAlign w:val="center"/>
            <w:hideMark/>
          </w:tcPr>
          <w:p w14:paraId="14F32D73"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0.73</w:t>
            </w:r>
          </w:p>
        </w:tc>
        <w:tc>
          <w:tcPr>
            <w:tcW w:w="728" w:type="dxa"/>
            <w:shd w:val="clear" w:color="auto" w:fill="auto"/>
            <w:noWrap/>
            <w:vAlign w:val="center"/>
            <w:hideMark/>
          </w:tcPr>
          <w:p w14:paraId="50234601"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0.33</w:t>
            </w:r>
          </w:p>
        </w:tc>
        <w:tc>
          <w:tcPr>
            <w:tcW w:w="728" w:type="dxa"/>
            <w:shd w:val="clear" w:color="auto" w:fill="auto"/>
            <w:noWrap/>
            <w:vAlign w:val="center"/>
            <w:hideMark/>
          </w:tcPr>
          <w:p w14:paraId="74417B29"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0.47</w:t>
            </w:r>
          </w:p>
        </w:tc>
        <w:tc>
          <w:tcPr>
            <w:tcW w:w="728" w:type="dxa"/>
            <w:shd w:val="clear" w:color="auto" w:fill="auto"/>
            <w:noWrap/>
            <w:vAlign w:val="center"/>
            <w:hideMark/>
          </w:tcPr>
          <w:p w14:paraId="0F1EDC31"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0.43</w:t>
            </w:r>
          </w:p>
        </w:tc>
        <w:tc>
          <w:tcPr>
            <w:tcW w:w="732" w:type="dxa"/>
            <w:shd w:val="clear" w:color="auto" w:fill="auto"/>
            <w:noWrap/>
            <w:vAlign w:val="center"/>
            <w:hideMark/>
          </w:tcPr>
          <w:p w14:paraId="2DF206DD"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1.08</w:t>
            </w:r>
          </w:p>
        </w:tc>
        <w:tc>
          <w:tcPr>
            <w:tcW w:w="728" w:type="dxa"/>
            <w:shd w:val="clear" w:color="auto" w:fill="auto"/>
            <w:noWrap/>
            <w:vAlign w:val="center"/>
            <w:hideMark/>
          </w:tcPr>
          <w:p w14:paraId="38FE1591"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0.45</w:t>
            </w:r>
          </w:p>
        </w:tc>
        <w:tc>
          <w:tcPr>
            <w:tcW w:w="728" w:type="dxa"/>
            <w:shd w:val="clear" w:color="auto" w:fill="auto"/>
            <w:noWrap/>
            <w:vAlign w:val="center"/>
            <w:hideMark/>
          </w:tcPr>
          <w:p w14:paraId="068E27E2"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0.22</w:t>
            </w:r>
          </w:p>
        </w:tc>
        <w:tc>
          <w:tcPr>
            <w:tcW w:w="728" w:type="dxa"/>
            <w:shd w:val="clear" w:color="auto" w:fill="auto"/>
            <w:noWrap/>
            <w:vAlign w:val="center"/>
            <w:hideMark/>
          </w:tcPr>
          <w:p w14:paraId="169CB22A"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0.32</w:t>
            </w:r>
          </w:p>
        </w:tc>
        <w:tc>
          <w:tcPr>
            <w:tcW w:w="728" w:type="dxa"/>
            <w:shd w:val="clear" w:color="auto" w:fill="auto"/>
            <w:noWrap/>
            <w:vAlign w:val="center"/>
            <w:hideMark/>
          </w:tcPr>
          <w:p w14:paraId="146BBD6B"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0.32</w:t>
            </w:r>
          </w:p>
        </w:tc>
        <w:tc>
          <w:tcPr>
            <w:tcW w:w="732" w:type="dxa"/>
            <w:shd w:val="clear" w:color="auto" w:fill="auto"/>
            <w:noWrap/>
            <w:vAlign w:val="center"/>
            <w:hideMark/>
          </w:tcPr>
          <w:p w14:paraId="044E6247"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0.64</w:t>
            </w:r>
          </w:p>
        </w:tc>
      </w:tr>
      <w:tr w:rsidR="0010030C" w:rsidRPr="009A3034" w14:paraId="61A29E35" w14:textId="77777777" w:rsidTr="00BC398D">
        <w:trPr>
          <w:trHeight w:val="189"/>
        </w:trPr>
        <w:tc>
          <w:tcPr>
            <w:tcW w:w="1260" w:type="dxa"/>
            <w:vMerge/>
            <w:shd w:val="clear" w:color="auto" w:fill="auto"/>
            <w:vAlign w:val="center"/>
            <w:hideMark/>
          </w:tcPr>
          <w:p w14:paraId="4954DF3C" w14:textId="77777777" w:rsidR="0010030C" w:rsidRPr="009A3034" w:rsidRDefault="0010030C" w:rsidP="00650395">
            <w:pPr>
              <w:spacing w:line="240" w:lineRule="auto"/>
              <w:rPr>
                <w:rFonts w:eastAsia="Times New Roman" w:cs="Times New Roman"/>
                <w:color w:val="000000"/>
                <w:sz w:val="20"/>
                <w:szCs w:val="20"/>
              </w:rPr>
            </w:pPr>
          </w:p>
        </w:tc>
        <w:tc>
          <w:tcPr>
            <w:tcW w:w="810" w:type="dxa"/>
            <w:shd w:val="clear" w:color="auto" w:fill="auto"/>
            <w:noWrap/>
            <w:vAlign w:val="center"/>
            <w:hideMark/>
          </w:tcPr>
          <w:p w14:paraId="5804E606"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PAV</w:t>
            </w:r>
          </w:p>
        </w:tc>
        <w:tc>
          <w:tcPr>
            <w:tcW w:w="712" w:type="dxa"/>
            <w:shd w:val="clear" w:color="auto" w:fill="auto"/>
            <w:noWrap/>
            <w:vAlign w:val="center"/>
            <w:hideMark/>
          </w:tcPr>
          <w:p w14:paraId="4EF95D3B"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0.61</w:t>
            </w:r>
          </w:p>
        </w:tc>
        <w:tc>
          <w:tcPr>
            <w:tcW w:w="728" w:type="dxa"/>
            <w:shd w:val="clear" w:color="auto" w:fill="auto"/>
            <w:noWrap/>
            <w:vAlign w:val="center"/>
            <w:hideMark/>
          </w:tcPr>
          <w:p w14:paraId="4F7A6D3C"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0.25</w:t>
            </w:r>
          </w:p>
        </w:tc>
        <w:tc>
          <w:tcPr>
            <w:tcW w:w="728" w:type="dxa"/>
            <w:shd w:val="clear" w:color="auto" w:fill="auto"/>
            <w:noWrap/>
            <w:vAlign w:val="center"/>
            <w:hideMark/>
          </w:tcPr>
          <w:p w14:paraId="26BD779B"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0.36</w:t>
            </w:r>
          </w:p>
        </w:tc>
        <w:tc>
          <w:tcPr>
            <w:tcW w:w="728" w:type="dxa"/>
            <w:shd w:val="clear" w:color="auto" w:fill="auto"/>
            <w:noWrap/>
            <w:vAlign w:val="center"/>
            <w:hideMark/>
          </w:tcPr>
          <w:p w14:paraId="4DA242DC"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0.31</w:t>
            </w:r>
          </w:p>
        </w:tc>
        <w:tc>
          <w:tcPr>
            <w:tcW w:w="732" w:type="dxa"/>
            <w:shd w:val="clear" w:color="auto" w:fill="auto"/>
            <w:noWrap/>
            <w:vAlign w:val="center"/>
            <w:hideMark/>
          </w:tcPr>
          <w:p w14:paraId="64EBCBAF"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0.87</w:t>
            </w:r>
          </w:p>
        </w:tc>
        <w:tc>
          <w:tcPr>
            <w:tcW w:w="728" w:type="dxa"/>
            <w:shd w:val="clear" w:color="auto" w:fill="auto"/>
            <w:noWrap/>
            <w:vAlign w:val="center"/>
            <w:hideMark/>
          </w:tcPr>
          <w:p w14:paraId="44F1E9A4"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0.33</w:t>
            </w:r>
          </w:p>
        </w:tc>
        <w:tc>
          <w:tcPr>
            <w:tcW w:w="728" w:type="dxa"/>
            <w:shd w:val="clear" w:color="auto" w:fill="auto"/>
            <w:noWrap/>
            <w:vAlign w:val="center"/>
            <w:hideMark/>
          </w:tcPr>
          <w:p w14:paraId="0F9D1618"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0.14</w:t>
            </w:r>
          </w:p>
        </w:tc>
        <w:tc>
          <w:tcPr>
            <w:tcW w:w="728" w:type="dxa"/>
            <w:shd w:val="clear" w:color="auto" w:fill="auto"/>
            <w:noWrap/>
            <w:vAlign w:val="center"/>
            <w:hideMark/>
          </w:tcPr>
          <w:p w14:paraId="18653E35"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0.21</w:t>
            </w:r>
          </w:p>
        </w:tc>
        <w:tc>
          <w:tcPr>
            <w:tcW w:w="728" w:type="dxa"/>
            <w:shd w:val="clear" w:color="auto" w:fill="auto"/>
            <w:noWrap/>
            <w:vAlign w:val="center"/>
            <w:hideMark/>
          </w:tcPr>
          <w:p w14:paraId="7F104686"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0.20</w:t>
            </w:r>
          </w:p>
        </w:tc>
        <w:tc>
          <w:tcPr>
            <w:tcW w:w="732" w:type="dxa"/>
            <w:shd w:val="clear" w:color="auto" w:fill="auto"/>
            <w:noWrap/>
            <w:vAlign w:val="center"/>
            <w:hideMark/>
          </w:tcPr>
          <w:p w14:paraId="2E6E89A0"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0.43</w:t>
            </w:r>
          </w:p>
        </w:tc>
      </w:tr>
      <w:tr w:rsidR="0010030C" w:rsidRPr="009A3034" w14:paraId="436CF7BF" w14:textId="77777777" w:rsidTr="00BC398D">
        <w:trPr>
          <w:trHeight w:val="189"/>
        </w:trPr>
        <w:tc>
          <w:tcPr>
            <w:tcW w:w="1260" w:type="dxa"/>
            <w:vMerge w:val="restart"/>
            <w:shd w:val="clear" w:color="auto" w:fill="auto"/>
            <w:vAlign w:val="center"/>
            <w:hideMark/>
          </w:tcPr>
          <w:p w14:paraId="369C445A"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PG 64-22 + 1.5% PPA</w:t>
            </w:r>
          </w:p>
        </w:tc>
        <w:tc>
          <w:tcPr>
            <w:tcW w:w="810" w:type="dxa"/>
            <w:shd w:val="clear" w:color="auto" w:fill="auto"/>
            <w:noWrap/>
            <w:vAlign w:val="center"/>
            <w:hideMark/>
          </w:tcPr>
          <w:p w14:paraId="23F6F628"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unaged</w:t>
            </w:r>
          </w:p>
        </w:tc>
        <w:tc>
          <w:tcPr>
            <w:tcW w:w="712" w:type="dxa"/>
            <w:shd w:val="clear" w:color="auto" w:fill="auto"/>
            <w:noWrap/>
            <w:vAlign w:val="center"/>
            <w:hideMark/>
          </w:tcPr>
          <w:p w14:paraId="544E1E9E"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0.74</w:t>
            </w:r>
          </w:p>
        </w:tc>
        <w:tc>
          <w:tcPr>
            <w:tcW w:w="728" w:type="dxa"/>
            <w:shd w:val="clear" w:color="auto" w:fill="auto"/>
            <w:noWrap/>
            <w:vAlign w:val="center"/>
            <w:hideMark/>
          </w:tcPr>
          <w:p w14:paraId="53F9752E"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0.37</w:t>
            </w:r>
          </w:p>
        </w:tc>
        <w:tc>
          <w:tcPr>
            <w:tcW w:w="728" w:type="dxa"/>
            <w:shd w:val="clear" w:color="auto" w:fill="auto"/>
            <w:noWrap/>
            <w:vAlign w:val="center"/>
            <w:hideMark/>
          </w:tcPr>
          <w:p w14:paraId="24114120"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0.48</w:t>
            </w:r>
          </w:p>
        </w:tc>
        <w:tc>
          <w:tcPr>
            <w:tcW w:w="728" w:type="dxa"/>
            <w:shd w:val="clear" w:color="auto" w:fill="auto"/>
            <w:noWrap/>
            <w:vAlign w:val="center"/>
            <w:hideMark/>
          </w:tcPr>
          <w:p w14:paraId="44FC332E"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0.44</w:t>
            </w:r>
          </w:p>
        </w:tc>
        <w:tc>
          <w:tcPr>
            <w:tcW w:w="732" w:type="dxa"/>
            <w:shd w:val="clear" w:color="auto" w:fill="auto"/>
            <w:noWrap/>
            <w:vAlign w:val="center"/>
            <w:hideMark/>
          </w:tcPr>
          <w:p w14:paraId="1A443B4A"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1.04</w:t>
            </w:r>
          </w:p>
        </w:tc>
        <w:tc>
          <w:tcPr>
            <w:tcW w:w="728" w:type="dxa"/>
            <w:shd w:val="clear" w:color="auto" w:fill="auto"/>
            <w:noWrap/>
            <w:vAlign w:val="center"/>
            <w:hideMark/>
          </w:tcPr>
          <w:p w14:paraId="46A3359D"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0.49</w:t>
            </w:r>
          </w:p>
        </w:tc>
        <w:tc>
          <w:tcPr>
            <w:tcW w:w="728" w:type="dxa"/>
            <w:shd w:val="clear" w:color="auto" w:fill="auto"/>
            <w:noWrap/>
            <w:vAlign w:val="center"/>
            <w:hideMark/>
          </w:tcPr>
          <w:p w14:paraId="7E4C968E"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0.27</w:t>
            </w:r>
          </w:p>
        </w:tc>
        <w:tc>
          <w:tcPr>
            <w:tcW w:w="728" w:type="dxa"/>
            <w:shd w:val="clear" w:color="auto" w:fill="auto"/>
            <w:noWrap/>
            <w:vAlign w:val="center"/>
            <w:hideMark/>
          </w:tcPr>
          <w:p w14:paraId="5B38D393"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0.35</w:t>
            </w:r>
          </w:p>
        </w:tc>
        <w:tc>
          <w:tcPr>
            <w:tcW w:w="728" w:type="dxa"/>
            <w:shd w:val="clear" w:color="auto" w:fill="auto"/>
            <w:noWrap/>
            <w:vAlign w:val="center"/>
            <w:hideMark/>
          </w:tcPr>
          <w:p w14:paraId="2E199056"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0.34</w:t>
            </w:r>
          </w:p>
        </w:tc>
        <w:tc>
          <w:tcPr>
            <w:tcW w:w="732" w:type="dxa"/>
            <w:shd w:val="clear" w:color="auto" w:fill="auto"/>
            <w:noWrap/>
            <w:vAlign w:val="center"/>
            <w:hideMark/>
          </w:tcPr>
          <w:p w14:paraId="25C2F63B"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0.66</w:t>
            </w:r>
          </w:p>
        </w:tc>
      </w:tr>
      <w:tr w:rsidR="0010030C" w:rsidRPr="009A3034" w14:paraId="335F1D13" w14:textId="77777777" w:rsidTr="00BC398D">
        <w:trPr>
          <w:trHeight w:val="189"/>
        </w:trPr>
        <w:tc>
          <w:tcPr>
            <w:tcW w:w="1260" w:type="dxa"/>
            <w:vMerge/>
            <w:shd w:val="clear" w:color="auto" w:fill="auto"/>
            <w:vAlign w:val="center"/>
            <w:hideMark/>
          </w:tcPr>
          <w:p w14:paraId="46692AB6" w14:textId="77777777" w:rsidR="0010030C" w:rsidRPr="009A3034" w:rsidRDefault="0010030C" w:rsidP="00650395">
            <w:pPr>
              <w:spacing w:line="240" w:lineRule="auto"/>
              <w:rPr>
                <w:rFonts w:eastAsia="Times New Roman" w:cs="Times New Roman"/>
                <w:color w:val="000000"/>
                <w:sz w:val="20"/>
                <w:szCs w:val="20"/>
              </w:rPr>
            </w:pPr>
          </w:p>
        </w:tc>
        <w:tc>
          <w:tcPr>
            <w:tcW w:w="810" w:type="dxa"/>
            <w:shd w:val="clear" w:color="auto" w:fill="auto"/>
            <w:noWrap/>
            <w:vAlign w:val="center"/>
            <w:hideMark/>
          </w:tcPr>
          <w:p w14:paraId="4B98572B"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RTFO</w:t>
            </w:r>
          </w:p>
        </w:tc>
        <w:tc>
          <w:tcPr>
            <w:tcW w:w="712" w:type="dxa"/>
            <w:shd w:val="clear" w:color="auto" w:fill="auto"/>
            <w:noWrap/>
            <w:vAlign w:val="center"/>
            <w:hideMark/>
          </w:tcPr>
          <w:p w14:paraId="2E54D84D"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0.79</w:t>
            </w:r>
          </w:p>
        </w:tc>
        <w:tc>
          <w:tcPr>
            <w:tcW w:w="728" w:type="dxa"/>
            <w:shd w:val="clear" w:color="auto" w:fill="auto"/>
            <w:noWrap/>
            <w:vAlign w:val="center"/>
            <w:hideMark/>
          </w:tcPr>
          <w:p w14:paraId="07FAC6FC"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0.43</w:t>
            </w:r>
          </w:p>
        </w:tc>
        <w:tc>
          <w:tcPr>
            <w:tcW w:w="728" w:type="dxa"/>
            <w:shd w:val="clear" w:color="auto" w:fill="auto"/>
            <w:noWrap/>
            <w:vAlign w:val="center"/>
            <w:hideMark/>
          </w:tcPr>
          <w:p w14:paraId="3AB07030"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0.50</w:t>
            </w:r>
          </w:p>
        </w:tc>
        <w:tc>
          <w:tcPr>
            <w:tcW w:w="728" w:type="dxa"/>
            <w:shd w:val="clear" w:color="auto" w:fill="auto"/>
            <w:noWrap/>
            <w:vAlign w:val="center"/>
            <w:hideMark/>
          </w:tcPr>
          <w:p w14:paraId="1DCCB596"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0.42</w:t>
            </w:r>
          </w:p>
        </w:tc>
        <w:tc>
          <w:tcPr>
            <w:tcW w:w="732" w:type="dxa"/>
            <w:shd w:val="clear" w:color="auto" w:fill="auto"/>
            <w:noWrap/>
            <w:vAlign w:val="center"/>
            <w:hideMark/>
          </w:tcPr>
          <w:p w14:paraId="515EEE4B"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0.96</w:t>
            </w:r>
          </w:p>
        </w:tc>
        <w:tc>
          <w:tcPr>
            <w:tcW w:w="728" w:type="dxa"/>
            <w:shd w:val="clear" w:color="auto" w:fill="auto"/>
            <w:noWrap/>
            <w:vAlign w:val="center"/>
            <w:hideMark/>
          </w:tcPr>
          <w:p w14:paraId="41E892EE"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0.52</w:t>
            </w:r>
          </w:p>
        </w:tc>
        <w:tc>
          <w:tcPr>
            <w:tcW w:w="728" w:type="dxa"/>
            <w:shd w:val="clear" w:color="auto" w:fill="auto"/>
            <w:noWrap/>
            <w:vAlign w:val="center"/>
            <w:hideMark/>
          </w:tcPr>
          <w:p w14:paraId="12598C94"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0.31</w:t>
            </w:r>
          </w:p>
        </w:tc>
        <w:tc>
          <w:tcPr>
            <w:tcW w:w="728" w:type="dxa"/>
            <w:shd w:val="clear" w:color="auto" w:fill="auto"/>
            <w:noWrap/>
            <w:vAlign w:val="center"/>
            <w:hideMark/>
          </w:tcPr>
          <w:p w14:paraId="1072D49F"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0.35</w:t>
            </w:r>
          </w:p>
        </w:tc>
        <w:tc>
          <w:tcPr>
            <w:tcW w:w="728" w:type="dxa"/>
            <w:shd w:val="clear" w:color="auto" w:fill="auto"/>
            <w:noWrap/>
            <w:vAlign w:val="center"/>
            <w:hideMark/>
          </w:tcPr>
          <w:p w14:paraId="20539CD9"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0.32</w:t>
            </w:r>
          </w:p>
        </w:tc>
        <w:tc>
          <w:tcPr>
            <w:tcW w:w="732" w:type="dxa"/>
            <w:shd w:val="clear" w:color="auto" w:fill="auto"/>
            <w:noWrap/>
            <w:vAlign w:val="center"/>
            <w:hideMark/>
          </w:tcPr>
          <w:p w14:paraId="42B4F671"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0.58</w:t>
            </w:r>
          </w:p>
        </w:tc>
      </w:tr>
      <w:tr w:rsidR="0010030C" w:rsidRPr="009A3034" w14:paraId="0F27CFFD" w14:textId="77777777" w:rsidTr="00BC398D">
        <w:trPr>
          <w:trHeight w:val="189"/>
        </w:trPr>
        <w:tc>
          <w:tcPr>
            <w:tcW w:w="1260" w:type="dxa"/>
            <w:vMerge/>
            <w:shd w:val="clear" w:color="auto" w:fill="auto"/>
            <w:vAlign w:val="center"/>
            <w:hideMark/>
          </w:tcPr>
          <w:p w14:paraId="62EB3B71" w14:textId="77777777" w:rsidR="0010030C" w:rsidRPr="009A3034" w:rsidRDefault="0010030C" w:rsidP="00650395">
            <w:pPr>
              <w:spacing w:line="240" w:lineRule="auto"/>
              <w:rPr>
                <w:rFonts w:eastAsia="Times New Roman" w:cs="Times New Roman"/>
                <w:color w:val="000000"/>
                <w:sz w:val="20"/>
                <w:szCs w:val="20"/>
              </w:rPr>
            </w:pPr>
          </w:p>
        </w:tc>
        <w:tc>
          <w:tcPr>
            <w:tcW w:w="810" w:type="dxa"/>
            <w:shd w:val="clear" w:color="auto" w:fill="auto"/>
            <w:noWrap/>
            <w:vAlign w:val="center"/>
            <w:hideMark/>
          </w:tcPr>
          <w:p w14:paraId="75543A36"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PAV</w:t>
            </w:r>
          </w:p>
        </w:tc>
        <w:tc>
          <w:tcPr>
            <w:tcW w:w="712" w:type="dxa"/>
            <w:shd w:val="clear" w:color="auto" w:fill="auto"/>
            <w:noWrap/>
            <w:vAlign w:val="center"/>
            <w:hideMark/>
          </w:tcPr>
          <w:p w14:paraId="3B4A137E"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0.72</w:t>
            </w:r>
          </w:p>
        </w:tc>
        <w:tc>
          <w:tcPr>
            <w:tcW w:w="728" w:type="dxa"/>
            <w:shd w:val="clear" w:color="auto" w:fill="auto"/>
            <w:noWrap/>
            <w:vAlign w:val="center"/>
            <w:hideMark/>
          </w:tcPr>
          <w:p w14:paraId="23DA9594"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0.39</w:t>
            </w:r>
          </w:p>
        </w:tc>
        <w:tc>
          <w:tcPr>
            <w:tcW w:w="728" w:type="dxa"/>
            <w:shd w:val="clear" w:color="auto" w:fill="auto"/>
            <w:noWrap/>
            <w:vAlign w:val="center"/>
            <w:hideMark/>
          </w:tcPr>
          <w:p w14:paraId="13A90936"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0.43</w:t>
            </w:r>
          </w:p>
        </w:tc>
        <w:tc>
          <w:tcPr>
            <w:tcW w:w="728" w:type="dxa"/>
            <w:shd w:val="clear" w:color="auto" w:fill="auto"/>
            <w:noWrap/>
            <w:vAlign w:val="center"/>
            <w:hideMark/>
          </w:tcPr>
          <w:p w14:paraId="56D32A2B"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0.35</w:t>
            </w:r>
          </w:p>
        </w:tc>
        <w:tc>
          <w:tcPr>
            <w:tcW w:w="732" w:type="dxa"/>
            <w:shd w:val="clear" w:color="auto" w:fill="auto"/>
            <w:noWrap/>
            <w:vAlign w:val="center"/>
            <w:hideMark/>
          </w:tcPr>
          <w:p w14:paraId="7E058D62"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0.84</w:t>
            </w:r>
          </w:p>
        </w:tc>
        <w:tc>
          <w:tcPr>
            <w:tcW w:w="728" w:type="dxa"/>
            <w:shd w:val="clear" w:color="auto" w:fill="auto"/>
            <w:noWrap/>
            <w:vAlign w:val="center"/>
            <w:hideMark/>
          </w:tcPr>
          <w:p w14:paraId="360DD9AB"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0.46</w:t>
            </w:r>
          </w:p>
        </w:tc>
        <w:tc>
          <w:tcPr>
            <w:tcW w:w="728" w:type="dxa"/>
            <w:shd w:val="clear" w:color="auto" w:fill="auto"/>
            <w:noWrap/>
            <w:vAlign w:val="center"/>
            <w:hideMark/>
          </w:tcPr>
          <w:p w14:paraId="4C6452B5"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0.28</w:t>
            </w:r>
          </w:p>
        </w:tc>
        <w:tc>
          <w:tcPr>
            <w:tcW w:w="728" w:type="dxa"/>
            <w:shd w:val="clear" w:color="auto" w:fill="auto"/>
            <w:noWrap/>
            <w:vAlign w:val="center"/>
            <w:hideMark/>
          </w:tcPr>
          <w:p w14:paraId="3FC5BE93"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0.30</w:t>
            </w:r>
          </w:p>
        </w:tc>
        <w:tc>
          <w:tcPr>
            <w:tcW w:w="728" w:type="dxa"/>
            <w:shd w:val="clear" w:color="auto" w:fill="auto"/>
            <w:noWrap/>
            <w:vAlign w:val="center"/>
            <w:hideMark/>
          </w:tcPr>
          <w:p w14:paraId="202CD88F"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0.25</w:t>
            </w:r>
          </w:p>
        </w:tc>
        <w:tc>
          <w:tcPr>
            <w:tcW w:w="732" w:type="dxa"/>
            <w:shd w:val="clear" w:color="auto" w:fill="auto"/>
            <w:noWrap/>
            <w:vAlign w:val="center"/>
            <w:hideMark/>
          </w:tcPr>
          <w:p w14:paraId="737CA08A"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0.48</w:t>
            </w:r>
          </w:p>
        </w:tc>
      </w:tr>
      <w:tr w:rsidR="0010030C" w:rsidRPr="009A3034" w14:paraId="45DE6459" w14:textId="77777777" w:rsidTr="00BC398D">
        <w:trPr>
          <w:trHeight w:val="189"/>
        </w:trPr>
        <w:tc>
          <w:tcPr>
            <w:tcW w:w="1260" w:type="dxa"/>
            <w:vMerge w:val="restart"/>
            <w:shd w:val="clear" w:color="auto" w:fill="auto"/>
            <w:noWrap/>
            <w:vAlign w:val="center"/>
            <w:hideMark/>
          </w:tcPr>
          <w:p w14:paraId="0562C826"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PG 76-28</w:t>
            </w:r>
          </w:p>
        </w:tc>
        <w:tc>
          <w:tcPr>
            <w:tcW w:w="810" w:type="dxa"/>
            <w:shd w:val="clear" w:color="auto" w:fill="auto"/>
            <w:noWrap/>
            <w:vAlign w:val="center"/>
            <w:hideMark/>
          </w:tcPr>
          <w:p w14:paraId="39A505DD"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unaged</w:t>
            </w:r>
          </w:p>
        </w:tc>
        <w:tc>
          <w:tcPr>
            <w:tcW w:w="712" w:type="dxa"/>
            <w:shd w:val="clear" w:color="auto" w:fill="auto"/>
            <w:noWrap/>
            <w:vAlign w:val="center"/>
            <w:hideMark/>
          </w:tcPr>
          <w:p w14:paraId="0ADEC1A3"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0.51</w:t>
            </w:r>
          </w:p>
        </w:tc>
        <w:tc>
          <w:tcPr>
            <w:tcW w:w="728" w:type="dxa"/>
            <w:shd w:val="clear" w:color="auto" w:fill="auto"/>
            <w:noWrap/>
            <w:vAlign w:val="center"/>
            <w:hideMark/>
          </w:tcPr>
          <w:p w14:paraId="1EB72F3B"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0.29</w:t>
            </w:r>
          </w:p>
        </w:tc>
        <w:tc>
          <w:tcPr>
            <w:tcW w:w="728" w:type="dxa"/>
            <w:shd w:val="clear" w:color="auto" w:fill="auto"/>
            <w:noWrap/>
            <w:vAlign w:val="center"/>
            <w:hideMark/>
          </w:tcPr>
          <w:p w14:paraId="749BB9EE"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0.29</w:t>
            </w:r>
          </w:p>
        </w:tc>
        <w:tc>
          <w:tcPr>
            <w:tcW w:w="728" w:type="dxa"/>
            <w:shd w:val="clear" w:color="auto" w:fill="auto"/>
            <w:noWrap/>
            <w:vAlign w:val="center"/>
            <w:hideMark/>
          </w:tcPr>
          <w:p w14:paraId="1538D4F4"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0.21</w:t>
            </w:r>
          </w:p>
        </w:tc>
        <w:tc>
          <w:tcPr>
            <w:tcW w:w="732" w:type="dxa"/>
            <w:shd w:val="clear" w:color="auto" w:fill="auto"/>
            <w:noWrap/>
            <w:vAlign w:val="center"/>
            <w:hideMark/>
          </w:tcPr>
          <w:p w14:paraId="404E40EC"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0.52</w:t>
            </w:r>
          </w:p>
        </w:tc>
        <w:tc>
          <w:tcPr>
            <w:tcW w:w="728" w:type="dxa"/>
            <w:shd w:val="clear" w:color="auto" w:fill="auto"/>
            <w:noWrap/>
            <w:vAlign w:val="center"/>
            <w:hideMark/>
          </w:tcPr>
          <w:p w14:paraId="151D84FD"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0.36</w:t>
            </w:r>
          </w:p>
        </w:tc>
        <w:tc>
          <w:tcPr>
            <w:tcW w:w="728" w:type="dxa"/>
            <w:shd w:val="clear" w:color="auto" w:fill="auto"/>
            <w:noWrap/>
            <w:vAlign w:val="center"/>
            <w:hideMark/>
          </w:tcPr>
          <w:p w14:paraId="28839CED"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0.22</w:t>
            </w:r>
          </w:p>
        </w:tc>
        <w:tc>
          <w:tcPr>
            <w:tcW w:w="728" w:type="dxa"/>
            <w:shd w:val="clear" w:color="auto" w:fill="auto"/>
            <w:noWrap/>
            <w:vAlign w:val="center"/>
            <w:hideMark/>
          </w:tcPr>
          <w:p w14:paraId="5C2800B8"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0.21</w:t>
            </w:r>
          </w:p>
        </w:tc>
        <w:tc>
          <w:tcPr>
            <w:tcW w:w="728" w:type="dxa"/>
            <w:shd w:val="clear" w:color="auto" w:fill="auto"/>
            <w:noWrap/>
            <w:vAlign w:val="center"/>
            <w:hideMark/>
          </w:tcPr>
          <w:p w14:paraId="05B07DC5"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0.15</w:t>
            </w:r>
          </w:p>
        </w:tc>
        <w:tc>
          <w:tcPr>
            <w:tcW w:w="732" w:type="dxa"/>
            <w:shd w:val="clear" w:color="auto" w:fill="auto"/>
            <w:noWrap/>
            <w:vAlign w:val="center"/>
            <w:hideMark/>
          </w:tcPr>
          <w:p w14:paraId="5ED5A9C2"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0.32</w:t>
            </w:r>
          </w:p>
        </w:tc>
      </w:tr>
      <w:tr w:rsidR="0010030C" w:rsidRPr="009A3034" w14:paraId="4F2567A3" w14:textId="77777777" w:rsidTr="00BC398D">
        <w:trPr>
          <w:trHeight w:val="189"/>
        </w:trPr>
        <w:tc>
          <w:tcPr>
            <w:tcW w:w="1260" w:type="dxa"/>
            <w:vMerge/>
            <w:shd w:val="clear" w:color="auto" w:fill="auto"/>
            <w:vAlign w:val="center"/>
            <w:hideMark/>
          </w:tcPr>
          <w:p w14:paraId="7FBC813F" w14:textId="77777777" w:rsidR="0010030C" w:rsidRPr="009A3034" w:rsidRDefault="0010030C" w:rsidP="00650395">
            <w:pPr>
              <w:spacing w:line="240" w:lineRule="auto"/>
              <w:rPr>
                <w:rFonts w:eastAsia="Times New Roman" w:cs="Times New Roman"/>
                <w:color w:val="000000"/>
                <w:sz w:val="20"/>
                <w:szCs w:val="20"/>
              </w:rPr>
            </w:pPr>
          </w:p>
        </w:tc>
        <w:tc>
          <w:tcPr>
            <w:tcW w:w="810" w:type="dxa"/>
            <w:shd w:val="clear" w:color="auto" w:fill="auto"/>
            <w:noWrap/>
            <w:vAlign w:val="center"/>
            <w:hideMark/>
          </w:tcPr>
          <w:p w14:paraId="7DB742B2"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RTFO</w:t>
            </w:r>
          </w:p>
        </w:tc>
        <w:tc>
          <w:tcPr>
            <w:tcW w:w="712" w:type="dxa"/>
            <w:shd w:val="clear" w:color="auto" w:fill="auto"/>
            <w:noWrap/>
            <w:vAlign w:val="center"/>
            <w:hideMark/>
          </w:tcPr>
          <w:p w14:paraId="7A86ADC2"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0.60</w:t>
            </w:r>
          </w:p>
        </w:tc>
        <w:tc>
          <w:tcPr>
            <w:tcW w:w="728" w:type="dxa"/>
            <w:shd w:val="clear" w:color="auto" w:fill="auto"/>
            <w:noWrap/>
            <w:vAlign w:val="center"/>
            <w:hideMark/>
          </w:tcPr>
          <w:p w14:paraId="1BC4D880"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0.33</w:t>
            </w:r>
          </w:p>
        </w:tc>
        <w:tc>
          <w:tcPr>
            <w:tcW w:w="728" w:type="dxa"/>
            <w:shd w:val="clear" w:color="auto" w:fill="auto"/>
            <w:noWrap/>
            <w:vAlign w:val="center"/>
            <w:hideMark/>
          </w:tcPr>
          <w:p w14:paraId="69B26510"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0.36</w:t>
            </w:r>
          </w:p>
        </w:tc>
        <w:tc>
          <w:tcPr>
            <w:tcW w:w="728" w:type="dxa"/>
            <w:shd w:val="clear" w:color="auto" w:fill="auto"/>
            <w:noWrap/>
            <w:vAlign w:val="center"/>
            <w:hideMark/>
          </w:tcPr>
          <w:p w14:paraId="7BDC0A59"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0.29</w:t>
            </w:r>
          </w:p>
        </w:tc>
        <w:tc>
          <w:tcPr>
            <w:tcW w:w="732" w:type="dxa"/>
            <w:shd w:val="clear" w:color="auto" w:fill="auto"/>
            <w:noWrap/>
            <w:vAlign w:val="center"/>
            <w:hideMark/>
          </w:tcPr>
          <w:p w14:paraId="4385FBFB"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0.68</w:t>
            </w:r>
          </w:p>
        </w:tc>
        <w:tc>
          <w:tcPr>
            <w:tcW w:w="728" w:type="dxa"/>
            <w:shd w:val="clear" w:color="auto" w:fill="auto"/>
            <w:noWrap/>
            <w:vAlign w:val="center"/>
            <w:hideMark/>
          </w:tcPr>
          <w:p w14:paraId="0620AB92"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0.42</w:t>
            </w:r>
          </w:p>
        </w:tc>
        <w:tc>
          <w:tcPr>
            <w:tcW w:w="728" w:type="dxa"/>
            <w:shd w:val="clear" w:color="auto" w:fill="auto"/>
            <w:noWrap/>
            <w:vAlign w:val="center"/>
            <w:hideMark/>
          </w:tcPr>
          <w:p w14:paraId="2E62BC48"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0.25</w:t>
            </w:r>
          </w:p>
        </w:tc>
        <w:tc>
          <w:tcPr>
            <w:tcW w:w="728" w:type="dxa"/>
            <w:shd w:val="clear" w:color="auto" w:fill="auto"/>
            <w:noWrap/>
            <w:vAlign w:val="center"/>
            <w:hideMark/>
          </w:tcPr>
          <w:p w14:paraId="1CDDF17F"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0.26</w:t>
            </w:r>
          </w:p>
        </w:tc>
        <w:tc>
          <w:tcPr>
            <w:tcW w:w="728" w:type="dxa"/>
            <w:shd w:val="clear" w:color="auto" w:fill="auto"/>
            <w:noWrap/>
            <w:vAlign w:val="center"/>
            <w:hideMark/>
          </w:tcPr>
          <w:p w14:paraId="098658BA"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0.22</w:t>
            </w:r>
          </w:p>
        </w:tc>
        <w:tc>
          <w:tcPr>
            <w:tcW w:w="732" w:type="dxa"/>
            <w:shd w:val="clear" w:color="auto" w:fill="auto"/>
            <w:noWrap/>
            <w:vAlign w:val="center"/>
            <w:hideMark/>
          </w:tcPr>
          <w:p w14:paraId="020684E8"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0.43</w:t>
            </w:r>
          </w:p>
        </w:tc>
      </w:tr>
      <w:tr w:rsidR="0010030C" w:rsidRPr="009A3034" w14:paraId="41A2FA7A" w14:textId="77777777" w:rsidTr="00BC398D">
        <w:trPr>
          <w:trHeight w:val="189"/>
        </w:trPr>
        <w:tc>
          <w:tcPr>
            <w:tcW w:w="1260" w:type="dxa"/>
            <w:vMerge/>
            <w:shd w:val="clear" w:color="auto" w:fill="auto"/>
            <w:vAlign w:val="center"/>
            <w:hideMark/>
          </w:tcPr>
          <w:p w14:paraId="6905AA43" w14:textId="77777777" w:rsidR="0010030C" w:rsidRPr="009A3034" w:rsidRDefault="0010030C" w:rsidP="00650395">
            <w:pPr>
              <w:spacing w:line="240" w:lineRule="auto"/>
              <w:rPr>
                <w:rFonts w:eastAsia="Times New Roman" w:cs="Times New Roman"/>
                <w:color w:val="000000"/>
                <w:sz w:val="20"/>
                <w:szCs w:val="20"/>
              </w:rPr>
            </w:pPr>
          </w:p>
        </w:tc>
        <w:tc>
          <w:tcPr>
            <w:tcW w:w="810" w:type="dxa"/>
            <w:shd w:val="clear" w:color="auto" w:fill="auto"/>
            <w:noWrap/>
            <w:vAlign w:val="center"/>
            <w:hideMark/>
          </w:tcPr>
          <w:p w14:paraId="1961B937"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PAV</w:t>
            </w:r>
          </w:p>
        </w:tc>
        <w:tc>
          <w:tcPr>
            <w:tcW w:w="712" w:type="dxa"/>
            <w:shd w:val="clear" w:color="auto" w:fill="auto"/>
            <w:noWrap/>
            <w:vAlign w:val="center"/>
            <w:hideMark/>
          </w:tcPr>
          <w:p w14:paraId="550B2388"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0.55</w:t>
            </w:r>
          </w:p>
        </w:tc>
        <w:tc>
          <w:tcPr>
            <w:tcW w:w="728" w:type="dxa"/>
            <w:shd w:val="clear" w:color="auto" w:fill="auto"/>
            <w:noWrap/>
            <w:vAlign w:val="center"/>
            <w:hideMark/>
          </w:tcPr>
          <w:p w14:paraId="275F0D39"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0.28</w:t>
            </w:r>
          </w:p>
        </w:tc>
        <w:tc>
          <w:tcPr>
            <w:tcW w:w="728" w:type="dxa"/>
            <w:shd w:val="clear" w:color="auto" w:fill="auto"/>
            <w:noWrap/>
            <w:vAlign w:val="center"/>
            <w:hideMark/>
          </w:tcPr>
          <w:p w14:paraId="048AFE01"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0.32</w:t>
            </w:r>
          </w:p>
        </w:tc>
        <w:tc>
          <w:tcPr>
            <w:tcW w:w="728" w:type="dxa"/>
            <w:shd w:val="clear" w:color="auto" w:fill="auto"/>
            <w:noWrap/>
            <w:vAlign w:val="center"/>
            <w:hideMark/>
          </w:tcPr>
          <w:p w14:paraId="633F2BFA"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0.25</w:t>
            </w:r>
          </w:p>
        </w:tc>
        <w:tc>
          <w:tcPr>
            <w:tcW w:w="732" w:type="dxa"/>
            <w:shd w:val="clear" w:color="auto" w:fill="auto"/>
            <w:noWrap/>
            <w:vAlign w:val="center"/>
            <w:hideMark/>
          </w:tcPr>
          <w:p w14:paraId="0986F7D5"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0.65</w:t>
            </w:r>
          </w:p>
        </w:tc>
        <w:tc>
          <w:tcPr>
            <w:tcW w:w="728" w:type="dxa"/>
            <w:shd w:val="clear" w:color="auto" w:fill="auto"/>
            <w:noWrap/>
            <w:vAlign w:val="center"/>
            <w:hideMark/>
          </w:tcPr>
          <w:p w14:paraId="19DE49F9"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0.36</w:t>
            </w:r>
          </w:p>
        </w:tc>
        <w:tc>
          <w:tcPr>
            <w:tcW w:w="728" w:type="dxa"/>
            <w:shd w:val="clear" w:color="auto" w:fill="auto"/>
            <w:noWrap/>
            <w:vAlign w:val="center"/>
            <w:hideMark/>
          </w:tcPr>
          <w:p w14:paraId="7FC893A5"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0.20</w:t>
            </w:r>
          </w:p>
        </w:tc>
        <w:tc>
          <w:tcPr>
            <w:tcW w:w="728" w:type="dxa"/>
            <w:shd w:val="clear" w:color="auto" w:fill="auto"/>
            <w:noWrap/>
            <w:vAlign w:val="center"/>
            <w:hideMark/>
          </w:tcPr>
          <w:p w14:paraId="4CD51801"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0.21</w:t>
            </w:r>
          </w:p>
        </w:tc>
        <w:tc>
          <w:tcPr>
            <w:tcW w:w="728" w:type="dxa"/>
            <w:shd w:val="clear" w:color="auto" w:fill="auto"/>
            <w:noWrap/>
            <w:vAlign w:val="center"/>
            <w:hideMark/>
          </w:tcPr>
          <w:p w14:paraId="2606A9F8"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0.18</w:t>
            </w:r>
          </w:p>
        </w:tc>
        <w:tc>
          <w:tcPr>
            <w:tcW w:w="732" w:type="dxa"/>
            <w:shd w:val="clear" w:color="auto" w:fill="auto"/>
            <w:noWrap/>
            <w:vAlign w:val="center"/>
            <w:hideMark/>
          </w:tcPr>
          <w:p w14:paraId="68B34D22"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0.38</w:t>
            </w:r>
          </w:p>
        </w:tc>
      </w:tr>
      <w:tr w:rsidR="0010030C" w:rsidRPr="009A3034" w14:paraId="3DAC7686" w14:textId="77777777" w:rsidTr="00BC398D">
        <w:trPr>
          <w:trHeight w:val="189"/>
        </w:trPr>
        <w:tc>
          <w:tcPr>
            <w:tcW w:w="1260" w:type="dxa"/>
            <w:vMerge w:val="restart"/>
            <w:shd w:val="clear" w:color="auto" w:fill="auto"/>
            <w:vAlign w:val="center"/>
            <w:hideMark/>
          </w:tcPr>
          <w:p w14:paraId="246FEE18"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PG 76-28 + 0.5% WMA</w:t>
            </w:r>
          </w:p>
        </w:tc>
        <w:tc>
          <w:tcPr>
            <w:tcW w:w="810" w:type="dxa"/>
            <w:shd w:val="clear" w:color="auto" w:fill="auto"/>
            <w:noWrap/>
            <w:vAlign w:val="center"/>
            <w:hideMark/>
          </w:tcPr>
          <w:p w14:paraId="750DC50A"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unaged</w:t>
            </w:r>
          </w:p>
        </w:tc>
        <w:tc>
          <w:tcPr>
            <w:tcW w:w="712" w:type="dxa"/>
            <w:shd w:val="clear" w:color="auto" w:fill="auto"/>
            <w:noWrap/>
            <w:vAlign w:val="center"/>
            <w:hideMark/>
          </w:tcPr>
          <w:p w14:paraId="2C4D04EC"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0.45</w:t>
            </w:r>
          </w:p>
        </w:tc>
        <w:tc>
          <w:tcPr>
            <w:tcW w:w="728" w:type="dxa"/>
            <w:shd w:val="clear" w:color="auto" w:fill="auto"/>
            <w:noWrap/>
            <w:vAlign w:val="center"/>
            <w:hideMark/>
          </w:tcPr>
          <w:p w14:paraId="21C2A7FB"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0.22</w:t>
            </w:r>
          </w:p>
        </w:tc>
        <w:tc>
          <w:tcPr>
            <w:tcW w:w="728" w:type="dxa"/>
            <w:shd w:val="clear" w:color="auto" w:fill="auto"/>
            <w:noWrap/>
            <w:vAlign w:val="center"/>
            <w:hideMark/>
          </w:tcPr>
          <w:p w14:paraId="43B2FE48"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0.26</w:t>
            </w:r>
          </w:p>
        </w:tc>
        <w:tc>
          <w:tcPr>
            <w:tcW w:w="728" w:type="dxa"/>
            <w:shd w:val="clear" w:color="auto" w:fill="auto"/>
            <w:noWrap/>
            <w:vAlign w:val="center"/>
            <w:hideMark/>
          </w:tcPr>
          <w:p w14:paraId="44D1EF8A"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0.21</w:t>
            </w:r>
          </w:p>
        </w:tc>
        <w:tc>
          <w:tcPr>
            <w:tcW w:w="732" w:type="dxa"/>
            <w:shd w:val="clear" w:color="auto" w:fill="auto"/>
            <w:noWrap/>
            <w:vAlign w:val="center"/>
            <w:hideMark/>
          </w:tcPr>
          <w:p w14:paraId="44DF63BD"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0.55</w:t>
            </w:r>
          </w:p>
        </w:tc>
        <w:tc>
          <w:tcPr>
            <w:tcW w:w="728" w:type="dxa"/>
            <w:shd w:val="clear" w:color="auto" w:fill="auto"/>
            <w:noWrap/>
            <w:vAlign w:val="center"/>
            <w:hideMark/>
          </w:tcPr>
          <w:p w14:paraId="490224FF"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0.31</w:t>
            </w:r>
          </w:p>
        </w:tc>
        <w:tc>
          <w:tcPr>
            <w:tcW w:w="728" w:type="dxa"/>
            <w:shd w:val="clear" w:color="auto" w:fill="auto"/>
            <w:noWrap/>
            <w:vAlign w:val="center"/>
            <w:hideMark/>
          </w:tcPr>
          <w:p w14:paraId="72523495"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0.16</w:t>
            </w:r>
          </w:p>
        </w:tc>
        <w:tc>
          <w:tcPr>
            <w:tcW w:w="728" w:type="dxa"/>
            <w:shd w:val="clear" w:color="auto" w:fill="auto"/>
            <w:noWrap/>
            <w:vAlign w:val="center"/>
            <w:hideMark/>
          </w:tcPr>
          <w:p w14:paraId="56B83230"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0.18</w:t>
            </w:r>
          </w:p>
        </w:tc>
        <w:tc>
          <w:tcPr>
            <w:tcW w:w="728" w:type="dxa"/>
            <w:shd w:val="clear" w:color="auto" w:fill="auto"/>
            <w:noWrap/>
            <w:vAlign w:val="center"/>
            <w:hideMark/>
          </w:tcPr>
          <w:p w14:paraId="736A313A"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0.15</w:t>
            </w:r>
          </w:p>
        </w:tc>
        <w:tc>
          <w:tcPr>
            <w:tcW w:w="732" w:type="dxa"/>
            <w:shd w:val="clear" w:color="auto" w:fill="auto"/>
            <w:noWrap/>
            <w:vAlign w:val="center"/>
            <w:hideMark/>
          </w:tcPr>
          <w:p w14:paraId="4BEF7D73"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0.34</w:t>
            </w:r>
          </w:p>
        </w:tc>
      </w:tr>
      <w:tr w:rsidR="0010030C" w:rsidRPr="009A3034" w14:paraId="50F91B36" w14:textId="77777777" w:rsidTr="00BC398D">
        <w:trPr>
          <w:trHeight w:val="189"/>
        </w:trPr>
        <w:tc>
          <w:tcPr>
            <w:tcW w:w="1260" w:type="dxa"/>
            <w:vMerge/>
            <w:shd w:val="clear" w:color="auto" w:fill="auto"/>
            <w:vAlign w:val="center"/>
            <w:hideMark/>
          </w:tcPr>
          <w:p w14:paraId="1C4BD30A" w14:textId="77777777" w:rsidR="0010030C" w:rsidRPr="009A3034" w:rsidRDefault="0010030C" w:rsidP="00650395">
            <w:pPr>
              <w:spacing w:line="240" w:lineRule="auto"/>
              <w:rPr>
                <w:rFonts w:eastAsia="Times New Roman" w:cs="Times New Roman"/>
                <w:color w:val="000000"/>
                <w:sz w:val="20"/>
                <w:szCs w:val="20"/>
              </w:rPr>
            </w:pPr>
          </w:p>
        </w:tc>
        <w:tc>
          <w:tcPr>
            <w:tcW w:w="810" w:type="dxa"/>
            <w:shd w:val="clear" w:color="auto" w:fill="auto"/>
            <w:noWrap/>
            <w:vAlign w:val="center"/>
            <w:hideMark/>
          </w:tcPr>
          <w:p w14:paraId="23EBF0BD"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RTFO</w:t>
            </w:r>
          </w:p>
        </w:tc>
        <w:tc>
          <w:tcPr>
            <w:tcW w:w="712" w:type="dxa"/>
            <w:shd w:val="clear" w:color="auto" w:fill="auto"/>
            <w:noWrap/>
            <w:vAlign w:val="center"/>
            <w:hideMark/>
          </w:tcPr>
          <w:p w14:paraId="2D7F4ECA"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0.53</w:t>
            </w:r>
          </w:p>
        </w:tc>
        <w:tc>
          <w:tcPr>
            <w:tcW w:w="728" w:type="dxa"/>
            <w:shd w:val="clear" w:color="auto" w:fill="auto"/>
            <w:noWrap/>
            <w:vAlign w:val="center"/>
            <w:hideMark/>
          </w:tcPr>
          <w:p w14:paraId="07FE63D8"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0.28</w:t>
            </w:r>
          </w:p>
        </w:tc>
        <w:tc>
          <w:tcPr>
            <w:tcW w:w="728" w:type="dxa"/>
            <w:shd w:val="clear" w:color="auto" w:fill="auto"/>
            <w:noWrap/>
            <w:vAlign w:val="center"/>
            <w:hideMark/>
          </w:tcPr>
          <w:p w14:paraId="4548FB62"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0.31</w:t>
            </w:r>
          </w:p>
        </w:tc>
        <w:tc>
          <w:tcPr>
            <w:tcW w:w="728" w:type="dxa"/>
            <w:shd w:val="clear" w:color="auto" w:fill="auto"/>
            <w:noWrap/>
            <w:vAlign w:val="center"/>
            <w:hideMark/>
          </w:tcPr>
          <w:p w14:paraId="1BE0B4FF"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0.24</w:t>
            </w:r>
          </w:p>
        </w:tc>
        <w:tc>
          <w:tcPr>
            <w:tcW w:w="732" w:type="dxa"/>
            <w:shd w:val="clear" w:color="auto" w:fill="auto"/>
            <w:noWrap/>
            <w:vAlign w:val="center"/>
            <w:hideMark/>
          </w:tcPr>
          <w:p w14:paraId="168C5EAD"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0.61</w:t>
            </w:r>
          </w:p>
        </w:tc>
        <w:tc>
          <w:tcPr>
            <w:tcW w:w="728" w:type="dxa"/>
            <w:shd w:val="clear" w:color="auto" w:fill="auto"/>
            <w:noWrap/>
            <w:vAlign w:val="center"/>
            <w:hideMark/>
          </w:tcPr>
          <w:p w14:paraId="2218C3A1"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0.36</w:t>
            </w:r>
          </w:p>
        </w:tc>
        <w:tc>
          <w:tcPr>
            <w:tcW w:w="728" w:type="dxa"/>
            <w:shd w:val="clear" w:color="auto" w:fill="auto"/>
            <w:noWrap/>
            <w:vAlign w:val="center"/>
            <w:hideMark/>
          </w:tcPr>
          <w:p w14:paraId="2B15B47B"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0.20</w:t>
            </w:r>
          </w:p>
        </w:tc>
        <w:tc>
          <w:tcPr>
            <w:tcW w:w="728" w:type="dxa"/>
            <w:shd w:val="clear" w:color="auto" w:fill="auto"/>
            <w:noWrap/>
            <w:vAlign w:val="center"/>
            <w:hideMark/>
          </w:tcPr>
          <w:p w14:paraId="7AB9A6FA"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0.22</w:t>
            </w:r>
          </w:p>
        </w:tc>
        <w:tc>
          <w:tcPr>
            <w:tcW w:w="728" w:type="dxa"/>
            <w:shd w:val="clear" w:color="auto" w:fill="auto"/>
            <w:noWrap/>
            <w:vAlign w:val="center"/>
            <w:hideMark/>
          </w:tcPr>
          <w:p w14:paraId="3F47ABEC"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0.18</w:t>
            </w:r>
          </w:p>
        </w:tc>
        <w:tc>
          <w:tcPr>
            <w:tcW w:w="732" w:type="dxa"/>
            <w:shd w:val="clear" w:color="auto" w:fill="auto"/>
            <w:noWrap/>
            <w:vAlign w:val="center"/>
            <w:hideMark/>
          </w:tcPr>
          <w:p w14:paraId="3B9B542D"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0.38</w:t>
            </w:r>
          </w:p>
        </w:tc>
      </w:tr>
      <w:tr w:rsidR="0010030C" w:rsidRPr="009A3034" w14:paraId="0EF7A518" w14:textId="77777777" w:rsidTr="00BC398D">
        <w:trPr>
          <w:trHeight w:val="189"/>
        </w:trPr>
        <w:tc>
          <w:tcPr>
            <w:tcW w:w="1260" w:type="dxa"/>
            <w:vMerge/>
            <w:shd w:val="clear" w:color="auto" w:fill="auto"/>
            <w:vAlign w:val="center"/>
            <w:hideMark/>
          </w:tcPr>
          <w:p w14:paraId="7F95D0C9" w14:textId="77777777" w:rsidR="0010030C" w:rsidRPr="009A3034" w:rsidRDefault="0010030C" w:rsidP="00650395">
            <w:pPr>
              <w:spacing w:line="240" w:lineRule="auto"/>
              <w:rPr>
                <w:rFonts w:eastAsia="Times New Roman" w:cs="Times New Roman"/>
                <w:color w:val="000000"/>
                <w:sz w:val="20"/>
                <w:szCs w:val="20"/>
              </w:rPr>
            </w:pPr>
          </w:p>
        </w:tc>
        <w:tc>
          <w:tcPr>
            <w:tcW w:w="810" w:type="dxa"/>
            <w:shd w:val="clear" w:color="auto" w:fill="auto"/>
            <w:noWrap/>
            <w:vAlign w:val="center"/>
            <w:hideMark/>
          </w:tcPr>
          <w:p w14:paraId="3177BDFC"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PAV</w:t>
            </w:r>
          </w:p>
        </w:tc>
        <w:tc>
          <w:tcPr>
            <w:tcW w:w="712" w:type="dxa"/>
            <w:shd w:val="clear" w:color="auto" w:fill="auto"/>
            <w:noWrap/>
            <w:vAlign w:val="center"/>
            <w:hideMark/>
          </w:tcPr>
          <w:p w14:paraId="59C035E7"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0.54</w:t>
            </w:r>
          </w:p>
        </w:tc>
        <w:tc>
          <w:tcPr>
            <w:tcW w:w="728" w:type="dxa"/>
            <w:shd w:val="clear" w:color="auto" w:fill="auto"/>
            <w:noWrap/>
            <w:vAlign w:val="center"/>
            <w:hideMark/>
          </w:tcPr>
          <w:p w14:paraId="3DE0B217"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0.27</w:t>
            </w:r>
          </w:p>
        </w:tc>
        <w:tc>
          <w:tcPr>
            <w:tcW w:w="728" w:type="dxa"/>
            <w:shd w:val="clear" w:color="auto" w:fill="auto"/>
            <w:noWrap/>
            <w:vAlign w:val="center"/>
            <w:hideMark/>
          </w:tcPr>
          <w:p w14:paraId="701CE7A8"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0.32</w:t>
            </w:r>
          </w:p>
        </w:tc>
        <w:tc>
          <w:tcPr>
            <w:tcW w:w="728" w:type="dxa"/>
            <w:shd w:val="clear" w:color="auto" w:fill="auto"/>
            <w:noWrap/>
            <w:vAlign w:val="center"/>
            <w:hideMark/>
          </w:tcPr>
          <w:p w14:paraId="1FF006ED"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0.25</w:t>
            </w:r>
          </w:p>
        </w:tc>
        <w:tc>
          <w:tcPr>
            <w:tcW w:w="732" w:type="dxa"/>
            <w:shd w:val="clear" w:color="auto" w:fill="auto"/>
            <w:noWrap/>
            <w:vAlign w:val="center"/>
            <w:hideMark/>
          </w:tcPr>
          <w:p w14:paraId="56468558"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0.65</w:t>
            </w:r>
          </w:p>
        </w:tc>
        <w:tc>
          <w:tcPr>
            <w:tcW w:w="728" w:type="dxa"/>
            <w:shd w:val="clear" w:color="auto" w:fill="auto"/>
            <w:noWrap/>
            <w:vAlign w:val="center"/>
            <w:hideMark/>
          </w:tcPr>
          <w:p w14:paraId="6A76533D"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0.35</w:t>
            </w:r>
          </w:p>
        </w:tc>
        <w:tc>
          <w:tcPr>
            <w:tcW w:w="728" w:type="dxa"/>
            <w:shd w:val="clear" w:color="auto" w:fill="auto"/>
            <w:noWrap/>
            <w:vAlign w:val="center"/>
            <w:hideMark/>
          </w:tcPr>
          <w:p w14:paraId="586435EF"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0.19</w:t>
            </w:r>
          </w:p>
        </w:tc>
        <w:tc>
          <w:tcPr>
            <w:tcW w:w="728" w:type="dxa"/>
            <w:shd w:val="clear" w:color="auto" w:fill="auto"/>
            <w:noWrap/>
            <w:vAlign w:val="center"/>
            <w:hideMark/>
          </w:tcPr>
          <w:p w14:paraId="1775E572"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0.21</w:t>
            </w:r>
          </w:p>
        </w:tc>
        <w:tc>
          <w:tcPr>
            <w:tcW w:w="728" w:type="dxa"/>
            <w:shd w:val="clear" w:color="auto" w:fill="auto"/>
            <w:noWrap/>
            <w:vAlign w:val="center"/>
            <w:hideMark/>
          </w:tcPr>
          <w:p w14:paraId="20F0152A"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0.18</w:t>
            </w:r>
          </w:p>
        </w:tc>
        <w:tc>
          <w:tcPr>
            <w:tcW w:w="732" w:type="dxa"/>
            <w:shd w:val="clear" w:color="auto" w:fill="auto"/>
            <w:noWrap/>
            <w:vAlign w:val="center"/>
            <w:hideMark/>
          </w:tcPr>
          <w:p w14:paraId="3568C26D"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0.38</w:t>
            </w:r>
          </w:p>
        </w:tc>
      </w:tr>
      <w:tr w:rsidR="0010030C" w:rsidRPr="009A3034" w14:paraId="7D34E724" w14:textId="77777777" w:rsidTr="00BC398D">
        <w:trPr>
          <w:trHeight w:val="189"/>
        </w:trPr>
        <w:tc>
          <w:tcPr>
            <w:tcW w:w="1260" w:type="dxa"/>
            <w:vMerge w:val="restart"/>
            <w:shd w:val="clear" w:color="auto" w:fill="auto"/>
            <w:vAlign w:val="center"/>
            <w:hideMark/>
          </w:tcPr>
          <w:p w14:paraId="4D8546DC"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PG 76-28 + 0.5% ASA</w:t>
            </w:r>
          </w:p>
        </w:tc>
        <w:tc>
          <w:tcPr>
            <w:tcW w:w="810" w:type="dxa"/>
            <w:shd w:val="clear" w:color="auto" w:fill="auto"/>
            <w:noWrap/>
            <w:vAlign w:val="center"/>
            <w:hideMark/>
          </w:tcPr>
          <w:p w14:paraId="0CFC4828"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unaged</w:t>
            </w:r>
          </w:p>
        </w:tc>
        <w:tc>
          <w:tcPr>
            <w:tcW w:w="712" w:type="dxa"/>
            <w:shd w:val="clear" w:color="auto" w:fill="auto"/>
            <w:noWrap/>
            <w:vAlign w:val="center"/>
            <w:hideMark/>
          </w:tcPr>
          <w:p w14:paraId="4568DF07"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0.61</w:t>
            </w:r>
          </w:p>
        </w:tc>
        <w:tc>
          <w:tcPr>
            <w:tcW w:w="728" w:type="dxa"/>
            <w:shd w:val="clear" w:color="auto" w:fill="auto"/>
            <w:noWrap/>
            <w:vAlign w:val="center"/>
            <w:hideMark/>
          </w:tcPr>
          <w:p w14:paraId="6340E7BB"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0.33</w:t>
            </w:r>
          </w:p>
        </w:tc>
        <w:tc>
          <w:tcPr>
            <w:tcW w:w="728" w:type="dxa"/>
            <w:shd w:val="clear" w:color="auto" w:fill="auto"/>
            <w:noWrap/>
            <w:vAlign w:val="center"/>
            <w:hideMark/>
          </w:tcPr>
          <w:p w14:paraId="4C06E91E"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0.35</w:t>
            </w:r>
          </w:p>
        </w:tc>
        <w:tc>
          <w:tcPr>
            <w:tcW w:w="728" w:type="dxa"/>
            <w:shd w:val="clear" w:color="auto" w:fill="auto"/>
            <w:noWrap/>
            <w:vAlign w:val="center"/>
            <w:hideMark/>
          </w:tcPr>
          <w:p w14:paraId="402A0B3A"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0.26</w:t>
            </w:r>
          </w:p>
        </w:tc>
        <w:tc>
          <w:tcPr>
            <w:tcW w:w="732" w:type="dxa"/>
            <w:shd w:val="clear" w:color="auto" w:fill="auto"/>
            <w:noWrap/>
            <w:vAlign w:val="center"/>
            <w:hideMark/>
          </w:tcPr>
          <w:p w14:paraId="27FD760E"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0.66</w:t>
            </w:r>
          </w:p>
        </w:tc>
        <w:tc>
          <w:tcPr>
            <w:tcW w:w="728" w:type="dxa"/>
            <w:shd w:val="clear" w:color="auto" w:fill="auto"/>
            <w:noWrap/>
            <w:vAlign w:val="center"/>
            <w:hideMark/>
          </w:tcPr>
          <w:p w14:paraId="41A6C397"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0.40</w:t>
            </w:r>
          </w:p>
        </w:tc>
        <w:tc>
          <w:tcPr>
            <w:tcW w:w="728" w:type="dxa"/>
            <w:shd w:val="clear" w:color="auto" w:fill="auto"/>
            <w:noWrap/>
            <w:vAlign w:val="center"/>
            <w:hideMark/>
          </w:tcPr>
          <w:p w14:paraId="35AA3CCA"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0.24</w:t>
            </w:r>
          </w:p>
        </w:tc>
        <w:tc>
          <w:tcPr>
            <w:tcW w:w="728" w:type="dxa"/>
            <w:shd w:val="clear" w:color="auto" w:fill="auto"/>
            <w:noWrap/>
            <w:vAlign w:val="center"/>
            <w:hideMark/>
          </w:tcPr>
          <w:p w14:paraId="5EEAEF6B"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0.24</w:t>
            </w:r>
          </w:p>
        </w:tc>
        <w:tc>
          <w:tcPr>
            <w:tcW w:w="728" w:type="dxa"/>
            <w:shd w:val="clear" w:color="auto" w:fill="auto"/>
            <w:noWrap/>
            <w:vAlign w:val="center"/>
            <w:hideMark/>
          </w:tcPr>
          <w:p w14:paraId="75EFB422"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0.19</w:t>
            </w:r>
          </w:p>
        </w:tc>
        <w:tc>
          <w:tcPr>
            <w:tcW w:w="732" w:type="dxa"/>
            <w:shd w:val="clear" w:color="auto" w:fill="auto"/>
            <w:noWrap/>
            <w:vAlign w:val="center"/>
            <w:hideMark/>
          </w:tcPr>
          <w:p w14:paraId="07DE7B82"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0.38</w:t>
            </w:r>
          </w:p>
        </w:tc>
      </w:tr>
      <w:tr w:rsidR="0010030C" w:rsidRPr="009A3034" w14:paraId="250920C2" w14:textId="77777777" w:rsidTr="00BC398D">
        <w:trPr>
          <w:trHeight w:val="189"/>
        </w:trPr>
        <w:tc>
          <w:tcPr>
            <w:tcW w:w="1260" w:type="dxa"/>
            <w:vMerge/>
            <w:shd w:val="clear" w:color="auto" w:fill="auto"/>
            <w:vAlign w:val="center"/>
            <w:hideMark/>
          </w:tcPr>
          <w:p w14:paraId="719443C4" w14:textId="77777777" w:rsidR="0010030C" w:rsidRPr="009A3034" w:rsidRDefault="0010030C" w:rsidP="00650395">
            <w:pPr>
              <w:spacing w:line="240" w:lineRule="auto"/>
              <w:rPr>
                <w:rFonts w:eastAsia="Times New Roman" w:cs="Times New Roman"/>
                <w:color w:val="000000"/>
                <w:sz w:val="20"/>
                <w:szCs w:val="20"/>
              </w:rPr>
            </w:pPr>
          </w:p>
        </w:tc>
        <w:tc>
          <w:tcPr>
            <w:tcW w:w="810" w:type="dxa"/>
            <w:shd w:val="clear" w:color="auto" w:fill="auto"/>
            <w:noWrap/>
            <w:vAlign w:val="center"/>
            <w:hideMark/>
          </w:tcPr>
          <w:p w14:paraId="5FF8A16D"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RTFO</w:t>
            </w:r>
          </w:p>
        </w:tc>
        <w:tc>
          <w:tcPr>
            <w:tcW w:w="712" w:type="dxa"/>
            <w:shd w:val="clear" w:color="auto" w:fill="auto"/>
            <w:noWrap/>
            <w:vAlign w:val="center"/>
            <w:hideMark/>
          </w:tcPr>
          <w:p w14:paraId="6055A9BD"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0.56</w:t>
            </w:r>
          </w:p>
        </w:tc>
        <w:tc>
          <w:tcPr>
            <w:tcW w:w="728" w:type="dxa"/>
            <w:shd w:val="clear" w:color="auto" w:fill="auto"/>
            <w:noWrap/>
            <w:vAlign w:val="center"/>
            <w:hideMark/>
          </w:tcPr>
          <w:p w14:paraId="515D9B04"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0.27</w:t>
            </w:r>
          </w:p>
        </w:tc>
        <w:tc>
          <w:tcPr>
            <w:tcW w:w="728" w:type="dxa"/>
            <w:shd w:val="clear" w:color="auto" w:fill="auto"/>
            <w:noWrap/>
            <w:vAlign w:val="center"/>
            <w:hideMark/>
          </w:tcPr>
          <w:p w14:paraId="0F10BCC0"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0.32</w:t>
            </w:r>
          </w:p>
        </w:tc>
        <w:tc>
          <w:tcPr>
            <w:tcW w:w="728" w:type="dxa"/>
            <w:shd w:val="clear" w:color="auto" w:fill="auto"/>
            <w:noWrap/>
            <w:vAlign w:val="center"/>
            <w:hideMark/>
          </w:tcPr>
          <w:p w14:paraId="1025D27E"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0.26</w:t>
            </w:r>
          </w:p>
        </w:tc>
        <w:tc>
          <w:tcPr>
            <w:tcW w:w="732" w:type="dxa"/>
            <w:shd w:val="clear" w:color="auto" w:fill="auto"/>
            <w:noWrap/>
            <w:vAlign w:val="center"/>
            <w:hideMark/>
          </w:tcPr>
          <w:p w14:paraId="1608DCDB"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0.69</w:t>
            </w:r>
          </w:p>
        </w:tc>
        <w:tc>
          <w:tcPr>
            <w:tcW w:w="728" w:type="dxa"/>
            <w:shd w:val="clear" w:color="auto" w:fill="auto"/>
            <w:noWrap/>
            <w:vAlign w:val="center"/>
            <w:hideMark/>
          </w:tcPr>
          <w:p w14:paraId="6D0D700F"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0.35</w:t>
            </w:r>
          </w:p>
        </w:tc>
        <w:tc>
          <w:tcPr>
            <w:tcW w:w="728" w:type="dxa"/>
            <w:shd w:val="clear" w:color="auto" w:fill="auto"/>
            <w:noWrap/>
            <w:vAlign w:val="center"/>
            <w:hideMark/>
          </w:tcPr>
          <w:p w14:paraId="3790D9A0"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0.18</w:t>
            </w:r>
          </w:p>
        </w:tc>
        <w:tc>
          <w:tcPr>
            <w:tcW w:w="728" w:type="dxa"/>
            <w:shd w:val="clear" w:color="auto" w:fill="auto"/>
            <w:noWrap/>
            <w:vAlign w:val="center"/>
            <w:hideMark/>
          </w:tcPr>
          <w:p w14:paraId="4AF99170"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0.21</w:t>
            </w:r>
          </w:p>
        </w:tc>
        <w:tc>
          <w:tcPr>
            <w:tcW w:w="728" w:type="dxa"/>
            <w:shd w:val="clear" w:color="auto" w:fill="auto"/>
            <w:noWrap/>
            <w:vAlign w:val="center"/>
            <w:hideMark/>
          </w:tcPr>
          <w:p w14:paraId="634D4602"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0.18</w:t>
            </w:r>
          </w:p>
        </w:tc>
        <w:tc>
          <w:tcPr>
            <w:tcW w:w="732" w:type="dxa"/>
            <w:shd w:val="clear" w:color="auto" w:fill="auto"/>
            <w:noWrap/>
            <w:vAlign w:val="center"/>
            <w:hideMark/>
          </w:tcPr>
          <w:p w14:paraId="2683B024"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0.39</w:t>
            </w:r>
          </w:p>
        </w:tc>
      </w:tr>
      <w:tr w:rsidR="0010030C" w:rsidRPr="009A3034" w14:paraId="4AD1674A" w14:textId="77777777" w:rsidTr="00BC398D">
        <w:trPr>
          <w:trHeight w:val="189"/>
        </w:trPr>
        <w:tc>
          <w:tcPr>
            <w:tcW w:w="1260" w:type="dxa"/>
            <w:vMerge/>
            <w:shd w:val="clear" w:color="auto" w:fill="auto"/>
            <w:vAlign w:val="center"/>
            <w:hideMark/>
          </w:tcPr>
          <w:p w14:paraId="6A3A777C" w14:textId="77777777" w:rsidR="0010030C" w:rsidRPr="009A3034" w:rsidRDefault="0010030C" w:rsidP="00650395">
            <w:pPr>
              <w:spacing w:line="240" w:lineRule="auto"/>
              <w:rPr>
                <w:rFonts w:eastAsia="Times New Roman" w:cs="Times New Roman"/>
                <w:color w:val="000000"/>
                <w:sz w:val="20"/>
                <w:szCs w:val="20"/>
              </w:rPr>
            </w:pPr>
          </w:p>
        </w:tc>
        <w:tc>
          <w:tcPr>
            <w:tcW w:w="810" w:type="dxa"/>
            <w:shd w:val="clear" w:color="auto" w:fill="auto"/>
            <w:noWrap/>
            <w:vAlign w:val="center"/>
            <w:hideMark/>
          </w:tcPr>
          <w:p w14:paraId="6006B50C"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PAV</w:t>
            </w:r>
          </w:p>
        </w:tc>
        <w:tc>
          <w:tcPr>
            <w:tcW w:w="712" w:type="dxa"/>
            <w:shd w:val="clear" w:color="auto" w:fill="auto"/>
            <w:noWrap/>
            <w:vAlign w:val="center"/>
            <w:hideMark/>
          </w:tcPr>
          <w:p w14:paraId="7C5C87DD"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0.56</w:t>
            </w:r>
          </w:p>
        </w:tc>
        <w:tc>
          <w:tcPr>
            <w:tcW w:w="728" w:type="dxa"/>
            <w:shd w:val="clear" w:color="auto" w:fill="auto"/>
            <w:noWrap/>
            <w:vAlign w:val="center"/>
            <w:hideMark/>
          </w:tcPr>
          <w:p w14:paraId="04D528D1"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0.26</w:t>
            </w:r>
          </w:p>
        </w:tc>
        <w:tc>
          <w:tcPr>
            <w:tcW w:w="728" w:type="dxa"/>
            <w:shd w:val="clear" w:color="auto" w:fill="auto"/>
            <w:noWrap/>
            <w:vAlign w:val="center"/>
            <w:hideMark/>
          </w:tcPr>
          <w:p w14:paraId="008B9366"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0.33</w:t>
            </w:r>
          </w:p>
        </w:tc>
        <w:tc>
          <w:tcPr>
            <w:tcW w:w="728" w:type="dxa"/>
            <w:shd w:val="clear" w:color="auto" w:fill="auto"/>
            <w:noWrap/>
            <w:vAlign w:val="center"/>
            <w:hideMark/>
          </w:tcPr>
          <w:p w14:paraId="05A26FBF"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0.27</w:t>
            </w:r>
          </w:p>
        </w:tc>
        <w:tc>
          <w:tcPr>
            <w:tcW w:w="732" w:type="dxa"/>
            <w:shd w:val="clear" w:color="auto" w:fill="auto"/>
            <w:noWrap/>
            <w:vAlign w:val="center"/>
            <w:hideMark/>
          </w:tcPr>
          <w:p w14:paraId="43A5B500"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0.72</w:t>
            </w:r>
          </w:p>
        </w:tc>
        <w:tc>
          <w:tcPr>
            <w:tcW w:w="728" w:type="dxa"/>
            <w:shd w:val="clear" w:color="auto" w:fill="auto"/>
            <w:noWrap/>
            <w:vAlign w:val="center"/>
            <w:hideMark/>
          </w:tcPr>
          <w:p w14:paraId="471D9254"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0.35</w:t>
            </w:r>
          </w:p>
        </w:tc>
        <w:tc>
          <w:tcPr>
            <w:tcW w:w="728" w:type="dxa"/>
            <w:shd w:val="clear" w:color="auto" w:fill="auto"/>
            <w:noWrap/>
            <w:vAlign w:val="center"/>
            <w:hideMark/>
          </w:tcPr>
          <w:p w14:paraId="54838C7D"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0.17</w:t>
            </w:r>
          </w:p>
        </w:tc>
        <w:tc>
          <w:tcPr>
            <w:tcW w:w="728" w:type="dxa"/>
            <w:shd w:val="clear" w:color="auto" w:fill="auto"/>
            <w:noWrap/>
            <w:vAlign w:val="center"/>
            <w:hideMark/>
          </w:tcPr>
          <w:p w14:paraId="55B1676F"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0.21</w:t>
            </w:r>
          </w:p>
        </w:tc>
        <w:tc>
          <w:tcPr>
            <w:tcW w:w="728" w:type="dxa"/>
            <w:shd w:val="clear" w:color="auto" w:fill="auto"/>
            <w:noWrap/>
            <w:vAlign w:val="center"/>
            <w:hideMark/>
          </w:tcPr>
          <w:p w14:paraId="11D9E6DE"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0.19</w:t>
            </w:r>
          </w:p>
        </w:tc>
        <w:tc>
          <w:tcPr>
            <w:tcW w:w="732" w:type="dxa"/>
            <w:shd w:val="clear" w:color="auto" w:fill="auto"/>
            <w:noWrap/>
            <w:vAlign w:val="center"/>
            <w:hideMark/>
          </w:tcPr>
          <w:p w14:paraId="6F7A8872"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0.41</w:t>
            </w:r>
          </w:p>
        </w:tc>
      </w:tr>
      <w:tr w:rsidR="0010030C" w:rsidRPr="009A3034" w14:paraId="190E388C" w14:textId="77777777" w:rsidTr="00BC398D">
        <w:trPr>
          <w:trHeight w:val="189"/>
        </w:trPr>
        <w:tc>
          <w:tcPr>
            <w:tcW w:w="1260" w:type="dxa"/>
            <w:vMerge w:val="restart"/>
            <w:shd w:val="clear" w:color="auto" w:fill="auto"/>
            <w:vAlign w:val="center"/>
            <w:hideMark/>
          </w:tcPr>
          <w:p w14:paraId="5E744EAF"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PG 76-28 + 20% RAP</w:t>
            </w:r>
          </w:p>
        </w:tc>
        <w:tc>
          <w:tcPr>
            <w:tcW w:w="810" w:type="dxa"/>
            <w:shd w:val="clear" w:color="auto" w:fill="auto"/>
            <w:noWrap/>
            <w:vAlign w:val="center"/>
            <w:hideMark/>
          </w:tcPr>
          <w:p w14:paraId="2EFB7062"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unaged</w:t>
            </w:r>
          </w:p>
        </w:tc>
        <w:tc>
          <w:tcPr>
            <w:tcW w:w="712" w:type="dxa"/>
            <w:shd w:val="clear" w:color="auto" w:fill="auto"/>
            <w:noWrap/>
            <w:vAlign w:val="center"/>
            <w:hideMark/>
          </w:tcPr>
          <w:p w14:paraId="7F132D26"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0.67</w:t>
            </w:r>
          </w:p>
        </w:tc>
        <w:tc>
          <w:tcPr>
            <w:tcW w:w="728" w:type="dxa"/>
            <w:shd w:val="clear" w:color="auto" w:fill="auto"/>
            <w:noWrap/>
            <w:vAlign w:val="center"/>
            <w:hideMark/>
          </w:tcPr>
          <w:p w14:paraId="1DB80AEF"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0.32</w:t>
            </w:r>
          </w:p>
        </w:tc>
        <w:tc>
          <w:tcPr>
            <w:tcW w:w="728" w:type="dxa"/>
            <w:shd w:val="clear" w:color="auto" w:fill="auto"/>
            <w:noWrap/>
            <w:vAlign w:val="center"/>
            <w:hideMark/>
          </w:tcPr>
          <w:p w14:paraId="38883DAE"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0.43</w:t>
            </w:r>
          </w:p>
        </w:tc>
        <w:tc>
          <w:tcPr>
            <w:tcW w:w="728" w:type="dxa"/>
            <w:shd w:val="clear" w:color="auto" w:fill="auto"/>
            <w:noWrap/>
            <w:vAlign w:val="center"/>
            <w:hideMark/>
          </w:tcPr>
          <w:p w14:paraId="5DB3014B"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0.39</w:t>
            </w:r>
          </w:p>
        </w:tc>
        <w:tc>
          <w:tcPr>
            <w:tcW w:w="732" w:type="dxa"/>
            <w:shd w:val="clear" w:color="auto" w:fill="auto"/>
            <w:noWrap/>
            <w:vAlign w:val="center"/>
            <w:hideMark/>
          </w:tcPr>
          <w:p w14:paraId="37458638"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0.95</w:t>
            </w:r>
          </w:p>
        </w:tc>
        <w:tc>
          <w:tcPr>
            <w:tcW w:w="728" w:type="dxa"/>
            <w:shd w:val="clear" w:color="auto" w:fill="auto"/>
            <w:noWrap/>
            <w:vAlign w:val="center"/>
            <w:hideMark/>
          </w:tcPr>
          <w:p w14:paraId="013AE25F"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0.44</w:t>
            </w:r>
          </w:p>
        </w:tc>
        <w:tc>
          <w:tcPr>
            <w:tcW w:w="728" w:type="dxa"/>
            <w:shd w:val="clear" w:color="auto" w:fill="auto"/>
            <w:noWrap/>
            <w:vAlign w:val="center"/>
            <w:hideMark/>
          </w:tcPr>
          <w:p w14:paraId="4B0B09B0"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0.23</w:t>
            </w:r>
          </w:p>
        </w:tc>
        <w:tc>
          <w:tcPr>
            <w:tcW w:w="728" w:type="dxa"/>
            <w:shd w:val="clear" w:color="auto" w:fill="auto"/>
            <w:noWrap/>
            <w:vAlign w:val="center"/>
            <w:hideMark/>
          </w:tcPr>
          <w:p w14:paraId="017F811B"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0.30</w:t>
            </w:r>
          </w:p>
        </w:tc>
        <w:tc>
          <w:tcPr>
            <w:tcW w:w="728" w:type="dxa"/>
            <w:shd w:val="clear" w:color="auto" w:fill="auto"/>
            <w:noWrap/>
            <w:vAlign w:val="center"/>
            <w:hideMark/>
          </w:tcPr>
          <w:p w14:paraId="1388916C"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0.29</w:t>
            </w:r>
          </w:p>
        </w:tc>
        <w:tc>
          <w:tcPr>
            <w:tcW w:w="732" w:type="dxa"/>
            <w:shd w:val="clear" w:color="auto" w:fill="auto"/>
            <w:noWrap/>
            <w:vAlign w:val="center"/>
            <w:hideMark/>
          </w:tcPr>
          <w:p w14:paraId="793FA0F1"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0.59</w:t>
            </w:r>
          </w:p>
        </w:tc>
      </w:tr>
      <w:tr w:rsidR="0010030C" w:rsidRPr="009A3034" w14:paraId="2DAC9B83" w14:textId="77777777" w:rsidTr="00BC398D">
        <w:trPr>
          <w:trHeight w:val="189"/>
        </w:trPr>
        <w:tc>
          <w:tcPr>
            <w:tcW w:w="1260" w:type="dxa"/>
            <w:vMerge/>
            <w:shd w:val="clear" w:color="auto" w:fill="auto"/>
            <w:vAlign w:val="center"/>
            <w:hideMark/>
          </w:tcPr>
          <w:p w14:paraId="519C1FCF" w14:textId="77777777" w:rsidR="0010030C" w:rsidRPr="009A3034" w:rsidRDefault="0010030C" w:rsidP="00650395">
            <w:pPr>
              <w:spacing w:line="240" w:lineRule="auto"/>
              <w:rPr>
                <w:rFonts w:eastAsia="Times New Roman" w:cs="Times New Roman"/>
                <w:color w:val="000000"/>
                <w:sz w:val="20"/>
                <w:szCs w:val="20"/>
              </w:rPr>
            </w:pPr>
          </w:p>
        </w:tc>
        <w:tc>
          <w:tcPr>
            <w:tcW w:w="810" w:type="dxa"/>
            <w:shd w:val="clear" w:color="auto" w:fill="auto"/>
            <w:noWrap/>
            <w:vAlign w:val="center"/>
            <w:hideMark/>
          </w:tcPr>
          <w:p w14:paraId="6D7D36F1"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RTFO</w:t>
            </w:r>
          </w:p>
        </w:tc>
        <w:tc>
          <w:tcPr>
            <w:tcW w:w="712" w:type="dxa"/>
            <w:shd w:val="clear" w:color="auto" w:fill="auto"/>
            <w:noWrap/>
            <w:vAlign w:val="center"/>
            <w:hideMark/>
          </w:tcPr>
          <w:p w14:paraId="77B1A738"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0.64</w:t>
            </w:r>
          </w:p>
        </w:tc>
        <w:tc>
          <w:tcPr>
            <w:tcW w:w="728" w:type="dxa"/>
            <w:shd w:val="clear" w:color="auto" w:fill="auto"/>
            <w:noWrap/>
            <w:vAlign w:val="center"/>
            <w:hideMark/>
          </w:tcPr>
          <w:p w14:paraId="7569104B"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0.35</w:t>
            </w:r>
          </w:p>
        </w:tc>
        <w:tc>
          <w:tcPr>
            <w:tcW w:w="728" w:type="dxa"/>
            <w:shd w:val="clear" w:color="auto" w:fill="auto"/>
            <w:noWrap/>
            <w:vAlign w:val="center"/>
            <w:hideMark/>
          </w:tcPr>
          <w:p w14:paraId="5AA2FE50"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0.40</w:t>
            </w:r>
          </w:p>
        </w:tc>
        <w:tc>
          <w:tcPr>
            <w:tcW w:w="728" w:type="dxa"/>
            <w:shd w:val="clear" w:color="auto" w:fill="auto"/>
            <w:noWrap/>
            <w:vAlign w:val="center"/>
            <w:hideMark/>
          </w:tcPr>
          <w:p w14:paraId="3A0320A6"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0.32</w:t>
            </w:r>
          </w:p>
        </w:tc>
        <w:tc>
          <w:tcPr>
            <w:tcW w:w="732" w:type="dxa"/>
            <w:shd w:val="clear" w:color="auto" w:fill="auto"/>
            <w:noWrap/>
            <w:vAlign w:val="center"/>
            <w:hideMark/>
          </w:tcPr>
          <w:p w14:paraId="25085520"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0.76</w:t>
            </w:r>
          </w:p>
        </w:tc>
        <w:tc>
          <w:tcPr>
            <w:tcW w:w="728" w:type="dxa"/>
            <w:shd w:val="clear" w:color="auto" w:fill="auto"/>
            <w:noWrap/>
            <w:vAlign w:val="center"/>
            <w:hideMark/>
          </w:tcPr>
          <w:p w14:paraId="4BB677C7"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0.44</w:t>
            </w:r>
          </w:p>
        </w:tc>
        <w:tc>
          <w:tcPr>
            <w:tcW w:w="728" w:type="dxa"/>
            <w:shd w:val="clear" w:color="auto" w:fill="auto"/>
            <w:noWrap/>
            <w:vAlign w:val="center"/>
            <w:hideMark/>
          </w:tcPr>
          <w:p w14:paraId="321DEE40"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0.26</w:t>
            </w:r>
          </w:p>
        </w:tc>
        <w:tc>
          <w:tcPr>
            <w:tcW w:w="728" w:type="dxa"/>
            <w:shd w:val="clear" w:color="auto" w:fill="auto"/>
            <w:noWrap/>
            <w:vAlign w:val="center"/>
            <w:hideMark/>
          </w:tcPr>
          <w:p w14:paraId="4149E8BD"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0.29</w:t>
            </w:r>
          </w:p>
        </w:tc>
        <w:tc>
          <w:tcPr>
            <w:tcW w:w="728" w:type="dxa"/>
            <w:shd w:val="clear" w:color="auto" w:fill="auto"/>
            <w:noWrap/>
            <w:vAlign w:val="center"/>
            <w:hideMark/>
          </w:tcPr>
          <w:p w14:paraId="4B726C2F"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0.25</w:t>
            </w:r>
          </w:p>
        </w:tc>
        <w:tc>
          <w:tcPr>
            <w:tcW w:w="732" w:type="dxa"/>
            <w:shd w:val="clear" w:color="auto" w:fill="auto"/>
            <w:noWrap/>
            <w:vAlign w:val="center"/>
            <w:hideMark/>
          </w:tcPr>
          <w:p w14:paraId="7FAD1286"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0.47</w:t>
            </w:r>
          </w:p>
        </w:tc>
      </w:tr>
      <w:tr w:rsidR="0010030C" w:rsidRPr="009A3034" w14:paraId="2AD41F57" w14:textId="77777777" w:rsidTr="00BC398D">
        <w:trPr>
          <w:trHeight w:val="189"/>
        </w:trPr>
        <w:tc>
          <w:tcPr>
            <w:tcW w:w="1260" w:type="dxa"/>
            <w:vMerge/>
            <w:shd w:val="clear" w:color="auto" w:fill="auto"/>
            <w:vAlign w:val="center"/>
            <w:hideMark/>
          </w:tcPr>
          <w:p w14:paraId="51D6BBBE" w14:textId="77777777" w:rsidR="0010030C" w:rsidRPr="009A3034" w:rsidRDefault="0010030C" w:rsidP="00650395">
            <w:pPr>
              <w:spacing w:line="240" w:lineRule="auto"/>
              <w:rPr>
                <w:rFonts w:eastAsia="Times New Roman" w:cs="Times New Roman"/>
                <w:color w:val="000000"/>
                <w:sz w:val="20"/>
                <w:szCs w:val="20"/>
              </w:rPr>
            </w:pPr>
          </w:p>
        </w:tc>
        <w:tc>
          <w:tcPr>
            <w:tcW w:w="810" w:type="dxa"/>
            <w:shd w:val="clear" w:color="auto" w:fill="auto"/>
            <w:noWrap/>
            <w:vAlign w:val="center"/>
            <w:hideMark/>
          </w:tcPr>
          <w:p w14:paraId="35ED48FB"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PAV</w:t>
            </w:r>
          </w:p>
        </w:tc>
        <w:tc>
          <w:tcPr>
            <w:tcW w:w="712" w:type="dxa"/>
            <w:shd w:val="clear" w:color="auto" w:fill="auto"/>
            <w:noWrap/>
            <w:vAlign w:val="center"/>
            <w:hideMark/>
          </w:tcPr>
          <w:p w14:paraId="6B15A0AB"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0.65</w:t>
            </w:r>
          </w:p>
        </w:tc>
        <w:tc>
          <w:tcPr>
            <w:tcW w:w="728" w:type="dxa"/>
            <w:shd w:val="clear" w:color="auto" w:fill="auto"/>
            <w:noWrap/>
            <w:vAlign w:val="center"/>
            <w:hideMark/>
          </w:tcPr>
          <w:p w14:paraId="37C1B802"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0.34</w:t>
            </w:r>
          </w:p>
        </w:tc>
        <w:tc>
          <w:tcPr>
            <w:tcW w:w="728" w:type="dxa"/>
            <w:shd w:val="clear" w:color="auto" w:fill="auto"/>
            <w:noWrap/>
            <w:vAlign w:val="center"/>
            <w:hideMark/>
          </w:tcPr>
          <w:p w14:paraId="1DBCF02F"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0.40</w:t>
            </w:r>
          </w:p>
        </w:tc>
        <w:tc>
          <w:tcPr>
            <w:tcW w:w="728" w:type="dxa"/>
            <w:shd w:val="clear" w:color="auto" w:fill="auto"/>
            <w:noWrap/>
            <w:vAlign w:val="center"/>
            <w:hideMark/>
          </w:tcPr>
          <w:p w14:paraId="7456EB2D"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0.34</w:t>
            </w:r>
          </w:p>
        </w:tc>
        <w:tc>
          <w:tcPr>
            <w:tcW w:w="732" w:type="dxa"/>
            <w:shd w:val="clear" w:color="auto" w:fill="auto"/>
            <w:noWrap/>
            <w:vAlign w:val="center"/>
            <w:hideMark/>
          </w:tcPr>
          <w:p w14:paraId="45890EB7"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0.80</w:t>
            </w:r>
          </w:p>
        </w:tc>
        <w:tc>
          <w:tcPr>
            <w:tcW w:w="728" w:type="dxa"/>
            <w:shd w:val="clear" w:color="auto" w:fill="auto"/>
            <w:noWrap/>
            <w:vAlign w:val="center"/>
            <w:hideMark/>
          </w:tcPr>
          <w:p w14:paraId="36065594"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0.44</w:t>
            </w:r>
          </w:p>
        </w:tc>
        <w:tc>
          <w:tcPr>
            <w:tcW w:w="728" w:type="dxa"/>
            <w:shd w:val="clear" w:color="auto" w:fill="auto"/>
            <w:noWrap/>
            <w:vAlign w:val="center"/>
            <w:hideMark/>
          </w:tcPr>
          <w:p w14:paraId="2C0DD31A"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0.25</w:t>
            </w:r>
          </w:p>
        </w:tc>
        <w:tc>
          <w:tcPr>
            <w:tcW w:w="728" w:type="dxa"/>
            <w:shd w:val="clear" w:color="auto" w:fill="auto"/>
            <w:noWrap/>
            <w:vAlign w:val="center"/>
            <w:hideMark/>
          </w:tcPr>
          <w:p w14:paraId="29685919"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0.29</w:t>
            </w:r>
          </w:p>
        </w:tc>
        <w:tc>
          <w:tcPr>
            <w:tcW w:w="728" w:type="dxa"/>
            <w:shd w:val="clear" w:color="auto" w:fill="auto"/>
            <w:noWrap/>
            <w:vAlign w:val="center"/>
            <w:hideMark/>
          </w:tcPr>
          <w:p w14:paraId="232EE6F4"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0.26</w:t>
            </w:r>
          </w:p>
        </w:tc>
        <w:tc>
          <w:tcPr>
            <w:tcW w:w="732" w:type="dxa"/>
            <w:shd w:val="clear" w:color="auto" w:fill="auto"/>
            <w:noWrap/>
            <w:vAlign w:val="center"/>
            <w:hideMark/>
          </w:tcPr>
          <w:p w14:paraId="595EF46F" w14:textId="77777777" w:rsidR="0010030C" w:rsidRPr="009A3034" w:rsidRDefault="0010030C" w:rsidP="00650395">
            <w:pPr>
              <w:spacing w:line="240" w:lineRule="auto"/>
              <w:jc w:val="center"/>
              <w:rPr>
                <w:rFonts w:eastAsia="Times New Roman" w:cs="Times New Roman"/>
                <w:color w:val="000000"/>
                <w:sz w:val="20"/>
                <w:szCs w:val="20"/>
              </w:rPr>
            </w:pPr>
            <w:r w:rsidRPr="009A3034">
              <w:rPr>
                <w:rFonts w:eastAsia="Times New Roman" w:cs="Times New Roman"/>
                <w:color w:val="000000"/>
                <w:sz w:val="20"/>
                <w:szCs w:val="20"/>
              </w:rPr>
              <w:t>0.50</w:t>
            </w:r>
          </w:p>
        </w:tc>
      </w:tr>
    </w:tbl>
    <w:p w14:paraId="2A21B25B" w14:textId="77777777" w:rsidR="003E1349" w:rsidRDefault="003E1349" w:rsidP="00437EFE">
      <w:pPr>
        <w:rPr>
          <w:rFonts w:cs="Times New Roman"/>
        </w:rPr>
      </w:pPr>
    </w:p>
    <w:p w14:paraId="0DDABC26" w14:textId="77777777" w:rsidR="00437EFE" w:rsidRPr="00F314A0" w:rsidRDefault="00437EFE" w:rsidP="00A51DF5">
      <w:pPr>
        <w:ind w:firstLine="720"/>
        <w:rPr>
          <w:rFonts w:cs="Times New Roman"/>
        </w:rPr>
      </w:pPr>
    </w:p>
    <w:p w14:paraId="7334A1D6" w14:textId="77777777" w:rsidR="0063297B" w:rsidRDefault="0063297B" w:rsidP="00A51DF5">
      <w:pPr>
        <w:rPr>
          <w:rFonts w:cs="Times New Roman"/>
          <w:b/>
          <w:bCs/>
          <w:lang w:val="en-CA"/>
        </w:rPr>
      </w:pPr>
      <w:r>
        <w:rPr>
          <w:noProof/>
        </w:rPr>
        <w:drawing>
          <wp:inline distT="0" distB="0" distL="0" distR="0" wp14:anchorId="1568D827" wp14:editId="7239085D">
            <wp:extent cx="5943600" cy="3566160"/>
            <wp:effectExtent l="0" t="0" r="0" b="0"/>
            <wp:docPr id="232" name="Picture 2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0" cy="3566160"/>
                    </a:xfrm>
                    <a:prstGeom prst="rect">
                      <a:avLst/>
                    </a:prstGeom>
                    <a:noFill/>
                    <a:ln>
                      <a:noFill/>
                    </a:ln>
                  </pic:spPr>
                </pic:pic>
              </a:graphicData>
            </a:graphic>
          </wp:inline>
        </w:drawing>
      </w:r>
    </w:p>
    <w:p w14:paraId="4531752B" w14:textId="2AA020C4" w:rsidR="0063297B" w:rsidRPr="00A14A1A" w:rsidRDefault="001E7461" w:rsidP="000723A8">
      <w:pPr>
        <w:pStyle w:val="Caption"/>
        <w:spacing w:line="480" w:lineRule="auto"/>
        <w:jc w:val="center"/>
        <w:rPr>
          <w:lang w:val="en-CA"/>
        </w:rPr>
      </w:pPr>
      <w:bookmarkStart w:id="100" w:name="_Toc71334088"/>
      <w:r>
        <w:t xml:space="preserve">Figure </w:t>
      </w:r>
      <w:fldSimple w:instr=" STYLEREF 1 \s ">
        <w:r w:rsidR="005050F0">
          <w:rPr>
            <w:noProof/>
          </w:rPr>
          <w:t>3</w:t>
        </w:r>
      </w:fldSimple>
      <w:r w:rsidR="00F87F6B">
        <w:t>.</w:t>
      </w:r>
      <w:fldSimple w:instr=" SEQ Figure \* ARABIC \s 1 ">
        <w:r w:rsidR="005050F0">
          <w:rPr>
            <w:noProof/>
          </w:rPr>
          <w:t>1</w:t>
        </w:r>
      </w:fldSimple>
      <w:r>
        <w:rPr>
          <w:lang w:val="en-CA"/>
        </w:rPr>
        <w:t xml:space="preserve"> </w:t>
      </w:r>
      <w:r w:rsidR="0063297B" w:rsidRPr="00A14A1A">
        <w:rPr>
          <w:lang w:val="en-CA"/>
        </w:rPr>
        <w:t>Work</w:t>
      </w:r>
      <w:r w:rsidR="0063297B">
        <w:rPr>
          <w:lang w:val="en-CA"/>
        </w:rPr>
        <w:t>-</w:t>
      </w:r>
      <w:r w:rsidR="0063297B" w:rsidRPr="00A14A1A">
        <w:rPr>
          <w:lang w:val="en-CA"/>
        </w:rPr>
        <w:t>flow diagram for the study</w:t>
      </w:r>
      <w:bookmarkEnd w:id="100"/>
    </w:p>
    <w:p w14:paraId="75D086DC" w14:textId="77777777" w:rsidR="000723A8" w:rsidRDefault="000723A8" w:rsidP="00A51DF5">
      <w:pPr>
        <w:jc w:val="center"/>
        <w:rPr>
          <w:rFonts w:cs="Times New Roman"/>
          <w:noProof/>
        </w:rPr>
      </w:pPr>
    </w:p>
    <w:p w14:paraId="1F939EA2" w14:textId="7E008A8F" w:rsidR="008D275C" w:rsidRDefault="008D275C" w:rsidP="00A51DF5">
      <w:pPr>
        <w:jc w:val="center"/>
        <w:rPr>
          <w:rFonts w:cs="Times New Roman"/>
        </w:rPr>
      </w:pPr>
      <w:r>
        <w:rPr>
          <w:noProof/>
        </w:rPr>
        <w:drawing>
          <wp:inline distT="0" distB="0" distL="0" distR="0" wp14:anchorId="04C44EEB" wp14:editId="1BB28ED8">
            <wp:extent cx="1517541" cy="1645920"/>
            <wp:effectExtent l="0" t="0" r="6985"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6304" r="14546"/>
                    <a:stretch/>
                  </pic:blipFill>
                  <pic:spPr bwMode="auto">
                    <a:xfrm>
                      <a:off x="0" y="0"/>
                      <a:ext cx="1517541" cy="1645920"/>
                    </a:xfrm>
                    <a:prstGeom prst="rect">
                      <a:avLst/>
                    </a:prstGeom>
                    <a:noFill/>
                    <a:ln>
                      <a:noFill/>
                    </a:ln>
                    <a:extLst>
                      <a:ext uri="{53640926-AAD7-44D8-BBD7-CCE9431645EC}">
                        <a14:shadowObscured xmlns:a14="http://schemas.microsoft.com/office/drawing/2010/main"/>
                      </a:ext>
                    </a:extLst>
                  </pic:spPr>
                </pic:pic>
              </a:graphicData>
            </a:graphic>
          </wp:inline>
        </w:drawing>
      </w:r>
      <w:r w:rsidR="00291048">
        <w:rPr>
          <w:rFonts w:cs="Times New Roman"/>
          <w:noProof/>
        </w:rPr>
        <w:t xml:space="preserve">  </w:t>
      </w:r>
      <w:r w:rsidRPr="00701CE8">
        <w:rPr>
          <w:rFonts w:cs="Times New Roman"/>
          <w:noProof/>
        </w:rPr>
        <w:drawing>
          <wp:inline distT="0" distB="0" distL="0" distR="0" wp14:anchorId="745C49C5" wp14:editId="27058A48">
            <wp:extent cx="1944094" cy="1645920"/>
            <wp:effectExtent l="0" t="0" r="0" b="0"/>
            <wp:docPr id="13" name="Picture 12" descr="A machine on the counter&#10;&#10;Description automatically generated with low confidence">
              <a:extLst xmlns:a="http://schemas.openxmlformats.org/drawingml/2006/main">
                <a:ext uri="{FF2B5EF4-FFF2-40B4-BE49-F238E27FC236}">
                  <a16:creationId xmlns:a16="http://schemas.microsoft.com/office/drawing/2014/main" id="{BD14FAC8-C93F-4052-B1C5-156634657E5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2" descr="A machine on the counter&#10;&#10;Description automatically generated with low confidence">
                      <a:extLst>
                        <a:ext uri="{FF2B5EF4-FFF2-40B4-BE49-F238E27FC236}">
                          <a16:creationId xmlns:a16="http://schemas.microsoft.com/office/drawing/2014/main" id="{BD14FAC8-C93F-4052-B1C5-156634657E53}"/>
                        </a:ext>
                      </a:extLst>
                    </pic:cNvPr>
                    <pic:cNvPicPr>
                      <a:picLocks noChangeAspect="1"/>
                    </pic:cNvPicPr>
                  </pic:nvPicPr>
                  <pic:blipFill rotWithShape="1">
                    <a:blip r:embed="rId16" cstate="print">
                      <a:extLst>
                        <a:ext uri="{28A0092B-C50C-407E-A947-70E740481C1C}">
                          <a14:useLocalDpi xmlns:a14="http://schemas.microsoft.com/office/drawing/2010/main" val="0"/>
                        </a:ext>
                      </a:extLst>
                    </a:blip>
                    <a:srcRect l="11413"/>
                    <a:stretch/>
                  </pic:blipFill>
                  <pic:spPr bwMode="auto">
                    <a:xfrm>
                      <a:off x="0" y="0"/>
                      <a:ext cx="1944094" cy="1645920"/>
                    </a:xfrm>
                    <a:prstGeom prst="rect">
                      <a:avLst/>
                    </a:prstGeom>
                    <a:ln>
                      <a:noFill/>
                    </a:ln>
                    <a:extLst>
                      <a:ext uri="{53640926-AAD7-44D8-BBD7-CCE9431645EC}">
                        <a14:shadowObscured xmlns:a14="http://schemas.microsoft.com/office/drawing/2010/main"/>
                      </a:ext>
                    </a:extLst>
                  </pic:spPr>
                </pic:pic>
              </a:graphicData>
            </a:graphic>
          </wp:inline>
        </w:drawing>
      </w:r>
      <w:r w:rsidR="00291048">
        <w:rPr>
          <w:noProof/>
        </w:rPr>
        <w:t xml:space="preserve">  </w:t>
      </w:r>
      <w:r>
        <w:rPr>
          <w:noProof/>
        </w:rPr>
        <w:drawing>
          <wp:inline distT="0" distB="0" distL="0" distR="0" wp14:anchorId="3EAF3992" wp14:editId="5AB4E7B6">
            <wp:extent cx="1645920" cy="1222808"/>
            <wp:effectExtent l="2222"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17" cstate="print">
                      <a:extLst>
                        <a:ext uri="{28A0092B-C50C-407E-A947-70E740481C1C}">
                          <a14:useLocalDpi xmlns:a14="http://schemas.microsoft.com/office/drawing/2010/main" val="0"/>
                        </a:ext>
                      </a:extLst>
                    </a:blip>
                    <a:srcRect r="24157"/>
                    <a:stretch/>
                  </pic:blipFill>
                  <pic:spPr bwMode="auto">
                    <a:xfrm rot="5400000">
                      <a:off x="0" y="0"/>
                      <a:ext cx="1645920" cy="1222808"/>
                    </a:xfrm>
                    <a:prstGeom prst="rect">
                      <a:avLst/>
                    </a:prstGeom>
                    <a:noFill/>
                    <a:ln>
                      <a:noFill/>
                    </a:ln>
                    <a:extLst>
                      <a:ext uri="{53640926-AAD7-44D8-BBD7-CCE9431645EC}">
                        <a14:shadowObscured xmlns:a14="http://schemas.microsoft.com/office/drawing/2010/main"/>
                      </a:ext>
                    </a:extLst>
                  </pic:spPr>
                </pic:pic>
              </a:graphicData>
            </a:graphic>
          </wp:inline>
        </w:drawing>
      </w:r>
    </w:p>
    <w:p w14:paraId="7D395DA0" w14:textId="5D375771" w:rsidR="008D275C" w:rsidRDefault="008D275C" w:rsidP="00A51DF5">
      <w:pPr>
        <w:rPr>
          <w:rFonts w:cs="Times New Roman"/>
        </w:rPr>
      </w:pPr>
      <w:r>
        <w:rPr>
          <w:rFonts w:cs="Times New Roman"/>
        </w:rPr>
        <w:t xml:space="preserve">                 </w:t>
      </w:r>
      <w:r w:rsidR="00291048">
        <w:rPr>
          <w:rFonts w:cs="Times New Roman"/>
        </w:rPr>
        <w:t xml:space="preserve">      </w:t>
      </w:r>
      <w:r>
        <w:rPr>
          <w:rFonts w:cs="Times New Roman"/>
        </w:rPr>
        <w:t xml:space="preserve">  (a)               </w:t>
      </w:r>
      <w:r w:rsidR="00291048">
        <w:rPr>
          <w:rFonts w:cs="Times New Roman"/>
        </w:rPr>
        <w:t xml:space="preserve">    </w:t>
      </w:r>
      <w:r>
        <w:rPr>
          <w:rFonts w:cs="Times New Roman"/>
        </w:rPr>
        <w:t xml:space="preserve">                        (b)                                       (c)</w:t>
      </w:r>
    </w:p>
    <w:p w14:paraId="1CC9CCD8" w14:textId="30C5F2F6" w:rsidR="008D275C" w:rsidRPr="009A3034" w:rsidRDefault="001E7461" w:rsidP="000723A8">
      <w:pPr>
        <w:pStyle w:val="Caption"/>
        <w:spacing w:line="480" w:lineRule="auto"/>
        <w:jc w:val="center"/>
      </w:pPr>
      <w:bookmarkStart w:id="101" w:name="_Toc71334089"/>
      <w:r>
        <w:t xml:space="preserve">Figure </w:t>
      </w:r>
      <w:fldSimple w:instr=" STYLEREF 1 \s ">
        <w:r w:rsidR="005050F0">
          <w:rPr>
            <w:noProof/>
          </w:rPr>
          <w:t>3</w:t>
        </w:r>
      </w:fldSimple>
      <w:r w:rsidR="00F87F6B">
        <w:t>.</w:t>
      </w:r>
      <w:fldSimple w:instr=" SEQ Figure \* ARABIC \s 1 ">
        <w:r w:rsidR="005050F0">
          <w:rPr>
            <w:noProof/>
          </w:rPr>
          <w:t>2</w:t>
        </w:r>
      </w:fldSimple>
      <w:r>
        <w:t xml:space="preserve"> </w:t>
      </w:r>
      <w:r w:rsidR="008D275C">
        <w:t>Setup for (a) DWP test on binder coated glass plates, (b) FTIR test on binder, and (c) USD test on aggregate.</w:t>
      </w:r>
      <w:bookmarkEnd w:id="101"/>
    </w:p>
    <w:p w14:paraId="118DB3D3" w14:textId="77777777" w:rsidR="00D24CFF" w:rsidRPr="00F274A0" w:rsidRDefault="00D24CFF" w:rsidP="000723A8">
      <w:pPr>
        <w:jc w:val="center"/>
        <w:rPr>
          <w:rFonts w:cs="Times New Roman"/>
        </w:rPr>
      </w:pPr>
      <w:r w:rsidRPr="00F274A0">
        <w:rPr>
          <w:noProof/>
        </w:rPr>
        <w:drawing>
          <wp:inline distT="0" distB="0" distL="0" distR="0" wp14:anchorId="5C414687" wp14:editId="1ED9258D">
            <wp:extent cx="5486400" cy="2704514"/>
            <wp:effectExtent l="19050" t="19050" r="19050" b="19685"/>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486400" cy="2704514"/>
                    </a:xfrm>
                    <a:prstGeom prst="rect">
                      <a:avLst/>
                    </a:prstGeom>
                    <a:noFill/>
                    <a:ln>
                      <a:solidFill>
                        <a:schemeClr val="tx1"/>
                      </a:solidFill>
                    </a:ln>
                  </pic:spPr>
                </pic:pic>
              </a:graphicData>
            </a:graphic>
          </wp:inline>
        </w:drawing>
      </w:r>
    </w:p>
    <w:p w14:paraId="0438699E" w14:textId="53B04E82" w:rsidR="00D24CFF" w:rsidRPr="00F274A0" w:rsidRDefault="001E7461" w:rsidP="000723A8">
      <w:pPr>
        <w:pStyle w:val="Caption"/>
        <w:spacing w:line="480" w:lineRule="auto"/>
        <w:jc w:val="center"/>
      </w:pPr>
      <w:bookmarkStart w:id="102" w:name="_Toc71334090"/>
      <w:r>
        <w:t xml:space="preserve">Figure </w:t>
      </w:r>
      <w:fldSimple w:instr=" STYLEREF 1 \s ">
        <w:r w:rsidR="005050F0">
          <w:rPr>
            <w:noProof/>
          </w:rPr>
          <w:t>3</w:t>
        </w:r>
      </w:fldSimple>
      <w:r w:rsidR="00F87F6B">
        <w:t>.</w:t>
      </w:r>
      <w:fldSimple w:instr=" SEQ Figure \* ARABIC \s 1 ">
        <w:r w:rsidR="005050F0">
          <w:rPr>
            <w:noProof/>
          </w:rPr>
          <w:t>3</w:t>
        </w:r>
      </w:fldSimple>
      <w:r>
        <w:t xml:space="preserve"> </w:t>
      </w:r>
      <w:r w:rsidR="00D24CFF" w:rsidRPr="00F274A0">
        <w:t>FTIR Spectra of unaged PG 64-22 and PG 76-28 binders</w:t>
      </w:r>
      <w:bookmarkEnd w:id="102"/>
    </w:p>
    <w:p w14:paraId="094B6299" w14:textId="77777777" w:rsidR="000723A8" w:rsidRDefault="000723A8" w:rsidP="000723A8">
      <w:pPr>
        <w:jc w:val="center"/>
        <w:rPr>
          <w:rFonts w:cs="Times New Roman"/>
          <w:lang w:val="en-CA"/>
        </w:rPr>
      </w:pPr>
    </w:p>
    <w:p w14:paraId="03387C36" w14:textId="13CBB780" w:rsidR="00D24CFF" w:rsidRPr="00F274A0" w:rsidRDefault="00D24CFF" w:rsidP="000723A8">
      <w:pPr>
        <w:jc w:val="center"/>
        <w:rPr>
          <w:rFonts w:cs="Times New Roman"/>
          <w:lang w:val="en-CA"/>
        </w:rPr>
      </w:pPr>
      <w:r w:rsidRPr="00F274A0">
        <w:rPr>
          <w:noProof/>
        </w:rPr>
        <w:drawing>
          <wp:inline distT="0" distB="0" distL="0" distR="0" wp14:anchorId="39246942" wp14:editId="3E8B7FEF">
            <wp:extent cx="5486400" cy="2704514"/>
            <wp:effectExtent l="19050" t="19050" r="19050" b="19685"/>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86400" cy="2704514"/>
                    </a:xfrm>
                    <a:prstGeom prst="rect">
                      <a:avLst/>
                    </a:prstGeom>
                    <a:noFill/>
                    <a:ln>
                      <a:solidFill>
                        <a:schemeClr val="tx1"/>
                      </a:solidFill>
                    </a:ln>
                  </pic:spPr>
                </pic:pic>
              </a:graphicData>
            </a:graphic>
          </wp:inline>
        </w:drawing>
      </w:r>
    </w:p>
    <w:p w14:paraId="2901E4BB" w14:textId="0F5F0469" w:rsidR="00D24CFF" w:rsidRPr="00F274A0" w:rsidRDefault="001E7461" w:rsidP="000723A8">
      <w:pPr>
        <w:pStyle w:val="Caption"/>
        <w:spacing w:line="480" w:lineRule="auto"/>
        <w:jc w:val="center"/>
        <w:rPr>
          <w:lang w:val="en-CA"/>
        </w:rPr>
      </w:pPr>
      <w:bookmarkStart w:id="103" w:name="_Toc71334091"/>
      <w:r>
        <w:t xml:space="preserve">Figure </w:t>
      </w:r>
      <w:fldSimple w:instr=" STYLEREF 1 \s ">
        <w:r w:rsidR="005050F0">
          <w:rPr>
            <w:noProof/>
          </w:rPr>
          <w:t>3</w:t>
        </w:r>
      </w:fldSimple>
      <w:r w:rsidR="00F87F6B">
        <w:t>.</w:t>
      </w:r>
      <w:fldSimple w:instr=" SEQ Figure \* ARABIC \s 1 ">
        <w:r w:rsidR="005050F0">
          <w:rPr>
            <w:noProof/>
          </w:rPr>
          <w:t>4</w:t>
        </w:r>
      </w:fldSimple>
      <w:r>
        <w:rPr>
          <w:lang w:val="en-CA"/>
        </w:rPr>
        <w:t xml:space="preserve"> </w:t>
      </w:r>
      <w:r w:rsidR="00D24CFF" w:rsidRPr="00F274A0">
        <w:rPr>
          <w:lang w:val="en-CA"/>
        </w:rPr>
        <w:t xml:space="preserve">FTIR Spectra for </w:t>
      </w:r>
      <w:r w:rsidR="00D24CFF">
        <w:rPr>
          <w:lang w:val="en-CA"/>
        </w:rPr>
        <w:t xml:space="preserve">PG 64-22 and PG 76-28 </w:t>
      </w:r>
      <w:r w:rsidR="00D24CFF" w:rsidRPr="00F274A0">
        <w:rPr>
          <w:lang w:val="en-CA"/>
        </w:rPr>
        <w:t>binders with WMA additives at different aging conditions</w:t>
      </w:r>
      <w:bookmarkEnd w:id="103"/>
    </w:p>
    <w:p w14:paraId="48B0ADDB" w14:textId="77777777" w:rsidR="00D24CFF" w:rsidRPr="00F274A0" w:rsidRDefault="00D24CFF" w:rsidP="000723A8">
      <w:pPr>
        <w:jc w:val="center"/>
        <w:rPr>
          <w:rFonts w:cs="Times New Roman"/>
          <w:lang w:val="en-CA"/>
        </w:rPr>
      </w:pPr>
      <w:r w:rsidRPr="00F274A0">
        <w:rPr>
          <w:noProof/>
        </w:rPr>
        <w:drawing>
          <wp:inline distT="0" distB="0" distL="0" distR="0" wp14:anchorId="660E9AD3" wp14:editId="28FCA8CD">
            <wp:extent cx="5486400" cy="2704514"/>
            <wp:effectExtent l="19050" t="19050" r="19050" b="1968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486400" cy="2704514"/>
                    </a:xfrm>
                    <a:prstGeom prst="rect">
                      <a:avLst/>
                    </a:prstGeom>
                    <a:noFill/>
                    <a:ln>
                      <a:solidFill>
                        <a:schemeClr val="tx1"/>
                      </a:solidFill>
                    </a:ln>
                  </pic:spPr>
                </pic:pic>
              </a:graphicData>
            </a:graphic>
          </wp:inline>
        </w:drawing>
      </w:r>
    </w:p>
    <w:p w14:paraId="3D0A85D2" w14:textId="3B7C09A4" w:rsidR="00D24CFF" w:rsidRPr="00F274A0" w:rsidRDefault="001E7461" w:rsidP="000723A8">
      <w:pPr>
        <w:pStyle w:val="Caption"/>
        <w:spacing w:line="480" w:lineRule="auto"/>
        <w:jc w:val="center"/>
        <w:rPr>
          <w:lang w:val="en-CA"/>
        </w:rPr>
      </w:pPr>
      <w:bookmarkStart w:id="104" w:name="_Toc71334092"/>
      <w:r>
        <w:t xml:space="preserve">Figure </w:t>
      </w:r>
      <w:fldSimple w:instr=" STYLEREF 1 \s ">
        <w:r w:rsidR="005050F0">
          <w:rPr>
            <w:noProof/>
          </w:rPr>
          <w:t>3</w:t>
        </w:r>
      </w:fldSimple>
      <w:r w:rsidR="00F87F6B">
        <w:t>.</w:t>
      </w:r>
      <w:fldSimple w:instr=" SEQ Figure \* ARABIC \s 1 ">
        <w:r w:rsidR="005050F0">
          <w:rPr>
            <w:noProof/>
          </w:rPr>
          <w:t>5</w:t>
        </w:r>
      </w:fldSimple>
      <w:r w:rsidR="00D24CFF" w:rsidRPr="00F274A0">
        <w:rPr>
          <w:lang w:val="en-CA"/>
        </w:rPr>
        <w:t xml:space="preserve"> FTIR Spectra for </w:t>
      </w:r>
      <w:r w:rsidR="00D24CFF">
        <w:rPr>
          <w:lang w:val="en-CA"/>
        </w:rPr>
        <w:t xml:space="preserve">PG 64-22 and PG 76-28 </w:t>
      </w:r>
      <w:r w:rsidR="00D24CFF" w:rsidRPr="00F274A0">
        <w:rPr>
          <w:lang w:val="en-CA"/>
        </w:rPr>
        <w:t>binders with ASA additives at different aging conditions</w:t>
      </w:r>
      <w:bookmarkEnd w:id="104"/>
    </w:p>
    <w:p w14:paraId="06A2E57A" w14:textId="77777777" w:rsidR="000723A8" w:rsidRDefault="000723A8" w:rsidP="00A51DF5">
      <w:pPr>
        <w:jc w:val="center"/>
        <w:rPr>
          <w:rFonts w:cs="Times New Roman"/>
          <w:lang w:val="en-CA"/>
        </w:rPr>
      </w:pPr>
    </w:p>
    <w:p w14:paraId="57BCAC45" w14:textId="36B2DBB1" w:rsidR="00D24CFF" w:rsidRPr="00F274A0" w:rsidRDefault="00D24CFF" w:rsidP="00A51DF5">
      <w:pPr>
        <w:jc w:val="center"/>
        <w:rPr>
          <w:rFonts w:cs="Times New Roman"/>
          <w:lang w:val="en-CA"/>
        </w:rPr>
      </w:pPr>
      <w:r w:rsidRPr="00F274A0">
        <w:rPr>
          <w:noProof/>
        </w:rPr>
        <w:drawing>
          <wp:inline distT="0" distB="0" distL="0" distR="0" wp14:anchorId="64C723DB" wp14:editId="14F80DE6">
            <wp:extent cx="5486400" cy="2704514"/>
            <wp:effectExtent l="19050" t="19050" r="19050" b="19685"/>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486400" cy="2704514"/>
                    </a:xfrm>
                    <a:prstGeom prst="rect">
                      <a:avLst/>
                    </a:prstGeom>
                    <a:noFill/>
                    <a:ln>
                      <a:solidFill>
                        <a:schemeClr val="tx1"/>
                      </a:solidFill>
                    </a:ln>
                  </pic:spPr>
                </pic:pic>
              </a:graphicData>
            </a:graphic>
          </wp:inline>
        </w:drawing>
      </w:r>
    </w:p>
    <w:p w14:paraId="7C29AAE1" w14:textId="4CDE6EE2" w:rsidR="00D24CFF" w:rsidRPr="00F274A0" w:rsidRDefault="001E7461" w:rsidP="00E229D5">
      <w:pPr>
        <w:pStyle w:val="Caption"/>
        <w:spacing w:line="480" w:lineRule="auto"/>
        <w:jc w:val="center"/>
        <w:rPr>
          <w:lang w:val="en-CA"/>
        </w:rPr>
      </w:pPr>
      <w:bookmarkStart w:id="105" w:name="_Toc71334093"/>
      <w:r>
        <w:t xml:space="preserve">Figure </w:t>
      </w:r>
      <w:fldSimple w:instr=" STYLEREF 1 \s ">
        <w:r w:rsidR="005050F0">
          <w:rPr>
            <w:noProof/>
          </w:rPr>
          <w:t>3</w:t>
        </w:r>
      </w:fldSimple>
      <w:r w:rsidR="00F87F6B">
        <w:t>.</w:t>
      </w:r>
      <w:fldSimple w:instr=" SEQ Figure \* ARABIC \s 1 ">
        <w:r w:rsidR="005050F0">
          <w:rPr>
            <w:noProof/>
          </w:rPr>
          <w:t>6</w:t>
        </w:r>
      </w:fldSimple>
      <w:r>
        <w:t xml:space="preserve"> </w:t>
      </w:r>
      <w:r w:rsidR="00D24CFF" w:rsidRPr="00F274A0">
        <w:rPr>
          <w:lang w:val="en-CA"/>
        </w:rPr>
        <w:t xml:space="preserve">FTIR Spectra for </w:t>
      </w:r>
      <w:r w:rsidR="00D24CFF">
        <w:rPr>
          <w:lang w:val="en-CA"/>
        </w:rPr>
        <w:t xml:space="preserve">PG 64-22 and PG 76-28 </w:t>
      </w:r>
      <w:r w:rsidR="00D24CFF" w:rsidRPr="00F274A0">
        <w:rPr>
          <w:lang w:val="en-CA"/>
        </w:rPr>
        <w:t>binders with 20% RAP binder at different aging conditions</w:t>
      </w:r>
      <w:bookmarkEnd w:id="105"/>
    </w:p>
    <w:p w14:paraId="658D7571" w14:textId="77777777" w:rsidR="00D24CFF" w:rsidRPr="00F274A0" w:rsidRDefault="00D24CFF" w:rsidP="00A51DF5">
      <w:pPr>
        <w:jc w:val="center"/>
        <w:rPr>
          <w:rFonts w:cs="Times New Roman"/>
          <w:lang w:val="en-CA"/>
        </w:rPr>
      </w:pPr>
      <w:r w:rsidRPr="00F274A0">
        <w:rPr>
          <w:noProof/>
        </w:rPr>
        <w:drawing>
          <wp:inline distT="0" distB="0" distL="0" distR="0" wp14:anchorId="06745BA4" wp14:editId="4EE88D18">
            <wp:extent cx="5486400" cy="2704514"/>
            <wp:effectExtent l="19050" t="19050" r="19050" b="19685"/>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86400" cy="2704514"/>
                    </a:xfrm>
                    <a:prstGeom prst="rect">
                      <a:avLst/>
                    </a:prstGeom>
                    <a:noFill/>
                    <a:ln>
                      <a:solidFill>
                        <a:schemeClr val="tx1"/>
                      </a:solidFill>
                    </a:ln>
                  </pic:spPr>
                </pic:pic>
              </a:graphicData>
            </a:graphic>
          </wp:inline>
        </w:drawing>
      </w:r>
    </w:p>
    <w:p w14:paraId="7EDF6C0E" w14:textId="3471EF65" w:rsidR="00D24CFF" w:rsidRPr="00F274A0" w:rsidRDefault="001E7461" w:rsidP="000723A8">
      <w:pPr>
        <w:pStyle w:val="Caption"/>
        <w:spacing w:line="480" w:lineRule="auto"/>
        <w:jc w:val="center"/>
        <w:rPr>
          <w:lang w:val="en-CA"/>
        </w:rPr>
      </w:pPr>
      <w:bookmarkStart w:id="106" w:name="_Toc71334094"/>
      <w:r>
        <w:t xml:space="preserve">Figure </w:t>
      </w:r>
      <w:fldSimple w:instr=" STYLEREF 1 \s ">
        <w:r w:rsidR="005050F0">
          <w:rPr>
            <w:noProof/>
          </w:rPr>
          <w:t>3</w:t>
        </w:r>
      </w:fldSimple>
      <w:r w:rsidR="00F87F6B">
        <w:t>.</w:t>
      </w:r>
      <w:fldSimple w:instr=" SEQ Figure \* ARABIC \s 1 ">
        <w:r w:rsidR="005050F0">
          <w:rPr>
            <w:noProof/>
          </w:rPr>
          <w:t>7</w:t>
        </w:r>
      </w:fldSimple>
      <w:r>
        <w:t xml:space="preserve"> </w:t>
      </w:r>
      <w:r w:rsidR="00D24CFF" w:rsidRPr="00F274A0">
        <w:rPr>
          <w:lang w:val="en-CA"/>
        </w:rPr>
        <w:t xml:space="preserve">FTIR Spectra for </w:t>
      </w:r>
      <w:r w:rsidR="00D24CFF">
        <w:rPr>
          <w:lang w:val="en-CA"/>
        </w:rPr>
        <w:t xml:space="preserve">PG 64-22 </w:t>
      </w:r>
      <w:r w:rsidR="00D24CFF" w:rsidRPr="00F274A0">
        <w:rPr>
          <w:lang w:val="en-CA"/>
        </w:rPr>
        <w:t>binder with 1.5% PPA at different aging conditions</w:t>
      </w:r>
      <w:bookmarkEnd w:id="106"/>
    </w:p>
    <w:p w14:paraId="6B25FBDC" w14:textId="77777777" w:rsidR="00E229D5" w:rsidRDefault="00E229D5" w:rsidP="00E229D5">
      <w:pPr>
        <w:jc w:val="center"/>
        <w:rPr>
          <w:rFonts w:cs="Times New Roman"/>
          <w:lang w:val="en-CA"/>
        </w:rPr>
      </w:pPr>
    </w:p>
    <w:p w14:paraId="3D73AB46" w14:textId="77777777" w:rsidR="00E229D5" w:rsidRDefault="00E229D5" w:rsidP="00E229D5">
      <w:pPr>
        <w:jc w:val="center"/>
        <w:rPr>
          <w:rFonts w:cs="Times New Roman"/>
          <w:lang w:val="en-CA"/>
        </w:rPr>
      </w:pPr>
    </w:p>
    <w:p w14:paraId="206FCA90" w14:textId="77777777" w:rsidR="00E229D5" w:rsidRDefault="00E229D5" w:rsidP="00E229D5">
      <w:pPr>
        <w:jc w:val="center"/>
        <w:rPr>
          <w:rFonts w:cs="Times New Roman"/>
          <w:lang w:val="en-CA"/>
        </w:rPr>
      </w:pPr>
    </w:p>
    <w:p w14:paraId="4757AAC8" w14:textId="77777777" w:rsidR="00E229D5" w:rsidRDefault="00E229D5" w:rsidP="00E229D5">
      <w:pPr>
        <w:jc w:val="center"/>
        <w:rPr>
          <w:rFonts w:cs="Times New Roman"/>
          <w:lang w:val="en-CA"/>
        </w:rPr>
      </w:pPr>
    </w:p>
    <w:p w14:paraId="678C99AB" w14:textId="77777777" w:rsidR="00E229D5" w:rsidRDefault="00E229D5" w:rsidP="00E229D5">
      <w:pPr>
        <w:jc w:val="center"/>
        <w:rPr>
          <w:rFonts w:cs="Times New Roman"/>
          <w:lang w:val="en-CA"/>
        </w:rPr>
      </w:pPr>
    </w:p>
    <w:p w14:paraId="72A56091" w14:textId="77777777" w:rsidR="00E229D5" w:rsidRDefault="00E229D5" w:rsidP="00E229D5">
      <w:pPr>
        <w:jc w:val="center"/>
        <w:rPr>
          <w:rFonts w:cs="Times New Roman"/>
          <w:lang w:val="en-CA"/>
        </w:rPr>
      </w:pPr>
    </w:p>
    <w:p w14:paraId="58600FA9" w14:textId="77777777" w:rsidR="00E229D5" w:rsidRDefault="00E229D5" w:rsidP="00E229D5">
      <w:pPr>
        <w:jc w:val="center"/>
        <w:rPr>
          <w:rFonts w:cs="Times New Roman"/>
          <w:lang w:val="en-CA"/>
        </w:rPr>
      </w:pPr>
    </w:p>
    <w:p w14:paraId="21B69442" w14:textId="77777777" w:rsidR="00E229D5" w:rsidRDefault="00E229D5" w:rsidP="00E229D5">
      <w:pPr>
        <w:jc w:val="center"/>
        <w:rPr>
          <w:rFonts w:cs="Times New Roman"/>
          <w:lang w:val="en-CA"/>
        </w:rPr>
      </w:pPr>
    </w:p>
    <w:p w14:paraId="7C278523" w14:textId="77777777" w:rsidR="00E229D5" w:rsidRDefault="00E229D5" w:rsidP="00E229D5">
      <w:pPr>
        <w:jc w:val="center"/>
        <w:rPr>
          <w:rFonts w:cs="Times New Roman"/>
          <w:lang w:val="en-CA"/>
        </w:rPr>
      </w:pPr>
    </w:p>
    <w:p w14:paraId="6463120F" w14:textId="74625A1A" w:rsidR="00F77539" w:rsidRPr="008543CA" w:rsidRDefault="00F77539" w:rsidP="00E229D5">
      <w:pPr>
        <w:jc w:val="center"/>
        <w:rPr>
          <w:rFonts w:cs="Times New Roman"/>
          <w:lang w:val="en-CA"/>
        </w:rPr>
      </w:pPr>
      <w:r w:rsidRPr="008543CA">
        <w:rPr>
          <w:noProof/>
        </w:rPr>
        <w:drawing>
          <wp:inline distT="0" distB="0" distL="0" distR="0" wp14:anchorId="241D7151" wp14:editId="0DCEC517">
            <wp:extent cx="5342255" cy="2743200"/>
            <wp:effectExtent l="0" t="0" r="10795" b="0"/>
            <wp:docPr id="16" name="Chart 16">
              <a:extLst xmlns:a="http://schemas.openxmlformats.org/drawingml/2006/main">
                <a:ext uri="{FF2B5EF4-FFF2-40B4-BE49-F238E27FC236}">
                  <a16:creationId xmlns:a16="http://schemas.microsoft.com/office/drawing/2014/main" id="{9544A697-AB55-427B-8ADC-0A0AE76FB4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47B8B69F" w14:textId="77777777" w:rsidR="00F77539" w:rsidRPr="008543CA" w:rsidRDefault="00F77539" w:rsidP="00E229D5">
      <w:pPr>
        <w:jc w:val="center"/>
        <w:rPr>
          <w:rFonts w:cs="Times New Roman"/>
          <w:lang w:val="en-CA"/>
        </w:rPr>
      </w:pPr>
      <w:r w:rsidRPr="008543CA">
        <w:rPr>
          <w:rFonts w:cs="Times New Roman"/>
          <w:lang w:val="en-CA"/>
        </w:rPr>
        <w:t>(a)</w:t>
      </w:r>
    </w:p>
    <w:p w14:paraId="1442BE31" w14:textId="77777777" w:rsidR="00F77539" w:rsidRPr="008543CA" w:rsidRDefault="00F77539" w:rsidP="00E229D5">
      <w:pPr>
        <w:jc w:val="center"/>
        <w:rPr>
          <w:rFonts w:cs="Times New Roman"/>
          <w:lang w:val="en-CA"/>
        </w:rPr>
      </w:pPr>
      <w:r w:rsidRPr="008543CA">
        <w:rPr>
          <w:noProof/>
        </w:rPr>
        <w:drawing>
          <wp:inline distT="0" distB="0" distL="0" distR="0" wp14:anchorId="09E2C253" wp14:editId="74CD154C">
            <wp:extent cx="5296756" cy="2743200"/>
            <wp:effectExtent l="0" t="0" r="18415" b="0"/>
            <wp:docPr id="19" name="Chart 19">
              <a:extLst xmlns:a="http://schemas.openxmlformats.org/drawingml/2006/main">
                <a:ext uri="{FF2B5EF4-FFF2-40B4-BE49-F238E27FC236}">
                  <a16:creationId xmlns:a16="http://schemas.microsoft.com/office/drawing/2014/main" id="{C6FA6B65-026C-4A28-B0A4-DF3C3128C06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5F871BC4" w14:textId="77777777" w:rsidR="00F77539" w:rsidRPr="008543CA" w:rsidRDefault="00F77539" w:rsidP="00E229D5">
      <w:pPr>
        <w:jc w:val="center"/>
        <w:rPr>
          <w:rFonts w:cs="Times New Roman"/>
          <w:lang w:val="en-CA"/>
        </w:rPr>
      </w:pPr>
      <w:r w:rsidRPr="008543CA">
        <w:rPr>
          <w:rFonts w:cs="Times New Roman"/>
          <w:lang w:val="en-CA"/>
        </w:rPr>
        <w:t>(b)</w:t>
      </w:r>
    </w:p>
    <w:p w14:paraId="5D41105C" w14:textId="0CA553DA" w:rsidR="00F77539" w:rsidRPr="008543CA" w:rsidRDefault="001E7461" w:rsidP="00E229D5">
      <w:pPr>
        <w:pStyle w:val="Caption"/>
        <w:spacing w:line="480" w:lineRule="auto"/>
        <w:jc w:val="center"/>
        <w:rPr>
          <w:lang w:val="en-CA"/>
        </w:rPr>
      </w:pPr>
      <w:bookmarkStart w:id="107" w:name="_Toc71334095"/>
      <w:r>
        <w:t xml:space="preserve">Figure </w:t>
      </w:r>
      <w:fldSimple w:instr=" STYLEREF 1 \s ">
        <w:r w:rsidR="005050F0">
          <w:rPr>
            <w:noProof/>
          </w:rPr>
          <w:t>3</w:t>
        </w:r>
      </w:fldSimple>
      <w:r w:rsidR="00F87F6B">
        <w:t>.</w:t>
      </w:r>
      <w:fldSimple w:instr=" SEQ Figure \* ARABIC \s 1 ">
        <w:r w:rsidR="005050F0">
          <w:rPr>
            <w:noProof/>
          </w:rPr>
          <w:t>8</w:t>
        </w:r>
      </w:fldSimple>
      <w:r>
        <w:rPr>
          <w:i/>
          <w:iCs/>
          <w:lang w:val="en-CA"/>
        </w:rPr>
        <w:t xml:space="preserve"> </w:t>
      </w:r>
      <w:r w:rsidR="00F77539" w:rsidRPr="008543CA">
        <w:rPr>
          <w:i/>
          <w:iCs/>
          <w:lang w:val="en-CA"/>
        </w:rPr>
        <w:t>I</w:t>
      </w:r>
      <w:r w:rsidR="00F77539" w:rsidRPr="008543CA">
        <w:rPr>
          <w:i/>
          <w:iCs/>
          <w:vertAlign w:val="subscript"/>
          <w:lang w:val="en-CA"/>
        </w:rPr>
        <w:t>CO</w:t>
      </w:r>
      <w:r w:rsidR="00F77539" w:rsidRPr="008543CA">
        <w:rPr>
          <w:lang w:val="en-CA"/>
        </w:rPr>
        <w:t xml:space="preserve"> based on peak heights at 1695 and 1740 cm</w:t>
      </w:r>
      <w:r w:rsidR="00F77539" w:rsidRPr="00427750">
        <w:rPr>
          <w:vertAlign w:val="superscript"/>
          <w:lang w:val="en-CA"/>
        </w:rPr>
        <w:t>-1</w:t>
      </w:r>
      <w:r w:rsidR="00F77539" w:rsidRPr="008543CA">
        <w:rPr>
          <w:lang w:val="en-CA"/>
        </w:rPr>
        <w:t xml:space="preserve"> for (a) PG 64-22 and (b) PG 76-28 binders</w:t>
      </w:r>
      <w:bookmarkEnd w:id="107"/>
    </w:p>
    <w:p w14:paraId="399BD871" w14:textId="3032CFA2" w:rsidR="00B555D8" w:rsidRDefault="00B555D8" w:rsidP="005E2A9D">
      <w:pPr>
        <w:rPr>
          <w:rFonts w:eastAsia="Times New Roman"/>
          <w:lang w:bidi="en-US"/>
        </w:rPr>
      </w:pPr>
    </w:p>
    <w:p w14:paraId="08CA014B" w14:textId="77777777" w:rsidR="00E229D5" w:rsidRDefault="00E229D5" w:rsidP="00C92F6E">
      <w:pPr>
        <w:spacing w:line="360" w:lineRule="auto"/>
        <w:jc w:val="center"/>
        <w:rPr>
          <w:rFonts w:cs="Times New Roman"/>
          <w:lang w:val="en-CA"/>
        </w:rPr>
      </w:pPr>
    </w:p>
    <w:p w14:paraId="424D0AD0" w14:textId="132B8CEC" w:rsidR="00C92F6E" w:rsidRPr="008C0E7B" w:rsidRDefault="00C92F6E" w:rsidP="00E229D5">
      <w:pPr>
        <w:jc w:val="center"/>
        <w:rPr>
          <w:rFonts w:cs="Times New Roman"/>
          <w:lang w:val="en-CA"/>
        </w:rPr>
      </w:pPr>
      <w:r w:rsidRPr="008C0E7B">
        <w:rPr>
          <w:noProof/>
        </w:rPr>
        <w:drawing>
          <wp:inline distT="0" distB="0" distL="0" distR="0" wp14:anchorId="2A89902C" wp14:editId="1D216A25">
            <wp:extent cx="4921968" cy="2743200"/>
            <wp:effectExtent l="0" t="0" r="12065" b="0"/>
            <wp:docPr id="17" name="Chart 17">
              <a:extLst xmlns:a="http://schemas.openxmlformats.org/drawingml/2006/main">
                <a:ext uri="{FF2B5EF4-FFF2-40B4-BE49-F238E27FC236}">
                  <a16:creationId xmlns:a16="http://schemas.microsoft.com/office/drawing/2014/main" id="{FAE72C0C-69D8-4826-9B45-03D2DA9B5A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20A4B6EA" w14:textId="77777777" w:rsidR="00C92F6E" w:rsidRPr="008C0E7B" w:rsidRDefault="00C92F6E" w:rsidP="00E229D5">
      <w:pPr>
        <w:jc w:val="center"/>
        <w:rPr>
          <w:rFonts w:cs="Times New Roman"/>
          <w:lang w:val="en-CA"/>
        </w:rPr>
      </w:pPr>
      <w:r w:rsidRPr="008C0E7B">
        <w:rPr>
          <w:rFonts w:cs="Times New Roman"/>
          <w:lang w:val="en-CA"/>
        </w:rPr>
        <w:t>(a)</w:t>
      </w:r>
    </w:p>
    <w:p w14:paraId="6A09F151" w14:textId="77777777" w:rsidR="00C92F6E" w:rsidRPr="008C0E7B" w:rsidRDefault="00C92F6E" w:rsidP="00E229D5">
      <w:pPr>
        <w:jc w:val="center"/>
        <w:rPr>
          <w:rFonts w:cs="Times New Roman"/>
          <w:lang w:val="en-CA"/>
        </w:rPr>
      </w:pPr>
      <w:r w:rsidRPr="008C0E7B">
        <w:rPr>
          <w:noProof/>
        </w:rPr>
        <w:drawing>
          <wp:inline distT="0" distB="0" distL="0" distR="0" wp14:anchorId="36357147" wp14:editId="03E0EE3B">
            <wp:extent cx="4986765" cy="2743200"/>
            <wp:effectExtent l="0" t="0" r="4445" b="0"/>
            <wp:docPr id="20" name="Chart 20">
              <a:extLst xmlns:a="http://schemas.openxmlformats.org/drawingml/2006/main">
                <a:ext uri="{FF2B5EF4-FFF2-40B4-BE49-F238E27FC236}">
                  <a16:creationId xmlns:a16="http://schemas.microsoft.com/office/drawing/2014/main" id="{4575584A-0F73-43AC-9771-37E08CE4BDE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1A7BA71D" w14:textId="77777777" w:rsidR="00C92F6E" w:rsidRPr="008C0E7B" w:rsidRDefault="00C92F6E" w:rsidP="00E229D5">
      <w:pPr>
        <w:jc w:val="center"/>
        <w:rPr>
          <w:rFonts w:cs="Times New Roman"/>
          <w:lang w:val="en-CA"/>
        </w:rPr>
      </w:pPr>
      <w:r w:rsidRPr="008C0E7B">
        <w:rPr>
          <w:rFonts w:cs="Times New Roman"/>
          <w:lang w:val="en-CA"/>
        </w:rPr>
        <w:t>(b)</w:t>
      </w:r>
    </w:p>
    <w:p w14:paraId="14C6D296" w14:textId="7E6B4A4A" w:rsidR="00C92F6E" w:rsidRPr="008C0E7B" w:rsidRDefault="001E7461" w:rsidP="00E229D5">
      <w:pPr>
        <w:pStyle w:val="Caption"/>
        <w:spacing w:line="480" w:lineRule="auto"/>
        <w:jc w:val="center"/>
        <w:rPr>
          <w:lang w:val="en-CA"/>
        </w:rPr>
      </w:pPr>
      <w:bookmarkStart w:id="108" w:name="_Toc71334096"/>
      <w:r>
        <w:t xml:space="preserve">Figure </w:t>
      </w:r>
      <w:fldSimple w:instr=" STYLEREF 1 \s ">
        <w:r w:rsidR="005050F0">
          <w:rPr>
            <w:noProof/>
          </w:rPr>
          <w:t>3</w:t>
        </w:r>
      </w:fldSimple>
      <w:r w:rsidR="00F87F6B">
        <w:t>.</w:t>
      </w:r>
      <w:fldSimple w:instr=" SEQ Figure \* ARABIC \s 1 ">
        <w:r w:rsidR="005050F0">
          <w:rPr>
            <w:noProof/>
          </w:rPr>
          <w:t>9</w:t>
        </w:r>
      </w:fldSimple>
      <w:r>
        <w:rPr>
          <w:lang w:val="en-CA"/>
        </w:rPr>
        <w:t xml:space="preserve"> </w:t>
      </w:r>
      <w:r w:rsidR="00C92F6E" w:rsidRPr="008C0E7B">
        <w:rPr>
          <w:i/>
          <w:iCs/>
          <w:lang w:val="en-CA"/>
        </w:rPr>
        <w:t>I</w:t>
      </w:r>
      <w:r w:rsidR="00C92F6E" w:rsidRPr="008C0E7B">
        <w:rPr>
          <w:i/>
          <w:iCs/>
          <w:vertAlign w:val="subscript"/>
          <w:lang w:val="en-CA"/>
        </w:rPr>
        <w:t>SO</w:t>
      </w:r>
      <w:r w:rsidR="00C92F6E" w:rsidRPr="008C0E7B">
        <w:rPr>
          <w:lang w:val="en-CA"/>
        </w:rPr>
        <w:t xml:space="preserve"> based on peak height at 1030 cm</w:t>
      </w:r>
      <w:r w:rsidR="00C92F6E" w:rsidRPr="008C0E7B">
        <w:rPr>
          <w:vertAlign w:val="superscript"/>
          <w:lang w:val="en-CA"/>
        </w:rPr>
        <w:t>-1</w:t>
      </w:r>
      <w:r w:rsidR="00C92F6E" w:rsidRPr="008C0E7B">
        <w:rPr>
          <w:lang w:val="en-CA"/>
        </w:rPr>
        <w:t xml:space="preserve"> for (a) PG 64-22 and (b) PG 76-28 binders</w:t>
      </w:r>
      <w:bookmarkEnd w:id="108"/>
    </w:p>
    <w:p w14:paraId="28543A4B" w14:textId="508C5616" w:rsidR="00C92F6E" w:rsidRDefault="00C92F6E" w:rsidP="005E2A9D">
      <w:pPr>
        <w:rPr>
          <w:rFonts w:eastAsia="Times New Roman"/>
          <w:lang w:bidi="en-US"/>
        </w:rPr>
      </w:pPr>
    </w:p>
    <w:p w14:paraId="32CF7B23" w14:textId="5CB3ABD4" w:rsidR="000E1272" w:rsidRDefault="000E1272" w:rsidP="005E2A9D">
      <w:pPr>
        <w:rPr>
          <w:rFonts w:eastAsia="Times New Roman"/>
          <w:lang w:bidi="en-US"/>
        </w:rPr>
      </w:pPr>
    </w:p>
    <w:p w14:paraId="2E42CAA6" w14:textId="77777777" w:rsidR="0027520A" w:rsidRPr="002C7331" w:rsidRDefault="0027520A" w:rsidP="00BF17E0">
      <w:pPr>
        <w:spacing w:line="240" w:lineRule="auto"/>
        <w:rPr>
          <w:rFonts w:ascii="Mongolian Baiti" w:hAnsi="Mongolian Baiti" w:cs="Mongolian Baiti"/>
          <w:b/>
          <w:bCs/>
        </w:rPr>
      </w:pPr>
      <w:r w:rsidRPr="002C7331">
        <w:rPr>
          <w:rFonts w:ascii="Mongolian Baiti" w:hAnsi="Mongolian Baiti" w:cs="Mongolian Baiti"/>
          <w:b/>
          <w:bCs/>
        </w:rPr>
        <w:t>CHAPTER</w:t>
      </w:r>
    </w:p>
    <w:p w14:paraId="53650F8E" w14:textId="6CDBC75B" w:rsidR="0027520A" w:rsidRPr="002C7331" w:rsidRDefault="00C32564" w:rsidP="00BF17E0">
      <w:pPr>
        <w:pBdr>
          <w:bottom w:val="double" w:sz="4" w:space="0" w:color="auto"/>
        </w:pBdr>
        <w:spacing w:line="240" w:lineRule="auto"/>
        <w:rPr>
          <w:rFonts w:ascii="Mongolian Baiti" w:hAnsi="Mongolian Baiti" w:cs="Mongolian Baiti"/>
          <w:b/>
          <w:bCs/>
          <w:i/>
          <w:iCs/>
          <w:sz w:val="110"/>
          <w:szCs w:val="108"/>
        </w:rPr>
      </w:pPr>
      <w:r>
        <w:rPr>
          <w:rFonts w:ascii="Mongolian Baiti" w:hAnsi="Mongolian Baiti" w:cs="Mongolian Baiti"/>
          <w:b/>
          <w:bCs/>
          <w:i/>
          <w:iCs/>
          <w:sz w:val="110"/>
          <w:szCs w:val="108"/>
        </w:rPr>
        <w:t>4</w:t>
      </w:r>
    </w:p>
    <w:p w14:paraId="748DB0B1" w14:textId="65656351" w:rsidR="00C32564" w:rsidRPr="0016442A" w:rsidRDefault="00BF17E0" w:rsidP="00E44786">
      <w:pPr>
        <w:pStyle w:val="Heading1"/>
      </w:pPr>
      <w:bookmarkStart w:id="109" w:name="_Toc71728436"/>
      <w:r w:rsidRPr="000254A6">
        <w:t>EFFECT OF ADDITIVES AND AGING ON MOISTURE-INDUCED DAMAGE POTENTIAL OF ASPHALT MIXES USING SURFACE FREE ENERGY AND LABORATORY-BASED PERFORMANCE TESTS</w:t>
      </w:r>
      <w:r w:rsidR="000E6DFD">
        <w:rPr>
          <w:rStyle w:val="FootnoteReference"/>
        </w:rPr>
        <w:footnoteReference w:id="4"/>
      </w:r>
      <w:bookmarkEnd w:id="109"/>
    </w:p>
    <w:p w14:paraId="4A1B8D0E" w14:textId="614214E6" w:rsidR="00DC7FAB" w:rsidRPr="00DC7FAB" w:rsidRDefault="00DC7FAB" w:rsidP="00E5144D">
      <w:pPr>
        <w:jc w:val="center"/>
        <w:rPr>
          <w:b/>
          <w:bCs/>
        </w:rPr>
      </w:pPr>
      <w:r w:rsidRPr="00DC7FAB">
        <w:rPr>
          <w:b/>
          <w:bCs/>
        </w:rPr>
        <w:t>ABSTRACT</w:t>
      </w:r>
    </w:p>
    <w:p w14:paraId="7AC07F7E" w14:textId="16578965" w:rsidR="00C32564" w:rsidRPr="002B76EF" w:rsidRDefault="00C32564" w:rsidP="00E5144D">
      <w:r w:rsidRPr="00FA042E">
        <w:t xml:space="preserve">Lack of mechanistic </w:t>
      </w:r>
      <w:r>
        <w:t>foundation</w:t>
      </w:r>
      <w:r w:rsidRPr="00FA042E">
        <w:t xml:space="preserve"> and poor correlation</w:t>
      </w:r>
      <w:r>
        <w:t>s</w:t>
      </w:r>
      <w:r w:rsidRPr="00FA042E">
        <w:t xml:space="preserve"> with field performance of conventional laboratory-based tests </w:t>
      </w:r>
      <w:r w:rsidRPr="003B0C2F">
        <w:t xml:space="preserve">accelerated the search for a mechanistic-based approach for screening of asphalt mixes for moisture-induced damages. According to recent studies, surface free energy (SFE) method can be used to </w:t>
      </w:r>
      <w:r w:rsidR="00A956FB" w:rsidRPr="003B0C2F">
        <w:t xml:space="preserve">quantify </w:t>
      </w:r>
      <w:r w:rsidRPr="003B0C2F">
        <w:t>mechanistically bond strength and debonding of binder-aggregate system in presence of water. This study was undertaken to evaluate the effects of different additives, such as warm mix asphalt (WMA) additive (amine-derived), amine-based</w:t>
      </w:r>
      <w:r w:rsidRPr="002B76EF">
        <w:t xml:space="preserve"> anti-stripping agent (ASA), polyphosphoric acid (PPA) and reclaimed asphalt pavement (RAP) on the moisture-induced damage performance of asphalt mixes through the use of laboratory-based performance tests and SFE method. For this purpose, different energy parameters, namely </w:t>
      </w:r>
      <w:r w:rsidRPr="002B76EF">
        <w:rPr>
          <w:lang w:val="en-CA"/>
        </w:rPr>
        <w:t>spreading coefficient (</w:t>
      </w:r>
      <w:r w:rsidRPr="002B76EF">
        <w:rPr>
          <w:i/>
          <w:lang w:val="en-CA"/>
        </w:rPr>
        <w:t>S</w:t>
      </w:r>
      <w:r w:rsidRPr="002B76EF">
        <w:rPr>
          <w:i/>
          <w:vertAlign w:val="subscript"/>
          <w:lang w:val="en-CA"/>
        </w:rPr>
        <w:t>A/S</w:t>
      </w:r>
      <w:r w:rsidRPr="002B76EF">
        <w:rPr>
          <w:lang w:val="en-CA"/>
        </w:rPr>
        <w:t>), work of adhesion (</w:t>
      </w:r>
      <w:r w:rsidRPr="002B76EF">
        <w:rPr>
          <w:i/>
          <w:iCs/>
          <w:lang w:val="en-CA"/>
        </w:rPr>
        <w:t>W</w:t>
      </w:r>
      <w:r w:rsidRPr="002B76EF">
        <w:rPr>
          <w:i/>
          <w:iCs/>
          <w:vertAlign w:val="subscript"/>
          <w:lang w:val="en-CA"/>
        </w:rPr>
        <w:t>A/S</w:t>
      </w:r>
      <w:r w:rsidRPr="002B76EF">
        <w:rPr>
          <w:lang w:val="en-CA"/>
        </w:rPr>
        <w:t xml:space="preserve">), </w:t>
      </w:r>
      <w:r w:rsidRPr="002B76EF">
        <w:t>work of debonding (</w:t>
      </w:r>
      <m:oMath>
        <m:sSubSup>
          <m:sSubSupPr>
            <m:ctrlPr>
              <w:rPr>
                <w:rFonts w:ascii="Cambria Math" w:hAnsi="Cambria Math"/>
                <w:i/>
              </w:rPr>
            </m:ctrlPr>
          </m:sSubSupPr>
          <m:e>
            <m:r>
              <w:rPr>
                <w:rFonts w:ascii="Cambria Math" w:hAnsi="Cambria Math"/>
              </w:rPr>
              <m:t>W</m:t>
            </m:r>
          </m:e>
          <m:sub>
            <m:r>
              <w:rPr>
                <w:rFonts w:ascii="Cambria Math" w:hAnsi="Cambria Math"/>
              </w:rPr>
              <m:t>ASW</m:t>
            </m:r>
          </m:sub>
          <m:sup>
            <m:r>
              <w:rPr>
                <w:rFonts w:ascii="Cambria Math" w:hAnsi="Cambria Math"/>
              </w:rPr>
              <m:t>wet</m:t>
            </m:r>
          </m:sup>
        </m:sSubSup>
      </m:oMath>
      <w:r w:rsidRPr="002B76EF">
        <w:t>) and energy ratios were calculated from the SFE components of the binder blends and aggregate. Asphalt mixes consisting of different additives were produced in the laboratory for evaluation of moisture-induced-damage using indirect tensile strength (ITS) and Illinois semi-circular bend (IL-SCB) tests. A new parameter, known as fracture energy ratio (</w:t>
      </w:r>
      <w:r w:rsidRPr="002B76EF">
        <w:rPr>
          <w:i/>
          <w:iCs/>
        </w:rPr>
        <w:t>G</w:t>
      </w:r>
      <w:r w:rsidRPr="002B76EF">
        <w:rPr>
          <w:i/>
          <w:iCs/>
          <w:vertAlign w:val="subscript"/>
        </w:rPr>
        <w:t>f</w:t>
      </w:r>
      <w:r w:rsidRPr="002B76EF">
        <w:rPr>
          <w:i/>
          <w:iCs/>
        </w:rPr>
        <w:t xml:space="preserve"> ratio</w:t>
      </w:r>
      <w:r w:rsidRPr="002B76EF">
        <w:t xml:space="preserve">) and obtained from the IL-SCB, test was used to correlate fracture energy with moisture-induced damage potential of asphalt mixes. Also, the effect of the short-term and long-term aging on the moisture-induced performance of asphalt mixes were evaluated. Furthermore, correlations between different moisture-induced damage parameters from laboratory-based performance tests and the SFE method were investigated. From this study, the proposed </w:t>
      </w:r>
      <w:r w:rsidRPr="002B76EF">
        <w:rPr>
          <w:i/>
          <w:iCs/>
        </w:rPr>
        <w:t>G</w:t>
      </w:r>
      <w:r w:rsidRPr="002B76EF">
        <w:rPr>
          <w:i/>
          <w:iCs/>
          <w:vertAlign w:val="subscript"/>
        </w:rPr>
        <w:t>f</w:t>
      </w:r>
      <w:r w:rsidRPr="002B76EF">
        <w:rPr>
          <w:i/>
          <w:iCs/>
        </w:rPr>
        <w:t xml:space="preserve"> ratio</w:t>
      </w:r>
      <w:r w:rsidRPr="002B76EF">
        <w:t xml:space="preserve"> was found to be an effective parameter for screening of asphalt mixes in the laboratory for moisture-induced damage.</w:t>
      </w:r>
    </w:p>
    <w:p w14:paraId="6EB257FB" w14:textId="12DDF197" w:rsidR="00C32564" w:rsidRPr="002B76EF" w:rsidRDefault="009664B6" w:rsidP="00E57694">
      <w:pPr>
        <w:pStyle w:val="Heading2"/>
      </w:pPr>
      <w:bookmarkStart w:id="110" w:name="_Toc71728437"/>
      <w:r w:rsidRPr="002B76EF">
        <w:t>INTRODUCTION</w:t>
      </w:r>
      <w:bookmarkEnd w:id="110"/>
    </w:p>
    <w:p w14:paraId="4AE63636" w14:textId="5AE60A40" w:rsidR="00C32564" w:rsidRPr="002B76EF" w:rsidRDefault="00C32564" w:rsidP="00E5144D">
      <w:pPr>
        <w:ind w:firstLine="720"/>
      </w:pPr>
      <w:r w:rsidRPr="002B76EF">
        <w:t xml:space="preserve">Deterioration of mechanical properties of asphalt mixes due to the presence or intrusion of moisture in a liquid or vapor state is generally defined as moisture-induced damage </w:t>
      </w:r>
      <w:r w:rsidRPr="002B76EF">
        <w:fldChar w:fldCharType="begin"/>
      </w:r>
      <w:r w:rsidR="00282238">
        <w:instrText xml:space="preserve"> ADDIN EN.CITE &lt;EndNote&gt;&lt;Cite&gt;&lt;Author&gt;Caro&lt;/Author&gt;&lt;Year&gt;2008&lt;/Year&gt;&lt;RecNum&gt;81&lt;/RecNum&gt;&lt;DisplayText&gt;(Caro et al., 2008a)&lt;/DisplayText&gt;&lt;record&gt;&lt;rec-number&gt;81&lt;/rec-number&gt;&lt;foreign-keys&gt;&lt;key app="EN" db-id="d55vzfpwawdafteedfoxsf0lv0v0wp5va2aa" timestamp="1519484635"&gt;81&lt;/key&gt;&lt;/foreign-keys&gt;&lt;ref-type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1: Mechanisms&lt;/title&gt;&lt;secondary-title&gt;International Journal of Pavement Engineering&lt;/secondary-title&gt;&lt;/titles&gt;&lt;periodical&gt;&lt;full-title&gt;International Journal of Pavement Engineering&lt;/full-title&gt;&lt;/periodical&gt;&lt;pages&gt;81-98&lt;/pages&gt;&lt;volume&gt;9&lt;/volume&gt;&lt;number&gt;2&lt;/number&gt;&lt;dates&gt;&lt;year&gt;2008&lt;/year&gt;&lt;/dates&gt;&lt;isbn&gt;1029-8436&lt;/isbn&gt;&lt;urls&gt;&lt;/urls&gt;&lt;/record&gt;&lt;/Cite&gt;&lt;/EndNote&gt;</w:instrText>
      </w:r>
      <w:r w:rsidRPr="002B76EF">
        <w:fldChar w:fldCharType="separate"/>
      </w:r>
      <w:r w:rsidR="00282238">
        <w:rPr>
          <w:noProof/>
        </w:rPr>
        <w:t>(Caro et al., 2008a)</w:t>
      </w:r>
      <w:r w:rsidRPr="002B76EF">
        <w:fldChar w:fldCharType="end"/>
      </w:r>
      <w:r w:rsidRPr="002B76EF">
        <w:t xml:space="preserve">. Although moisture-induced damage is not a failure mode by itself,  it can accelerate other modes of failures as well as lead to severe damage of the pavement </w:t>
      </w:r>
      <w:r w:rsidRPr="002B76EF">
        <w:fldChar w:fldCharType="begin"/>
      </w:r>
      <w:r w:rsidR="00282238">
        <w:instrText xml:space="preserve"> ADDIN EN.CITE &lt;EndNote&gt;&lt;Cite&gt;&lt;Author&gt;Abuawad&lt;/Author&gt;&lt;Year&gt;2015&lt;/Year&gt;&lt;RecNum&gt;80&lt;/RecNum&gt;&lt;DisplayText&gt;(Abuawad et al., 2015)&lt;/DisplayText&gt;&lt;record&gt;&lt;rec-number&gt;80&lt;/rec-number&gt;&lt;foreign-keys&gt;&lt;key app="EN" db-id="d55vzfpwawdafteedfoxsf0lv0v0wp5va2aa" timestamp="1519483651"&gt;80&lt;/key&gt;&lt;/foreign-keys&gt;&lt;ref-type name="Journal Article"&gt;17&lt;/ref-type&gt;&lt;contributors&gt;&lt;authors&gt;&lt;author&gt;Abuawad, Ibrahim MA&lt;/author&gt;&lt;author&gt;Al-Qadi, Imad L&lt;/author&gt;&lt;author&gt;Trepanier, James S&lt;/author&gt;&lt;/authors&gt;&lt;/contributors&gt;&lt;titles&gt;&lt;title&gt;Mitigation of Moisture Damage in Asphalt Concrete: Testing Techniques and Additives/Modifiers Effectiveness&lt;/title&gt;&lt;secondary-title&gt;Construction and Building Materials&lt;/secondary-title&gt;&lt;/titles&gt;&lt;periodical&gt;&lt;full-title&gt;Construction and Building Materials&lt;/full-title&gt;&lt;/periodical&gt;&lt;pages&gt;437-443&lt;/pages&gt;&lt;volume&gt;84&lt;/volume&gt;&lt;dates&gt;&lt;year&gt;2015&lt;/year&gt;&lt;/dates&gt;&lt;isbn&gt;0950-0618&lt;/isbn&gt;&lt;urls&gt;&lt;/urls&gt;&lt;/record&gt;&lt;/Cite&gt;&lt;/EndNote&gt;</w:instrText>
      </w:r>
      <w:r w:rsidRPr="002B76EF">
        <w:fldChar w:fldCharType="separate"/>
      </w:r>
      <w:r w:rsidR="00282238">
        <w:rPr>
          <w:noProof/>
        </w:rPr>
        <w:t>(Abuawad et al., 2015)</w:t>
      </w:r>
      <w:r w:rsidRPr="002B76EF">
        <w:fldChar w:fldCharType="end"/>
      </w:r>
      <w:r w:rsidRPr="002B76EF">
        <w:rPr>
          <w:noProof/>
        </w:rPr>
        <w:t>.</w:t>
      </w:r>
      <w:r w:rsidRPr="002B76EF">
        <w:rPr>
          <w:iCs/>
        </w:rPr>
        <w:t xml:space="preserve"> </w:t>
      </w:r>
      <w:r w:rsidRPr="002B76EF">
        <w:t xml:space="preserve">From a mechanistic point of view, the moisture-induced damage can be assessed by evaluating the bond strength between binder and aggregate, in presence of moisture. A better resistance to moisture-induced damage can be ensured by improving the adhesion bond in the binder-aggregate system </w:t>
      </w:r>
      <w:r w:rsidRPr="002B76EF">
        <w:fldChar w:fldCharType="begin"/>
      </w:r>
      <w:r w:rsidR="00282238">
        <w:instrText xml:space="preserve"> ADDIN EN.CITE &lt;EndNote&gt;&lt;Cite&gt;&lt;Author&gt;Masad&lt;/Author&gt;&lt;Year&gt;2006&lt;/Year&gt;&lt;RecNum&gt;78&lt;/RecNum&gt;&lt;DisplayText&gt;(Harvey and Lu, 2005; Masad et al., 2006)&lt;/DisplayText&gt;&lt;record&gt;&lt;rec-number&gt;78&lt;/rec-number&gt;&lt;foreign-keys&gt;&lt;key app="EN" db-id="d55vzfpwawdafteedfoxsf0lv0v0wp5va2aa" timestamp="1519480482"&gt;78&lt;/key&gt;&lt;/foreign-keys&gt;&lt;ref-type name="Journal Article"&gt;17&lt;/ref-type&gt;&lt;contributors&gt;&lt;authors&gt;&lt;author&gt;Masad, Eyad A&lt;/author&gt;&lt;author&gt;Zollinger, Corey&lt;/author&gt;&lt;author&gt;Bulut, Rifat&lt;/author&gt;&lt;author&gt;Little, Dallas N&lt;/author&gt;&lt;author&gt;Lytton, Robert L&lt;/author&gt;&lt;/authors&gt;&lt;/contributors&gt;&lt;titles&gt;&lt;title&gt;Characterization of HMA Moisture Damage Using Surface Energy and Fracture Properties (with Discussion)&lt;/title&gt;&lt;secondary-title&gt;Journal of the association of asphalt paving technologists&lt;/secondary-title&gt;&lt;/titles&gt;&lt;periodical&gt;&lt;full-title&gt;Journal of the Association of Asphalt Paving Technologists&lt;/full-title&gt;&lt;/periodical&gt;&lt;volume&gt;75&lt;/volume&gt;&lt;dates&gt;&lt;year&gt;2006&lt;/year&gt;&lt;/dates&gt;&lt;isbn&gt;0270-2932&lt;/isbn&gt;&lt;urls&gt;&lt;/urls&gt;&lt;/record&gt;&lt;/Cite&gt;&lt;Cite&gt;&lt;Author&gt;Harvey&lt;/Author&gt;&lt;Year&gt;2005&lt;/Year&gt;&lt;RecNum&gt;79&lt;/RecNum&gt;&lt;record&gt;&lt;rec-number&gt;79&lt;/rec-number&gt;&lt;foreign-keys&gt;&lt;key app="EN" db-id="d55vzfpwawdafteedfoxsf0lv0v0wp5va2aa" timestamp="1519481836"&gt;79&lt;/key&gt;&lt;/foreign-keys&gt;&lt;ref-type name="Journal Article"&gt;17&lt;/ref-type&gt;&lt;contributors&gt;&lt;authors&gt;&lt;author&gt;Harvey, John T&lt;/author&gt;&lt;author&gt;Lu, Qing&lt;/author&gt;&lt;/authors&gt;&lt;/contributors&gt;&lt;titles&gt;&lt;title&gt;Investigation of Conditions for Moisture Damage in Asphalt Concrete and Appropriate Laboratory Test Methods&lt;/title&gt;&lt;/titles&gt;&lt;dates&gt;&lt;year&gt;2005&lt;/year&gt;&lt;/dates&gt;&lt;urls&gt;&lt;/urls&gt;&lt;/record&gt;&lt;/Cite&gt;&lt;/EndNote&gt;</w:instrText>
      </w:r>
      <w:r w:rsidRPr="002B76EF">
        <w:fldChar w:fldCharType="separate"/>
      </w:r>
      <w:r w:rsidR="00282238">
        <w:rPr>
          <w:noProof/>
        </w:rPr>
        <w:t>(Harvey and Lu, 2005; Masad et al., 2006)</w:t>
      </w:r>
      <w:r w:rsidRPr="002B76EF">
        <w:fldChar w:fldCharType="end"/>
      </w:r>
      <w:r w:rsidRPr="002B76EF">
        <w:t>.</w:t>
      </w:r>
    </w:p>
    <w:p w14:paraId="7CBAA389" w14:textId="18FE2FF7" w:rsidR="00C32564" w:rsidRPr="002B76EF" w:rsidRDefault="00C32564" w:rsidP="00E5144D">
      <w:pPr>
        <w:ind w:firstLine="720"/>
      </w:pPr>
      <w:r w:rsidRPr="002B76EF">
        <w:t xml:space="preserve">The evaluation of moisture-induced damage remains a challenge for the transportation agencies because of the complex nature of the problem </w:t>
      </w:r>
      <w:r w:rsidRPr="002B76EF">
        <w:fldChar w:fldCharType="begin"/>
      </w:r>
      <w:r w:rsidR="00282238">
        <w:instrText xml:space="preserve"> ADDIN EN.CITE &lt;EndNote&gt;&lt;Cite&gt;&lt;Author&gt;Abuawad&lt;/Author&gt;&lt;Year&gt;2015&lt;/Year&gt;&lt;RecNum&gt;80&lt;/RecNum&gt;&lt;DisplayText&gt;(Abuawad et al., 2015)&lt;/DisplayText&gt;&lt;record&gt;&lt;rec-number&gt;80&lt;/rec-number&gt;&lt;foreign-keys&gt;&lt;key app="EN" db-id="d55vzfpwawdafteedfoxsf0lv0v0wp5va2aa" timestamp="1519483651"&gt;80&lt;/key&gt;&lt;/foreign-keys&gt;&lt;ref-type name="Journal Article"&gt;17&lt;/ref-type&gt;&lt;contributors&gt;&lt;authors&gt;&lt;author&gt;Abuawad, Ibrahim MA&lt;/author&gt;&lt;author&gt;Al-Qadi, Imad L&lt;/author&gt;&lt;author&gt;Trepanier, James S&lt;/author&gt;&lt;/authors&gt;&lt;/contributors&gt;&lt;titles&gt;&lt;title&gt;Mitigation of Moisture Damage in Asphalt Concrete: Testing Techniques and Additives/Modifiers Effectiveness&lt;/title&gt;&lt;secondary-title&gt;Construction and Building Materials&lt;/secondary-title&gt;&lt;/titles&gt;&lt;periodical&gt;&lt;full-title&gt;Construction and Building Materials&lt;/full-title&gt;&lt;/periodical&gt;&lt;pages&gt;437-443&lt;/pages&gt;&lt;volume&gt;84&lt;/volume&gt;&lt;dates&gt;&lt;year&gt;2015&lt;/year&gt;&lt;/dates&gt;&lt;isbn&gt;0950-0618&lt;/isbn&gt;&lt;urls&gt;&lt;/urls&gt;&lt;/record&gt;&lt;/Cite&gt;&lt;/EndNote&gt;</w:instrText>
      </w:r>
      <w:r w:rsidRPr="002B76EF">
        <w:fldChar w:fldCharType="separate"/>
      </w:r>
      <w:r w:rsidR="00282238">
        <w:rPr>
          <w:noProof/>
        </w:rPr>
        <w:t>(Abuawad et al., 2015)</w:t>
      </w:r>
      <w:r w:rsidRPr="002B76EF">
        <w:fldChar w:fldCharType="end"/>
      </w:r>
      <w:r w:rsidRPr="002B76EF">
        <w:t xml:space="preserve">. Several test methods have been developed and improved over the last few decades to characterize moisture-induced damage potential of asphalt mixes </w:t>
      </w:r>
      <w:r w:rsidRPr="002B76EF">
        <w:fldChar w:fldCharType="begin"/>
      </w:r>
      <w:r w:rsidR="00282238">
        <w:instrText xml:space="preserve"> ADDIN EN.CITE &lt;EndNote&gt;&lt;Cite&gt;&lt;Author&gt;Caro&lt;/Author&gt;&lt;Year&gt;2008&lt;/Year&gt;&lt;RecNum&gt;81&lt;/RecNum&gt;&lt;DisplayText&gt;(Caro et al., 2008a; Caro et al., 2008b)&lt;/DisplayText&gt;&lt;record&gt;&lt;rec-number&gt;81&lt;/rec-number&gt;&lt;foreign-keys&gt;&lt;key app="EN" db-id="d55vzfpwawdafteedfoxsf0lv0v0wp5va2aa" timestamp="1519484635"&gt;81&lt;/key&gt;&lt;/foreign-keys&gt;&lt;ref-type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1: Mechanisms&lt;/title&gt;&lt;secondary-title&gt;International Journal of Pavement Engineering&lt;/secondary-title&gt;&lt;/titles&gt;&lt;periodical&gt;&lt;full-title&gt;International Journal of Pavement Engineering&lt;/full-title&gt;&lt;/periodical&gt;&lt;pages&gt;81-98&lt;/pages&gt;&lt;volume&gt;9&lt;/volume&gt;&lt;number&gt;2&lt;/number&gt;&lt;dates&gt;&lt;year&gt;2008&lt;/year&gt;&lt;/dates&gt;&lt;isbn&gt;1029-8436&lt;/isbn&gt;&lt;urls&gt;&lt;/urls&gt;&lt;/record&gt;&lt;/Cite&gt;&lt;Cite&gt;&lt;Author&gt;Caro&lt;/Author&gt;&lt;Year&gt;2008&lt;/Year&gt;&lt;RecNum&gt;83&lt;/RecNum&gt;&lt;record&gt;&lt;rec-number&gt;83&lt;/rec-number&gt;&lt;foreign-keys&gt;&lt;key app="EN" db-id="d55vzfpwawdafteedfoxsf0lv0v0wp5va2aa" timestamp="1519492929"&gt;83&lt;/key&gt;&lt;/foreign-keys&gt;&lt;ref-type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2: Characterisation and Modelling&lt;/title&gt;&lt;secondary-title&gt;International Journal of Pavement Engineering&lt;/secondary-title&gt;&lt;/titles&gt;&lt;periodical&gt;&lt;full-title&gt;International Journal of Pavement Engineering&lt;/full-title&gt;&lt;/periodical&gt;&lt;pages&gt;99-114&lt;/pages&gt;&lt;volume&gt;9&lt;/volume&gt;&lt;number&gt;2&lt;/number&gt;&lt;dates&gt;&lt;year&gt;2008&lt;/year&gt;&lt;/dates&gt;&lt;isbn&gt;1029-8436&lt;/isbn&gt;&lt;urls&gt;&lt;/urls&gt;&lt;/record&gt;&lt;/Cite&gt;&lt;/EndNote&gt;</w:instrText>
      </w:r>
      <w:r w:rsidRPr="002B76EF">
        <w:fldChar w:fldCharType="separate"/>
      </w:r>
      <w:r w:rsidR="00282238">
        <w:rPr>
          <w:noProof/>
        </w:rPr>
        <w:t>(Caro et al., 2008a; Caro et al., 2008b)</w:t>
      </w:r>
      <w:r w:rsidRPr="002B76EF">
        <w:fldChar w:fldCharType="end"/>
      </w:r>
      <w:r w:rsidRPr="002B76EF">
        <w:t xml:space="preserve">. Modified Lottman test, indirect tensile strength ratio (TSR), resilient modulus ratio, Marshall stability ratio, and Hamburg wheel tracking (HWT) test have been used by several agencies for evaluating the moisture-induced damage potential of asphalt mixes </w:t>
      </w:r>
      <w:r w:rsidRPr="002B76EF">
        <w:fldChar w:fldCharType="begin">
          <w:fldData xml:space="preserve">PEVuZE5vdGU+PENpdGU+PEF1dGhvcj5CYWdhbXBhZGRlPC9BdXRob3I+PFllYXI+MjAwNjwvWWVh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</w:fldData>
        </w:fldChar>
      </w:r>
      <w:r w:rsidR="00282238">
        <w:instrText xml:space="preserve"> ADDIN EN.CITE </w:instrText>
      </w:r>
      <w:r w:rsidR="00282238">
        <w:fldChar w:fldCharType="begin">
          <w:fldData xml:space="preserve">PEVuZE5vdGU+PENpdGU+PEF1dGhvcj5CYWdhbXBhZGRlPC9BdXRob3I+PFllYXI+MjAwNjwvWWVh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</w:fldData>
        </w:fldChar>
      </w:r>
      <w:r w:rsidR="00282238">
        <w:instrText xml:space="preserve"> ADDIN EN.CITE.DATA </w:instrText>
      </w:r>
      <w:r w:rsidR="00282238">
        <w:fldChar w:fldCharType="end"/>
      </w:r>
      <w:r w:rsidRPr="002B76EF">
        <w:fldChar w:fldCharType="separate"/>
      </w:r>
      <w:r w:rsidR="00282238">
        <w:rPr>
          <w:noProof/>
        </w:rPr>
        <w:t>(Bagampadde et al., 2006; Gorkem and Sengoz, 2009; Ghabchi et al., 2015; Mirzababaei, 2016)</w:t>
      </w:r>
      <w:r w:rsidRPr="002B76EF">
        <w:fldChar w:fldCharType="end"/>
      </w:r>
      <w:r w:rsidRPr="002B76EF">
        <w:t xml:space="preserve">. However, many of these test methods are empirical and have several drawbacks, such as inability to simulate field condition, dependency on moisture conditioning process, and poor correlations with field performance </w:t>
      </w:r>
      <w:r w:rsidRPr="002B76EF">
        <w:fldChar w:fldCharType="begin"/>
      </w:r>
      <w:r w:rsidR="00282238">
        <w:instrText xml:space="preserve"> ADDIN EN.CITE &lt;EndNote&gt;&lt;Cite&gt;&lt;Author&gt;Abuawad&lt;/Author&gt;&lt;Year&gt;2015&lt;/Year&gt;&lt;RecNum&gt;80&lt;/RecNum&gt;&lt;DisplayText&gt;(Caro et al., 2008b; Abuawad et al., 2015)&lt;/DisplayText&gt;&lt;record&gt;&lt;rec-number&gt;80&lt;/rec-number&gt;&lt;foreign-keys&gt;&lt;key app="EN" db-id="d55vzfpwawdafteedfoxsf0lv0v0wp5va2aa" timestamp="1519483651"&gt;80&lt;/key&gt;&lt;/foreign-keys&gt;&lt;ref-type name="Journal Article"&gt;17&lt;/ref-type&gt;&lt;contributors&gt;&lt;authors&gt;&lt;author&gt;Abuawad, Ibrahim MA&lt;/author&gt;&lt;author&gt;Al-Qadi, Imad L&lt;/author&gt;&lt;author&gt;Trepanier, James S&lt;/author&gt;&lt;/authors&gt;&lt;/contributors&gt;&lt;titles&gt;&lt;title&gt;Mitigation of Moisture Damage in Asphalt Concrete: Testing Techniques and Additives/Modifiers Effectiveness&lt;/title&gt;&lt;secondary-title&gt;Construction and Building Materials&lt;/secondary-title&gt;&lt;/titles&gt;&lt;periodical&gt;&lt;full-title&gt;Construction and Building Materials&lt;/full-title&gt;&lt;/periodical&gt;&lt;pages&gt;437-443&lt;/pages&gt;&lt;volume&gt;84&lt;/volume&gt;&lt;dates&gt;&lt;year&gt;2015&lt;/year&gt;&lt;/dates&gt;&lt;isbn&gt;0950-0618&lt;/isbn&gt;&lt;urls&gt;&lt;/urls&gt;&lt;/record&gt;&lt;/Cite&gt;&lt;Cite&gt;&lt;Author&gt;Caro&lt;/Author&gt;&lt;Year&gt;2008&lt;/Year&gt;&lt;RecNum&gt;83&lt;/RecNum&gt;&lt;record&gt;&lt;rec-number&gt;83&lt;/rec-number&gt;&lt;foreign-keys&gt;&lt;key app="EN" db-id="d55vzfpwawdafteedfoxsf0lv0v0wp5va2aa" timestamp="1519492929"&gt;83&lt;/key&gt;&lt;/foreign-keys&gt;&lt;ref-type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2: Characterisation and Modelling&lt;/title&gt;&lt;secondary-title&gt;International Journal of Pavement Engineering&lt;/secondary-title&gt;&lt;/titles&gt;&lt;periodical&gt;&lt;full-title&gt;International Journal of Pavement Engineering&lt;/full-title&gt;&lt;/periodical&gt;&lt;pages&gt;99-114&lt;/pages&gt;&lt;volume&gt;9&lt;/volume&gt;&lt;number&gt;2&lt;/number&gt;&lt;dates&gt;&lt;year&gt;2008&lt;/year&gt;&lt;/dates&gt;&lt;isbn&gt;1029-8436&lt;/isbn&gt;&lt;urls&gt;&lt;/urls&gt;&lt;/record&gt;&lt;/Cite&gt;&lt;/EndNote&gt;</w:instrText>
      </w:r>
      <w:r w:rsidRPr="002B76EF">
        <w:fldChar w:fldCharType="separate"/>
      </w:r>
      <w:r w:rsidR="00282238">
        <w:rPr>
          <w:noProof/>
        </w:rPr>
        <w:t>(Caro et al., 2008b; Abuawad et al., 2015)</w:t>
      </w:r>
      <w:r w:rsidRPr="002B76EF">
        <w:fldChar w:fldCharType="end"/>
      </w:r>
      <w:r w:rsidRPr="002B76EF">
        <w:t xml:space="preserve">. Currently there is no general agreement on a single test and moisture conditioning method for evaluating moisture-induced damage. Therefore, mechanistic emphasis is needed for assessing the compatibility between aggregates and binders to resist moisture-induced damage </w:t>
      </w:r>
      <w:r w:rsidRPr="002B76EF">
        <w:fldChar w:fldCharType="begin"/>
      </w:r>
      <w:r w:rsidR="00282238">
        <w:instrText xml:space="preserve"> ADDIN EN.CITE &lt;EndNote&gt;&lt;Cite&gt;&lt;Author&gt;Caro&lt;/Author&gt;&lt;Year&gt;2008&lt;/Year&gt;&lt;RecNum&gt;83&lt;/RecNum&gt;&lt;DisplayText&gt;(Bhasin, 2007; Caro et al., 2008b)&lt;/DisplayText&gt;&lt;record&gt;&lt;rec-number&gt;83&lt;/rec-number&gt;&lt;foreign-keys&gt;&lt;key app="EN" db-id="d55vzfpwawdafteedfoxsf0lv0v0wp5va2aa" timestamp="1519492929"&gt;83&lt;/key&gt;&lt;/foreign-keys&gt;&lt;ref-type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2: Characterisation and Modelling&lt;/title&gt;&lt;secondary-title&gt;International Journal of Pavement Engineering&lt;/secondary-title&gt;&lt;/titles&gt;&lt;periodical&gt;&lt;full-title&gt;International Journal of Pavement Engineering&lt;/full-title&gt;&lt;/periodical&gt;&lt;pages&gt;99-114&lt;/pages&gt;&lt;volume&gt;9&lt;/volume&gt;&lt;number&gt;2&lt;/number&gt;&lt;dates&gt;&lt;year&gt;2008&lt;/year&gt;&lt;/dates&gt;&lt;isbn&gt;1029-8436&lt;/isbn&gt;&lt;urls&gt;&lt;/urls&gt;&lt;/record&gt;&lt;/Cite&gt;&lt;Cite&gt;&lt;Author&gt;Bhasin&lt;/Author&gt;&lt;Year&gt;2007&lt;/Year&gt;&lt;RecNum&gt;7&lt;/RecNum&gt;&lt;record&gt;&lt;rec-number&gt;7&lt;/rec-number&gt;&lt;foreign-keys&gt;&lt;key app="EN" db-id="d55vzfpwawdafteedfoxsf0lv0v0wp5va2aa" timestamp="1509900362"&gt;7&lt;/key&gt;&lt;/foreign-keys&gt;&lt;ref-type name="Thesis"&gt;32&lt;/ref-type&gt;&lt;contributors&gt;&lt;authors&gt;&lt;author&gt;Bhasin, Amit&lt;/author&gt;&lt;/authors&gt;&lt;/contributors&gt;&lt;titles&gt;&lt;title&gt;Development of Methods to Quantify Bitumen-Aggregate Adhesion and Loss of Adhesion Due to Water&lt;/title&gt;&lt;/titles&gt;&lt;dates&gt;&lt;year&gt;2007&lt;/year&gt;&lt;/dates&gt;&lt;publisher&gt;Texas A&amp;amp;M University&lt;/publisher&gt;&lt;urls&gt;&lt;/urls&gt;&lt;/record&gt;&lt;/Cite&gt;&lt;/EndNote&gt;</w:instrText>
      </w:r>
      <w:r w:rsidRPr="002B76EF">
        <w:fldChar w:fldCharType="separate"/>
      </w:r>
      <w:r w:rsidR="00282238">
        <w:rPr>
          <w:noProof/>
        </w:rPr>
        <w:t>(Bhasin, 2007; Caro et al., 2008b)</w:t>
      </w:r>
      <w:r w:rsidRPr="002B76EF">
        <w:fldChar w:fldCharType="end"/>
      </w:r>
      <w:r w:rsidRPr="002B76EF">
        <w:t xml:space="preserve">. </w:t>
      </w:r>
    </w:p>
    <w:p w14:paraId="1F20AA85" w14:textId="614742BC" w:rsidR="00C32564" w:rsidRPr="002B76EF" w:rsidRDefault="00C32564" w:rsidP="00E5144D">
      <w:pPr>
        <w:ind w:firstLine="720"/>
      </w:pPr>
      <w:r w:rsidRPr="002B76EF">
        <w:t xml:space="preserve">As the use of different additives and modifiers such as warm mix asphalt (WMA) additives, poly-phosphoric acid (PPA), anti-stripping agents (ASA) and reclaimed asphalt pavement (RAP) in asphalt mixes continues to increase, the mechanistic evaluation of the moisture-induced damage potential becomes even more important. Also, the changes in the physical-chemical properties of binder from oxidative aging may promote the occurrence of microcracks. These microcracks can facilitate moisture intrusion in asphalt pavement, accelerating the moisture-induced damage process </w:t>
      </w:r>
      <w:r w:rsidRPr="002B76EF">
        <w:fldChar w:fldCharType="begin"/>
      </w:r>
      <w:r w:rsidR="00282238">
        <w:instrText xml:space="preserve"> ADDIN EN.CITE &lt;EndNote&gt;&lt;Cite&gt;&lt;Author&gt;Aguiar-Moya&lt;/Author&gt;&lt;Year&gt;2015&lt;/Year&gt;&lt;RecNum&gt;216&lt;/RecNum&gt;&lt;DisplayText&gt;(Aguiar-Moya et al., 2015)&lt;/DisplayText&gt;&lt;record&gt;&lt;rec-number&gt;216&lt;/rec-number&gt;&lt;foreign-keys&gt;&lt;key app="EN" db-id="d55vzfpwawdafteedfoxsf0lv0v0wp5va2aa" timestamp="1564610810"&gt;216&lt;/key&gt;&lt;/foreign-keys&gt;&lt;ref-type name="Journal Article"&gt;17&lt;/ref-type&gt;&lt;contributors&gt;&lt;authors&gt;&lt;author&gt;Aguiar-Moya, José P&lt;/author&gt;&lt;author&gt;Salazar-Delgado, Jorge&lt;/author&gt;&lt;author&gt;Baldi-Sevilla, Alejandra&lt;/author&gt;&lt;author&gt;Leiva-Villacorta, Fabricio&lt;/author&gt;&lt;author&gt;Loria-Salazar, Luis&lt;/author&gt;&lt;/authors&gt;&lt;/contributors&gt;&lt;titles&gt;&lt;title&gt;Effect of aging on adhesion properties of asphalt mixtures with the use of bitumen bond strength and surface energy measurement tests&lt;/title&gt;&lt;secondary-title&gt;Transportation Research Record&lt;/secondary-title&gt;&lt;/titles&gt;&lt;periodical&gt;&lt;full-title&gt;Transportation Research Record&lt;/full-title&gt;&lt;/periodical&gt;&lt;pages&gt;57-65&lt;/pages&gt;&lt;volume&gt;2505&lt;/volume&gt;&lt;number&gt;1&lt;/number&gt;&lt;dates&gt;&lt;year&gt;2015&lt;/year&gt;&lt;/dates&gt;&lt;isbn&gt;0361-1981&lt;/isbn&gt;&lt;urls&gt;&lt;/urls&gt;&lt;/record&gt;&lt;/Cite&gt;&lt;/EndNote&gt;</w:instrText>
      </w:r>
      <w:r w:rsidRPr="002B76EF">
        <w:fldChar w:fldCharType="separate"/>
      </w:r>
      <w:r w:rsidR="00282238">
        <w:rPr>
          <w:noProof/>
        </w:rPr>
        <w:t>(Aguiar-Moya et al., 2015)</w:t>
      </w:r>
      <w:r w:rsidRPr="002B76EF">
        <w:fldChar w:fldCharType="end"/>
      </w:r>
      <w:r w:rsidRPr="002B76EF">
        <w:t xml:space="preserve">. The cohesive and adhesive bonding within the binder-aggregate system are directly related to the surface free energy (SFE) of the both materials </w:t>
      </w:r>
      <w:r w:rsidRPr="002B76EF">
        <w:fldChar w:fldCharType="begin"/>
      </w:r>
      <w:r w:rsidR="00282238">
        <w:instrText xml:space="preserve"> ADDIN EN.CITE &lt;EndNote&gt;&lt;Cite&gt;&lt;Author&gt;Bhasin&lt;/Author&gt;&lt;Year&gt;2007&lt;/Year&gt;&lt;RecNum&gt;7&lt;/RecNum&gt;&lt;DisplayText&gt;(Bhasin, 2007)&lt;/DisplayText&gt;&lt;record&gt;&lt;rec-number&gt;7&lt;/rec-number&gt;&lt;foreign-keys&gt;&lt;key app="EN" db-id="d55vzfpwawdafteedfoxsf0lv0v0wp5va2aa" timestamp="1509900362"&gt;7&lt;/key&gt;&lt;/foreign-keys&gt;&lt;ref-type name="Thesis"&gt;32&lt;/ref-type&gt;&lt;contributors&gt;&lt;authors&gt;&lt;author&gt;Bhasin, Amit&lt;/author&gt;&lt;/authors&gt;&lt;/contributors&gt;&lt;titles&gt;&lt;title&gt;Development of Methods to Quantify Bitumen-Aggregate Adhesion and Loss of Adhesion Due to Water&lt;/title&gt;&lt;/titles&gt;&lt;dates&gt;&lt;year&gt;2007&lt;/year&gt;&lt;/dates&gt;&lt;publisher&gt;Texas A&amp;amp;M University&lt;/publisher&gt;&lt;urls&gt;&lt;/urls&gt;&lt;/record&gt;&lt;/Cite&gt;&lt;/EndNote&gt;</w:instrText>
      </w:r>
      <w:r w:rsidRPr="002B76EF">
        <w:fldChar w:fldCharType="separate"/>
      </w:r>
      <w:r w:rsidR="00282238">
        <w:rPr>
          <w:noProof/>
        </w:rPr>
        <w:t>(Bhasin, 2007)</w:t>
      </w:r>
      <w:r w:rsidRPr="002B76EF">
        <w:fldChar w:fldCharType="end"/>
      </w:r>
      <w:r w:rsidRPr="002B76EF">
        <w:t xml:space="preserve">. A number of recent studies have used the thermodynamic or adhesion theory by applying the SFE approach to mechanistically quantify the adhesion between aggregate and binder </w:t>
      </w:r>
      <w:r w:rsidRPr="002B76EF">
        <w:fldChar w:fldCharType="begin">
          <w:fldData xml:space="preserve">PEVuZE5vdGU+PENpdGU+PEF1dGhvcj5CaGFzaW48L0F1dGhvcj48WWVhcj4yMDA2PC9ZZWFyPjxS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</w:fldData>
        </w:fldChar>
      </w:r>
      <w:r w:rsidR="00282238">
        <w:instrText xml:space="preserve"> ADDIN EN.CITE </w:instrText>
      </w:r>
      <w:r w:rsidR="00282238">
        <w:fldChar w:fldCharType="begin">
          <w:fldData xml:space="preserve">PEVuZE5vdGU+PENpdGU+PEF1dGhvcj5CaGFzaW48L0F1dGhvcj48WWVhcj4yMDA2PC9ZZWFyPjxS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</w:fldData>
        </w:fldChar>
      </w:r>
      <w:r w:rsidR="00282238">
        <w:instrText xml:space="preserve"> ADDIN EN.CITE.DATA </w:instrText>
      </w:r>
      <w:r w:rsidR="00282238">
        <w:fldChar w:fldCharType="end"/>
      </w:r>
      <w:r w:rsidRPr="002B76EF">
        <w:fldChar w:fldCharType="separate"/>
      </w:r>
      <w:r w:rsidR="00282238">
        <w:rPr>
          <w:noProof/>
        </w:rPr>
        <w:t>(Bhasin and Little, 2006; Bhasin et al., 2006; Hefer et al., 2006; Bhasin, 2007; Bhasin et al., 2007a; Bhasin et al., 2007b; Wasiuddin et al., 2007c; Wasiuddin et al., 2008; Buddhala et al., 2011; Ghabchi et al., 2013)</w:t>
      </w:r>
      <w:r w:rsidRPr="002B76EF">
        <w:fldChar w:fldCharType="end"/>
      </w:r>
      <w:r w:rsidRPr="002B76EF">
        <w:t xml:space="preserve">. Also, the SFE approach has been used successfully to evaluate the changes in the moisture-induced damage potential of asphalt mixes containing different additives </w:t>
      </w:r>
      <w:r w:rsidRPr="002B76EF">
        <w:fldChar w:fldCharType="begin">
          <w:fldData xml:space="preserve">PEVuZE5vdGU+PENpdGU+PEF1dGhvcj5XYXNpdWRkaW48L0F1dGhvcj48WWVhcj4yMDA3PC9ZZWFy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</w:fldData>
        </w:fldChar>
      </w:r>
      <w:r w:rsidR="00282238">
        <w:instrText xml:space="preserve"> ADDIN EN.CITE </w:instrText>
      </w:r>
      <w:r w:rsidR="00282238">
        <w:fldChar w:fldCharType="begin">
          <w:fldData xml:space="preserve">PEVuZE5vdGU+PENpdGU+PEF1dGhvcj5XYXNpdWRkaW48L0F1dGhvcj48WWVhcj4yMDA3PC9ZZWFy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</w:fldData>
        </w:fldChar>
      </w:r>
      <w:r w:rsidR="00282238">
        <w:instrText xml:space="preserve"> ADDIN EN.CITE.DATA </w:instrText>
      </w:r>
      <w:r w:rsidR="00282238">
        <w:fldChar w:fldCharType="end"/>
      </w:r>
      <w:r w:rsidRPr="002B76EF">
        <w:fldChar w:fldCharType="separate"/>
      </w:r>
      <w:r w:rsidR="00282238">
        <w:rPr>
          <w:noProof/>
        </w:rPr>
        <w:t>(Wasiuddin et al., 2007c; Moghadas Nejad et al., 2012; Arabani and Hamedi, 2014)</w:t>
      </w:r>
      <w:r w:rsidRPr="002B76EF">
        <w:fldChar w:fldCharType="end"/>
      </w:r>
      <w:r w:rsidRPr="002B76EF">
        <w:t xml:space="preserve">. </w:t>
      </w:r>
    </w:p>
    <w:p w14:paraId="433A6B96" w14:textId="5C3AE2FE" w:rsidR="00C32564" w:rsidRPr="002B76EF" w:rsidRDefault="00E5144D" w:rsidP="00E5144D">
      <w:pPr>
        <w:rPr>
          <w:rFonts w:ascii="Arial" w:hAnsi="Arial" w:cs="Arial"/>
          <w:sz w:val="22"/>
        </w:rPr>
      </w:pPr>
      <w:r>
        <w:tab/>
      </w:r>
      <w:r w:rsidR="00C32564" w:rsidRPr="002B76EF">
        <w:fldChar w:fldCharType="begin"/>
      </w:r>
      <w:r w:rsidR="00C32564" w:rsidRPr="002B76EF">
        <w:instrText xml:space="preserve"> ADDIN EN.CITE &lt;EndNote&gt;&lt;Cite AuthorYear="1"&gt;&lt;Author&gt;Wasiuddin&lt;/Author&gt;&lt;Year&gt;2007&lt;/Year&gt;&lt;RecNum&gt;82&lt;/RecNum&gt;&lt;DisplayText&gt;Wasiuddin et al. (2007c)&lt;/DisplayText&gt;&lt;record&gt;&lt;rec-number&gt;82&lt;/rec-number&gt;&lt;foreign-keys&gt;&lt;key app="EN" db-id="d55vzfpwawdafteedfoxsf0lv0v0wp5va2aa" timestamp="1519487395"&gt;82&lt;/key&gt;&lt;/foreign-keys&gt;&lt;ref-type name="Journal Article"&gt;17&lt;/ref-type&gt;&lt;contributors&gt;&lt;authors&gt;&lt;author&gt;Wasiuddin, Nazimuddin M&lt;/author&gt;&lt;author&gt;Fogle, Chris M&lt;/author&gt;&lt;author&gt;Zaman, Musharraf M&lt;/author&gt;&lt;author&gt;O’Rear, Edgar A&lt;/author&gt;&lt;/authors&gt;&lt;/contributors&gt;&lt;titles&gt;&lt;title&gt;Effect of Antistrip Additives on Surface Free Energy Characteristics of Asphalt Binders for Moisture-Induced Damage Potential&lt;/title&gt;&lt;secondary-title&gt;Journal of Testing and Evaluation&lt;/secondary-title&gt;&lt;/titles&gt;&lt;periodical&gt;&lt;full-title&gt;Journal of Testing and Evaluation&lt;/full-title&gt;&lt;/periodical&gt;&lt;volume&gt;35&lt;/volume&gt;&lt;number&gt;1&lt;/number&gt;&lt;dates&gt;&lt;year&gt;2007&lt;/year&gt;&lt;/dates&gt;&lt;urls&gt;&lt;/urls&gt;&lt;/record&gt;&lt;/Cite&gt;&lt;/EndNote&gt;</w:instrText>
      </w:r>
      <w:r w:rsidR="00C32564" w:rsidRPr="002B76EF">
        <w:fldChar w:fldCharType="separate"/>
      </w:r>
      <w:r w:rsidR="00C32564" w:rsidRPr="002B76EF">
        <w:rPr>
          <w:noProof/>
        </w:rPr>
        <w:t>Wasiuddin et al. (2007c)</w:t>
      </w:r>
      <w:r w:rsidR="00C32564" w:rsidRPr="002B76EF">
        <w:fldChar w:fldCharType="end"/>
      </w:r>
      <w:r w:rsidR="00C32564" w:rsidRPr="002B76EF">
        <w:t xml:space="preserve"> evaluated the effect of antistrip additives on asphalt binders using the SFE technique. A chemical model was proposed to explain the change in SFE components with the addition of antistrip additives. In a different study, thermal degradation of the antistripping agent as a result of aging of binder was evaluated by </w:t>
      </w:r>
      <w:r w:rsidR="00C32564" w:rsidRPr="002B76EF">
        <w:fldChar w:fldCharType="begin"/>
      </w:r>
      <w:r w:rsidR="00C32564" w:rsidRPr="002B76EF">
        <w:instrText xml:space="preserve"> ADDIN EN.CITE &lt;EndNote&gt;&lt;Cite AuthorYear="1"&gt;&lt;Author&gt;Wasiuddin&lt;/Author&gt;&lt;Year&gt;2007&lt;/Year&gt;&lt;RecNum&gt;45&lt;/RecNum&gt;&lt;DisplayText&gt;Wasiuddin et al. (2007b)&lt;/DisplayText&gt;&lt;record&gt;&lt;rec-number&gt;45&lt;/rec-number&gt;&lt;foreign-keys&gt;&lt;key app="EN" db-id="d55vzfpwawdafteedfoxsf0lv0v0wp5va2aa" timestamp="1514343150"&gt;45&lt;/key&gt;&lt;/foreign-keys&gt;&lt;ref-type name="Journal Article"&gt;17&lt;/ref-type&gt;&lt;contributors&gt;&lt;authors&gt;&lt;author&gt;Wasiuddin, Nazimuddin M&lt;/author&gt;&lt;author&gt;Fogle, Chris M&lt;/author&gt;&lt;author&gt;Zaman, Musharraf M&lt;/author&gt;&lt;author&gt;Edgar, AO&lt;/author&gt;&lt;/authors&gt;&lt;/contributors&gt;&lt;titles&gt;&lt;title&gt;Characterization of Thermal Degradation of qa Liquid Amine Anti-Strip Additives in Asphalt qa Binders Due to RTFO and PAV-Aging&lt;/title&gt;&lt;secondary-title&gt;Journal of Testing and Evaluation&lt;/secondary-title&gt;&lt;/titles&gt;&lt;periodical&gt;&lt;full-title&gt;Journal of Testing and Evaluation&lt;/full-title&gt;&lt;/periodical&gt;&lt;pages&gt;387-394&lt;/pages&gt;&lt;volume&gt;35&lt;/volume&gt;&lt;number&gt;4&lt;/number&gt;&lt;dates&gt;&lt;year&gt;2007&lt;/year&gt;&lt;/dates&gt;&lt;isbn&gt;0090-3973&lt;/isbn&gt;&lt;urls&gt;&lt;/urls&gt;&lt;/record&gt;&lt;/Cite&gt;&lt;/EndNote&gt;</w:instrText>
      </w:r>
      <w:r w:rsidR="00C32564" w:rsidRPr="002B76EF">
        <w:fldChar w:fldCharType="separate"/>
      </w:r>
      <w:r w:rsidR="00C32564" w:rsidRPr="002B76EF">
        <w:rPr>
          <w:noProof/>
        </w:rPr>
        <w:t>Wasiuddin et al. (2007b)</w:t>
      </w:r>
      <w:r w:rsidR="00C32564" w:rsidRPr="002B76EF">
        <w:fldChar w:fldCharType="end"/>
      </w:r>
      <w:r w:rsidR="00C32564" w:rsidRPr="002B76EF">
        <w:t xml:space="preserve"> using the same technique. The beneficial effect of antistripping additives on the SFE components of binders was found to be significantly reduced by short-term and long-term aging. Also, the influence of different warm mix asphalt additives on the moisture-induced damage potential of binders was studied and reported by </w:t>
      </w:r>
      <w:r w:rsidR="00C32564" w:rsidRPr="002B76EF">
        <w:fldChar w:fldCharType="begin"/>
      </w:r>
      <w:r w:rsidR="00C32564" w:rsidRPr="002B76EF">
        <w:instrText xml:space="preserve"> ADDIN EN.CITE &lt;EndNote&gt;&lt;Cite AuthorYear="1"&gt;&lt;Author&gt;Wasiuddin&lt;/Author&gt;&lt;Year&gt;2008&lt;/Year&gt;&lt;RecNum&gt;62&lt;/RecNum&gt;&lt;DisplayText&gt;Wasiuddin et al. (2008)&lt;/DisplayText&gt;&lt;record&gt;&lt;rec-number&gt;62&lt;/rec-number&gt;&lt;foreign-keys&gt;&lt;key app="EN" db-id="d55vzfpwawdafteedfoxsf0lv0v0wp5va2aa" timestamp="1514344121"&gt;62&lt;/key&gt;&lt;/foreign-keys&gt;&lt;ref-type name="Journal Article"&gt;17&lt;/ref-type&gt;&lt;contributors&gt;&lt;authors&gt;&lt;author&gt;Wasiuddin, Nazimuddin&lt;/author&gt;&lt;author&gt;Zaman, Musharraf&lt;/author&gt;&lt;author&gt;O&amp;apos;Rear, Edgar&lt;/author&gt;&lt;/authors&gt;&lt;/contributors&gt;&lt;titles&gt;&lt;title&gt;Effect of Sasobit and Aspha-min on Wettability and Adhesion Between Asphalt Binders and Aggregates&lt;/title&gt;&lt;secondary-title&gt;Transportation Research Record: Journal of the Transportation Research Board&lt;/secondary-title&gt;&lt;/titles&gt;&lt;periodical&gt;&lt;full-title&gt;Transportation Research Record: Journal of the Transportation Research Board&lt;/full-title&gt;&lt;/periodical&gt;&lt;pages&gt;80-89&lt;/pages&gt;&lt;number&gt;2051&lt;/number&gt;&lt;dates&gt;&lt;year&gt;2008&lt;/year&gt;&lt;/dates&gt;&lt;isbn&gt;0361-1981&lt;/isbn&gt;&lt;urls&gt;&lt;/urls&gt;&lt;/record&gt;&lt;/Cite&gt;&lt;/EndNote&gt;</w:instrText>
      </w:r>
      <w:r w:rsidR="00C32564" w:rsidRPr="002B76EF">
        <w:fldChar w:fldCharType="separate"/>
      </w:r>
      <w:r w:rsidR="00C32564" w:rsidRPr="002B76EF">
        <w:rPr>
          <w:noProof/>
        </w:rPr>
        <w:t>Wasiuddin et al. (2008)</w:t>
      </w:r>
      <w:r w:rsidR="00C32564" w:rsidRPr="002B76EF">
        <w:fldChar w:fldCharType="end"/>
      </w:r>
      <w:r w:rsidR="00C32564" w:rsidRPr="002B76EF">
        <w:t xml:space="preserve">. </w:t>
      </w:r>
      <w:r w:rsidR="00C32564" w:rsidRPr="002B76EF">
        <w:rPr>
          <w:szCs w:val="28"/>
        </w:rPr>
        <w:t xml:space="preserve">The effect of different types of binder modifications on the surface free energy components of the binder was evaluated by </w:t>
      </w:r>
      <w:r w:rsidR="00C32564" w:rsidRPr="002B76EF">
        <w:rPr>
          <w:szCs w:val="28"/>
        </w:rPr>
        <w:fldChar w:fldCharType="begin"/>
      </w:r>
      <w:r w:rsidR="00C32564" w:rsidRPr="002B76EF">
        <w:rPr>
          <w:szCs w:val="28"/>
        </w:rPr>
        <w:instrText xml:space="preserve"> ADDIN EN.CITE &lt;EndNote&gt;&lt;Cite AuthorYear="1"&gt;&lt;Author&gt;Bhasin&lt;/Author&gt;&lt;Year&gt;2007&lt;/Year&gt;&lt;RecNum&gt;25&lt;/RecNum&gt;&lt;DisplayText&gt;Bhasin et al. (2007a)&lt;/DisplayText&gt;&lt;record&gt;&lt;rec-number&gt;25&lt;/rec-number&gt;&lt;foreign-keys&gt;&lt;key app="EN" db-id="d55vzfpwawdafteedfoxsf0lv0v0wp5va2aa" timestamp="1509901144"&gt;25&lt;/key&gt;&lt;/foreign-keys&gt;&lt;ref-type name="Journal Article"&gt;17&lt;/ref-type&gt;&lt;contributors&gt;&lt;authors&gt;&lt;author&gt;Bhasin, Amit&lt;/author&gt;&lt;author&gt;Howson, Jonathan&lt;/author&gt;&lt;author&gt;Masad, Eyad&lt;/author&gt;&lt;author&gt;Little, Dallas&lt;/author&gt;&lt;author&gt;Lytton, Robert&lt;/author&gt;&lt;/authors&gt;&lt;/contributors&gt;&lt;titles&gt;&lt;title&gt;Effect of Modification Processes on Bond Energy of Asphalt Binders&lt;/title&gt;&lt;secondary-title&gt;Transportation Research Record: Journal of the Transportation Research Board&lt;/secondary-title&gt;&lt;/titles&gt;&lt;periodical&gt;&lt;full-title&gt;Transportation Research Record: Journal of the Transportation Research Board&lt;/full-title&gt;&lt;/periodical&gt;&lt;pages&gt;29-37&lt;/pages&gt;&lt;number&gt;1998&lt;/number&gt;&lt;dates&gt;&lt;year&gt;2007&lt;/year&gt;&lt;/dates&gt;&lt;isbn&gt;0361-1981&lt;/isbn&gt;&lt;urls&gt;&lt;/urls&gt;&lt;/record&gt;&lt;/Cite&gt;&lt;/EndNote&gt;</w:instrText>
      </w:r>
      <w:r w:rsidR="00C32564" w:rsidRPr="002B76EF">
        <w:rPr>
          <w:szCs w:val="28"/>
        </w:rPr>
        <w:fldChar w:fldCharType="separate"/>
      </w:r>
      <w:r w:rsidR="00C32564" w:rsidRPr="002B76EF">
        <w:rPr>
          <w:noProof/>
          <w:szCs w:val="28"/>
        </w:rPr>
        <w:t>Bhasin et al. (2007a)</w:t>
      </w:r>
      <w:r w:rsidR="00C32564" w:rsidRPr="002B76EF">
        <w:rPr>
          <w:szCs w:val="28"/>
        </w:rPr>
        <w:fldChar w:fldCharType="end"/>
      </w:r>
      <w:r w:rsidR="00C32564" w:rsidRPr="002B76EF">
        <w:rPr>
          <w:szCs w:val="28"/>
        </w:rPr>
        <w:t xml:space="preserve">. The changes in surface free energy due to the addition of polymers and anti-stripping agent and oxidative aging were determined and different energy parameters were calculated to correlate with the performance of the asphalt mixes. In another study, </w:t>
      </w:r>
      <w:r w:rsidR="00C32564" w:rsidRPr="002B76EF">
        <w:rPr>
          <w:szCs w:val="28"/>
        </w:rPr>
        <w:fldChar w:fldCharType="begin"/>
      </w:r>
      <w:r w:rsidR="00C32564" w:rsidRPr="002B76EF">
        <w:rPr>
          <w:szCs w:val="28"/>
        </w:rPr>
        <w:instrText xml:space="preserve"> ADDIN EN.CITE &lt;EndNote&gt;&lt;Cite AuthorYear="1"&gt;&lt;Author&gt;Bhasin&lt;/Author&gt;&lt;Year&gt;2007&lt;/Year&gt;&lt;RecNum&gt;98&lt;/RecNum&gt;&lt;DisplayText&gt;Bhasin and Little (2007)&lt;/DisplayText&gt;&lt;record&gt;&lt;rec-number&gt;98&lt;/rec-number&gt;&lt;foreign-keys&gt;&lt;key app="EN" db-id="d55vzfpwawdafteedfoxsf0lv0v0wp5va2aa" timestamp="1521292298"&gt;98&lt;/key&gt;&lt;/foreign-keys&gt;&lt;ref-type name="Journal Article"&gt;17&lt;/ref-type&gt;&lt;contributors&gt;&lt;authors&gt;&lt;author&gt;Bhasin, Amit&lt;/author&gt;&lt;author&gt;Little, Dallas N&lt;/author&gt;&lt;/authors&gt;&lt;/contributors&gt;&lt;titles&gt;&lt;title&gt;Characterization of aggregate surface energy using the universal sorption device&lt;/title&gt;&lt;secondary-title&gt;Journal of Materials in Civil Engineering&lt;/secondary-title&gt;&lt;/titles&gt;&lt;periodical&gt;&lt;full-title&gt;Journal of Materials in Civil Engineering&lt;/full-title&gt;&lt;/periodical&gt;&lt;pages&gt;634-641&lt;/pages&gt;&lt;volume&gt;19&lt;/volume&gt;&lt;number&gt;8&lt;/number&gt;&lt;dates&gt;&lt;year&gt;2007&lt;/year&gt;&lt;/dates&gt;&lt;isbn&gt;0899-1561&lt;/isbn&gt;&lt;urls&gt;&lt;/urls&gt;&lt;/record&gt;&lt;/Cite&gt;&lt;/EndNote&gt;</w:instrText>
      </w:r>
      <w:r w:rsidR="00C32564" w:rsidRPr="002B76EF">
        <w:rPr>
          <w:szCs w:val="28"/>
        </w:rPr>
        <w:fldChar w:fldCharType="separate"/>
      </w:r>
      <w:r w:rsidR="00C32564" w:rsidRPr="002B76EF">
        <w:rPr>
          <w:noProof/>
          <w:szCs w:val="28"/>
        </w:rPr>
        <w:t>Bhasin and Little (2007)</w:t>
      </w:r>
      <w:r w:rsidR="00C32564" w:rsidRPr="002B76EF">
        <w:rPr>
          <w:szCs w:val="28"/>
        </w:rPr>
        <w:fldChar w:fldCharType="end"/>
      </w:r>
      <w:r w:rsidR="00C32564" w:rsidRPr="002B76EF">
        <w:rPr>
          <w:szCs w:val="28"/>
        </w:rPr>
        <w:t xml:space="preserve"> compared the surface free energy characteristics of five aggregates of different chemical compositions. The aggregates exhibited widely different base SFE components which were found to be the primary contributors to the differences in the compatibility ratio with any given binder. Arabani and Hamedi (2010) evaluated the effects of polyethylene polymer coating on aggregates using the SFE characteristics of aggregates. It was observed that the polyethylene polymer coating treatment brought the total SFE of aggregates to the same level although they exhibited significant differences before treatment. In another study, Arabani and Hamedi (2014) used surface free energy (SFE) concept to evaluate the effect of liquid antistrip additives. A good correlation was observed between the moisture-induced damage results from dynamic modulus test and SFE technique. Alvarez et al. (2012a) evaluated </w:t>
      </w:r>
      <w:r w:rsidR="00C32564" w:rsidRPr="002B76EF">
        <w:t xml:space="preserve">the effect of three different fillers on binder-aggregate interfaces of asphalt mixes based on surface free energy approach. It was observed that the inclusion of filler in the mix can lead to changes in the fracture and moisture-induced damage resistance of the mastic-aggregate systems. </w:t>
      </w:r>
      <w:r w:rsidR="00C32564" w:rsidRPr="002B76EF">
        <w:rPr>
          <w:szCs w:val="28"/>
        </w:rPr>
        <w:t xml:space="preserve">In a different study, asphalt rubber-aggregate and polymer modified binders-aggregate interfaces were evaluated using the same procedure (Alvarez et al., </w:t>
      </w:r>
      <w:r w:rsidR="00C32564" w:rsidRPr="002B76EF">
        <w:t xml:space="preserve">2012b). The cohesion and adhesion of asphalt mastic were also studied by </w:t>
      </w:r>
      <w:r w:rsidR="00C32564" w:rsidRPr="002B76EF">
        <w:fldChar w:fldCharType="begin"/>
      </w:r>
      <w:r w:rsidR="00C32564" w:rsidRPr="002B76EF">
        <w:instrText xml:space="preserve"> ADDIN EN.CITE &lt;EndNote&gt;&lt;Cite AuthorYear="1"&gt;&lt;Author&gt;Tan&lt;/Author&gt;&lt;Year&gt;2013&lt;/Year&gt;&lt;RecNum&gt;102&lt;/RecNum&gt;&lt;DisplayText&gt;Tan and Guo (2013)&lt;/DisplayText&gt;&lt;record&gt;&lt;rec-number&gt;102&lt;/rec-number&gt;&lt;foreign-keys&gt;&lt;key app="EN" db-id="d55vzfpwawdafteedfoxsf0lv0v0wp5va2aa" timestamp="1521310479"&gt;102&lt;/key&gt;&lt;/foreign-keys&gt;&lt;ref-type name="Journal Article"&gt;17&lt;/ref-type&gt;&lt;contributors&gt;&lt;authors&gt;&lt;author&gt;Tan, Yiqiu&lt;/author&gt;&lt;author&gt;Guo, Meng&lt;/author&gt;&lt;/authors&gt;&lt;/contributors&gt;&lt;titles&gt;&lt;title&gt;Using surface free energy method to study the cohesion and adhesion of asphalt mastic&lt;/title&gt;&lt;secondary-title&gt;Construction and Building Materials&lt;/secondary-title&gt;&lt;/titles&gt;&lt;periodical&gt;&lt;full-title&gt;Construction and Building Materials&lt;/full-title&gt;&lt;/periodical&gt;&lt;pages&gt;254-260&lt;/pages&gt;&lt;volume&gt;47&lt;/volume&gt;&lt;dates&gt;&lt;year&gt;2013&lt;/year&gt;&lt;/dates&gt;&lt;isbn&gt;0950-0618&lt;/isbn&gt;&lt;urls&gt;&lt;/urls&gt;&lt;/record&gt;&lt;/Cite&gt;&lt;/EndNote&gt;</w:instrText>
      </w:r>
      <w:r w:rsidR="00C32564" w:rsidRPr="002B76EF">
        <w:fldChar w:fldCharType="separate"/>
      </w:r>
      <w:r w:rsidR="00C32564" w:rsidRPr="002B76EF">
        <w:rPr>
          <w:noProof/>
        </w:rPr>
        <w:t>Tan and Guo (2013)</w:t>
      </w:r>
      <w:r w:rsidR="00C32564" w:rsidRPr="002B76EF">
        <w:fldChar w:fldCharType="end"/>
      </w:r>
      <w:r w:rsidR="00C32564" w:rsidRPr="002B76EF">
        <w:t>. Sessile drop and column wicking method were used to measure the SFE components of asphalt and fillers, respectively. The van der Waals force of surface free energy was found to play an important role in the cohesion and adhesion of asphalt mastic. Ghabchi et al. (2014) evaluated the effect of the addition of different amounts of RAP to the asphalt binders on their surface energies. The compatibilities of different amounts of RAP blended binders with six different types of aggregates were evaluated using wettability, work of adhesion, work of debonding and energy ratio parameters.</w:t>
      </w:r>
    </w:p>
    <w:p w14:paraId="333E26F8" w14:textId="1CFE169D" w:rsidR="00C32564" w:rsidRDefault="00C32564" w:rsidP="00E5144D">
      <w:pPr>
        <w:ind w:firstLine="720"/>
      </w:pPr>
      <w:r w:rsidRPr="002B76EF">
        <w:t xml:space="preserve">With the advent of balanced mix design </w:t>
      </w:r>
      <w:r w:rsidRPr="002B76EF">
        <w:fldChar w:fldCharType="begin"/>
      </w:r>
      <w:r w:rsidR="00282238">
        <w:instrText xml:space="preserve"> ADDIN EN.CITE &lt;EndNote&gt;&lt;Cite&gt;&lt;Author&gt;Cooper III&lt;/Author&gt;&lt;Year&gt;2014&lt;/Year&gt;&lt;RecNum&gt;226&lt;/RecNum&gt;&lt;DisplayText&gt;(Cooper III et al., 2014; Ozer et al., 2016b)&lt;/DisplayText&gt;&lt;record&gt;&lt;rec-number&gt;226&lt;/rec-number&gt;&lt;foreign-keys&gt;&lt;key app="EN" db-id="d55vzfpwawdafteedfoxsf0lv0v0wp5va2aa" timestamp="1581110508"&gt;226&lt;/key&gt;&lt;/foreign-keys&gt;&lt;ref-type name="Journal Article"&gt;17&lt;/ref-type&gt;&lt;contributors&gt;&lt;authors&gt;&lt;author&gt;Cooper III, Samuel B&lt;/author&gt;&lt;author&gt;Mohammad, Louay N&lt;/author&gt;&lt;author&gt;Kabir, Sharear&lt;/author&gt;&lt;author&gt;King Jr, William&lt;/author&gt;&lt;/authors&gt;&lt;/contributors&gt;&lt;titles&gt;&lt;title&gt;Balanced asphalt mixture design through specification modification: Louisiana&amp;apos;s experience&lt;/title&gt;&lt;secondary-title&gt;Transportation Research Record&lt;/secondary-title&gt;&lt;/titles&gt;&lt;periodical&gt;&lt;full-title&gt;Transportation Research Record&lt;/full-title&gt;&lt;/periodical&gt;&lt;pages&gt;92-100&lt;/pages&gt;&lt;volume&gt;2447&lt;/volume&gt;&lt;number&gt;1&lt;/number&gt;&lt;dates&gt;&lt;year&gt;2014&lt;/year&gt;&lt;/dates&gt;&lt;isbn&gt;0361-1981&lt;/isbn&gt;&lt;urls&gt;&lt;/urls&gt;&lt;/record&gt;&lt;/Cite&gt;&lt;Cite&gt;&lt;Author&gt;Ozer&lt;/Author&gt;&lt;Year&gt;2016&lt;/Year&gt;&lt;RecNum&gt;36&lt;/RecNum&gt;&lt;record&gt;&lt;rec-number&gt;36&lt;/rec-number&gt;&lt;foreign-keys&gt;&lt;key app="EN" db-id="d55vzfpwawdafteedfoxsf0lv0v0wp5va2aa" timestamp="1510086419"&gt;36&lt;/key&gt;&lt;/foreign-keys&gt;&lt;ref-type name="Journal Article"&gt;17&lt;/ref-type&gt;&lt;contributors&gt;&lt;authors&gt;&lt;author&gt;Ozer, Hasan&lt;/author&gt;&lt;author&gt;Al-Qadi, Imad L&lt;/author&gt;&lt;author&gt;Singhvi, Punit&lt;/author&gt;&lt;author&gt;Khan, Tamim&lt;/author&gt;&lt;author&gt;Rivera-Perez, Jose&lt;/author&gt;&lt;author&gt;El-Khatib, Ahmad&lt;/author&gt;&lt;/authors&gt;&lt;/contributors&gt;&lt;titles&gt;&lt;title&gt;Fracture characterization of asphalt mixtures with high recycled content using Illinois semicircular bending test method and flexibility index&lt;/title&gt;&lt;secondary-title&gt;Transportation Research Record: Journal of the Transportation Research Board&lt;/secondary-title&gt;&lt;/titles&gt;&lt;periodical&gt;&lt;full-title&gt;Transportation Research Record: Journal of the Transportation Research Board&lt;/full-title&gt;&lt;/periodical&gt;&lt;pages&gt;130-137&lt;/pages&gt;&lt;number&gt;2575&lt;/number&gt;&lt;dates&gt;&lt;year&gt;2016&lt;/year&gt;&lt;/dates&gt;&lt;isbn&gt;0361-1981&lt;/isbn&gt;&lt;urls&gt;&lt;/urls&gt;&lt;/record&gt;&lt;/Cite&gt;&lt;/EndNote&gt;</w:instrText>
      </w:r>
      <w:r w:rsidRPr="002B76EF">
        <w:fldChar w:fldCharType="separate"/>
      </w:r>
      <w:r w:rsidR="00282238">
        <w:rPr>
          <w:noProof/>
        </w:rPr>
        <w:t>(Cooper III et al., 2014; Ozer et al., 2016b)</w:t>
      </w:r>
      <w:r w:rsidRPr="002B76EF">
        <w:fldChar w:fldCharType="end"/>
      </w:r>
      <w:r w:rsidRPr="002B76EF">
        <w:t xml:space="preserve">, many Departments of Transportation (DOTs) are considering adopting a fatigue evaluation procedure using semi-circular bend (SCB) geometry </w:t>
      </w:r>
      <w:r w:rsidRPr="002B76EF">
        <w:fldChar w:fldCharType="begin">
          <w:fldData xml:space="preserve">PEVuZE5vdGU+PENpdGU+PEF1dGhvcj5BbC1RYWRpPC9BdXRob3I+PFllYXI+MjAxNTwvWWVhcj48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</w:fldData>
        </w:fldChar>
      </w:r>
      <w:r w:rsidR="00282238">
        <w:instrText xml:space="preserve"> ADDIN EN.CITE </w:instrText>
      </w:r>
      <w:r w:rsidR="00282238">
        <w:fldChar w:fldCharType="begin">
          <w:fldData xml:space="preserve">PEVuZE5vdGU+PENpdGU+PEF1dGhvcj5BbC1RYWRpPC9BdXRob3I+PFllYXI+MjAxNTwvWWVhcj48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</w:fldData>
        </w:fldChar>
      </w:r>
      <w:r w:rsidR="00282238">
        <w:instrText xml:space="preserve"> ADDIN EN.CITE.DATA </w:instrText>
      </w:r>
      <w:r w:rsidR="00282238">
        <w:fldChar w:fldCharType="end"/>
      </w:r>
      <w:r w:rsidRPr="002B76EF">
        <w:fldChar w:fldCharType="separate"/>
      </w:r>
      <w:r w:rsidR="00282238">
        <w:rPr>
          <w:noProof/>
        </w:rPr>
        <w:t>(Kim et al., 2012; Al-Qadi et al., 2015; Mohammad et al., 2016; Ozer et al., 2016a; Ozer et al., 2016b)</w:t>
      </w:r>
      <w:r w:rsidRPr="002B76EF">
        <w:fldChar w:fldCharType="end"/>
      </w:r>
      <w:r w:rsidRPr="002B76EF">
        <w:t>. As the fatigue damage and healing in asphalt mixes are directly related to the cohesive and adhesive bonding of the binder-aggregate system, the incorporation of fracture mechanics through SCB test is expected to better explain the mechanisms responsible for the moisture-induced damage phenomenon. The Illinois semi-circular bend (IL-SCB) test evaluates the fracture properties of asphalt mixes using the flexibility index (</w:t>
      </w:r>
      <w:r w:rsidRPr="002B76EF">
        <w:rPr>
          <w:i/>
          <w:iCs/>
        </w:rPr>
        <w:t>FI</w:t>
      </w:r>
      <w:r w:rsidRPr="002B76EF">
        <w:t xml:space="preserve">) following the AASHTO TP 124 </w:t>
      </w:r>
      <w:r w:rsidRPr="002B76EF">
        <w:fldChar w:fldCharType="begin"/>
      </w:r>
      <w:r w:rsidR="00282238">
        <w:instrText xml:space="preserve"> ADDIN EN.CITE &lt;EndNote&gt;&lt;Cite&gt;&lt;Author&gt;AASHTO&lt;/Author&gt;&lt;Year&gt;2018&lt;/Year&gt;&lt;RecNum&gt;228&lt;/RecNum&gt;&lt;DisplayText&gt;(AASHTO, 2018)&lt;/DisplayText&gt;&lt;record&gt;&lt;rec-number&gt;228&lt;/rec-number&gt;&lt;foreign-keys&gt;&lt;key app="EN" db-id="d55vzfpwawdafteedfoxsf0lv0v0wp5va2aa" timestamp="1582053548"&gt;228&lt;/key&gt;&lt;/foreign-keys&gt;&lt;ref-type name="Standard"&gt;58&lt;/ref-type&gt;&lt;contributors&gt;&lt;authors&gt;&lt;author&gt;AASHTO&lt;/author&gt;&lt;/authors&gt;&lt;/contributors&gt;&lt;titles&gt;&lt;title&gt;AASHTO TP 124: Standard Method of Test for Determining the Fracture Potential of Asphalt Mixtures Using the Flexibility Index Test (FIT)&lt;/title&gt;&lt;/titles&gt;&lt;dates&gt;&lt;year&gt;2018&lt;/year&gt;&lt;/dates&gt;&lt;pub-location&gt;Washington, D.C.&lt;/pub-location&gt;&lt;publisher&gt;American Association of State Highway and Transportation Officials&lt;/publisher&gt;&lt;urls&gt;&lt;/urls&gt;&lt;/record&gt;&lt;/Cite&gt;&lt;/EndNote&gt;</w:instrText>
      </w:r>
      <w:r w:rsidRPr="002B76EF">
        <w:fldChar w:fldCharType="separate"/>
      </w:r>
      <w:r w:rsidR="00282238">
        <w:rPr>
          <w:noProof/>
        </w:rPr>
        <w:t>(AASHTO, 2018)</w:t>
      </w:r>
      <w:r w:rsidRPr="002B76EF">
        <w:fldChar w:fldCharType="end"/>
      </w:r>
      <w:r w:rsidRPr="002B76EF">
        <w:t xml:space="preserve"> method. The </w:t>
      </w:r>
      <w:r w:rsidRPr="002B76EF">
        <w:rPr>
          <w:i/>
          <w:iCs/>
        </w:rPr>
        <w:t>FI</w:t>
      </w:r>
      <w:r w:rsidRPr="002B76EF">
        <w:t xml:space="preserve"> is derived from the fracture energy (</w:t>
      </w:r>
      <w:r w:rsidRPr="002B76EF">
        <w:rPr>
          <w:i/>
          <w:iCs/>
        </w:rPr>
        <w:t>G</w:t>
      </w:r>
      <w:r w:rsidRPr="002B76EF">
        <w:rPr>
          <w:i/>
          <w:iCs/>
          <w:vertAlign w:val="subscript"/>
        </w:rPr>
        <w:t>f</w:t>
      </w:r>
      <w:r w:rsidRPr="002B76EF">
        <w:t xml:space="preserve">) and post peak slope of the load-deformation curve </w:t>
      </w:r>
      <w:r w:rsidRPr="002B76EF">
        <w:fldChar w:fldCharType="begin"/>
      </w:r>
      <w:r w:rsidR="00282238">
        <w:instrText xml:space="preserve"> ADDIN EN.CITE &lt;EndNote&gt;&lt;Cite&gt;&lt;Author&gt;Al-Qadi&lt;/Author&gt;&lt;Year&gt;2015&lt;/Year&gt;&lt;RecNum&gt;133&lt;/RecNum&gt;&lt;DisplayText&gt;(Al-Qadi et al., 2015)&lt;/DisplayText&gt;&lt;record&gt;&lt;rec-number&gt;133&lt;/rec-number&gt;&lt;foreign-keys&gt;&lt;key app="EN" db-id="d55vzfpwawdafteedfoxsf0lv0v0wp5va2aa" timestamp="1531591834"&gt;133&lt;/key&gt;&lt;/foreign-keys&gt;&lt;ref-type name="Report"&gt;27&lt;/ref-type&gt;&lt;contributors&gt;&lt;authors&gt;&lt;author&gt;Al-Qadi, Imad L&lt;/author&gt;&lt;author&gt;Ozer, Hasan&lt;/author&gt;&lt;author&gt;Lambros, John&lt;/author&gt;&lt;author&gt;El Khatib, Ahmad&lt;/author&gt;&lt;author&gt;Singhvi, Punit&lt;/author&gt;&lt;author&gt;Khan, Tamim&lt;/author&gt;&lt;author&gt;Rivera-Perez, José&lt;/author&gt;&lt;author&gt;Doll, Berangere&lt;/author&gt;&lt;/authors&gt;&lt;/contributors&gt;&lt;titles&gt;&lt;title&gt;Testing Protocols to Ensure Performance of High Asphalt Binder Replacement Mixes Using RAP and RAS&lt;/title&gt;&lt;/titles&gt;&lt;dates&gt;&lt;year&gt;2015&lt;/year&gt;&lt;/dates&gt;&lt;publisher&gt;Illinois Center for Transportation/Illinois Department of Transportation&lt;/publisher&gt;&lt;isbn&gt;0197-9191&lt;/isbn&gt;&lt;urls&gt;&lt;/urls&gt;&lt;/record&gt;&lt;/Cite&gt;&lt;/EndNote&gt;</w:instrText>
      </w:r>
      <w:r w:rsidRPr="002B76EF">
        <w:fldChar w:fldCharType="separate"/>
      </w:r>
      <w:r w:rsidR="00282238">
        <w:rPr>
          <w:noProof/>
        </w:rPr>
        <w:t>(Al-Qadi et al., 2015)</w:t>
      </w:r>
      <w:r w:rsidRPr="002B76EF">
        <w:fldChar w:fldCharType="end"/>
      </w:r>
      <w:r w:rsidRPr="002B76EF">
        <w:t xml:space="preserve">. A comparison of the fracture energy of the moisture-conditioned and dry specimens, i.e. </w:t>
      </w:r>
      <w:r w:rsidRPr="002B76EF">
        <w:rPr>
          <w:i/>
          <w:iCs/>
        </w:rPr>
        <w:t>G</w:t>
      </w:r>
      <w:r w:rsidRPr="002B76EF">
        <w:rPr>
          <w:i/>
          <w:iCs/>
          <w:vertAlign w:val="subscript"/>
        </w:rPr>
        <w:t>f</w:t>
      </w:r>
      <w:r w:rsidRPr="002B76EF">
        <w:rPr>
          <w:i/>
          <w:iCs/>
        </w:rPr>
        <w:t xml:space="preserve"> ratio</w:t>
      </w:r>
      <w:r w:rsidRPr="002B76EF">
        <w:t xml:space="preserve"> from the IL-SCB test is expected to provide important insight on the moisture-induced damage potential of asphalt mixes. </w:t>
      </w:r>
    </w:p>
    <w:p w14:paraId="1051AFC8" w14:textId="3784C036" w:rsidR="00EF7AF2" w:rsidRPr="002B76EF" w:rsidRDefault="009664B6" w:rsidP="00E57694">
      <w:pPr>
        <w:pStyle w:val="Heading2"/>
      </w:pPr>
      <w:bookmarkStart w:id="111" w:name="_Toc71728438"/>
      <w:r>
        <w:t>OBJECTIVES</w:t>
      </w:r>
      <w:bookmarkEnd w:id="111"/>
    </w:p>
    <w:p w14:paraId="7269CAE3" w14:textId="77777777" w:rsidR="00C32564" w:rsidRPr="002B76EF" w:rsidRDefault="00C32564" w:rsidP="00E5144D">
      <w:pPr>
        <w:ind w:firstLine="720"/>
      </w:pPr>
      <w:r w:rsidRPr="002B76EF">
        <w:t>In this study, the moisture-induced damage potential of binder-aggregate systems was evaluated using the SFE method. In addition, moisture-induced damage potential of asphalt mixes was investigated using indirect tensile strength (ITS) and a new test method based on the IL-SCB test. The specific objectives of this study were as follows:</w:t>
      </w:r>
    </w:p>
    <w:p w14:paraId="5F995BA7" w14:textId="39F20C66" w:rsidR="00C32564" w:rsidRPr="002B76EF" w:rsidRDefault="00C32564" w:rsidP="00E5144D">
      <w:pPr>
        <w:pStyle w:val="ListParagraph"/>
        <w:numPr>
          <w:ilvl w:val="0"/>
          <w:numId w:val="9"/>
        </w:numPr>
      </w:pPr>
      <w:r w:rsidRPr="002B76EF">
        <w:t>Evaluate the effects of different additives and aging on the moisture-induced damage potential of binder-aggregate systems using the SFE approach</w:t>
      </w:r>
      <w:r w:rsidR="00B47E9C">
        <w:t>.</w:t>
      </w:r>
    </w:p>
    <w:p w14:paraId="195DF2CE" w14:textId="4691B1EA" w:rsidR="00C32564" w:rsidRPr="002B76EF" w:rsidRDefault="00C32564" w:rsidP="00E5144D">
      <w:pPr>
        <w:pStyle w:val="ListParagraph"/>
        <w:numPr>
          <w:ilvl w:val="0"/>
          <w:numId w:val="9"/>
        </w:numPr>
      </w:pPr>
      <w:r w:rsidRPr="002B76EF">
        <w:t>Investigate the effect of different additives and aging on the moisture-induced damage potential of asphalt mixes using conventional, i.e. ITS test and a new method based on the IL-SCB test</w:t>
      </w:r>
      <w:r w:rsidR="00B47E9C">
        <w:t>.</w:t>
      </w:r>
    </w:p>
    <w:p w14:paraId="44389A35" w14:textId="77777777" w:rsidR="00C32564" w:rsidRPr="002B76EF" w:rsidRDefault="00C32564" w:rsidP="00E5144D">
      <w:pPr>
        <w:pStyle w:val="ListParagraph"/>
        <w:numPr>
          <w:ilvl w:val="0"/>
          <w:numId w:val="9"/>
        </w:numPr>
      </w:pPr>
      <w:r w:rsidRPr="002B76EF">
        <w:t xml:space="preserve">Evaluate the suitability of </w:t>
      </w:r>
      <w:r w:rsidRPr="002B76EF">
        <w:rPr>
          <w:i/>
          <w:iCs/>
        </w:rPr>
        <w:t>TSR</w:t>
      </w:r>
      <w:r w:rsidRPr="002B76EF">
        <w:t xml:space="preserve"> and </w:t>
      </w:r>
      <w:r w:rsidRPr="002B76EF">
        <w:rPr>
          <w:i/>
          <w:iCs/>
        </w:rPr>
        <w:t>G</w:t>
      </w:r>
      <w:r w:rsidRPr="002B76EF">
        <w:rPr>
          <w:i/>
          <w:iCs/>
          <w:vertAlign w:val="subscript"/>
        </w:rPr>
        <w:t>f</w:t>
      </w:r>
      <w:r w:rsidRPr="002B76EF">
        <w:rPr>
          <w:i/>
          <w:iCs/>
        </w:rPr>
        <w:t xml:space="preserve"> ratio</w:t>
      </w:r>
      <w:r w:rsidRPr="002B76EF">
        <w:t xml:space="preserve"> to predict moisture-induced damage by correlating with energy parameters from SFE method.</w:t>
      </w:r>
    </w:p>
    <w:p w14:paraId="4A80C722" w14:textId="0BDEFAAB" w:rsidR="00C32564" w:rsidRPr="002B76EF" w:rsidRDefault="009664B6" w:rsidP="00E57694">
      <w:pPr>
        <w:pStyle w:val="Heading2"/>
      </w:pPr>
      <w:bookmarkStart w:id="112" w:name="_Toc6529104"/>
      <w:bookmarkStart w:id="113" w:name="_Toc71728439"/>
      <w:r w:rsidRPr="002B76EF">
        <w:t>THERMODYNAMIC APPROACH OF EVALUATING MOISTURE-INDUCED DAMAGE</w:t>
      </w:r>
      <w:bookmarkEnd w:id="112"/>
      <w:bookmarkEnd w:id="113"/>
    </w:p>
    <w:p w14:paraId="49644210" w14:textId="4A1DAA26" w:rsidR="00C32564" w:rsidRPr="002B76EF" w:rsidRDefault="00C32564" w:rsidP="00E5144D">
      <w:pPr>
        <w:ind w:firstLine="720"/>
      </w:pPr>
      <w:r w:rsidRPr="002B76EF">
        <w:t xml:space="preserve">Thermodynamic theory (also known as adsorption theory) is one of the most widely used concepts in adhesion science </w:t>
      </w:r>
      <w:r w:rsidRPr="002B76EF">
        <w:fldChar w:fldCharType="begin"/>
      </w:r>
      <w:r w:rsidR="00282238">
        <w:instrText xml:space="preserve"> ADDIN EN.CITE &lt;EndNote&gt;&lt;Cite&gt;&lt;Author&gt;Hefer&lt;/Author&gt;&lt;Year&gt;2005&lt;/Year&gt;&lt;RecNum&gt;87&lt;/RecNum&gt;&lt;DisplayText&gt;(Hefer et al., 2005)&lt;/DisplayText&gt;&lt;record&gt;&lt;rec-number&gt;87&lt;/rec-number&gt;&lt;foreign-keys&gt;&lt;key app="EN" db-id="d55vzfpwawdafteedfoxsf0lv0v0wp5va2aa" timestamp="1519496321"&gt;87&lt;/key&gt;&lt;/foreign-keys&gt;&lt;ref-type name="Journal Article"&gt;17&lt;/ref-type&gt;&lt;contributors&gt;&lt;authors&gt;&lt;author&gt;Hefer, Arno W&lt;/author&gt;&lt;author&gt;Little, Dallas N&lt;/author&gt;&lt;author&gt;Lytton, Robert L&lt;/author&gt;&lt;/authors&gt;&lt;/contributors&gt;&lt;titles&gt;&lt;title&gt;A Synthesis of Theories and Mechanisms of Bitumen-Aggregate Adhesion Including Recent Advances in Quantifying the Effects of Water&lt;/title&gt;&lt;secondary-title&gt;Journal of the association of asphalt paving technologists&lt;/secondary-title&gt;&lt;/titles&gt;&lt;periodical&gt;&lt;full-title&gt;Journal of the Association of Asphalt Paving Technologists&lt;/full-title&gt;&lt;/periodical&gt;&lt;pages&gt;139-196&lt;/pages&gt;&lt;volume&gt;74&lt;/volume&gt;&lt;dates&gt;&lt;year&gt;2005&lt;/year&gt;&lt;/dates&gt;&lt;urls&gt;&lt;/urls&gt;&lt;/record&gt;&lt;/Cite&gt;&lt;/EndNote&gt;</w:instrText>
      </w:r>
      <w:r w:rsidRPr="002B76EF">
        <w:fldChar w:fldCharType="separate"/>
      </w:r>
      <w:r w:rsidR="00282238">
        <w:rPr>
          <w:noProof/>
        </w:rPr>
        <w:t>(Hefer et al., 2005)</w:t>
      </w:r>
      <w:r w:rsidRPr="002B76EF">
        <w:fldChar w:fldCharType="end"/>
      </w:r>
      <w:r w:rsidRPr="002B76EF">
        <w:t xml:space="preserve">. According to this theory, the physio-chemical adhesion between two materials is a thermodynamic phenomenon and a function of surface free energies of those materials. According to the Good-Van Oss-Chaudhury theory, the SFE of a material can be divided into three independent components, namely a non-polar or Lifshitz-van der Waals component, a monopolar acidic component, and a monopolar basic component </w:t>
      </w:r>
      <w:r w:rsidRPr="002B76EF">
        <w:fldChar w:fldCharType="begin"/>
      </w:r>
      <w:r w:rsidR="00282238">
        <w:instrText xml:space="preserve"> ADDIN EN.CITE &lt;EndNote&gt;&lt;Cite&gt;&lt;Author&gt;Van Oss&lt;/Author&gt;&lt;Year&gt;1988&lt;/Year&gt;&lt;RecNum&gt;31&lt;/RecNum&gt;&lt;DisplayText&gt;(Van Oss et al., 1988)&lt;/DisplayText&gt;&lt;record&gt;&lt;rec-number&gt;31&lt;/rec-number&gt;&lt;foreign-keys&gt;&lt;key app="EN" db-id="d55vzfpwawdafteedfoxsf0lv0v0wp5va2aa" timestamp="1509901250"&gt;31&lt;/key&gt;&lt;/foreign-keys&gt;&lt;ref-type name="Journal Article"&gt;17&lt;/ref-type&gt;&lt;contributors&gt;&lt;authors&gt;&lt;author&gt;Van Oss, Carel J&lt;/author&gt;&lt;author&gt;Chaudhury, Manoj K&lt;/author&gt;&lt;author&gt;Good, Robert J&lt;/author&gt;&lt;/authors&gt;&lt;/contributors&gt;&lt;titles&gt;&lt;title&gt;Interfacial Lifshitz-Van Der Waals and Polar Interactions in Macroscopic Systems&lt;/title&gt;&lt;secondary-title&gt;Chemical Reviews&lt;/secondary-title&gt;&lt;/titles&gt;&lt;periodical&gt;&lt;full-title&gt;Chemical Reviews&lt;/full-title&gt;&lt;/periodical&gt;&lt;pages&gt;927-941&lt;/pages&gt;&lt;volume&gt;88&lt;/volume&gt;&lt;number&gt;6&lt;/number&gt;&lt;dates&gt;&lt;year&gt;1988&lt;/year&gt;&lt;/dates&gt;&lt;isbn&gt;0009-2665&lt;/isbn&gt;&lt;urls&gt;&lt;/urls&gt;&lt;/record&gt;&lt;/Cite&gt;&lt;/EndNote&gt;</w:instrText>
      </w:r>
      <w:r w:rsidRPr="002B76EF">
        <w:fldChar w:fldCharType="separate"/>
      </w:r>
      <w:r w:rsidR="00282238">
        <w:rPr>
          <w:noProof/>
        </w:rPr>
        <w:t>(Van Oss et al., 1988)</w:t>
      </w:r>
      <w:r w:rsidRPr="002B76EF">
        <w:fldChar w:fldCharType="end"/>
      </w:r>
      <w:r w:rsidRPr="002B76EF">
        <w:t xml:space="preserve">. These components can be obtained by measuring the work of adhesion of that material with other liquids or vapors </w:t>
      </w:r>
      <w:r w:rsidRPr="002B76EF">
        <w:fldChar w:fldCharType="begin"/>
      </w:r>
      <w:r w:rsidR="00282238">
        <w:instrText xml:space="preserve"> ADDIN EN.CITE &lt;EndNote&gt;&lt;Cite&gt;&lt;Author&gt;Van Oss&lt;/Author&gt;&lt;Year&gt;1988&lt;/Year&gt;&lt;RecNum&gt;31&lt;/RecNum&gt;&lt;DisplayText&gt;(Van Oss et al., 1988)&lt;/DisplayText&gt;&lt;record&gt;&lt;rec-number&gt;31&lt;/rec-number&gt;&lt;foreign-keys&gt;&lt;key app="EN" db-id="d55vzfpwawdafteedfoxsf0lv0v0wp5va2aa" timestamp="1509901250"&gt;31&lt;/key&gt;&lt;/foreign-keys&gt;&lt;ref-type name="Journal Article"&gt;17&lt;/ref-type&gt;&lt;contributors&gt;&lt;authors&gt;&lt;author&gt;Van Oss, Carel J&lt;/author&gt;&lt;author&gt;Chaudhury, Manoj K&lt;/author&gt;&lt;author&gt;Good, Robert J&lt;/author&gt;&lt;/authors&gt;&lt;/contributors&gt;&lt;titles&gt;&lt;title&gt;Interfacial Lifshitz-Van Der Waals and Polar Interactions in Macroscopic Systems&lt;/title&gt;&lt;secondary-title&gt;Chemical Reviews&lt;/secondary-title&gt;&lt;/titles&gt;&lt;periodical&gt;&lt;full-title&gt;Chemical Reviews&lt;/full-title&gt;&lt;/periodical&gt;&lt;pages&gt;927-941&lt;/pages&gt;&lt;volume&gt;88&lt;/volume&gt;&lt;number&gt;6&lt;/number&gt;&lt;dates&gt;&lt;year&gt;1988&lt;/year&gt;&lt;/dates&gt;&lt;isbn&gt;0009-2665&lt;/isbn&gt;&lt;urls&gt;&lt;/urls&gt;&lt;/record&gt;&lt;/Cite&gt;&lt;/EndNote&gt;</w:instrText>
      </w:r>
      <w:r w:rsidRPr="002B76EF">
        <w:fldChar w:fldCharType="separate"/>
      </w:r>
      <w:r w:rsidR="00282238">
        <w:rPr>
          <w:noProof/>
        </w:rPr>
        <w:t>(Van Oss et al., 1988)</w:t>
      </w:r>
      <w:r w:rsidRPr="002B76EF">
        <w:fldChar w:fldCharType="end"/>
      </w:r>
      <w:r w:rsidRPr="002B76EF">
        <w:t>. The total SFE of a material can be expressed by combining all these components using Equation (</w:t>
      </w:r>
      <w:r w:rsidR="00CE3AFD">
        <w:rPr>
          <w:rStyle w:val="fontstyle01"/>
          <w:sz w:val="24"/>
          <w:szCs w:val="24"/>
        </w:rPr>
        <w:t>4</w:t>
      </w:r>
      <w:r w:rsidR="00BC2D73">
        <w:rPr>
          <w:rStyle w:val="fontstyle01"/>
          <w:sz w:val="24"/>
          <w:szCs w:val="24"/>
        </w:rPr>
        <w:t>.</w:t>
      </w:r>
      <w:r w:rsidRPr="002B76EF">
        <w:t>1).</w:t>
      </w:r>
    </w:p>
    <w:p w14:paraId="26472A11" w14:textId="320842BE" w:rsidR="00C32564" w:rsidRPr="002B76EF" w:rsidRDefault="007F7885" w:rsidP="00E5144D">
      <w:pPr>
        <w:jc w:val="center"/>
        <w:rPr>
          <w:iCs/>
        </w:rPr>
      </w:pPr>
      <m:oMath>
        <m:sSup>
          <m:sSupPr>
            <m:ctrlPr>
              <w:rPr>
                <w:rFonts w:ascii="Cambria Math" w:hAnsi="Cambria Math"/>
                <w:i/>
                <w:iCs/>
              </w:rPr>
            </m:ctrlPr>
          </m:sSupPr>
          <m:e>
            <m:r>
              <m:rPr>
                <m:sty m:val="p"/>
              </m:rPr>
              <w:rPr>
                <w:rFonts w:ascii="Cambria Math" w:hAnsi="Cambria Math"/>
              </w:rPr>
              <m:t>Γ</m:t>
            </m:r>
          </m:e>
          <m:sup>
            <m:r>
              <w:rPr>
                <w:rFonts w:ascii="Cambria Math" w:hAnsi="Cambria Math"/>
              </w:rPr>
              <m:t>Total</m:t>
            </m:r>
          </m:sup>
        </m:sSup>
        <m:r>
          <w:rPr>
            <w:rFonts w:ascii="Cambria Math" w:hAnsi="Cambria Math"/>
          </w:rPr>
          <m:t>=</m:t>
        </m:r>
        <m:sSup>
          <m:sSupPr>
            <m:ctrlPr>
              <w:rPr>
                <w:rFonts w:ascii="Cambria Math" w:hAnsi="Cambria Math"/>
                <w:i/>
                <w:iCs/>
              </w:rPr>
            </m:ctrlPr>
          </m:sSupPr>
          <m:e>
            <m:r>
              <m:rPr>
                <m:sty m:val="p"/>
              </m:rPr>
              <w:rPr>
                <w:rFonts w:ascii="Cambria Math" w:hAnsi="Cambria Math"/>
              </w:rPr>
              <m:t>Γ</m:t>
            </m:r>
          </m:e>
          <m:sup>
            <m:r>
              <w:rPr>
                <w:rFonts w:ascii="Cambria Math" w:hAnsi="Cambria Math"/>
              </w:rPr>
              <m:t>LW</m:t>
            </m:r>
          </m:sup>
        </m:sSup>
        <m:r>
          <w:rPr>
            <w:rFonts w:ascii="Cambria Math" w:hAnsi="Cambria Math"/>
          </w:rPr>
          <m:t>+2</m:t>
        </m:r>
        <m:rad>
          <m:radPr>
            <m:degHide m:val="1"/>
            <m:ctrlPr>
              <w:rPr>
                <w:rFonts w:ascii="Cambria Math" w:hAnsi="Cambria Math"/>
                <w:i/>
                <w:iCs/>
              </w:rPr>
            </m:ctrlPr>
          </m:radPr>
          <m:deg/>
          <m:e>
            <m:r>
              <w:rPr>
                <w:rFonts w:ascii="Cambria Math" w:hAnsi="Cambria Math"/>
              </w:rPr>
              <m:t>(</m:t>
            </m:r>
            <m:sSup>
              <m:sSupPr>
                <m:ctrlPr>
                  <w:rPr>
                    <w:rFonts w:ascii="Cambria Math" w:hAnsi="Cambria Math"/>
                    <w:i/>
                    <w:iCs/>
                  </w:rPr>
                </m:ctrlPr>
              </m:sSupPr>
              <m:e>
                <m:r>
                  <m:rPr>
                    <m:sty m:val="p"/>
                  </m:rPr>
                  <w:rPr>
                    <w:rFonts w:ascii="Cambria Math" w:hAnsi="Cambria Math"/>
                  </w:rPr>
                  <m:t>Γ</m:t>
                </m:r>
              </m:e>
              <m:sup>
                <m:r>
                  <w:rPr>
                    <w:rFonts w:ascii="Cambria Math" w:hAnsi="Cambria Math"/>
                  </w:rPr>
                  <m:t>+</m:t>
                </m:r>
              </m:sup>
            </m:sSup>
            <m:sSup>
              <m:sSupPr>
                <m:ctrlPr>
                  <w:rPr>
                    <w:rFonts w:ascii="Cambria Math" w:hAnsi="Cambria Math"/>
                    <w:i/>
                    <w:iCs/>
                  </w:rPr>
                </m:ctrlPr>
              </m:sSupPr>
              <m:e>
                <m:r>
                  <m:rPr>
                    <m:sty m:val="p"/>
                  </m:rPr>
                  <w:rPr>
                    <w:rFonts w:ascii="Cambria Math" w:hAnsi="Cambria Math"/>
                  </w:rPr>
                  <m:t>Γ</m:t>
                </m:r>
              </m:e>
              <m:sup>
                <m:r>
                  <w:rPr>
                    <w:rFonts w:ascii="Cambria Math" w:hAnsi="Cambria Math"/>
                  </w:rPr>
                  <m:t>-</m:t>
                </m:r>
              </m:sup>
            </m:sSup>
            <m:r>
              <w:rPr>
                <w:rFonts w:ascii="Cambria Math" w:hAnsi="Cambria Math"/>
              </w:rPr>
              <m:t>)</m:t>
            </m:r>
          </m:e>
        </m:rad>
      </m:oMath>
      <w:r w:rsidR="00C32564" w:rsidRPr="002B76EF">
        <w:rPr>
          <w:iCs/>
        </w:rPr>
        <w:t xml:space="preserve">                 (</w:t>
      </w:r>
      <w:r w:rsidR="00CE3AFD">
        <w:rPr>
          <w:rStyle w:val="fontstyle01"/>
          <w:sz w:val="24"/>
          <w:szCs w:val="24"/>
        </w:rPr>
        <w:t>4</w:t>
      </w:r>
      <w:r w:rsidR="00BC2D73">
        <w:rPr>
          <w:rStyle w:val="fontstyle01"/>
          <w:sz w:val="24"/>
          <w:szCs w:val="24"/>
        </w:rPr>
        <w:t>.</w:t>
      </w:r>
      <w:r w:rsidR="00C32564" w:rsidRPr="002B76EF">
        <w:rPr>
          <w:iCs/>
        </w:rPr>
        <w:t>1)</w:t>
      </w:r>
    </w:p>
    <w:p w14:paraId="1325A83E" w14:textId="77777777" w:rsidR="00C32564" w:rsidRPr="002B76EF" w:rsidRDefault="00C32564" w:rsidP="00E5144D">
      <w:pPr>
        <w:ind w:left="720"/>
      </w:pPr>
      <w:r w:rsidRPr="002B76EF">
        <w:t xml:space="preserve">where, </w:t>
      </w:r>
    </w:p>
    <w:p w14:paraId="26B412BD" w14:textId="224DAFE2" w:rsidR="00C32564" w:rsidRPr="002B76EF" w:rsidRDefault="007F7885" w:rsidP="00E5144D">
      <w:pPr>
        <w:ind w:left="1440"/>
      </w:pPr>
      <m:oMath>
        <m:sSup>
          <m:sSupPr>
            <m:ctrlPr>
              <w:rPr>
                <w:rFonts w:ascii="Cambria Math" w:hAnsi="Cambria Math"/>
                <w:i/>
                <w:iCs/>
              </w:rPr>
            </m:ctrlPr>
          </m:sSupPr>
          <m:e>
            <m:r>
              <m:rPr>
                <m:sty m:val="p"/>
              </m:rPr>
              <w:rPr>
                <w:rFonts w:ascii="Cambria Math" w:hAnsi="Cambria Math"/>
              </w:rPr>
              <m:t>Γ</m:t>
            </m:r>
          </m:e>
          <m:sup>
            <m:r>
              <w:rPr>
                <w:rFonts w:ascii="Cambria Math" w:hAnsi="Cambria Math"/>
              </w:rPr>
              <m:t>+</m:t>
            </m:r>
          </m:sup>
        </m:sSup>
      </m:oMath>
      <w:r w:rsidR="00C32564" w:rsidRPr="002B76EF">
        <w:rPr>
          <w:color w:val="000000"/>
        </w:rPr>
        <w:t xml:space="preserve">= </w:t>
      </w:r>
      <w:r w:rsidR="00C32564" w:rsidRPr="002B76EF">
        <w:t>Lewis acid component</w:t>
      </w:r>
      <w:r w:rsidR="00B47E9C">
        <w:t>,</w:t>
      </w:r>
      <w:r w:rsidR="00C32564" w:rsidRPr="002B76EF">
        <w:t xml:space="preserve"> </w:t>
      </w:r>
    </w:p>
    <w:p w14:paraId="653FA9AF" w14:textId="3F1B4F8F" w:rsidR="00C32564" w:rsidRPr="002B76EF" w:rsidRDefault="007F7885" w:rsidP="00E5144D">
      <w:pPr>
        <w:ind w:left="1440"/>
      </w:pPr>
      <m:oMath>
        <m:sSup>
          <m:sSupPr>
            <m:ctrlPr>
              <w:rPr>
                <w:rFonts w:ascii="Cambria Math" w:hAnsi="Cambria Math"/>
                <w:i/>
                <w:iCs/>
              </w:rPr>
            </m:ctrlPr>
          </m:sSupPr>
          <m:e>
            <m:r>
              <m:rPr>
                <m:sty m:val="p"/>
              </m:rPr>
              <w:rPr>
                <w:rFonts w:ascii="Cambria Math" w:hAnsi="Cambria Math"/>
              </w:rPr>
              <m:t>Γ</m:t>
            </m:r>
          </m:e>
          <m:sup>
            <m:r>
              <w:rPr>
                <w:rFonts w:ascii="Cambria Math" w:hAnsi="Cambria Math"/>
              </w:rPr>
              <m:t>-</m:t>
            </m:r>
          </m:sup>
        </m:sSup>
      </m:oMath>
      <w:r w:rsidR="00C32564" w:rsidRPr="002B76EF">
        <w:t xml:space="preserve">= </w:t>
      </w:r>
      <w:r w:rsidR="00C32564" w:rsidRPr="002B76EF">
        <w:rPr>
          <w:color w:val="000000"/>
        </w:rPr>
        <w:t>Lewis base component</w:t>
      </w:r>
      <w:r w:rsidR="00B47E9C">
        <w:rPr>
          <w:color w:val="000000"/>
        </w:rPr>
        <w:t>,</w:t>
      </w:r>
    </w:p>
    <w:p w14:paraId="565D9449" w14:textId="3293F893" w:rsidR="00C32564" w:rsidRPr="002B76EF" w:rsidRDefault="007F7885" w:rsidP="00E5144D">
      <w:pPr>
        <w:ind w:left="1440"/>
        <w:rPr>
          <w:iCs/>
          <w:color w:val="000000"/>
        </w:rPr>
      </w:pPr>
      <m:oMath>
        <m:sSup>
          <m:sSupPr>
            <m:ctrlPr>
              <w:rPr>
                <w:rFonts w:ascii="Cambria Math" w:hAnsi="Cambria Math"/>
                <w:i/>
                <w:iCs/>
              </w:rPr>
            </m:ctrlPr>
          </m:sSupPr>
          <m:e>
            <m:r>
              <m:rPr>
                <m:sty m:val="p"/>
              </m:rPr>
              <w:rPr>
                <w:rFonts w:ascii="Cambria Math" w:hAnsi="Cambria Math"/>
              </w:rPr>
              <m:t>Γ</m:t>
            </m:r>
          </m:e>
          <m:sup>
            <m:r>
              <w:rPr>
                <w:rFonts w:ascii="Cambria Math" w:hAnsi="Cambria Math"/>
              </w:rPr>
              <m:t>LW</m:t>
            </m:r>
          </m:sup>
        </m:sSup>
      </m:oMath>
      <w:r w:rsidR="00C32564" w:rsidRPr="002B76EF">
        <w:t xml:space="preserve"> </w:t>
      </w:r>
      <w:r w:rsidR="00C32564" w:rsidRPr="002B76EF">
        <w:rPr>
          <w:iCs/>
          <w:color w:val="000000"/>
        </w:rPr>
        <w:t xml:space="preserve">= </w:t>
      </w:r>
      <w:r w:rsidR="00C32564" w:rsidRPr="002B76EF">
        <w:t>Lifshitz-van der Waals component</w:t>
      </w:r>
      <w:r w:rsidR="00B47E9C">
        <w:t>,</w:t>
      </w:r>
    </w:p>
    <w:p w14:paraId="5F0E9C12" w14:textId="77777777" w:rsidR="00C32564" w:rsidRPr="002B76EF" w:rsidRDefault="007F7885" w:rsidP="00E5144D">
      <w:pPr>
        <w:ind w:left="1440"/>
      </w:pPr>
      <m:oMath>
        <m:sSup>
          <m:sSupPr>
            <m:ctrlPr>
              <w:rPr>
                <w:rFonts w:ascii="Cambria Math" w:hAnsi="Cambria Math"/>
                <w:i/>
                <w:iCs/>
              </w:rPr>
            </m:ctrlPr>
          </m:sSupPr>
          <m:e>
            <m:r>
              <m:rPr>
                <m:sty m:val="p"/>
              </m:rPr>
              <w:rPr>
                <w:rFonts w:ascii="Cambria Math" w:hAnsi="Cambria Math"/>
              </w:rPr>
              <m:t>Γ</m:t>
            </m:r>
          </m:e>
          <m:sup>
            <m:r>
              <w:rPr>
                <w:rFonts w:ascii="Cambria Math" w:hAnsi="Cambria Math"/>
              </w:rPr>
              <m:t>Total</m:t>
            </m:r>
          </m:sup>
        </m:sSup>
      </m:oMath>
      <w:r w:rsidR="00C32564" w:rsidRPr="002B76EF">
        <w:rPr>
          <w:iCs/>
        </w:rPr>
        <w:t xml:space="preserve"> </w:t>
      </w:r>
      <w:r w:rsidR="00C32564" w:rsidRPr="002B76EF">
        <w:t xml:space="preserve">= </w:t>
      </w:r>
      <w:r w:rsidR="00C32564" w:rsidRPr="002B76EF">
        <w:rPr>
          <w:iCs/>
          <w:color w:val="000000"/>
        </w:rPr>
        <w:t xml:space="preserve">total SFE </w:t>
      </w:r>
      <w:r w:rsidR="00C32564" w:rsidRPr="002B76EF">
        <w:t xml:space="preserve">component. </w:t>
      </w:r>
    </w:p>
    <w:p w14:paraId="4E86396D" w14:textId="77777777" w:rsidR="00C32564" w:rsidRPr="002B76EF" w:rsidRDefault="00C32564" w:rsidP="00E5144D">
      <w:pPr>
        <w:ind w:firstLine="720"/>
      </w:pPr>
      <w:r w:rsidRPr="002B76EF">
        <w:t xml:space="preserve">For convenience of this study, subscripts </w:t>
      </w:r>
      <w:r w:rsidRPr="002B76EF">
        <w:rPr>
          <w:i/>
        </w:rPr>
        <w:t>A,</w:t>
      </w:r>
      <w:r w:rsidRPr="002B76EF">
        <w:t xml:space="preserve"> </w:t>
      </w:r>
      <w:r w:rsidRPr="002B76EF">
        <w:rPr>
          <w:i/>
        </w:rPr>
        <w:t xml:space="preserve">L, S, and W </w:t>
      </w:r>
      <w:r w:rsidRPr="002B76EF">
        <w:t>are used to represent asphalt binder, probe liquids, aggregate (stone) and water, respectively.</w:t>
      </w:r>
    </w:p>
    <w:p w14:paraId="0E55F11A" w14:textId="6EA90D8B" w:rsidR="00C32564" w:rsidRPr="002B76EF" w:rsidRDefault="00C32564" w:rsidP="00E5144D">
      <w:pPr>
        <w:ind w:firstLine="720"/>
      </w:pPr>
      <w:r w:rsidRPr="002B76EF">
        <w:t>The tendency of a binder and an aggregate to bind together or form a binder-aggregate system in dry condition can be represented by the work of adhesion (</w:t>
      </w:r>
      <w:r w:rsidRPr="002B76EF">
        <w:rPr>
          <w:i/>
        </w:rPr>
        <w:t>W</w:t>
      </w:r>
      <w:r w:rsidRPr="002B76EF">
        <w:rPr>
          <w:i/>
          <w:vertAlign w:val="subscript"/>
        </w:rPr>
        <w:t>AS</w:t>
      </w:r>
      <w:r w:rsidRPr="002B76EF">
        <w:rPr>
          <w:i/>
        </w:rPr>
        <w:t>)</w:t>
      </w:r>
      <w:r w:rsidRPr="002B76EF">
        <w:t xml:space="preserve">. The </w:t>
      </w:r>
      <w:r w:rsidRPr="002B76EF">
        <w:rPr>
          <w:i/>
        </w:rPr>
        <w:t>W</w:t>
      </w:r>
      <w:r w:rsidRPr="002B76EF">
        <w:rPr>
          <w:i/>
          <w:vertAlign w:val="subscript"/>
        </w:rPr>
        <w:t>AS</w:t>
      </w:r>
      <w:r w:rsidRPr="002B76EF">
        <w:t xml:space="preserve"> of a binder-aggregate system can be calculated from Equation (</w:t>
      </w:r>
      <w:r w:rsidR="00AA34D6">
        <w:rPr>
          <w:rStyle w:val="fontstyle01"/>
          <w:sz w:val="24"/>
          <w:szCs w:val="24"/>
        </w:rPr>
        <w:t>4.</w:t>
      </w:r>
      <w:r w:rsidRPr="002B76EF">
        <w:t xml:space="preserve">2) using the SFE components of the binder and aggregate. </w:t>
      </w:r>
    </w:p>
    <w:p w14:paraId="120F3882" w14:textId="3B399D86" w:rsidR="00C32564" w:rsidRPr="002B76EF" w:rsidRDefault="007F7885" w:rsidP="00E5144D">
      <w:pPr>
        <w:jc w:val="center"/>
      </w:pPr>
      <m:oMath>
        <m:sSub>
          <m:sSubPr>
            <m:ctrlPr>
              <w:rPr>
                <w:rFonts w:ascii="Cambria Math" w:hAnsi="Cambria Math"/>
                <w:i/>
              </w:rPr>
            </m:ctrlPr>
          </m:sSubPr>
          <m:e>
            <m:r>
              <w:rPr>
                <w:rFonts w:ascii="Cambria Math" w:hAnsi="Cambria Math"/>
              </w:rPr>
              <m:t>W</m:t>
            </m:r>
          </m:e>
          <m:sub>
            <m:r>
              <w:rPr>
                <w:rFonts w:ascii="Cambria Math" w:hAnsi="Cambria Math"/>
              </w:rPr>
              <m:t>AS</m:t>
            </m:r>
          </m:sub>
        </m:sSub>
        <m:r>
          <w:rPr>
            <w:rFonts w:ascii="Cambria Math" w:hAnsi="Cambria Math"/>
          </w:rPr>
          <m:t>=2</m:t>
        </m:r>
        <m:rad>
          <m:radPr>
            <m:degHide m:val="1"/>
            <m:ctrlPr>
              <w:rPr>
                <w:rFonts w:ascii="Cambria Math" w:hAnsi="Cambria Math"/>
                <w:i/>
              </w:rPr>
            </m:ctrlPr>
          </m:radPr>
          <m:deg/>
          <m:e>
            <m:sSubSup>
              <m:sSubSupPr>
                <m:ctrlPr>
                  <w:rPr>
                    <w:rFonts w:ascii="Cambria Math" w:hAnsi="Cambria Math"/>
                    <w:i/>
                  </w:rPr>
                </m:ctrlPr>
              </m:sSubSupPr>
              <m:e>
                <m:r>
                  <m:rPr>
                    <m:sty m:val="p"/>
                  </m:rPr>
                  <w:rPr>
                    <w:rFonts w:ascii="Cambria Math" w:hAnsi="Cambria Math"/>
                  </w:rPr>
                  <m:t>(Γ</m:t>
                </m:r>
              </m:e>
              <m:sub>
                <m:r>
                  <w:rPr>
                    <w:rFonts w:ascii="Cambria Math" w:hAnsi="Cambria Math"/>
                  </w:rPr>
                  <m:t>A</m:t>
                </m:r>
              </m:sub>
              <m:sup>
                <m:r>
                  <w:rPr>
                    <w:rFonts w:ascii="Cambria Math" w:hAnsi="Cambria Math"/>
                  </w:rPr>
                  <m:t>LW</m:t>
                </m:r>
              </m:sup>
            </m:sSubSup>
            <m:sSubSup>
              <m:sSubSupPr>
                <m:ctrlPr>
                  <w:rPr>
                    <w:rFonts w:ascii="Cambria Math" w:hAnsi="Cambria Math"/>
                    <w:i/>
                  </w:rPr>
                </m:ctrlPr>
              </m:sSubSupPr>
              <m:e>
                <m:r>
                  <m:rPr>
                    <m:sty m:val="p"/>
                  </m:rPr>
                  <w:rPr>
                    <w:rFonts w:ascii="Cambria Math" w:hAnsi="Cambria Math"/>
                  </w:rPr>
                  <m:t>Γ</m:t>
                </m:r>
              </m:e>
              <m:sub>
                <m:r>
                  <w:rPr>
                    <w:rFonts w:ascii="Cambria Math" w:hAnsi="Cambria Math"/>
                  </w:rPr>
                  <m:t>S</m:t>
                </m:r>
              </m:sub>
              <m:sup>
                <m:r>
                  <w:rPr>
                    <w:rFonts w:ascii="Cambria Math" w:hAnsi="Cambria Math"/>
                  </w:rPr>
                  <m:t>LW</m:t>
                </m:r>
              </m:sup>
            </m:sSubSup>
            <m:r>
              <w:rPr>
                <w:rFonts w:ascii="Cambria Math" w:hAnsi="Cambria Math"/>
              </w:rPr>
              <m:t>)</m:t>
            </m:r>
          </m:e>
        </m:rad>
        <m:r>
          <w:rPr>
            <w:rFonts w:ascii="Cambria Math" w:hAnsi="Cambria Math"/>
          </w:rPr>
          <m:t>+2</m:t>
        </m:r>
        <m:rad>
          <m:radPr>
            <m:degHide m:val="1"/>
            <m:ctrlPr>
              <w:rPr>
                <w:rFonts w:ascii="Cambria Math" w:hAnsi="Cambria Math"/>
                <w:i/>
              </w:rPr>
            </m:ctrlPr>
          </m:radPr>
          <m:deg/>
          <m:e>
            <m:sSubSup>
              <m:sSubSupPr>
                <m:ctrlPr>
                  <w:rPr>
                    <w:rFonts w:ascii="Cambria Math" w:hAnsi="Cambria Math"/>
                    <w:i/>
                  </w:rPr>
                </m:ctrlPr>
              </m:sSubSupPr>
              <m:e>
                <m:r>
                  <m:rPr>
                    <m:sty m:val="p"/>
                  </m:rPr>
                  <w:rPr>
                    <w:rFonts w:ascii="Cambria Math" w:hAnsi="Cambria Math"/>
                  </w:rPr>
                  <m:t>(Γ</m:t>
                </m:r>
              </m:e>
              <m:sub>
                <m:r>
                  <w:rPr>
                    <w:rFonts w:ascii="Cambria Math" w:hAnsi="Cambria Math"/>
                  </w:rPr>
                  <m:t>A</m:t>
                </m:r>
              </m:sub>
              <m:sup>
                <m:r>
                  <w:rPr>
                    <w:rFonts w:ascii="Cambria Math" w:hAnsi="Cambria Math"/>
                  </w:rPr>
                  <m:t>+</m:t>
                </m:r>
              </m:sup>
            </m:sSubSup>
            <m:sSubSup>
              <m:sSubSupPr>
                <m:ctrlPr>
                  <w:rPr>
                    <w:rFonts w:ascii="Cambria Math" w:hAnsi="Cambria Math"/>
                    <w:i/>
                  </w:rPr>
                </m:ctrlPr>
              </m:sSubSupPr>
              <m:e>
                <m:r>
                  <m:rPr>
                    <m:sty m:val="p"/>
                  </m:rPr>
                  <w:rPr>
                    <w:rFonts w:ascii="Cambria Math" w:hAnsi="Cambria Math"/>
                  </w:rPr>
                  <m:t>Γ</m:t>
                </m:r>
              </m:e>
              <m:sub>
                <m:r>
                  <w:rPr>
                    <w:rFonts w:ascii="Cambria Math" w:hAnsi="Cambria Math"/>
                  </w:rPr>
                  <m:t>S</m:t>
                </m:r>
              </m:sub>
              <m:sup>
                <m:r>
                  <w:rPr>
                    <w:rFonts w:ascii="Cambria Math" w:hAnsi="Cambria Math"/>
                  </w:rPr>
                  <m:t>-</m:t>
                </m:r>
              </m:sup>
            </m:sSubSup>
            <m:r>
              <w:rPr>
                <w:rFonts w:ascii="Cambria Math" w:hAnsi="Cambria Math"/>
              </w:rPr>
              <m:t>)</m:t>
            </m:r>
          </m:e>
        </m:rad>
        <m:r>
          <w:rPr>
            <w:rFonts w:ascii="Cambria Math" w:hAnsi="Cambria Math"/>
          </w:rPr>
          <m:t>+2</m:t>
        </m:r>
        <m:rad>
          <m:radPr>
            <m:degHide m:val="1"/>
            <m:ctrlPr>
              <w:rPr>
                <w:rFonts w:ascii="Cambria Math" w:hAnsi="Cambria Math"/>
                <w:i/>
              </w:rPr>
            </m:ctrlPr>
          </m:radPr>
          <m:deg/>
          <m:e>
            <m:sSubSup>
              <m:sSubSupPr>
                <m:ctrlPr>
                  <w:rPr>
                    <w:rFonts w:ascii="Cambria Math" w:hAnsi="Cambria Math"/>
                    <w:i/>
                  </w:rPr>
                </m:ctrlPr>
              </m:sSubSupPr>
              <m:e>
                <m:r>
                  <m:rPr>
                    <m:sty m:val="p"/>
                  </m:rPr>
                  <w:rPr>
                    <w:rFonts w:ascii="Cambria Math" w:hAnsi="Cambria Math"/>
                  </w:rPr>
                  <m:t>(Γ</m:t>
                </m:r>
              </m:e>
              <m:sub>
                <m:r>
                  <w:rPr>
                    <w:rFonts w:ascii="Cambria Math" w:hAnsi="Cambria Math"/>
                  </w:rPr>
                  <m:t>A</m:t>
                </m:r>
              </m:sub>
              <m:sup>
                <m:r>
                  <w:rPr>
                    <w:rFonts w:ascii="Cambria Math" w:hAnsi="Cambria Math"/>
                  </w:rPr>
                  <m:t>-</m:t>
                </m:r>
              </m:sup>
            </m:sSubSup>
            <m:sSubSup>
              <m:sSubSupPr>
                <m:ctrlPr>
                  <w:rPr>
                    <w:rFonts w:ascii="Cambria Math" w:hAnsi="Cambria Math"/>
                    <w:i/>
                  </w:rPr>
                </m:ctrlPr>
              </m:sSubSupPr>
              <m:e>
                <m:r>
                  <m:rPr>
                    <m:sty m:val="p"/>
                  </m:rPr>
                  <w:rPr>
                    <w:rFonts w:ascii="Cambria Math" w:hAnsi="Cambria Math"/>
                  </w:rPr>
                  <m:t>Γ</m:t>
                </m:r>
              </m:e>
              <m:sub>
                <m:r>
                  <w:rPr>
                    <w:rFonts w:ascii="Cambria Math" w:hAnsi="Cambria Math"/>
                  </w:rPr>
                  <m:t>S</m:t>
                </m:r>
              </m:sub>
              <m:sup>
                <m:r>
                  <w:rPr>
                    <w:rFonts w:ascii="Cambria Math" w:hAnsi="Cambria Math"/>
                  </w:rPr>
                  <m:t>+</m:t>
                </m:r>
              </m:sup>
            </m:sSubSup>
            <m:r>
              <w:rPr>
                <w:rFonts w:ascii="Cambria Math" w:hAnsi="Cambria Math"/>
              </w:rPr>
              <m:t>)</m:t>
            </m:r>
          </m:e>
        </m:rad>
      </m:oMath>
      <w:r w:rsidR="00C32564" w:rsidRPr="002B76EF">
        <w:t xml:space="preserve">      (</w:t>
      </w:r>
      <w:r w:rsidR="00AA34D6">
        <w:rPr>
          <w:rStyle w:val="fontstyle01"/>
          <w:sz w:val="24"/>
          <w:szCs w:val="24"/>
        </w:rPr>
        <w:t>4.</w:t>
      </w:r>
      <w:r w:rsidR="00C32564" w:rsidRPr="002B76EF">
        <w:t>2)</w:t>
      </w:r>
    </w:p>
    <w:p w14:paraId="6CF78055" w14:textId="77777777" w:rsidR="00C32564" w:rsidRPr="002B76EF" w:rsidRDefault="00C32564" w:rsidP="00E5144D">
      <w:pPr>
        <w:ind w:firstLine="720"/>
      </w:pPr>
      <w:r w:rsidRPr="002B76EF">
        <w:t xml:space="preserve">In presence of water, the amount of work required for debonding of the binder from the aggregate surface is defined as work of debonding </w:t>
      </w:r>
      <w:r w:rsidRPr="002B76EF">
        <w:rPr>
          <w:i/>
        </w:rPr>
        <w:t>(</w:t>
      </w:r>
      <m:oMath>
        <m:sSubSup>
          <m:sSubSupPr>
            <m:ctrlPr>
              <w:rPr>
                <w:rFonts w:ascii="Cambria Math" w:hAnsi="Cambria Math"/>
                <w:i/>
                <w:kern w:val="2"/>
                <w:lang w:eastAsia="ja-JP"/>
              </w:rPr>
            </m:ctrlPr>
          </m:sSubSupPr>
          <m:e>
            <m:r>
              <w:rPr>
                <w:rFonts w:ascii="Cambria Math" w:hAnsi="Cambria Math"/>
              </w:rPr>
              <m:t>W</m:t>
            </m:r>
          </m:e>
          <m:sub>
            <m:r>
              <w:rPr>
                <w:rFonts w:ascii="Cambria Math" w:hAnsi="Cambria Math"/>
              </w:rPr>
              <m:t>ASW</m:t>
            </m:r>
          </m:sub>
          <m:sup>
            <m:r>
              <w:rPr>
                <w:rFonts w:ascii="Cambria Math" w:hAnsi="Cambria Math"/>
              </w:rPr>
              <m:t>wet</m:t>
            </m:r>
          </m:sup>
        </m:sSubSup>
      </m:oMath>
      <w:r w:rsidRPr="002B76EF">
        <w:rPr>
          <w:i/>
        </w:rPr>
        <w:t>)</w:t>
      </w:r>
      <w:r w:rsidRPr="002B76EF">
        <w:t xml:space="preserve"> and can be determined using Equation (3). </w:t>
      </w:r>
    </w:p>
    <w:p w14:paraId="6E03240D" w14:textId="2C5CF75F" w:rsidR="00C32564" w:rsidRPr="002B76EF" w:rsidRDefault="007F7885" w:rsidP="00E5144D">
      <w:pPr>
        <w:jc w:val="center"/>
      </w:pPr>
      <m:oMath>
        <m:sSubSup>
          <m:sSubSupPr>
            <m:ctrlPr>
              <w:rPr>
                <w:rFonts w:ascii="Cambria Math" w:hAnsi="Cambria Math"/>
                <w:i/>
              </w:rPr>
            </m:ctrlPr>
          </m:sSubSupPr>
          <m:e>
            <m:r>
              <w:rPr>
                <w:rFonts w:ascii="Cambria Math" w:hAnsi="Cambria Math"/>
              </w:rPr>
              <m:t>W</m:t>
            </m:r>
          </m:e>
          <m:sub>
            <m:r>
              <w:rPr>
                <w:rFonts w:ascii="Cambria Math" w:hAnsi="Cambria Math"/>
              </w:rPr>
              <m:t>ASW</m:t>
            </m:r>
          </m:sub>
          <m:sup>
            <m:r>
              <w:rPr>
                <w:rFonts w:ascii="Cambria Math" w:hAnsi="Cambria Math"/>
              </w:rPr>
              <m:t>wet</m:t>
            </m:r>
          </m:sup>
        </m:sSubSup>
        <m:r>
          <w:rPr>
            <w:rFonts w:ascii="Cambria Math" w:hAnsi="Cambria Math"/>
          </w:rPr>
          <m:t>=</m:t>
        </m:r>
        <m:sSub>
          <m:sSubPr>
            <m:ctrlPr>
              <w:rPr>
                <w:rFonts w:ascii="Cambria Math" w:hAnsi="Cambria Math"/>
                <w:i/>
              </w:rPr>
            </m:ctrlPr>
          </m:sSubPr>
          <m:e>
            <m:r>
              <m:rPr>
                <m:sty m:val="p"/>
              </m:rPr>
              <w:rPr>
                <w:rFonts w:ascii="Cambria Math" w:hAnsi="Cambria Math"/>
              </w:rPr>
              <m:t>Γ</m:t>
            </m:r>
          </m:e>
          <m:sub>
            <m:r>
              <w:rPr>
                <w:rFonts w:ascii="Cambria Math" w:hAnsi="Cambria Math"/>
              </w:rPr>
              <m:t>AW</m:t>
            </m:r>
          </m:sub>
        </m:sSub>
        <m:r>
          <w:rPr>
            <w:rFonts w:ascii="Cambria Math" w:hAnsi="Cambria Math"/>
          </w:rPr>
          <m:t>+</m:t>
        </m:r>
        <m:sSub>
          <m:sSubPr>
            <m:ctrlPr>
              <w:rPr>
                <w:rFonts w:ascii="Cambria Math" w:hAnsi="Cambria Math"/>
                <w:i/>
              </w:rPr>
            </m:ctrlPr>
          </m:sSubPr>
          <m:e>
            <m:r>
              <m:rPr>
                <m:sty m:val="p"/>
              </m:rPr>
              <w:rPr>
                <w:rFonts w:ascii="Cambria Math" w:hAnsi="Cambria Math"/>
              </w:rPr>
              <m:t>Γ</m:t>
            </m:r>
          </m:e>
          <m:sub>
            <m:r>
              <w:rPr>
                <w:rFonts w:ascii="Cambria Math" w:hAnsi="Cambria Math"/>
              </w:rPr>
              <m:t>SW</m:t>
            </m:r>
          </m:sub>
        </m:sSub>
        <m:r>
          <w:rPr>
            <w:rFonts w:ascii="Cambria Math" w:hAnsi="Cambria Math"/>
          </w:rPr>
          <m:t>-</m:t>
        </m:r>
        <m:sSub>
          <m:sSubPr>
            <m:ctrlPr>
              <w:rPr>
                <w:rFonts w:ascii="Cambria Math" w:hAnsi="Cambria Math"/>
                <w:i/>
              </w:rPr>
            </m:ctrlPr>
          </m:sSubPr>
          <m:e>
            <m:r>
              <m:rPr>
                <m:sty m:val="p"/>
              </m:rPr>
              <w:rPr>
                <w:rFonts w:ascii="Cambria Math" w:hAnsi="Cambria Math"/>
              </w:rPr>
              <m:t>Γ</m:t>
            </m:r>
          </m:e>
          <m:sub>
            <m:r>
              <w:rPr>
                <w:rFonts w:ascii="Cambria Math" w:hAnsi="Cambria Math"/>
              </w:rPr>
              <m:t>AS</m:t>
            </m:r>
          </m:sub>
        </m:sSub>
      </m:oMath>
      <w:r w:rsidR="00C32564" w:rsidRPr="002B76EF">
        <w:t xml:space="preserve"> </w:t>
      </w:r>
      <w:r w:rsidR="00C32564" w:rsidRPr="002B76EF">
        <w:tab/>
        <w:t xml:space="preserve">                                    (</w:t>
      </w:r>
      <w:r w:rsidR="00AA34D6">
        <w:rPr>
          <w:rStyle w:val="fontstyle01"/>
          <w:sz w:val="24"/>
          <w:szCs w:val="24"/>
        </w:rPr>
        <w:t>4.</w:t>
      </w:r>
      <w:r w:rsidR="00C32564" w:rsidRPr="002B76EF">
        <w:t>3)</w:t>
      </w:r>
    </w:p>
    <w:p w14:paraId="098B0B93" w14:textId="77777777" w:rsidR="00C32564" w:rsidRPr="002B76EF" w:rsidRDefault="00C32564" w:rsidP="00E5144D">
      <w:pPr>
        <w:ind w:left="720"/>
      </w:pPr>
      <w:r w:rsidRPr="002B76EF">
        <w:t xml:space="preserve">where, </w:t>
      </w:r>
    </w:p>
    <w:p w14:paraId="3647BBD4" w14:textId="1FBB5937" w:rsidR="00C32564" w:rsidRPr="002B76EF" w:rsidRDefault="00C32564" w:rsidP="00E5144D">
      <w:pPr>
        <w:ind w:left="1440"/>
      </w:pPr>
      <w:r w:rsidRPr="002B76EF">
        <w:t>Γ</w:t>
      </w:r>
      <w:r w:rsidRPr="002B76EF">
        <w:rPr>
          <w:i/>
          <w:vertAlign w:val="subscript"/>
        </w:rPr>
        <w:t>AW</w:t>
      </w:r>
      <w:r w:rsidRPr="002B76EF">
        <w:t xml:space="preserve"> = interfacial energy between binder and water</w:t>
      </w:r>
      <w:r w:rsidR="00B47E9C">
        <w:t>,</w:t>
      </w:r>
    </w:p>
    <w:p w14:paraId="78FD7B0B" w14:textId="33081D3E" w:rsidR="00C32564" w:rsidRPr="00DF4CA6" w:rsidRDefault="00C32564" w:rsidP="00E5144D">
      <w:pPr>
        <w:ind w:left="1440"/>
      </w:pPr>
      <w:r w:rsidRPr="002B76EF">
        <w:t>Γ</w:t>
      </w:r>
      <w:r w:rsidRPr="002B76EF">
        <w:rPr>
          <w:i/>
          <w:vertAlign w:val="subscript"/>
        </w:rPr>
        <w:t>SW</w:t>
      </w:r>
      <w:r w:rsidRPr="002B76EF">
        <w:t xml:space="preserve"> </w:t>
      </w:r>
      <w:r w:rsidRPr="00DF4CA6">
        <w:t>= interfacial energy between aggregate and water</w:t>
      </w:r>
      <w:r w:rsidR="00B47E9C" w:rsidRPr="00DF4CA6">
        <w:t>,</w:t>
      </w:r>
      <w:r w:rsidRPr="00DF4CA6">
        <w:t xml:space="preserve"> </w:t>
      </w:r>
    </w:p>
    <w:p w14:paraId="2F665CB1" w14:textId="77777777" w:rsidR="00C32564" w:rsidRPr="00DF4CA6" w:rsidRDefault="00C32564" w:rsidP="00E5144D">
      <w:pPr>
        <w:ind w:left="1440"/>
      </w:pPr>
      <w:r w:rsidRPr="00DF4CA6">
        <w:t>Γ</w:t>
      </w:r>
      <w:r w:rsidRPr="00DF4CA6">
        <w:rPr>
          <w:i/>
          <w:vertAlign w:val="subscript"/>
        </w:rPr>
        <w:t>AS</w:t>
      </w:r>
      <w:r w:rsidRPr="00DF4CA6">
        <w:t xml:space="preserve"> = interfacial energy between binder and aggregate. </w:t>
      </w:r>
    </w:p>
    <w:p w14:paraId="04FECA58" w14:textId="19B0E8F1" w:rsidR="00C32564" w:rsidRPr="00DF4CA6" w:rsidRDefault="00C32564" w:rsidP="00E5144D">
      <w:pPr>
        <w:ind w:firstLine="720"/>
      </w:pPr>
      <w:r w:rsidRPr="00DF4CA6">
        <w:t xml:space="preserve">The interfacial energy is the energy equal to the surface </w:t>
      </w:r>
      <w:r w:rsidR="00734554" w:rsidRPr="00DF4CA6">
        <w:t>energy</w:t>
      </w:r>
      <w:r w:rsidRPr="00DF4CA6">
        <w:t xml:space="preserve"> at an interface. The interfacial energy between materials </w:t>
      </w:r>
      <w:r w:rsidRPr="00DF4CA6">
        <w:rPr>
          <w:i/>
          <w:iCs/>
        </w:rPr>
        <w:t>i</w:t>
      </w:r>
      <w:r w:rsidRPr="00DF4CA6">
        <w:t xml:space="preserve"> and</w:t>
      </w:r>
      <w:r w:rsidRPr="00DF4CA6">
        <w:rPr>
          <w:i/>
          <w:iCs/>
        </w:rPr>
        <w:t xml:space="preserve"> j</w:t>
      </w:r>
      <w:r w:rsidRPr="00DF4CA6">
        <w:t xml:space="preserve"> can be calculated using Equation (</w:t>
      </w:r>
      <w:r w:rsidR="00AA34D6" w:rsidRPr="00DF4CA6">
        <w:rPr>
          <w:rStyle w:val="fontstyle01"/>
          <w:sz w:val="24"/>
          <w:szCs w:val="24"/>
        </w:rPr>
        <w:t>4.</w:t>
      </w:r>
      <w:r w:rsidRPr="00DF4CA6">
        <w:t>4).</w:t>
      </w:r>
    </w:p>
    <w:p w14:paraId="3DA555DB" w14:textId="363E4185" w:rsidR="00C32564" w:rsidRPr="002B76EF" w:rsidRDefault="007F7885" w:rsidP="00E5144D">
      <w:pPr>
        <w:jc w:val="center"/>
      </w:pPr>
      <m:oMath>
        <m:sSub>
          <m:sSubPr>
            <m:ctrlPr>
              <w:rPr>
                <w:rFonts w:ascii="Cambria Math" w:hAnsi="Cambria Math"/>
                <w:i/>
              </w:rPr>
            </m:ctrlPr>
          </m:sSubPr>
          <m:e>
            <m:r>
              <m:rPr>
                <m:sty m:val="p"/>
              </m:rPr>
              <w:rPr>
                <w:rFonts w:ascii="Cambria Math" w:hAnsi="Cambria Math"/>
              </w:rPr>
              <m:t>Γ</m:t>
            </m:r>
          </m:e>
          <m:sub>
            <m:r>
              <w:rPr>
                <w:rFonts w:ascii="Cambria Math" w:hAnsi="Cambria Math"/>
              </w:rPr>
              <m:t>ij</m:t>
            </m:r>
          </m:sub>
        </m:sSub>
        <m:r>
          <w:rPr>
            <w:rFonts w:ascii="Cambria Math" w:hAnsi="Cambria Math"/>
          </w:rPr>
          <m:t>=</m:t>
        </m:r>
        <m:sSubSup>
          <m:sSubSupPr>
            <m:ctrlPr>
              <w:rPr>
                <w:rFonts w:ascii="Cambria Math" w:hAnsi="Cambria Math"/>
                <w:i/>
              </w:rPr>
            </m:ctrlPr>
          </m:sSubSupPr>
          <m:e>
            <m:r>
              <m:rPr>
                <m:sty m:val="p"/>
              </m:rPr>
              <w:rPr>
                <w:rFonts w:ascii="Cambria Math" w:hAnsi="Cambria Math"/>
              </w:rPr>
              <m:t>Γ</m:t>
            </m:r>
          </m:e>
          <m:sub>
            <m:r>
              <w:rPr>
                <w:rFonts w:ascii="Cambria Math" w:hAnsi="Cambria Math"/>
              </w:rPr>
              <m:t>i</m:t>
            </m:r>
          </m:sub>
          <m:sup>
            <m:r>
              <w:rPr>
                <w:rFonts w:ascii="Cambria Math" w:hAnsi="Cambria Math"/>
              </w:rPr>
              <m:t>Total</m:t>
            </m:r>
          </m:sup>
        </m:sSubSup>
        <m:r>
          <w:rPr>
            <w:rFonts w:ascii="Cambria Math" w:hAnsi="Cambria Math"/>
          </w:rPr>
          <m:t>+</m:t>
        </m:r>
        <m:sSubSup>
          <m:sSubSupPr>
            <m:ctrlPr>
              <w:rPr>
                <w:rFonts w:ascii="Cambria Math" w:hAnsi="Cambria Math"/>
                <w:i/>
              </w:rPr>
            </m:ctrlPr>
          </m:sSubSupPr>
          <m:e>
            <m:r>
              <m:rPr>
                <m:sty m:val="p"/>
              </m:rPr>
              <w:rPr>
                <w:rFonts w:ascii="Cambria Math" w:hAnsi="Cambria Math"/>
              </w:rPr>
              <m:t>Γ</m:t>
            </m:r>
          </m:e>
          <m:sub>
            <m:r>
              <w:rPr>
                <w:rFonts w:ascii="Cambria Math" w:hAnsi="Cambria Math"/>
              </w:rPr>
              <m:t>j</m:t>
            </m:r>
          </m:sub>
          <m:sup>
            <m:r>
              <w:rPr>
                <w:rFonts w:ascii="Cambria Math" w:hAnsi="Cambria Math"/>
              </w:rPr>
              <m:t>Total</m:t>
            </m:r>
          </m:sup>
        </m:sSubSup>
        <m:r>
          <w:rPr>
            <w:rFonts w:ascii="Cambria Math" w:hAnsi="Cambria Math"/>
          </w:rPr>
          <m:t>-2</m:t>
        </m:r>
        <m:rad>
          <m:radPr>
            <m:degHide m:val="1"/>
            <m:ctrlPr>
              <w:rPr>
                <w:rFonts w:ascii="Cambria Math" w:hAnsi="Cambria Math"/>
                <w:i/>
              </w:rPr>
            </m:ctrlPr>
          </m:radPr>
          <m:deg/>
          <m:e>
            <m:sSubSup>
              <m:sSubSupPr>
                <m:ctrlPr>
                  <w:rPr>
                    <w:rFonts w:ascii="Cambria Math" w:hAnsi="Cambria Math"/>
                    <w:i/>
                  </w:rPr>
                </m:ctrlPr>
              </m:sSubSupPr>
              <m:e>
                <m:r>
                  <m:rPr>
                    <m:sty m:val="p"/>
                  </m:rPr>
                  <w:rPr>
                    <w:rFonts w:ascii="Cambria Math" w:hAnsi="Cambria Math"/>
                  </w:rPr>
                  <m:t>(Γ</m:t>
                </m:r>
              </m:e>
              <m:sub>
                <m:r>
                  <w:rPr>
                    <w:rFonts w:ascii="Cambria Math" w:hAnsi="Cambria Math"/>
                  </w:rPr>
                  <m:t>i</m:t>
                </m:r>
              </m:sub>
              <m:sup>
                <m:r>
                  <w:rPr>
                    <w:rFonts w:ascii="Cambria Math" w:hAnsi="Cambria Math"/>
                  </w:rPr>
                  <m:t>LW</m:t>
                </m:r>
              </m:sup>
            </m:sSubSup>
            <m:sSubSup>
              <m:sSubSupPr>
                <m:ctrlPr>
                  <w:rPr>
                    <w:rFonts w:ascii="Cambria Math" w:hAnsi="Cambria Math"/>
                    <w:i/>
                  </w:rPr>
                </m:ctrlPr>
              </m:sSubSupPr>
              <m:e>
                <m:r>
                  <m:rPr>
                    <m:sty m:val="p"/>
                  </m:rPr>
                  <w:rPr>
                    <w:rFonts w:ascii="Cambria Math" w:hAnsi="Cambria Math"/>
                  </w:rPr>
                  <m:t>Γ</m:t>
                </m:r>
              </m:e>
              <m:sub>
                <m:r>
                  <w:rPr>
                    <w:rFonts w:ascii="Cambria Math" w:hAnsi="Cambria Math"/>
                  </w:rPr>
                  <m:t>j</m:t>
                </m:r>
              </m:sub>
              <m:sup>
                <m:r>
                  <w:rPr>
                    <w:rFonts w:ascii="Cambria Math" w:hAnsi="Cambria Math"/>
                  </w:rPr>
                  <m:t>LW</m:t>
                </m:r>
              </m:sup>
            </m:sSubSup>
            <m:r>
              <w:rPr>
                <w:rFonts w:ascii="Cambria Math" w:hAnsi="Cambria Math"/>
              </w:rPr>
              <m:t>)</m:t>
            </m:r>
          </m:e>
        </m:rad>
        <m:r>
          <w:rPr>
            <w:rFonts w:ascii="Cambria Math" w:hAnsi="Cambria Math"/>
          </w:rPr>
          <m:t>-2</m:t>
        </m:r>
        <m:rad>
          <m:radPr>
            <m:degHide m:val="1"/>
            <m:ctrlPr>
              <w:rPr>
                <w:rFonts w:ascii="Cambria Math" w:hAnsi="Cambria Math"/>
                <w:i/>
              </w:rPr>
            </m:ctrlPr>
          </m:radPr>
          <m:deg/>
          <m:e>
            <m:sSubSup>
              <m:sSubSupPr>
                <m:ctrlPr>
                  <w:rPr>
                    <w:rFonts w:ascii="Cambria Math" w:hAnsi="Cambria Math"/>
                    <w:i/>
                  </w:rPr>
                </m:ctrlPr>
              </m:sSubSupPr>
              <m:e>
                <m:r>
                  <m:rPr>
                    <m:sty m:val="p"/>
                  </m:rPr>
                  <w:rPr>
                    <w:rFonts w:ascii="Cambria Math" w:hAnsi="Cambria Math"/>
                  </w:rPr>
                  <m:t>(Γ</m:t>
                </m:r>
              </m:e>
              <m:sub>
                <m:r>
                  <w:rPr>
                    <w:rFonts w:ascii="Cambria Math" w:hAnsi="Cambria Math"/>
                  </w:rPr>
                  <m:t>i</m:t>
                </m:r>
              </m:sub>
              <m:sup>
                <m:r>
                  <w:rPr>
                    <w:rFonts w:ascii="Cambria Math" w:hAnsi="Cambria Math"/>
                  </w:rPr>
                  <m:t>+</m:t>
                </m:r>
              </m:sup>
            </m:sSubSup>
            <m:sSubSup>
              <m:sSubSupPr>
                <m:ctrlPr>
                  <w:rPr>
                    <w:rFonts w:ascii="Cambria Math" w:hAnsi="Cambria Math"/>
                    <w:i/>
                  </w:rPr>
                </m:ctrlPr>
              </m:sSubSupPr>
              <m:e>
                <m:r>
                  <m:rPr>
                    <m:sty m:val="p"/>
                  </m:rPr>
                  <w:rPr>
                    <w:rFonts w:ascii="Cambria Math" w:hAnsi="Cambria Math"/>
                  </w:rPr>
                  <m:t>Γ</m:t>
                </m:r>
              </m:e>
              <m:sub>
                <m:r>
                  <w:rPr>
                    <w:rFonts w:ascii="Cambria Math" w:hAnsi="Cambria Math"/>
                  </w:rPr>
                  <m:t>j</m:t>
                </m:r>
              </m:sub>
              <m:sup>
                <m:r>
                  <w:rPr>
                    <w:rFonts w:ascii="Cambria Math" w:hAnsi="Cambria Math"/>
                  </w:rPr>
                  <m:t>-</m:t>
                </m:r>
              </m:sup>
            </m:sSubSup>
            <m:r>
              <w:rPr>
                <w:rFonts w:ascii="Cambria Math" w:hAnsi="Cambria Math"/>
              </w:rPr>
              <m:t>)</m:t>
            </m:r>
          </m:e>
        </m:rad>
        <m:r>
          <w:rPr>
            <w:rFonts w:ascii="Cambria Math" w:hAnsi="Cambria Math"/>
          </w:rPr>
          <m:t>-2</m:t>
        </m:r>
        <m:rad>
          <m:radPr>
            <m:degHide m:val="1"/>
            <m:ctrlPr>
              <w:rPr>
                <w:rFonts w:ascii="Cambria Math" w:hAnsi="Cambria Math"/>
                <w:i/>
              </w:rPr>
            </m:ctrlPr>
          </m:radPr>
          <m:deg/>
          <m:e>
            <m:sSubSup>
              <m:sSubSupPr>
                <m:ctrlPr>
                  <w:rPr>
                    <w:rFonts w:ascii="Cambria Math" w:hAnsi="Cambria Math"/>
                    <w:i/>
                  </w:rPr>
                </m:ctrlPr>
              </m:sSubSupPr>
              <m:e>
                <m:r>
                  <m:rPr>
                    <m:sty m:val="p"/>
                  </m:rPr>
                  <w:rPr>
                    <w:rFonts w:ascii="Cambria Math" w:hAnsi="Cambria Math"/>
                  </w:rPr>
                  <m:t>(Γ</m:t>
                </m:r>
              </m:e>
              <m:sub>
                <m:r>
                  <w:rPr>
                    <w:rFonts w:ascii="Cambria Math" w:hAnsi="Cambria Math"/>
                  </w:rPr>
                  <m:t>i</m:t>
                </m:r>
              </m:sub>
              <m:sup>
                <m:r>
                  <w:rPr>
                    <w:rFonts w:ascii="Cambria Math" w:hAnsi="Cambria Math"/>
                  </w:rPr>
                  <m:t>-</m:t>
                </m:r>
              </m:sup>
            </m:sSubSup>
            <m:sSubSup>
              <m:sSubSupPr>
                <m:ctrlPr>
                  <w:rPr>
                    <w:rFonts w:ascii="Cambria Math" w:hAnsi="Cambria Math"/>
                    <w:i/>
                  </w:rPr>
                </m:ctrlPr>
              </m:sSubSupPr>
              <m:e>
                <m:r>
                  <m:rPr>
                    <m:sty m:val="p"/>
                  </m:rPr>
                  <w:rPr>
                    <w:rFonts w:ascii="Cambria Math" w:hAnsi="Cambria Math"/>
                  </w:rPr>
                  <m:t>Γ</m:t>
                </m:r>
              </m:e>
              <m:sub>
                <m:r>
                  <w:rPr>
                    <w:rFonts w:ascii="Cambria Math" w:hAnsi="Cambria Math"/>
                  </w:rPr>
                  <m:t>j</m:t>
                </m:r>
              </m:sub>
              <m:sup>
                <m:r>
                  <w:rPr>
                    <w:rFonts w:ascii="Cambria Math" w:hAnsi="Cambria Math"/>
                  </w:rPr>
                  <m:t>+</m:t>
                </m:r>
              </m:sup>
            </m:sSubSup>
            <m:r>
              <w:rPr>
                <w:rFonts w:ascii="Cambria Math" w:hAnsi="Cambria Math"/>
              </w:rPr>
              <m:t>)</m:t>
            </m:r>
          </m:e>
        </m:rad>
      </m:oMath>
      <w:r w:rsidR="00C32564" w:rsidRPr="002B76EF">
        <w:t xml:space="preserve">          (</w:t>
      </w:r>
      <w:r w:rsidR="00AA34D6">
        <w:rPr>
          <w:rStyle w:val="fontstyle01"/>
          <w:sz w:val="24"/>
          <w:szCs w:val="24"/>
        </w:rPr>
        <w:t>4.</w:t>
      </w:r>
      <w:r w:rsidR="00C32564" w:rsidRPr="002B76EF">
        <w:t>4)</w:t>
      </w:r>
    </w:p>
    <w:p w14:paraId="0ADB7BC4" w14:textId="0CD5655E" w:rsidR="00C32564" w:rsidRPr="002B76EF" w:rsidRDefault="00C32564" w:rsidP="00E5144D">
      <w:pPr>
        <w:ind w:firstLine="720"/>
      </w:pPr>
      <w:r w:rsidRPr="002B76EF">
        <w:t>The tendency of the binder to spread and coat the surface of the aggregate can be determined using the wettability or spreading coefficient (</w:t>
      </w:r>
      <w:r w:rsidRPr="002B76EF">
        <w:rPr>
          <w:i/>
        </w:rPr>
        <w:t>S</w:t>
      </w:r>
      <w:r w:rsidRPr="002B76EF">
        <w:rPr>
          <w:i/>
          <w:vertAlign w:val="subscript"/>
        </w:rPr>
        <w:t>A/S</w:t>
      </w:r>
      <w:r w:rsidRPr="002B76EF">
        <w:t xml:space="preserve">). A higher value of </w:t>
      </w:r>
      <w:r w:rsidRPr="002B76EF">
        <w:rPr>
          <w:i/>
        </w:rPr>
        <w:t>S</w:t>
      </w:r>
      <w:r w:rsidRPr="002B76EF">
        <w:rPr>
          <w:i/>
          <w:vertAlign w:val="subscript"/>
        </w:rPr>
        <w:t>A/S</w:t>
      </w:r>
      <w:r w:rsidRPr="002B76EF">
        <w:t xml:space="preserve"> is required to ensure a better coating of the binder to the aggregate surface </w:t>
      </w:r>
      <w:r w:rsidRPr="002B76EF">
        <w:fldChar w:fldCharType="begin"/>
      </w:r>
      <w:r w:rsidR="00282238">
        <w:instrText xml:space="preserve"> ADDIN EN.CITE &lt;EndNote&gt;&lt;Cite&gt;&lt;Author&gt;Buddhala&lt;/Author&gt;&lt;Year&gt;2011&lt;/Year&gt;&lt;RecNum&gt;88&lt;/RecNum&gt;&lt;DisplayText&gt;(Buddhala et al., 2011)&lt;/DisplayText&gt;&lt;record&gt;&lt;rec-number&gt;88&lt;/rec-number&gt;&lt;foreign-keys&gt;&lt;key app="EN" db-id="d55vzfpwawdafteedfoxsf0lv0v0wp5va2aa" timestamp="1519497346"&gt;88&lt;/key&gt;&lt;/foreign-keys&gt;&lt;ref-type name="Journal Article"&gt;17&lt;/ref-type&gt;&lt;contributors&gt;&lt;authors&gt;&lt;author&gt;Buddhala, Aravinda&lt;/author&gt;&lt;author&gt;Hossain, Zahid&lt;/author&gt;&lt;author&gt;Wasiuddin, Nazimuddin M&lt;/author&gt;&lt;author&gt;Zaman, Musharraf&lt;/author&gt;&lt;author&gt;Edgar, AO&lt;/author&gt;&lt;/authors&gt;&lt;/contributors&gt;&lt;titles&gt;&lt;title&gt;Effects of an Amine Anti-stripping Agent on Moisture Susceptibility of Sasobit and Aspha-min Mixes by Surface Free Energy Analysis&lt;/title&gt;&lt;secondary-title&gt;Journal of Testing and Evaluation&lt;/secondary-title&gt;&lt;/titles&gt;&lt;periodical&gt;&lt;full-title&gt;Journal of Testing and Evaluation&lt;/full-title&gt;&lt;/periodical&gt;&lt;pages&gt;91-99&lt;/pages&gt;&lt;volume&gt;40&lt;/volume&gt;&lt;number&gt;1&lt;/number&gt;&lt;dates&gt;&lt;year&gt;2011&lt;/year&gt;&lt;/dates&gt;&lt;isbn&gt;0090-3973&lt;/isbn&gt;&lt;urls&gt;&lt;/urls&gt;&lt;/record&gt;&lt;/Cite&gt;&lt;/EndNote&gt;</w:instrText>
      </w:r>
      <w:r w:rsidRPr="002B76EF">
        <w:fldChar w:fldCharType="separate"/>
      </w:r>
      <w:r w:rsidR="00282238">
        <w:rPr>
          <w:noProof/>
        </w:rPr>
        <w:t>(Buddhala et al., 2011)</w:t>
      </w:r>
      <w:r w:rsidRPr="002B76EF">
        <w:fldChar w:fldCharType="end"/>
      </w:r>
      <w:r w:rsidRPr="002B76EF">
        <w:t xml:space="preserve">. The </w:t>
      </w:r>
      <w:r w:rsidRPr="002B76EF">
        <w:rPr>
          <w:i/>
        </w:rPr>
        <w:t>S</w:t>
      </w:r>
      <w:r w:rsidRPr="002B76EF">
        <w:rPr>
          <w:i/>
          <w:vertAlign w:val="subscript"/>
        </w:rPr>
        <w:t xml:space="preserve">A/S </w:t>
      </w:r>
      <w:r w:rsidRPr="002B76EF">
        <w:t>can be calculated using Equation (</w:t>
      </w:r>
      <w:r w:rsidR="00AA34D6">
        <w:rPr>
          <w:rStyle w:val="fontstyle01"/>
          <w:sz w:val="24"/>
          <w:szCs w:val="24"/>
        </w:rPr>
        <w:t>4.</w:t>
      </w:r>
      <w:r w:rsidRPr="002B76EF">
        <w:t>5).</w:t>
      </w:r>
    </w:p>
    <w:p w14:paraId="2127D370" w14:textId="5DAF368A" w:rsidR="00C32564" w:rsidRPr="002B76EF" w:rsidRDefault="007F7885" w:rsidP="00E5144D">
      <w:pPr>
        <w:jc w:val="center"/>
      </w:pPr>
      <m:oMath>
        <m:sSub>
          <m:sSubPr>
            <m:ctrlPr>
              <w:rPr>
                <w:rFonts w:ascii="Cambria Math" w:hAnsi="Cambria Math"/>
                <w:i/>
              </w:rPr>
            </m:ctrlPr>
          </m:sSubPr>
          <m:e>
            <m:r>
              <w:rPr>
                <w:rFonts w:ascii="Cambria Math" w:hAnsi="Cambria Math"/>
              </w:rPr>
              <m:t>S</m:t>
            </m:r>
          </m:e>
          <m:sub>
            <m:r>
              <w:rPr>
                <w:rFonts w:ascii="Cambria Math" w:hAnsi="Cambria Math"/>
              </w:rPr>
              <m:t>A/S</m:t>
            </m:r>
          </m:sub>
        </m:sSub>
        <m:r>
          <w:rPr>
            <w:rFonts w:ascii="Cambria Math" w:hAnsi="Cambria Math"/>
          </w:rPr>
          <m:t>=</m:t>
        </m:r>
        <m:sSubSup>
          <m:sSubSupPr>
            <m:ctrlPr>
              <w:rPr>
                <w:rFonts w:ascii="Cambria Math" w:hAnsi="Cambria Math"/>
                <w:i/>
              </w:rPr>
            </m:ctrlPr>
          </m:sSubSupPr>
          <m:e>
            <m:r>
              <m:rPr>
                <m:sty m:val="p"/>
              </m:rPr>
              <w:rPr>
                <w:rFonts w:ascii="Cambria Math" w:hAnsi="Cambria Math"/>
              </w:rPr>
              <m:t>Γ</m:t>
            </m:r>
          </m:e>
          <m:sub>
            <m:r>
              <w:rPr>
                <w:rFonts w:ascii="Cambria Math" w:hAnsi="Cambria Math"/>
              </w:rPr>
              <m:t>S</m:t>
            </m:r>
          </m:sub>
          <m:sup>
            <m:r>
              <w:rPr>
                <w:rFonts w:ascii="Cambria Math" w:hAnsi="Cambria Math"/>
              </w:rPr>
              <m:t>Total</m:t>
            </m:r>
          </m:sup>
        </m:sSubSup>
        <m:r>
          <w:rPr>
            <w:rFonts w:ascii="Cambria Math" w:hAnsi="Cambria Math"/>
          </w:rPr>
          <m:t>-</m:t>
        </m:r>
        <m:sSub>
          <m:sSubPr>
            <m:ctrlPr>
              <w:rPr>
                <w:rFonts w:ascii="Cambria Math" w:hAnsi="Cambria Math"/>
                <w:i/>
              </w:rPr>
            </m:ctrlPr>
          </m:sSubPr>
          <m:e>
            <m:r>
              <m:rPr>
                <m:sty m:val="p"/>
              </m:rPr>
              <w:rPr>
                <w:rFonts w:ascii="Cambria Math" w:hAnsi="Cambria Math"/>
              </w:rPr>
              <m:t>Γ</m:t>
            </m:r>
          </m:e>
          <m:sub>
            <m:r>
              <w:rPr>
                <w:rFonts w:ascii="Cambria Math" w:hAnsi="Cambria Math"/>
              </w:rPr>
              <m:t>AS</m:t>
            </m:r>
          </m:sub>
        </m:sSub>
        <m:r>
          <w:rPr>
            <w:rFonts w:ascii="Cambria Math" w:hAnsi="Cambria Math"/>
          </w:rPr>
          <m:t>-</m:t>
        </m:r>
        <m:sSubSup>
          <m:sSubSupPr>
            <m:ctrlPr>
              <w:rPr>
                <w:rFonts w:ascii="Cambria Math" w:hAnsi="Cambria Math"/>
                <w:i/>
              </w:rPr>
            </m:ctrlPr>
          </m:sSubSupPr>
          <m:e>
            <m:r>
              <m:rPr>
                <m:sty m:val="p"/>
              </m:rPr>
              <w:rPr>
                <w:rFonts w:ascii="Cambria Math" w:hAnsi="Cambria Math"/>
              </w:rPr>
              <m:t>Γ</m:t>
            </m:r>
          </m:e>
          <m:sub>
            <m:r>
              <w:rPr>
                <w:rFonts w:ascii="Cambria Math" w:hAnsi="Cambria Math"/>
              </w:rPr>
              <m:t>A</m:t>
            </m:r>
          </m:sub>
          <m:sup>
            <m:r>
              <w:rPr>
                <w:rFonts w:ascii="Cambria Math" w:hAnsi="Cambria Math"/>
              </w:rPr>
              <m:t>Total</m:t>
            </m:r>
          </m:sup>
        </m:sSubSup>
      </m:oMath>
      <w:r w:rsidR="00C32564" w:rsidRPr="002B76EF">
        <w:t xml:space="preserve">                                      (</w:t>
      </w:r>
      <w:r w:rsidR="00AA34D6">
        <w:rPr>
          <w:rStyle w:val="fontstyle01"/>
          <w:sz w:val="24"/>
          <w:szCs w:val="24"/>
        </w:rPr>
        <w:t>4.</w:t>
      </w:r>
      <w:r w:rsidR="00C32564" w:rsidRPr="002B76EF">
        <w:t>5)</w:t>
      </w:r>
    </w:p>
    <w:p w14:paraId="0FE7433C" w14:textId="77777777" w:rsidR="00C32564" w:rsidRPr="002B76EF" w:rsidRDefault="00C32564" w:rsidP="00E5144D">
      <w:pPr>
        <w:ind w:firstLine="720"/>
      </w:pPr>
      <w:r w:rsidRPr="002B76EF">
        <w:t xml:space="preserve"> where,</w:t>
      </w:r>
    </w:p>
    <w:p w14:paraId="360B1C94" w14:textId="0214BF31" w:rsidR="00C32564" w:rsidRPr="002B76EF" w:rsidRDefault="007F7885" w:rsidP="00E5144D">
      <w:pPr>
        <w:ind w:left="720" w:firstLine="720"/>
      </w:pPr>
      <m:oMath>
        <m:sSubSup>
          <m:sSubSupPr>
            <m:ctrlPr>
              <w:rPr>
                <w:rFonts w:ascii="Cambria Math" w:hAnsi="Cambria Math"/>
                <w:i/>
              </w:rPr>
            </m:ctrlPr>
          </m:sSubSupPr>
          <m:e>
            <m:r>
              <m:rPr>
                <m:sty m:val="p"/>
              </m:rPr>
              <w:rPr>
                <w:rFonts w:ascii="Cambria Math" w:hAnsi="Cambria Math"/>
              </w:rPr>
              <m:t>Γ</m:t>
            </m:r>
          </m:e>
          <m:sub>
            <m:r>
              <w:rPr>
                <w:rFonts w:ascii="Cambria Math" w:hAnsi="Cambria Math"/>
              </w:rPr>
              <m:t>S</m:t>
            </m:r>
          </m:sub>
          <m:sup>
            <m:r>
              <w:rPr>
                <w:rFonts w:ascii="Cambria Math" w:hAnsi="Cambria Math"/>
              </w:rPr>
              <m:t>Total</m:t>
            </m:r>
          </m:sup>
        </m:sSubSup>
      </m:oMath>
      <w:r w:rsidR="00C32564" w:rsidRPr="002B76EF">
        <w:t xml:space="preserve"> = total SFE of aggregate</w:t>
      </w:r>
      <w:r w:rsidR="0097343C">
        <w:t>,</w:t>
      </w:r>
    </w:p>
    <w:p w14:paraId="6354340D" w14:textId="5DC77D0E" w:rsidR="00C32564" w:rsidRPr="002B76EF" w:rsidRDefault="007F7885" w:rsidP="00E5144D">
      <w:pPr>
        <w:ind w:left="720" w:firstLine="720"/>
      </w:pPr>
      <m:oMath>
        <m:sSub>
          <m:sSubPr>
            <m:ctrlPr>
              <w:rPr>
                <w:rFonts w:ascii="Cambria Math" w:hAnsi="Cambria Math"/>
                <w:i/>
              </w:rPr>
            </m:ctrlPr>
          </m:sSubPr>
          <m:e>
            <m:r>
              <m:rPr>
                <m:sty m:val="p"/>
              </m:rPr>
              <w:rPr>
                <w:rFonts w:ascii="Cambria Math" w:hAnsi="Cambria Math"/>
              </w:rPr>
              <m:t>Γ</m:t>
            </m:r>
          </m:e>
          <m:sub>
            <m:r>
              <w:rPr>
                <w:rFonts w:ascii="Cambria Math" w:hAnsi="Cambria Math"/>
              </w:rPr>
              <m:t>AS</m:t>
            </m:r>
          </m:sub>
        </m:sSub>
      </m:oMath>
      <w:r w:rsidR="00C32564" w:rsidRPr="002B76EF">
        <w:t xml:space="preserve"> = interfacial energy between asphalt binder and aggregate</w:t>
      </w:r>
      <w:r w:rsidR="0097343C">
        <w:t>,</w:t>
      </w:r>
    </w:p>
    <w:p w14:paraId="305DD235" w14:textId="49156391" w:rsidR="00C32564" w:rsidRPr="002B76EF" w:rsidRDefault="007F7885" w:rsidP="00E5144D">
      <w:pPr>
        <w:ind w:left="720" w:firstLine="720"/>
      </w:pPr>
      <m:oMath>
        <m:sSubSup>
          <m:sSubSupPr>
            <m:ctrlPr>
              <w:rPr>
                <w:rFonts w:ascii="Cambria Math" w:hAnsi="Cambria Math"/>
                <w:i/>
              </w:rPr>
            </m:ctrlPr>
          </m:sSubSupPr>
          <m:e>
            <m:r>
              <m:rPr>
                <m:sty m:val="p"/>
              </m:rPr>
              <w:rPr>
                <w:rFonts w:ascii="Cambria Math" w:hAnsi="Cambria Math"/>
              </w:rPr>
              <m:t>Γ</m:t>
            </m:r>
          </m:e>
          <m:sub>
            <m:r>
              <w:rPr>
                <w:rFonts w:ascii="Cambria Math" w:hAnsi="Cambria Math"/>
              </w:rPr>
              <m:t>A</m:t>
            </m:r>
          </m:sub>
          <m:sup>
            <m:r>
              <w:rPr>
                <w:rFonts w:ascii="Cambria Math" w:hAnsi="Cambria Math"/>
              </w:rPr>
              <m:t>Total</m:t>
            </m:r>
          </m:sup>
        </m:sSubSup>
      </m:oMath>
      <w:r w:rsidR="00C32564" w:rsidRPr="002B76EF">
        <w:t xml:space="preserve"> = total SFE of asphalt binder.</w:t>
      </w:r>
    </w:p>
    <w:p w14:paraId="1A55FBEB" w14:textId="25CC4153" w:rsidR="00C32564" w:rsidRPr="002B76EF" w:rsidRDefault="00C96874" w:rsidP="00E5144D">
      <w:r>
        <w:tab/>
      </w:r>
      <w:r w:rsidR="00C32564" w:rsidRPr="002B76EF">
        <w:fldChar w:fldCharType="begin"/>
      </w:r>
      <w:r w:rsidR="00C32564" w:rsidRPr="002B76EF">
        <w:instrText xml:space="preserve"> ADDIN EN.CITE &lt;EndNote&gt;&lt;Cite AuthorYear="1"&gt;&lt;Author&gt;Bhasin&lt;/Author&gt;&lt;Year&gt;2007&lt;/Year&gt;&lt;RecNum&gt;26&lt;/RecNum&gt;&lt;DisplayText&gt;Bhasin et al. (2007b)&lt;/DisplayText&gt;&lt;record&gt;&lt;rec-number&gt;26&lt;/rec-number&gt;&lt;foreign-keys&gt;&lt;key app="EN" db-id="d55vzfpwawdafteedfoxsf0lv0v0wp5va2aa" timestamp="1509901161"&gt;26&lt;/key&gt;&lt;/foreign-keys&gt;&lt;ref-type name="Journal Article"&gt;17&lt;/ref-type&gt;&lt;contributors&gt;&lt;authors&gt;&lt;author&gt;Bhasin, Amit&lt;/author&gt;&lt;author&gt;Little, Dallas&lt;/author&gt;&lt;author&gt;Vasconcelos, Kamilla&lt;/author&gt;&lt;author&gt;Masad, Eyad&lt;/author&gt;&lt;/authors&gt;&lt;/contributors&gt;&lt;titles&gt;&lt;title&gt;Surface Free Energy to Identify Moisture Sensitivity of Materials for Asphalt Mixes&lt;/title&gt;&lt;secondary-title&gt;Transportation Research Record: Journal of the Transportation Research Board&lt;/secondary-title&gt;&lt;/titles&gt;&lt;periodical&gt;&lt;full-title&gt;Transportation Research Record: Journal of the Transportation Research Board&lt;/full-title&gt;&lt;/periodical&gt;&lt;pages&gt;37-45&lt;/pages&gt;&lt;number&gt;2001&lt;/number&gt;&lt;dates&gt;&lt;year&gt;2007&lt;/year&gt;&lt;/dates&gt;&lt;isbn&gt;0361-1981&lt;/isbn&gt;&lt;urls&gt;&lt;/urls&gt;&lt;/record&gt;&lt;/Cite&gt;&lt;/EndNote&gt;</w:instrText>
      </w:r>
      <w:r w:rsidR="00C32564" w:rsidRPr="002B76EF">
        <w:fldChar w:fldCharType="separate"/>
      </w:r>
      <w:r w:rsidR="00C32564" w:rsidRPr="002B76EF">
        <w:rPr>
          <w:noProof/>
        </w:rPr>
        <w:t>Bhasin et al. (2007b)</w:t>
      </w:r>
      <w:r w:rsidR="00C32564" w:rsidRPr="002B76EF">
        <w:fldChar w:fldCharType="end"/>
      </w:r>
      <w:r w:rsidR="00C32564" w:rsidRPr="002B76EF">
        <w:t xml:space="preserve"> combined the effect of </w:t>
      </w:r>
      <w:r w:rsidR="00C32564" w:rsidRPr="002B76EF">
        <w:rPr>
          <w:i/>
        </w:rPr>
        <w:t>W</w:t>
      </w:r>
      <w:r w:rsidR="00C32564" w:rsidRPr="002B76EF">
        <w:rPr>
          <w:i/>
          <w:vertAlign w:val="subscript"/>
        </w:rPr>
        <w:t>AS</w:t>
      </w:r>
      <w:r w:rsidR="00C32564" w:rsidRPr="002B76EF">
        <w:t xml:space="preserve"> and </w:t>
      </w:r>
      <m:oMath>
        <m:sSubSup>
          <m:sSubSupPr>
            <m:ctrlPr>
              <w:rPr>
                <w:rFonts w:ascii="Cambria Math" w:hAnsi="Cambria Math"/>
                <w:i/>
                <w:kern w:val="2"/>
                <w:lang w:eastAsia="ja-JP"/>
              </w:rPr>
            </m:ctrlPr>
          </m:sSubSupPr>
          <m:e>
            <m:r>
              <w:rPr>
                <w:rFonts w:ascii="Cambria Math" w:hAnsi="Cambria Math"/>
              </w:rPr>
              <m:t>W</m:t>
            </m:r>
          </m:e>
          <m:sub>
            <m:r>
              <w:rPr>
                <w:rFonts w:ascii="Cambria Math" w:hAnsi="Cambria Math"/>
              </w:rPr>
              <m:t>ASW</m:t>
            </m:r>
          </m:sub>
          <m:sup>
            <m:r>
              <w:rPr>
                <w:rFonts w:ascii="Cambria Math" w:hAnsi="Cambria Math"/>
              </w:rPr>
              <m:t>wet</m:t>
            </m:r>
          </m:sup>
        </m:sSubSup>
      </m:oMath>
      <w:r w:rsidR="00C32564" w:rsidRPr="002B76EF">
        <w:t xml:space="preserve"> and proposed a single valued parameter to evaluate moisture damage. The energy ratio parameter can be calculated using Equation (</w:t>
      </w:r>
      <w:r w:rsidR="00AA34D6">
        <w:rPr>
          <w:rStyle w:val="fontstyle01"/>
          <w:sz w:val="24"/>
          <w:szCs w:val="24"/>
        </w:rPr>
        <w:t>4.</w:t>
      </w:r>
      <w:r w:rsidR="00C32564" w:rsidRPr="002B76EF">
        <w:t xml:space="preserve">6). </w:t>
      </w:r>
    </w:p>
    <w:p w14:paraId="6FAE36D7" w14:textId="27F2C3ED" w:rsidR="00C32564" w:rsidRPr="002B76EF" w:rsidRDefault="007F7885" w:rsidP="00E5144D">
      <w:pPr>
        <w:jc w:val="center"/>
      </w:pPr>
      <m:oMath>
        <m:sSub>
          <m:sSubPr>
            <m:ctrlPr>
              <w:rPr>
                <w:rFonts w:ascii="Cambria Math" w:hAnsi="Cambria Math"/>
                <w:i/>
              </w:rPr>
            </m:ctrlPr>
          </m:sSubPr>
          <m:e>
            <m:r>
              <w:rPr>
                <w:rFonts w:ascii="Cambria Math" w:hAnsi="Cambria Math"/>
              </w:rPr>
              <m:t>ER</m:t>
            </m:r>
          </m:e>
          <m:sub>
            <m:r>
              <w:rPr>
                <w:rFonts w:ascii="Cambria Math" w:hAnsi="Cambria Math"/>
              </w:rPr>
              <m:t>1</m:t>
            </m:r>
          </m:sub>
        </m:sSub>
        <m:r>
          <w:rPr>
            <w:rFonts w:ascii="Cambria Math" w:hAnsi="Cambria Math"/>
          </w:rPr>
          <m:t>=</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AS</m:t>
                    </m:r>
                  </m:sub>
                </m:sSub>
              </m:num>
              <m:den>
                <m:sSubSup>
                  <m:sSubSupPr>
                    <m:ctrlPr>
                      <w:rPr>
                        <w:rFonts w:ascii="Cambria Math" w:hAnsi="Cambria Math"/>
                        <w:i/>
                      </w:rPr>
                    </m:ctrlPr>
                  </m:sSubSupPr>
                  <m:e>
                    <m:r>
                      <w:rPr>
                        <w:rFonts w:ascii="Cambria Math" w:hAnsi="Cambria Math"/>
                      </w:rPr>
                      <m:t>W</m:t>
                    </m:r>
                  </m:e>
                  <m:sub>
                    <m:r>
                      <w:rPr>
                        <w:rFonts w:ascii="Cambria Math" w:hAnsi="Cambria Math"/>
                      </w:rPr>
                      <m:t>ASW</m:t>
                    </m:r>
                  </m:sub>
                  <m:sup>
                    <m:r>
                      <w:rPr>
                        <w:rFonts w:ascii="Cambria Math" w:hAnsi="Cambria Math"/>
                      </w:rPr>
                      <m:t>wet</m:t>
                    </m:r>
                  </m:sup>
                </m:sSubSup>
              </m:den>
            </m:f>
          </m:e>
        </m:d>
      </m:oMath>
      <w:r w:rsidR="00C32564" w:rsidRPr="002B76EF">
        <w:t xml:space="preserve"> </w:t>
      </w:r>
      <w:r w:rsidR="00C32564" w:rsidRPr="002B76EF">
        <w:tab/>
      </w:r>
      <w:r w:rsidR="00C32564" w:rsidRPr="002B76EF">
        <w:tab/>
      </w:r>
      <w:r w:rsidR="00C32564" w:rsidRPr="002B76EF">
        <w:tab/>
      </w:r>
      <w:r w:rsidR="00C32564" w:rsidRPr="002B76EF">
        <w:tab/>
        <w:t>(</w:t>
      </w:r>
      <w:r w:rsidR="00AA34D6">
        <w:rPr>
          <w:rStyle w:val="fontstyle01"/>
          <w:sz w:val="24"/>
          <w:szCs w:val="24"/>
        </w:rPr>
        <w:t>4.</w:t>
      </w:r>
      <w:r w:rsidR="00C32564" w:rsidRPr="002B76EF">
        <w:t>6)</w:t>
      </w:r>
    </w:p>
    <w:p w14:paraId="097AD975" w14:textId="3CDDDB79" w:rsidR="00C32564" w:rsidRPr="002B76EF" w:rsidRDefault="00C32564" w:rsidP="00E5144D">
      <w:pPr>
        <w:ind w:firstLine="720"/>
      </w:pPr>
      <w:r w:rsidRPr="002B76EF">
        <w:t>To consider the effect of wettability, a modified version of Equation (</w:t>
      </w:r>
      <w:r w:rsidR="00AA34D6">
        <w:rPr>
          <w:rStyle w:val="fontstyle01"/>
          <w:sz w:val="24"/>
          <w:szCs w:val="24"/>
        </w:rPr>
        <w:t>4.</w:t>
      </w:r>
      <w:r w:rsidRPr="002B76EF">
        <w:t xml:space="preserve">6) was also proposed by </w:t>
      </w:r>
      <w:r w:rsidRPr="002B76EF">
        <w:fldChar w:fldCharType="begin"/>
      </w:r>
      <w:r w:rsidRPr="002B76EF">
        <w:instrText xml:space="preserve"> ADDIN EN.CITE &lt;EndNote&gt;&lt;Cite AuthorYear="1"&gt;&lt;Author&gt;Bhasin&lt;/Author&gt;&lt;Year&gt;2007&lt;/Year&gt;&lt;RecNum&gt;26&lt;/RecNum&gt;&lt;DisplayText&gt;Bhasin et al. (2007b)&lt;/DisplayText&gt;&lt;record&gt;&lt;rec-number&gt;26&lt;/rec-number&gt;&lt;foreign-keys&gt;&lt;key app="EN" db-id="d55vzfpwawdafteedfoxsf0lv0v0wp5va2aa" timestamp="1509901161"&gt;26&lt;/key&gt;&lt;/foreign-keys&gt;&lt;ref-type name="Journal Article"&gt;17&lt;/ref-type&gt;&lt;contributors&gt;&lt;authors&gt;&lt;author&gt;Bhasin, Amit&lt;/author&gt;&lt;author&gt;Little, Dallas&lt;/author&gt;&lt;author&gt;Vasconcelos, Kamilla&lt;/author&gt;&lt;author&gt;Masad, Eyad&lt;/author&gt;&lt;/authors&gt;&lt;/contributors&gt;&lt;titles&gt;&lt;title&gt;Surface Free Energy to Identify Moisture Sensitivity of Materials for Asphalt Mixes&lt;/title&gt;&lt;secondary-title&gt;Transportation Research Record: Journal of the Transportation Research Board&lt;/secondary-title&gt;&lt;/titles&gt;&lt;periodical&gt;&lt;full-title&gt;Transportation Research Record: Journal of the Transportation Research Board&lt;/full-title&gt;&lt;/periodical&gt;&lt;pages&gt;37-45&lt;/pages&gt;&lt;number&gt;2001&lt;/number&gt;&lt;dates&gt;&lt;year&gt;2007&lt;/year&gt;&lt;/dates&gt;&lt;isbn&gt;0361-1981&lt;/isbn&gt;&lt;urls&gt;&lt;/urls&gt;&lt;/record&gt;&lt;/Cite&gt;&lt;/EndNote&gt;</w:instrText>
      </w:r>
      <w:r w:rsidRPr="002B76EF">
        <w:fldChar w:fldCharType="separate"/>
      </w:r>
      <w:r w:rsidRPr="002B76EF">
        <w:rPr>
          <w:noProof/>
        </w:rPr>
        <w:t>Bhasin et al. (2007b)</w:t>
      </w:r>
      <w:r w:rsidRPr="002B76EF">
        <w:fldChar w:fldCharType="end"/>
      </w:r>
      <w:r w:rsidRPr="002B76EF">
        <w:t xml:space="preserve">. The parameter is known as </w:t>
      </w:r>
      <w:r w:rsidRPr="002B76EF">
        <w:rPr>
          <w:i/>
        </w:rPr>
        <w:t>ER</w:t>
      </w:r>
      <w:r w:rsidRPr="002B76EF">
        <w:rPr>
          <w:i/>
          <w:vertAlign w:val="subscript"/>
        </w:rPr>
        <w:t>2</w:t>
      </w:r>
      <w:r w:rsidRPr="002B76EF">
        <w:t xml:space="preserve"> and can be calculated using Equation (</w:t>
      </w:r>
      <w:r w:rsidR="00AA34D6">
        <w:rPr>
          <w:rStyle w:val="fontstyle01"/>
          <w:sz w:val="24"/>
          <w:szCs w:val="24"/>
        </w:rPr>
        <w:t>4.</w:t>
      </w:r>
      <w:r w:rsidRPr="002B76EF">
        <w:t>7).</w:t>
      </w:r>
    </w:p>
    <w:p w14:paraId="48F52104" w14:textId="26398FAB" w:rsidR="00C32564" w:rsidRPr="002B76EF" w:rsidRDefault="007F7885" w:rsidP="00E5144D">
      <w:pPr>
        <w:jc w:val="center"/>
      </w:pPr>
      <m:oMath>
        <m:sSub>
          <m:sSubPr>
            <m:ctrlPr>
              <w:rPr>
                <w:rFonts w:ascii="Cambria Math" w:hAnsi="Cambria Math"/>
                <w:i/>
              </w:rPr>
            </m:ctrlPr>
          </m:sSubPr>
          <m:e>
            <m:r>
              <w:rPr>
                <w:rFonts w:ascii="Cambria Math" w:hAnsi="Cambria Math"/>
              </w:rPr>
              <m:t>ER</m:t>
            </m:r>
          </m:e>
          <m:sub>
            <m:r>
              <w:rPr>
                <w:rFonts w:ascii="Cambria Math" w:hAnsi="Cambria Math"/>
              </w:rPr>
              <m:t>2</m:t>
            </m:r>
          </m:sub>
        </m:sSub>
        <m:r>
          <w:rPr>
            <w:rFonts w:ascii="Cambria Math" w:hAnsi="Cambria Math"/>
          </w:rPr>
          <m:t>=</m:t>
        </m:r>
        <m:d>
          <m:dPr>
            <m:begChr m:val="|"/>
            <m:endChr m:val="|"/>
            <m:ctrlPr>
              <w:rPr>
                <w:rFonts w:ascii="Cambria Math" w:hAnsi="Cambria Math"/>
                <w:i/>
              </w:rPr>
            </m:ctrlPr>
          </m:dPr>
          <m:e>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AS</m:t>
                    </m:r>
                  </m:sub>
                </m:sSub>
                <m:r>
                  <w:rPr>
                    <w:rFonts w:ascii="Cambria Math" w:hAnsi="Cambria Math"/>
                  </w:rPr>
                  <m:t>-</m:t>
                </m:r>
                <m:sSub>
                  <m:sSubPr>
                    <m:ctrlPr>
                      <w:rPr>
                        <w:rFonts w:ascii="Cambria Math" w:hAnsi="Cambria Math"/>
                        <w:i/>
                      </w:rPr>
                    </m:ctrlPr>
                  </m:sSubPr>
                  <m:e>
                    <m:r>
                      <w:rPr>
                        <w:rFonts w:ascii="Cambria Math" w:hAnsi="Cambria Math"/>
                      </w:rPr>
                      <m:t>W</m:t>
                    </m:r>
                  </m:e>
                  <m:sub>
                    <m:r>
                      <w:rPr>
                        <w:rFonts w:ascii="Cambria Math" w:hAnsi="Cambria Math"/>
                      </w:rPr>
                      <m:t>AA</m:t>
                    </m:r>
                  </m:sub>
                </m:sSub>
              </m:num>
              <m:den>
                <m:sSubSup>
                  <m:sSubSupPr>
                    <m:ctrlPr>
                      <w:rPr>
                        <w:rFonts w:ascii="Cambria Math" w:hAnsi="Cambria Math"/>
                        <w:i/>
                      </w:rPr>
                    </m:ctrlPr>
                  </m:sSubSupPr>
                  <m:e>
                    <m:r>
                      <w:rPr>
                        <w:rFonts w:ascii="Cambria Math" w:hAnsi="Cambria Math"/>
                      </w:rPr>
                      <m:t>W</m:t>
                    </m:r>
                  </m:e>
                  <m:sub>
                    <m:r>
                      <w:rPr>
                        <w:rFonts w:ascii="Cambria Math" w:hAnsi="Cambria Math"/>
                      </w:rPr>
                      <m:t>ASW</m:t>
                    </m:r>
                  </m:sub>
                  <m:sup>
                    <m:r>
                      <w:rPr>
                        <w:rFonts w:ascii="Cambria Math" w:hAnsi="Cambria Math"/>
                      </w:rPr>
                      <m:t>wet</m:t>
                    </m:r>
                  </m:sup>
                </m:sSubSup>
              </m:den>
            </m:f>
          </m:e>
        </m:d>
      </m:oMath>
      <w:r w:rsidR="00C32564" w:rsidRPr="002B76EF">
        <w:tab/>
      </w:r>
      <w:r w:rsidR="00C32564" w:rsidRPr="002B76EF">
        <w:tab/>
      </w:r>
      <w:r w:rsidR="00C32564" w:rsidRPr="002B76EF">
        <w:tab/>
        <w:t>(</w:t>
      </w:r>
      <w:r w:rsidR="00AA34D6">
        <w:rPr>
          <w:rStyle w:val="fontstyle01"/>
          <w:sz w:val="24"/>
          <w:szCs w:val="24"/>
        </w:rPr>
        <w:t>4.</w:t>
      </w:r>
      <w:r w:rsidR="00C32564" w:rsidRPr="002B76EF">
        <w:t>7)</w:t>
      </w:r>
    </w:p>
    <w:p w14:paraId="7F00632D" w14:textId="09495D61" w:rsidR="00C32564" w:rsidRPr="002B76EF" w:rsidRDefault="00C32564" w:rsidP="00E5144D">
      <w:pPr>
        <w:ind w:firstLine="720"/>
      </w:pPr>
      <w:r w:rsidRPr="002B76EF">
        <w:t xml:space="preserve">where, </w:t>
      </w:r>
      <w:r w:rsidRPr="002B76EF">
        <w:rPr>
          <w:i/>
        </w:rPr>
        <w:t>W</w:t>
      </w:r>
      <w:r w:rsidRPr="002B76EF">
        <w:rPr>
          <w:i/>
          <w:vertAlign w:val="subscript"/>
        </w:rPr>
        <w:t>AA</w:t>
      </w:r>
      <w:r w:rsidRPr="002B76EF">
        <w:rPr>
          <w:vertAlign w:val="subscript"/>
        </w:rPr>
        <w:t xml:space="preserve"> </w:t>
      </w:r>
      <w:r w:rsidRPr="002B76EF">
        <w:t>is the cohesive bond energy of the asphalt binder and can be calculated using Equation (</w:t>
      </w:r>
      <w:r w:rsidR="00AA34D6">
        <w:rPr>
          <w:rStyle w:val="fontstyle01"/>
          <w:sz w:val="24"/>
          <w:szCs w:val="24"/>
        </w:rPr>
        <w:t>4.</w:t>
      </w:r>
      <w:r w:rsidRPr="002B76EF">
        <w:t>8).</w:t>
      </w:r>
    </w:p>
    <w:p w14:paraId="4CE9B58D" w14:textId="5E9005F0" w:rsidR="00C32564" w:rsidRPr="002B76EF" w:rsidRDefault="007F7885" w:rsidP="00E5144D">
      <w:pPr>
        <w:jc w:val="center"/>
      </w:pPr>
      <m:oMath>
        <m:sSub>
          <m:sSubPr>
            <m:ctrlPr>
              <w:rPr>
                <w:rFonts w:ascii="Cambria Math" w:hAnsi="Cambria Math"/>
                <w:i/>
              </w:rPr>
            </m:ctrlPr>
          </m:sSubPr>
          <m:e>
            <m:r>
              <w:rPr>
                <w:rFonts w:ascii="Cambria Math" w:hAnsi="Cambria Math"/>
              </w:rPr>
              <m:t>W</m:t>
            </m:r>
          </m:e>
          <m:sub>
            <m:r>
              <w:rPr>
                <w:rFonts w:ascii="Cambria Math" w:hAnsi="Cambria Math"/>
              </w:rPr>
              <m:t>AA</m:t>
            </m:r>
          </m:sub>
        </m:sSub>
        <m:r>
          <w:rPr>
            <w:rFonts w:ascii="Cambria Math" w:hAnsi="Cambria Math"/>
          </w:rPr>
          <m:t>=2</m:t>
        </m:r>
        <m:d>
          <m:dPr>
            <m:ctrlPr>
              <w:rPr>
                <w:rFonts w:ascii="Cambria Math" w:hAnsi="Cambria Math"/>
                <w:i/>
              </w:rPr>
            </m:ctrlPr>
          </m:dPr>
          <m:e>
            <m:sSubSup>
              <m:sSubSupPr>
                <m:ctrlPr>
                  <w:rPr>
                    <w:rFonts w:ascii="Cambria Math" w:hAnsi="Cambria Math"/>
                    <w:i/>
                  </w:rPr>
                </m:ctrlPr>
              </m:sSubSupPr>
              <m:e>
                <m:r>
                  <m:rPr>
                    <m:sty m:val="p"/>
                  </m:rPr>
                  <w:rPr>
                    <w:rFonts w:ascii="Cambria Math" w:hAnsi="Cambria Math"/>
                  </w:rPr>
                  <m:t>Γ</m:t>
                </m:r>
              </m:e>
              <m:sub>
                <m:r>
                  <w:rPr>
                    <w:rFonts w:ascii="Cambria Math" w:hAnsi="Cambria Math"/>
                  </w:rPr>
                  <m:t>A</m:t>
                </m:r>
              </m:sub>
              <m:sup>
                <m:r>
                  <w:rPr>
                    <w:rFonts w:ascii="Cambria Math" w:hAnsi="Cambria Math"/>
                  </w:rPr>
                  <m:t>LW</m:t>
                </m:r>
              </m:sup>
            </m:sSubSup>
            <m:r>
              <w:rPr>
                <w:rFonts w:ascii="Cambria Math" w:hAnsi="Cambria Math"/>
              </w:rPr>
              <m:t>+2</m:t>
            </m:r>
            <m:rad>
              <m:radPr>
                <m:degHide m:val="1"/>
                <m:ctrlPr>
                  <w:rPr>
                    <w:rFonts w:ascii="Cambria Math" w:hAnsi="Cambria Math"/>
                    <w:i/>
                  </w:rPr>
                </m:ctrlPr>
              </m:radPr>
              <m:deg/>
              <m:e>
                <m:sSubSup>
                  <m:sSubSupPr>
                    <m:ctrlPr>
                      <w:rPr>
                        <w:rFonts w:ascii="Cambria Math" w:hAnsi="Cambria Math"/>
                        <w:i/>
                      </w:rPr>
                    </m:ctrlPr>
                  </m:sSubSupPr>
                  <m:e>
                    <m:r>
                      <m:rPr>
                        <m:sty m:val="p"/>
                      </m:rPr>
                      <w:rPr>
                        <w:rFonts w:ascii="Cambria Math" w:hAnsi="Cambria Math"/>
                      </w:rPr>
                      <m:t>(Γ</m:t>
                    </m:r>
                  </m:e>
                  <m:sub>
                    <m:r>
                      <w:rPr>
                        <w:rFonts w:ascii="Cambria Math" w:hAnsi="Cambria Math"/>
                      </w:rPr>
                      <m:t>A</m:t>
                    </m:r>
                  </m:sub>
                  <m:sup>
                    <m:r>
                      <w:rPr>
                        <w:rFonts w:ascii="Cambria Math" w:hAnsi="Cambria Math"/>
                      </w:rPr>
                      <m:t>+</m:t>
                    </m:r>
                  </m:sup>
                </m:sSubSup>
                <m:sSubSup>
                  <m:sSubSupPr>
                    <m:ctrlPr>
                      <w:rPr>
                        <w:rFonts w:ascii="Cambria Math" w:hAnsi="Cambria Math"/>
                        <w:i/>
                      </w:rPr>
                    </m:ctrlPr>
                  </m:sSubSupPr>
                  <m:e>
                    <m:r>
                      <m:rPr>
                        <m:sty m:val="p"/>
                      </m:rPr>
                      <w:rPr>
                        <w:rFonts w:ascii="Cambria Math" w:hAnsi="Cambria Math"/>
                      </w:rPr>
                      <m:t>Γ</m:t>
                    </m:r>
                  </m:e>
                  <m:sub>
                    <m:r>
                      <w:rPr>
                        <w:rFonts w:ascii="Cambria Math" w:hAnsi="Cambria Math"/>
                      </w:rPr>
                      <m:t>A</m:t>
                    </m:r>
                  </m:sub>
                  <m:sup>
                    <m:r>
                      <w:rPr>
                        <w:rFonts w:ascii="Cambria Math" w:hAnsi="Cambria Math"/>
                      </w:rPr>
                      <m:t>-</m:t>
                    </m:r>
                  </m:sup>
                </m:sSubSup>
                <m:r>
                  <w:rPr>
                    <w:rFonts w:ascii="Cambria Math" w:hAnsi="Cambria Math"/>
                  </w:rPr>
                  <m:t>)</m:t>
                </m:r>
              </m:e>
            </m:rad>
          </m:e>
        </m:d>
      </m:oMath>
      <w:r w:rsidR="00C32564" w:rsidRPr="002B76EF">
        <w:t xml:space="preserve">               (</w:t>
      </w:r>
      <w:r w:rsidR="00AA34D6">
        <w:rPr>
          <w:rStyle w:val="fontstyle01"/>
          <w:sz w:val="24"/>
          <w:szCs w:val="24"/>
        </w:rPr>
        <w:t>4.</w:t>
      </w:r>
      <w:r w:rsidR="00C32564" w:rsidRPr="002B76EF">
        <w:t>8)</w:t>
      </w:r>
    </w:p>
    <w:p w14:paraId="3CE6B3F8" w14:textId="77777777" w:rsidR="00C32564" w:rsidRPr="002B76EF" w:rsidRDefault="00C32564" w:rsidP="00E5144D">
      <w:pPr>
        <w:ind w:firstLine="720"/>
      </w:pPr>
      <w:r w:rsidRPr="002B76EF">
        <w:t xml:space="preserve">As recommended by </w:t>
      </w:r>
      <w:r w:rsidRPr="002B76EF">
        <w:fldChar w:fldCharType="begin"/>
      </w:r>
      <w:r w:rsidRPr="002B76EF">
        <w:instrText xml:space="preserve"> ADDIN EN.CITE &lt;EndNote&gt;&lt;Cite AuthorYear="1"&gt;&lt;Author&gt;Bhasin&lt;/Author&gt;&lt;Year&gt;2007&lt;/Year&gt;&lt;RecNum&gt;26&lt;/RecNum&gt;&lt;DisplayText&gt;Bhasin et al. (2007b)&lt;/DisplayText&gt;&lt;record&gt;&lt;rec-number&gt;26&lt;/rec-number&gt;&lt;foreign-keys&gt;&lt;key app="EN" db-id="d55vzfpwawdafteedfoxsf0lv0v0wp5va2aa" timestamp="1509901161"&gt;26&lt;/key&gt;&lt;/foreign-keys&gt;&lt;ref-type name="Journal Article"&gt;17&lt;/ref-type&gt;&lt;contributors&gt;&lt;authors&gt;&lt;author&gt;Bhasin, Amit&lt;/author&gt;&lt;author&gt;Little, Dallas&lt;/author&gt;&lt;author&gt;Vasconcelos, Kamilla&lt;/author&gt;&lt;author&gt;Masad, Eyad&lt;/author&gt;&lt;/authors&gt;&lt;/contributors&gt;&lt;titles&gt;&lt;title&gt;Surface Free Energy to Identify Moisture Sensitivity of Materials for Asphalt Mixes&lt;/title&gt;&lt;secondary-title&gt;Transportation Research Record: Journal of the Transportation Research Board&lt;/secondary-title&gt;&lt;/titles&gt;&lt;periodical&gt;&lt;full-title&gt;Transportation Research Record: Journal of the Transportation Research Board&lt;/full-title&gt;&lt;/periodical&gt;&lt;pages&gt;37-45&lt;/pages&gt;&lt;number&gt;2001&lt;/number&gt;&lt;dates&gt;&lt;year&gt;2007&lt;/year&gt;&lt;/dates&gt;&lt;isbn&gt;0361-1981&lt;/isbn&gt;&lt;urls&gt;&lt;/urls&gt;&lt;/record&gt;&lt;/Cite&gt;&lt;/EndNote&gt;</w:instrText>
      </w:r>
      <w:r w:rsidRPr="002B76EF">
        <w:fldChar w:fldCharType="separate"/>
      </w:r>
      <w:r w:rsidRPr="002B76EF">
        <w:rPr>
          <w:noProof/>
        </w:rPr>
        <w:t>Bhasin et al. (2007b)</w:t>
      </w:r>
      <w:r w:rsidRPr="002B76EF">
        <w:fldChar w:fldCharType="end"/>
      </w:r>
      <w:r w:rsidRPr="002B76EF">
        <w:t xml:space="preserve">, all the parameters, such as </w:t>
      </w:r>
      <w:r w:rsidRPr="002B76EF">
        <w:rPr>
          <w:i/>
        </w:rPr>
        <w:t>W</w:t>
      </w:r>
      <w:r w:rsidRPr="002B76EF">
        <w:rPr>
          <w:i/>
          <w:vertAlign w:val="subscript"/>
        </w:rPr>
        <w:t>AS</w:t>
      </w:r>
      <w:r w:rsidRPr="002B76EF">
        <w:t xml:space="preserve"> and </w:t>
      </w:r>
      <m:oMath>
        <m:sSubSup>
          <m:sSubSupPr>
            <m:ctrlPr>
              <w:rPr>
                <w:rFonts w:ascii="Cambria Math" w:hAnsi="Cambria Math"/>
                <w:i/>
                <w:kern w:val="2"/>
                <w:lang w:eastAsia="ja-JP"/>
              </w:rPr>
            </m:ctrlPr>
          </m:sSubSupPr>
          <m:e>
            <m:r>
              <w:rPr>
                <w:rFonts w:ascii="Cambria Math" w:hAnsi="Cambria Math"/>
              </w:rPr>
              <m:t>W</m:t>
            </m:r>
          </m:e>
          <m:sub>
            <m:r>
              <w:rPr>
                <w:rFonts w:ascii="Cambria Math" w:hAnsi="Cambria Math"/>
              </w:rPr>
              <m:t>ASW</m:t>
            </m:r>
          </m:sub>
          <m:sup>
            <m:r>
              <w:rPr>
                <w:rFonts w:ascii="Cambria Math" w:hAnsi="Cambria Math"/>
              </w:rPr>
              <m:t>wet</m:t>
            </m:r>
          </m:sup>
        </m:sSubSup>
      </m:oMath>
      <w:r w:rsidRPr="002B76EF">
        <w:t xml:space="preserve">, </w:t>
      </w:r>
      <w:r w:rsidRPr="002B76EF">
        <w:rPr>
          <w:i/>
        </w:rPr>
        <w:t>S</w:t>
      </w:r>
      <w:r w:rsidRPr="002B76EF">
        <w:rPr>
          <w:i/>
          <w:vertAlign w:val="subscript"/>
        </w:rPr>
        <w:t>A/S</w:t>
      </w:r>
      <w:r w:rsidRPr="002B76EF">
        <w:t xml:space="preserve"> and energy ratios were used in this study to evaluate moisture-induced damage potential of asphalt mixes. </w:t>
      </w:r>
    </w:p>
    <w:p w14:paraId="79931173" w14:textId="156D8847" w:rsidR="00C32564" w:rsidRPr="002B76EF" w:rsidRDefault="009664B6" w:rsidP="00E57694">
      <w:pPr>
        <w:pStyle w:val="Heading2"/>
      </w:pPr>
      <w:bookmarkStart w:id="114" w:name="_Toc71728440"/>
      <w:r w:rsidRPr="002B76EF">
        <w:t>MATERIALS AND METHODS</w:t>
      </w:r>
      <w:bookmarkEnd w:id="114"/>
    </w:p>
    <w:p w14:paraId="1A11593F" w14:textId="6D885D7F" w:rsidR="00C32564" w:rsidRPr="002B76EF" w:rsidRDefault="00C32564" w:rsidP="00985A4A">
      <w:pPr>
        <w:pStyle w:val="Heading3"/>
      </w:pPr>
      <w:bookmarkStart w:id="115" w:name="_Toc71728441"/>
      <w:r w:rsidRPr="002B76EF">
        <w:t>Materials</w:t>
      </w:r>
      <w:bookmarkEnd w:id="115"/>
    </w:p>
    <w:p w14:paraId="26999217" w14:textId="53BA14B0" w:rsidR="00C32564" w:rsidRPr="002B76EF" w:rsidRDefault="00C32564" w:rsidP="00E5144D">
      <w:pPr>
        <w:pStyle w:val="Paragraph"/>
        <w:spacing w:before="0"/>
        <w:rPr>
          <w:szCs w:val="22"/>
        </w:rPr>
      </w:pPr>
      <w:r w:rsidRPr="002B76EF">
        <w:rPr>
          <w:szCs w:val="22"/>
        </w:rPr>
        <w:t xml:space="preserve">The work-flow diagram used for this study is presented in Figure </w:t>
      </w:r>
      <w:r w:rsidR="006D745C">
        <w:t>4.</w:t>
      </w:r>
      <w:r w:rsidRPr="002B76EF">
        <w:rPr>
          <w:szCs w:val="22"/>
        </w:rPr>
        <w:t xml:space="preserve">1. For the purpose of this study, a commonly used dense-graded mix design with a nominal maximum aggregate size (NMAS) of 12.5 mm was selected and pertinent materials were collected from an Oklahoma, USA plant. Five different mixes with two different aging conditions (short-term and long-term aging) were prepared in the laboratory following the collected mix design protocol. Mix-1-None was the control mix without any additives, whereas Mix-2-WMA, Mix-3-ASA, Mix-4-PPA and Mix-5-RAP contained WMA additive, ASA, PPA and RAP, respectively. The amount of WMA additive (0.5% of total binder) and ASA (0.5% of total binder) used in Mix-2-WMA and Mix-3-ASA, respectively, was selected based on the manufacturers’ recommendations. For Mix-4-PPA, the amount of PPA (1.5% of total binder) was selected based on the experience from a previous project conducted by the authors </w:t>
      </w:r>
      <w:r w:rsidRPr="002B76EF">
        <w:rPr>
          <w:szCs w:val="22"/>
        </w:rPr>
        <w:fldChar w:fldCharType="begin"/>
      </w:r>
      <w:r w:rsidR="00282238">
        <w:rPr>
          <w:szCs w:val="22"/>
        </w:rPr>
        <w:instrText xml:space="preserve"> ADDIN EN.CITE &lt;EndNote&gt;&lt;Cite&gt;&lt;Author&gt;Rani&lt;/Author&gt;&lt;Year&gt;2019&lt;/Year&gt;&lt;RecNum&gt;94&lt;/RecNum&gt;&lt;DisplayText&gt;(Rani, 2019a)&lt;/DisplayText&gt;&lt;record&gt;&lt;rec-number&gt;94&lt;/rec-number&gt;&lt;foreign-keys&gt;&lt;key app="EN" db-id="astwexet2fdsx3edv9mp0sahrepz2t2rdt55" timestamp="1573163073"&gt;94&lt;/key&gt;&lt;/foreign-keys&gt;&lt;ref-type name="Thesis"&gt;32&lt;/ref-type&gt;&lt;contributors&gt;&lt;authors&gt;&lt;author&gt;Rani, Shivani&lt;/author&gt;&lt;/authors&gt;&lt;/contributors&gt;&lt;titles&gt;&lt;title&gt;Characterization of Rutting in Asphalt Pavements using Laboratory Testing&lt;/title&gt;&lt;secondary-title&gt;School of Civil Engineering and Environmental Science&lt;/secondary-title&gt;&lt;/titles&gt;&lt;volume&gt;Ph.D. Dissertation&lt;/volume&gt;&lt;dates&gt;&lt;year&gt;2019&lt;/year&gt;&lt;/dates&gt;&lt;publisher&gt;University of Oklahoma, Norman&lt;/publisher&gt;&lt;work-type&gt;Ph.D. Dissertation&lt;/work-type&gt;&lt;urls&gt;&lt;/urls&gt;&lt;/record&gt;&lt;/Cite&gt;&lt;/EndNote&gt;</w:instrText>
      </w:r>
      <w:r w:rsidRPr="002B76EF">
        <w:rPr>
          <w:szCs w:val="22"/>
        </w:rPr>
        <w:fldChar w:fldCharType="separate"/>
      </w:r>
      <w:r w:rsidR="00282238">
        <w:rPr>
          <w:noProof/>
          <w:szCs w:val="22"/>
        </w:rPr>
        <w:t>(Rani, 2019a)</w:t>
      </w:r>
      <w:r w:rsidRPr="002B76EF">
        <w:rPr>
          <w:szCs w:val="22"/>
        </w:rPr>
        <w:fldChar w:fldCharType="end"/>
      </w:r>
      <w:r w:rsidRPr="002B76EF">
        <w:rPr>
          <w:szCs w:val="22"/>
        </w:rPr>
        <w:t xml:space="preserve">. Mix-1-None through Mix-4-PPA were prepared with approximately 25 percent 5/8" stone chips, 15 percent ½" stone chips, 30 percent 3/8 screens, 15 percent 3/16" screens and 15 percent sand, and 5.2 percent PG 64-22 binder. The gradation curve for the mixes is presented in Figure </w:t>
      </w:r>
      <w:r w:rsidR="006D745C">
        <w:t>4.</w:t>
      </w:r>
      <w:r w:rsidRPr="002B76EF">
        <w:rPr>
          <w:szCs w:val="22"/>
        </w:rPr>
        <w:t xml:space="preserve">2. The sand used for this study was natural sand collected from Canadian river near Oklahoma City. Except sand, all the aggregates were rhyolite aggregate and were collected from an Oklahoma quarry. Therefore, mixes contain 85% rhyolite aggregate and 15% natural sand. Although the initial design does not contain RAP, changes were made in the mix design to incorporate 20% RAP and maintain a similar gradation. A slightly higher binder content (5.5%) was required for Mix-5-RAP compared to other mixes to satisfy the mix design requirement set by Oklahoma DOT </w:t>
      </w:r>
      <w:r w:rsidRPr="002B76EF">
        <w:rPr>
          <w:szCs w:val="22"/>
        </w:rPr>
        <w:fldChar w:fldCharType="begin"/>
      </w:r>
      <w:r w:rsidR="00282238">
        <w:rPr>
          <w:szCs w:val="22"/>
        </w:rPr>
        <w:instrText xml:space="preserve"> ADDIN EN.CITE &lt;EndNote&gt;&lt;Cite&gt;&lt;Author&gt;ODOT&lt;/Author&gt;&lt;Year&gt;2009&lt;/Year&gt;&lt;RecNum&gt;227&lt;/RecNum&gt;&lt;DisplayText&gt;(ODOT, 2009)&lt;/DisplayText&gt;&lt;record&gt;&lt;rec-number&gt;227&lt;/rec-number&gt;&lt;foreign-keys&gt;&lt;key app="EN" db-id="d55vzfpwawdafteedfoxsf0lv0v0wp5va2aa" timestamp="1581433401"&gt;227&lt;/key&gt;&lt;/foreign-keys&gt;&lt;ref-type name="Standard"&gt;58&lt;/ref-type&gt;&lt;contributors&gt;&lt;authors&gt;&lt;author&gt;ODOT&lt;/author&gt;&lt;/authors&gt;&lt;/contributors&gt;&lt;titles&gt;&lt;title&gt;2009 standard specifications for highway construction&lt;/title&gt;&lt;/titles&gt;&lt;dates&gt;&lt;year&gt;2009&lt;/year&gt;&lt;pub-dates&gt;&lt;date&gt;2009&lt;/date&gt;&lt;/pub-dates&gt;&lt;/dates&gt;&lt;pub-location&gt;Oklahoma City, Oklahoma&lt;/pub-location&gt;&lt;publisher&gt;Oklahoma Department of Transportation&lt;/publisher&gt;&lt;urls&gt;&lt;related-urls&gt;&lt;url&gt;&lt;style face="underline" font="default" size="100%"&gt;https://www.odot.org/c_manuals/specbook/oe_ss_2009.pdf&lt;/style&gt;&lt;/url&gt;&lt;/related-urls&gt;&lt;/urls&gt;&lt;/record&gt;&lt;/Cite&gt;&lt;/EndNote&gt;</w:instrText>
      </w:r>
      <w:r w:rsidRPr="002B76EF">
        <w:rPr>
          <w:szCs w:val="22"/>
        </w:rPr>
        <w:fldChar w:fldCharType="separate"/>
      </w:r>
      <w:r w:rsidR="00282238">
        <w:rPr>
          <w:noProof/>
          <w:szCs w:val="22"/>
        </w:rPr>
        <w:t>(ODOT, 2009)</w:t>
      </w:r>
      <w:r w:rsidRPr="002B76EF">
        <w:rPr>
          <w:szCs w:val="22"/>
        </w:rPr>
        <w:fldChar w:fldCharType="end"/>
      </w:r>
      <w:r w:rsidRPr="002B76EF">
        <w:rPr>
          <w:szCs w:val="22"/>
        </w:rPr>
        <w:t xml:space="preserve">. The PG 64-22 was an unmodified binder and collected from an Oklahoma refinery. The RAP required to produce asphalt mixes was collected from an Oklahoma asphalt plant. Also, a chemical WMA additive, one type of PPA and an amine-based ASA were collected from material suppliers of Oklahoma. Additives were mixed with the binder at their mixing temperatures before adding to the aggregates. Of the selected mixes, four (Mix-1-None, Mix-3-ASA, Mix-4-PPA and Mix-5-RAP) were mixed and compacted at 163° and 149°C, respectively. A lower mixing (135°C) and compaction (128°C) temperatures were used for Mix-2-WMA as it contained WMA additive-modified binder. For the purpose of this study, the AASHTO R 30 </w:t>
      </w:r>
      <w:r w:rsidRPr="002B76EF">
        <w:rPr>
          <w:szCs w:val="22"/>
        </w:rPr>
        <w:fldChar w:fldCharType="begin"/>
      </w:r>
      <w:r w:rsidR="00282238">
        <w:rPr>
          <w:szCs w:val="22"/>
        </w:rPr>
        <w:instrText xml:space="preserve"> ADDIN EN.CITE &lt;EndNote&gt;&lt;Cite&gt;&lt;Author&gt;AASHTO&lt;/Author&gt;&lt;Year&gt;2015&lt;/Year&gt;&lt;RecNum&gt;229&lt;/RecNum&gt;&lt;DisplayText&gt;(AASHTO, 2015a)&lt;/DisplayText&gt;&lt;record&gt;&lt;rec-number&gt;229&lt;/rec-number&gt;&lt;foreign-keys&gt;&lt;key app="EN" db-id="d55vzfpwawdafteedfoxsf0lv0v0wp5va2aa" timestamp="1582053730"&gt;229&lt;/key&gt;&lt;/foreign-keys&gt;&lt;ref-type name="Standard"&gt;58&lt;/ref-type&gt;&lt;contributors&gt;&lt;authors&gt;&lt;author&gt;AASHTO&lt;/author&gt;&lt;/authors&gt;&lt;/contributors&gt;&lt;titles&gt;&lt;title&gt;AASHTO R 30: Standard Practice for Mixture Conditioning of Hot Mix Asphalt (HMA)&lt;/title&gt;&lt;/titles&gt;&lt;dates&gt;&lt;year&gt;2015&lt;/year&gt;&lt;/dates&gt;&lt;pub-location&gt;Washington, D.C.&lt;/pub-location&gt;&lt;publisher&gt;American Association of State Highway and Transportation Officials&lt;/publisher&gt;&lt;urls&gt;&lt;/urls&gt;&lt;/record&gt;&lt;/Cite&gt;&lt;/EndNote&gt;</w:instrText>
      </w:r>
      <w:r w:rsidRPr="002B76EF">
        <w:rPr>
          <w:szCs w:val="22"/>
        </w:rPr>
        <w:fldChar w:fldCharType="separate"/>
      </w:r>
      <w:r w:rsidR="00282238">
        <w:rPr>
          <w:noProof/>
          <w:szCs w:val="22"/>
        </w:rPr>
        <w:t>(AASHTO, 2015a)</w:t>
      </w:r>
      <w:r w:rsidRPr="002B76EF">
        <w:rPr>
          <w:szCs w:val="22"/>
        </w:rPr>
        <w:fldChar w:fldCharType="end"/>
      </w:r>
      <w:r w:rsidRPr="002B76EF">
        <w:rPr>
          <w:szCs w:val="22"/>
        </w:rPr>
        <w:t xml:space="preserve"> procedure was followed to prepare samples using both short-term and long-term aging. For simulating short-term aging, all the loose mixes were placed in an oven for four (4) hours at 135°C before compaction. After short-term aging, cylindrical samples of different dimensions needed to conduct ITS and IL-SCB tests were compacted using a Superpave gyratory compactor (SGC). The AASHTO T 312 </w:t>
      </w:r>
      <w:r w:rsidRPr="002B76EF">
        <w:rPr>
          <w:szCs w:val="22"/>
        </w:rPr>
        <w:fldChar w:fldCharType="begin"/>
      </w:r>
      <w:r w:rsidR="00282238">
        <w:rPr>
          <w:szCs w:val="22"/>
        </w:rPr>
        <w:instrText xml:space="preserve"> ADDIN EN.CITE &lt;EndNote&gt;&lt;Cite&gt;&lt;Author&gt;AASHTO&lt;/Author&gt;&lt;Year&gt;2015&lt;/Year&gt;&lt;RecNum&gt;230&lt;/RecNum&gt;&lt;DisplayText&gt;(AASHTO, 2015b)&lt;/DisplayText&gt;&lt;record&gt;&lt;rec-number&gt;230&lt;/rec-number&gt;&lt;foreign-keys&gt;&lt;key app="EN" db-id="d55vzfpwawdafteedfoxsf0lv0v0wp5va2aa" timestamp="1582054036"&gt;230&lt;/key&gt;&lt;/foreign-keys&gt;&lt;ref-type name="Standard"&gt;58&lt;/ref-type&gt;&lt;contributors&gt;&lt;authors&gt;&lt;author&gt;AASHTO&lt;/author&gt;&lt;/authors&gt;&lt;/contributors&gt;&lt;titles&gt;&lt;title&gt;AASHTO T 312: Standard Method of Test for Preparing and Determining the Density of Asphalt Mixture Specimens by Means of the Superpave Gyratory Compactor&lt;/title&gt;&lt;/titles&gt;&lt;dates&gt;&lt;year&gt;2015&lt;/year&gt;&lt;/dates&gt;&lt;pub-location&gt;Washington, D.C.&lt;/pub-location&gt;&lt;publisher&gt;American Association of State Highway and Transportation Officials&lt;/publisher&gt;&lt;urls&gt;&lt;/urls&gt;&lt;/record&gt;&lt;/Cite&gt;&lt;/EndNote&gt;</w:instrText>
      </w:r>
      <w:r w:rsidRPr="002B76EF">
        <w:rPr>
          <w:szCs w:val="22"/>
        </w:rPr>
        <w:fldChar w:fldCharType="separate"/>
      </w:r>
      <w:r w:rsidR="00282238">
        <w:rPr>
          <w:noProof/>
          <w:szCs w:val="22"/>
        </w:rPr>
        <w:t>(AASHTO, 2015b)</w:t>
      </w:r>
      <w:r w:rsidRPr="002B76EF">
        <w:rPr>
          <w:szCs w:val="22"/>
        </w:rPr>
        <w:fldChar w:fldCharType="end"/>
      </w:r>
      <w:r w:rsidRPr="002B76EF">
        <w:rPr>
          <w:szCs w:val="22"/>
        </w:rPr>
        <w:t xml:space="preserve"> method was followed for compaction. For this purpose, batch weights of the mixes were adjusted to obtain specimens with 7% air voids after compaction. Specimens were compacted in height-controlled mode in SGC to obtain 7% air voids at desired height. Long-term aging on the samples were simulated by placing the compacted samples in the oven for 120 hours at 85°C following AASHTO R 30 </w:t>
      </w:r>
      <w:r w:rsidRPr="002B76EF">
        <w:rPr>
          <w:szCs w:val="22"/>
        </w:rPr>
        <w:fldChar w:fldCharType="begin"/>
      </w:r>
      <w:r w:rsidR="00282238">
        <w:rPr>
          <w:szCs w:val="22"/>
        </w:rPr>
        <w:instrText xml:space="preserve"> ADDIN EN.CITE &lt;EndNote&gt;&lt;Cite&gt;&lt;Author&gt;AASHTO&lt;/Author&gt;&lt;Year&gt;2015&lt;/Year&gt;&lt;RecNum&gt;229&lt;/RecNum&gt;&lt;DisplayText&gt;(AASHTO, 2015a)&lt;/DisplayText&gt;&lt;record&gt;&lt;rec-number&gt;229&lt;/rec-number&gt;&lt;foreign-keys&gt;&lt;key app="EN" db-id="d55vzfpwawdafteedfoxsf0lv0v0wp5va2aa" timestamp="1582053730"&gt;229&lt;/key&gt;&lt;/foreign-keys&gt;&lt;ref-type name="Standard"&gt;58&lt;/ref-type&gt;&lt;contributors&gt;&lt;authors&gt;&lt;author&gt;AASHTO&lt;/author&gt;&lt;/authors&gt;&lt;/contributors&gt;&lt;titles&gt;&lt;title&gt;AASHTO R 30: Standard Practice for Mixture Conditioning of Hot Mix Asphalt (HMA)&lt;/title&gt;&lt;/titles&gt;&lt;dates&gt;&lt;year&gt;2015&lt;/year&gt;&lt;/dates&gt;&lt;pub-location&gt;Washington, D.C.&lt;/pub-location&gt;&lt;publisher&gt;American Association of State Highway and Transportation Officials&lt;/publisher&gt;&lt;urls&gt;&lt;/urls&gt;&lt;/record&gt;&lt;/Cite&gt;&lt;/EndNote&gt;</w:instrText>
      </w:r>
      <w:r w:rsidRPr="002B76EF">
        <w:rPr>
          <w:szCs w:val="22"/>
        </w:rPr>
        <w:fldChar w:fldCharType="separate"/>
      </w:r>
      <w:r w:rsidR="00282238">
        <w:rPr>
          <w:noProof/>
          <w:szCs w:val="22"/>
        </w:rPr>
        <w:t>(AASHTO, 2015a)</w:t>
      </w:r>
      <w:r w:rsidRPr="002B76EF">
        <w:rPr>
          <w:szCs w:val="22"/>
        </w:rPr>
        <w:fldChar w:fldCharType="end"/>
      </w:r>
      <w:r w:rsidRPr="002B76EF">
        <w:rPr>
          <w:szCs w:val="22"/>
        </w:rPr>
        <w:t xml:space="preserve">. Laboratory tests were conducted on samples that satisfied the air voids requirement of 7±0.5%. </w:t>
      </w:r>
    </w:p>
    <w:p w14:paraId="6C864BC7" w14:textId="6BDBEAFD" w:rsidR="00C32564" w:rsidRPr="002B76EF" w:rsidRDefault="00C32564" w:rsidP="00E5144D">
      <w:pPr>
        <w:pStyle w:val="Paragraph"/>
        <w:spacing w:before="0"/>
        <w:rPr>
          <w:szCs w:val="22"/>
        </w:rPr>
      </w:pPr>
      <w:r w:rsidRPr="002B76EF">
        <w:rPr>
          <w:szCs w:val="22"/>
        </w:rPr>
        <w:t xml:space="preserve">The surface free energy components of the collected PG 64-22 binder with 0.5% WMA additive, 0.5% ASA, 1.5% PPA and 20% RAP (by weight of the total binder) were determined using dynamic Wilhelmy plate (DWP) test. For this study, simulated RAP binder was used instead of extracted binder to avoid any chemical contamination from the use of solvent during the extraction and recovery process. The simulated RAP binder was prepared following the procedure described in the literature </w:t>
      </w:r>
      <w:r w:rsidRPr="002B76EF">
        <w:rPr>
          <w:szCs w:val="22"/>
        </w:rPr>
        <w:fldChar w:fldCharType="begin"/>
      </w:r>
      <w:r w:rsidR="00282238">
        <w:rPr>
          <w:szCs w:val="22"/>
        </w:rPr>
        <w:instrText xml:space="preserve"> ADDIN EN.CITE &lt;EndNote&gt;&lt;Cite&gt;&lt;Author&gt;Ghabchi&lt;/Author&gt;&lt;Year&gt;2014&lt;/Year&gt;&lt;RecNum&gt;113&lt;/RecNum&gt;&lt;DisplayText&gt;(Ghabchi et al., 2014)&lt;/DisplayText&gt;&lt;record&gt;&lt;rec-number&gt;113&lt;/rec-number&gt;&lt;foreign-keys&gt;&lt;key app="EN" db-id="d55vzfpwawdafteedfoxsf0lv0v0wp5va2aa" timestamp="1521350423"&gt;113&lt;/key&gt;&lt;/foreign-keys&gt;&lt;ref-type name="Journal Article"&gt;17&lt;/ref-type&gt;&lt;contributors&gt;&lt;authors&gt;&lt;author&gt;Ghabchi, Rouzbeh&lt;/author&gt;&lt;author&gt;Singh, Dharamveer&lt;/author&gt;&lt;author&gt;Zaman, Musharraf&lt;/author&gt;&lt;/authors&gt;&lt;/contributors&gt;&lt;titles&gt;&lt;title&gt;Evaluation of Moisture Susceptibility of Asphalt Mixes Containing RAP and Different Types of Aggregates and Asphalt Binders Using the Surface Free Energy Method&lt;/title&gt;&lt;secondary-title&gt;Construction and Building Materials&lt;/secondary-title&gt;&lt;/titles&gt;&lt;periodical&gt;&lt;full-title&gt;Construction and Building Materials&lt;/full-title&gt;&lt;/periodical&gt;&lt;pages&gt;479-489&lt;/pages&gt;&lt;volume&gt;73&lt;/volume&gt;&lt;dates&gt;&lt;year&gt;2014&lt;/year&gt;&lt;/dates&gt;&lt;isbn&gt;0950-0618&lt;/isbn&gt;&lt;urls&gt;&lt;/urls&gt;&lt;/record&gt;&lt;/Cite&gt;&lt;/EndNote&gt;</w:instrText>
      </w:r>
      <w:r w:rsidRPr="002B76EF">
        <w:rPr>
          <w:szCs w:val="22"/>
        </w:rPr>
        <w:fldChar w:fldCharType="separate"/>
      </w:r>
      <w:r w:rsidR="00282238">
        <w:rPr>
          <w:noProof/>
          <w:szCs w:val="22"/>
        </w:rPr>
        <w:t>(Ghabchi et al., 2014)</w:t>
      </w:r>
      <w:r w:rsidRPr="002B76EF">
        <w:rPr>
          <w:szCs w:val="22"/>
        </w:rPr>
        <w:fldChar w:fldCharType="end"/>
      </w:r>
      <w:r w:rsidRPr="002B76EF">
        <w:rPr>
          <w:szCs w:val="22"/>
        </w:rPr>
        <w:t xml:space="preserve">. For this purpose, a PG 64-22 binder was short-term aged using a rolling thin film oven (RTFO) following the AASHTO T 240 </w:t>
      </w:r>
      <w:r w:rsidRPr="002B76EF">
        <w:rPr>
          <w:szCs w:val="22"/>
        </w:rPr>
        <w:fldChar w:fldCharType="begin"/>
      </w:r>
      <w:r w:rsidR="00282238">
        <w:rPr>
          <w:szCs w:val="22"/>
        </w:rPr>
        <w:instrText xml:space="preserve"> ADDIN EN.CITE &lt;EndNote&gt;&lt;Cite&gt;&lt;Author&gt;AASHTO&lt;/Author&gt;&lt;Year&gt;2017&lt;/Year&gt;&lt;RecNum&gt;231&lt;/RecNum&gt;&lt;DisplayText&gt;(AASHTO, 2017)&lt;/DisplayText&gt;&lt;record&gt;&lt;rec-number&gt;231&lt;/rec-number&gt;&lt;foreign-keys&gt;&lt;key app="EN" db-id="d55vzfpwawdafteedfoxsf0lv0v0wp5va2aa" timestamp="1582054352"&gt;231&lt;/key&gt;&lt;/foreign-keys&gt;&lt;ref-type name="Standard"&gt;58&lt;/ref-type&gt;&lt;contributors&gt;&lt;authors&gt;&lt;author&gt;AASHTO&lt;/author&gt;&lt;/authors&gt;&lt;/contributors&gt;&lt;titles&gt;&lt;title&gt;AASHTO T 240: Standard Method of Test for Effect of Heat and Air on a Moving Film of Asphalt Binder (Rolling Thin-Film Oven Test) &lt;/title&gt;&lt;/titles&gt;&lt;dates&gt;&lt;year&gt;2017&lt;/year&gt;&lt;/dates&gt;&lt;pub-location&gt;Washington, D.C.&lt;/pub-location&gt;&lt;publisher&gt;American Association of State Highway and Transportation Officials&lt;/publisher&gt;&lt;urls&gt;&lt;/urls&gt;&lt;/record&gt;&lt;/Cite&gt;&lt;/EndNote&gt;</w:instrText>
      </w:r>
      <w:r w:rsidRPr="002B76EF">
        <w:rPr>
          <w:szCs w:val="22"/>
        </w:rPr>
        <w:fldChar w:fldCharType="separate"/>
      </w:r>
      <w:r w:rsidR="00282238">
        <w:rPr>
          <w:noProof/>
          <w:szCs w:val="22"/>
        </w:rPr>
        <w:t>(AASHTO, 2017)</w:t>
      </w:r>
      <w:r w:rsidRPr="002B76EF">
        <w:rPr>
          <w:szCs w:val="22"/>
        </w:rPr>
        <w:fldChar w:fldCharType="end"/>
      </w:r>
      <w:r w:rsidRPr="002B76EF">
        <w:rPr>
          <w:szCs w:val="22"/>
        </w:rPr>
        <w:t xml:space="preserve"> method and then long-term aged using a pressure aging vessel (PAV) following the AASHTO R 28 </w:t>
      </w:r>
      <w:r w:rsidRPr="002B76EF">
        <w:rPr>
          <w:szCs w:val="22"/>
        </w:rPr>
        <w:fldChar w:fldCharType="begin"/>
      </w:r>
      <w:r w:rsidR="00282238">
        <w:rPr>
          <w:szCs w:val="22"/>
        </w:rPr>
        <w:instrText xml:space="preserve"> ADDIN EN.CITE &lt;EndNote&gt;&lt;Cite&gt;&lt;Author&gt;AASHTO&lt;/Author&gt;&lt;Year&gt;2016&lt;/Year&gt;&lt;RecNum&gt;232&lt;/RecNum&gt;&lt;DisplayText&gt;(AASHTO, 2016)&lt;/DisplayText&gt;&lt;record&gt;&lt;rec-number&gt;232&lt;/rec-number&gt;&lt;foreign-keys&gt;&lt;key app="EN" db-id="d55vzfpwawdafteedfoxsf0lv0v0wp5va2aa" timestamp="1582054472"&gt;232&lt;/key&gt;&lt;/foreign-keys&gt;&lt;ref-type name="Standard"&gt;58&lt;/ref-type&gt;&lt;contributors&gt;&lt;authors&gt;&lt;author&gt;AASHTO&lt;/author&gt;&lt;/authors&gt;&lt;/contributors&gt;&lt;titles&gt;&lt;title&gt;AASHTO R 28: Standard Practice for Accelerated Aging of Asphalt Binder Using a Pressurized Aging Vessel (PAV) &lt;/title&gt;&lt;/titles&gt;&lt;dates&gt;&lt;year&gt;2016&lt;/year&gt;&lt;/dates&gt;&lt;pub-location&gt;Washington, D.C.&lt;/pub-location&gt;&lt;publisher&gt;American Association of State Highway and Transportation Officials&lt;/publisher&gt;&lt;urls&gt;&lt;/urls&gt;&lt;/record&gt;&lt;/Cite&gt;&lt;/EndNote&gt;</w:instrText>
      </w:r>
      <w:r w:rsidRPr="002B76EF">
        <w:rPr>
          <w:szCs w:val="22"/>
        </w:rPr>
        <w:fldChar w:fldCharType="separate"/>
      </w:r>
      <w:r w:rsidR="00282238">
        <w:rPr>
          <w:noProof/>
          <w:szCs w:val="22"/>
        </w:rPr>
        <w:t>(AASHTO, 2016)</w:t>
      </w:r>
      <w:r w:rsidRPr="002B76EF">
        <w:rPr>
          <w:szCs w:val="22"/>
        </w:rPr>
        <w:fldChar w:fldCharType="end"/>
      </w:r>
      <w:r w:rsidRPr="002B76EF">
        <w:rPr>
          <w:szCs w:val="22"/>
        </w:rPr>
        <w:t xml:space="preserve"> method. Asphalt binder was blended with the additives using a high shear mixer at 1,000 rpm for 45 minutes at 155°C. T</w:t>
      </w:r>
      <w:r w:rsidRPr="002B76EF">
        <w:t xml:space="preserve">he mixing time and speed was kept same for all the binder blends (including control binder) to avoid the effect of aging during mixing. </w:t>
      </w:r>
      <w:r w:rsidRPr="002B76EF">
        <w:rPr>
          <w:szCs w:val="22"/>
        </w:rPr>
        <w:t xml:space="preserve">The short-term aging and long-term aging of the binder blends were simulated following the AASHTO T 240 </w:t>
      </w:r>
      <w:r w:rsidRPr="002B76EF">
        <w:rPr>
          <w:szCs w:val="22"/>
        </w:rPr>
        <w:fldChar w:fldCharType="begin"/>
      </w:r>
      <w:r w:rsidR="00282238">
        <w:rPr>
          <w:szCs w:val="22"/>
        </w:rPr>
        <w:instrText xml:space="preserve"> ADDIN EN.CITE &lt;EndNote&gt;&lt;Cite&gt;&lt;Author&gt;AASHTO&lt;/Author&gt;&lt;Year&gt;2017&lt;/Year&gt;&lt;RecNum&gt;231&lt;/RecNum&gt;&lt;DisplayText&gt;(AASHTO, 2017)&lt;/DisplayText&gt;&lt;record&gt;&lt;rec-number&gt;231&lt;/rec-number&gt;&lt;foreign-keys&gt;&lt;key app="EN" db-id="d55vzfpwawdafteedfoxsf0lv0v0wp5va2aa" timestamp="1582054352"&gt;231&lt;/key&gt;&lt;/foreign-keys&gt;&lt;ref-type name="Standard"&gt;58&lt;/ref-type&gt;&lt;contributors&gt;&lt;authors&gt;&lt;author&gt;AASHTO&lt;/author&gt;&lt;/authors&gt;&lt;/contributors&gt;&lt;titles&gt;&lt;title&gt;AASHTO T 240: Standard Method of Test for Effect of Heat and Air on a Moving Film of Asphalt Binder (Rolling Thin-Film Oven Test) &lt;/title&gt;&lt;/titles&gt;&lt;dates&gt;&lt;year&gt;2017&lt;/year&gt;&lt;/dates&gt;&lt;pub-location&gt;Washington, D.C.&lt;/pub-location&gt;&lt;publisher&gt;American Association of State Highway and Transportation Officials&lt;/publisher&gt;&lt;urls&gt;&lt;/urls&gt;&lt;/record&gt;&lt;/Cite&gt;&lt;/EndNote&gt;</w:instrText>
      </w:r>
      <w:r w:rsidRPr="002B76EF">
        <w:rPr>
          <w:szCs w:val="22"/>
        </w:rPr>
        <w:fldChar w:fldCharType="separate"/>
      </w:r>
      <w:r w:rsidR="00282238">
        <w:rPr>
          <w:noProof/>
          <w:szCs w:val="22"/>
        </w:rPr>
        <w:t>(AASHTO, 2017)</w:t>
      </w:r>
      <w:r w:rsidRPr="002B76EF">
        <w:rPr>
          <w:szCs w:val="22"/>
        </w:rPr>
        <w:fldChar w:fldCharType="end"/>
      </w:r>
      <w:r w:rsidRPr="002B76EF">
        <w:rPr>
          <w:szCs w:val="22"/>
        </w:rPr>
        <w:t xml:space="preserve"> and AASHTO R 28 </w:t>
      </w:r>
      <w:r w:rsidRPr="002B76EF">
        <w:rPr>
          <w:szCs w:val="22"/>
        </w:rPr>
        <w:fldChar w:fldCharType="begin"/>
      </w:r>
      <w:r w:rsidR="00282238">
        <w:rPr>
          <w:szCs w:val="22"/>
        </w:rPr>
        <w:instrText xml:space="preserve"> ADDIN EN.CITE &lt;EndNote&gt;&lt;Cite&gt;&lt;Author&gt;AASHTO&lt;/Author&gt;&lt;Year&gt;2016&lt;/Year&gt;&lt;RecNum&gt;232&lt;/RecNum&gt;&lt;DisplayText&gt;(AASHTO, 2016)&lt;/DisplayText&gt;&lt;record&gt;&lt;rec-number&gt;232&lt;/rec-number&gt;&lt;foreign-keys&gt;&lt;key app="EN" db-id="d55vzfpwawdafteedfoxsf0lv0v0wp5va2aa" timestamp="1582054472"&gt;232&lt;/key&gt;&lt;/foreign-keys&gt;&lt;ref-type name="Standard"&gt;58&lt;/ref-type&gt;&lt;contributors&gt;&lt;authors&gt;&lt;author&gt;AASHTO&lt;/author&gt;&lt;/authors&gt;&lt;/contributors&gt;&lt;titles&gt;&lt;title&gt;AASHTO R 28: Standard Practice for Accelerated Aging of Asphalt Binder Using a Pressurized Aging Vessel (PAV) &lt;/title&gt;&lt;/titles&gt;&lt;dates&gt;&lt;year&gt;2016&lt;/year&gt;&lt;/dates&gt;&lt;pub-location&gt;Washington, D.C.&lt;/pub-location&gt;&lt;publisher&gt;American Association of State Highway and Transportation Officials&lt;/publisher&gt;&lt;urls&gt;&lt;/urls&gt;&lt;/record&gt;&lt;/Cite&gt;&lt;/EndNote&gt;</w:instrText>
      </w:r>
      <w:r w:rsidRPr="002B76EF">
        <w:rPr>
          <w:szCs w:val="22"/>
        </w:rPr>
        <w:fldChar w:fldCharType="separate"/>
      </w:r>
      <w:r w:rsidR="00282238">
        <w:rPr>
          <w:noProof/>
          <w:szCs w:val="22"/>
        </w:rPr>
        <w:t>(AASHTO, 2016)</w:t>
      </w:r>
      <w:r w:rsidRPr="002B76EF">
        <w:rPr>
          <w:szCs w:val="22"/>
        </w:rPr>
        <w:fldChar w:fldCharType="end"/>
      </w:r>
      <w:r w:rsidRPr="002B76EF">
        <w:rPr>
          <w:szCs w:val="22"/>
        </w:rPr>
        <w:t xml:space="preserve"> method, respectively. </w:t>
      </w:r>
    </w:p>
    <w:p w14:paraId="7715FFCF" w14:textId="77777777" w:rsidR="00C32564" w:rsidRPr="002B76EF" w:rsidRDefault="00C32564" w:rsidP="00E5144D">
      <w:pPr>
        <w:pStyle w:val="Paragraph"/>
        <w:spacing w:before="0"/>
      </w:pPr>
      <w:r w:rsidRPr="002B76EF">
        <w:rPr>
          <w:szCs w:val="22"/>
        </w:rPr>
        <w:t xml:space="preserve">The SFE components of the rhyolite aggregate used in the mixes was measured using a universal sorption device (USD). For aggregate sample preparation, the size fraction with particles larger than 2.36 mm (retaining on a No. 8 sieve) and smaller than 4.75 mm (passing a No. 4 sieve) was selected. The selected fraction of aggregates was washed several times with distilled water to obtain dust-free clean surfaces. Then they were oven-dried at 120°C for 24 hours and allowed to cool down to room temperature in a desiccator sealed with silica gel, before testing. It should be noted that, in the current study, SFE components of sand was not determined and not included in the energy parameter calculation using thermodynamic equations. As the amount of sand is small (15% of the aggregate) compared to the rhyolite aggregate (85% of the aggregate), it was assumed to have insignificant effect on the energy parameter calculation. However, the effect of the SFE </w:t>
      </w:r>
      <w:r w:rsidRPr="002B76EF">
        <w:t xml:space="preserve">components of sand will be addressed in a future study. </w:t>
      </w:r>
    </w:p>
    <w:p w14:paraId="2203A568" w14:textId="6B461547" w:rsidR="00C32564" w:rsidRPr="002B76EF" w:rsidRDefault="00C32564" w:rsidP="00985A4A">
      <w:pPr>
        <w:pStyle w:val="Heading3"/>
      </w:pPr>
      <w:bookmarkStart w:id="116" w:name="_Toc71728442"/>
      <w:r w:rsidRPr="002B76EF">
        <w:t>Test Methods</w:t>
      </w:r>
      <w:bookmarkEnd w:id="116"/>
    </w:p>
    <w:p w14:paraId="00ED4E58" w14:textId="77777777" w:rsidR="00C32564" w:rsidRPr="002B76EF" w:rsidRDefault="00C32564" w:rsidP="00E5144D">
      <w:pPr>
        <w:pStyle w:val="Heading4"/>
        <w:spacing w:before="0" w:after="0"/>
      </w:pPr>
      <w:r w:rsidRPr="002B76EF">
        <w:t>Indirect Tensile Strength Test</w:t>
      </w:r>
    </w:p>
    <w:p w14:paraId="2AE324FE" w14:textId="525F321A" w:rsidR="00C32564" w:rsidRPr="002B76EF" w:rsidRDefault="00C32564" w:rsidP="00E5144D">
      <w:pPr>
        <w:pStyle w:val="Paragraph"/>
        <w:spacing w:before="0"/>
      </w:pPr>
      <w:r w:rsidRPr="002B76EF">
        <w:t xml:space="preserve">The ITS test was conducted in accordance with the AASHTO T 283 </w:t>
      </w:r>
      <w:r w:rsidRPr="002B76EF">
        <w:fldChar w:fldCharType="begin"/>
      </w:r>
      <w:r w:rsidR="00282238">
        <w:instrText xml:space="preserve"> ADDIN EN.CITE &lt;EndNote&gt;&lt;Cite&gt;&lt;Author&gt;AASHTO&lt;/Author&gt;&lt;Year&gt;2014&lt;/Year&gt;&lt;RecNum&gt;233&lt;/RecNum&gt;&lt;DisplayText&gt;(AASHTO, 2014a)&lt;/DisplayText&gt;&lt;record&gt;&lt;rec-number&gt;233&lt;/rec-number&gt;&lt;foreign-keys&gt;&lt;key app="EN" db-id="d55vzfpwawdafteedfoxsf0lv0v0wp5va2aa" timestamp="1582054690"&gt;233&lt;/key&gt;&lt;/foreign-keys&gt;&lt;ref-type name="Standard"&gt;58&lt;/ref-type&gt;&lt;contributors&gt;&lt;authors&gt;&lt;author&gt;AASHTO&lt;/author&gt;&lt;/authors&gt;&lt;/contributors&gt;&lt;titles&gt;&lt;title&gt;AASHTO T 283: Standard Method of Test for Resistance of Compacted Asphalt Mixtures to Moisture-Induced Damage&lt;/title&gt;&lt;/titles&gt;&lt;dates&gt;&lt;year&gt;2014&lt;/year&gt;&lt;/dates&gt;&lt;pub-location&gt;Washington, D.C.&lt;/pub-location&gt;&lt;publisher&gt;American Association of State Highway and Transportation Officials&lt;/publisher&gt;&lt;urls&gt;&lt;/urls&gt;&lt;/record&gt;&lt;/Cite&gt;&lt;/EndNote&gt;</w:instrText>
      </w:r>
      <w:r w:rsidRPr="002B76EF">
        <w:fldChar w:fldCharType="separate"/>
      </w:r>
      <w:r w:rsidR="00282238">
        <w:rPr>
          <w:noProof/>
        </w:rPr>
        <w:t>(AASHTO, 2014a)</w:t>
      </w:r>
      <w:r w:rsidRPr="002B76EF">
        <w:fldChar w:fldCharType="end"/>
      </w:r>
      <w:r w:rsidRPr="002B76EF">
        <w:t xml:space="preserve"> test method. The reduction in tensile strength as a result of the freeze-thaw conditioning was measured as an indicator of the moisture-induced damage. For this purpose, asphalt mix specimens of 150 mm diameter and 95 mm height were prepared in the laboratory. The compacted specimens of each mix were divided into three subsets, short-term aged dry conditioned, short-term aged moisture conditioned and long-term aged moisture conditioned. The short-term aged dry conditioned specimens were prepared by keeping the sample at 25°C, whereas short-term moisture conditioned specimens were subjected to moisture conditioning by AASHTO T 283 </w:t>
      </w:r>
      <w:r w:rsidRPr="002B76EF">
        <w:fldChar w:fldCharType="begin"/>
      </w:r>
      <w:r w:rsidR="00282238">
        <w:instrText xml:space="preserve"> ADDIN EN.CITE &lt;EndNote&gt;&lt;Cite&gt;&lt;Author&gt;AASHTO&lt;/Author&gt;&lt;Year&gt;2014&lt;/Year&gt;&lt;RecNum&gt;233&lt;/RecNum&gt;&lt;DisplayText&gt;(AASHTO, 2014a)&lt;/DisplayText&gt;&lt;record&gt;&lt;rec-number&gt;233&lt;/rec-number&gt;&lt;foreign-keys&gt;&lt;key app="EN" db-id="d55vzfpwawdafteedfoxsf0lv0v0wp5va2aa" timestamp="1582054690"&gt;233&lt;/key&gt;&lt;/foreign-keys&gt;&lt;ref-type name="Standard"&gt;58&lt;/ref-type&gt;&lt;contributors&gt;&lt;authors&gt;&lt;author&gt;AASHTO&lt;/author&gt;&lt;/authors&gt;&lt;/contributors&gt;&lt;titles&gt;&lt;title&gt;AASHTO T 283: Standard Method of Test for Resistance of Compacted Asphalt Mixtures to Moisture-Induced Damage&lt;/title&gt;&lt;/titles&gt;&lt;dates&gt;&lt;year&gt;2014&lt;/year&gt;&lt;/dates&gt;&lt;pub-location&gt;Washington, D.C.&lt;/pub-location&gt;&lt;publisher&gt;American Association of State Highway and Transportation Officials&lt;/publisher&gt;&lt;urls&gt;&lt;/urls&gt;&lt;/record&gt;&lt;/Cite&gt;&lt;/EndNote&gt;</w:instrText>
      </w:r>
      <w:r w:rsidRPr="002B76EF">
        <w:fldChar w:fldCharType="separate"/>
      </w:r>
      <w:r w:rsidR="00282238">
        <w:rPr>
          <w:noProof/>
        </w:rPr>
        <w:t>(AASHTO, 2014a)</w:t>
      </w:r>
      <w:r w:rsidRPr="002B76EF">
        <w:fldChar w:fldCharType="end"/>
      </w:r>
      <w:r w:rsidRPr="002B76EF">
        <w:t xml:space="preserve">. The third subset was long-term aged by keeping in the oven for 120 hours at 85°C following AASHTO R 30 </w:t>
      </w:r>
      <w:r w:rsidRPr="002B76EF">
        <w:fldChar w:fldCharType="begin"/>
      </w:r>
      <w:r w:rsidR="00282238">
        <w:instrText xml:space="preserve"> ADDIN EN.CITE &lt;EndNote&gt;&lt;Cite&gt;&lt;Author&gt;AASHTO&lt;/Author&gt;&lt;Year&gt;2015&lt;/Year&gt;&lt;RecNum&gt;229&lt;/RecNum&gt;&lt;DisplayText&gt;(AASHTO, 2015a)&lt;/DisplayText&gt;&lt;record&gt;&lt;rec-number&gt;229&lt;/rec-number&gt;&lt;foreign-keys&gt;&lt;key app="EN" db-id="d55vzfpwawdafteedfoxsf0lv0v0wp5va2aa" timestamp="1582053730"&gt;229&lt;/key&gt;&lt;/foreign-keys&gt;&lt;ref-type name="Standard"&gt;58&lt;/ref-type&gt;&lt;contributors&gt;&lt;authors&gt;&lt;author&gt;AASHTO&lt;/author&gt;&lt;/authors&gt;&lt;/contributors&gt;&lt;titles&gt;&lt;title&gt;AASHTO R 30: Standard Practice for Mixture Conditioning of Hot Mix Asphalt (HMA)&lt;/title&gt;&lt;/titles&gt;&lt;dates&gt;&lt;year&gt;2015&lt;/year&gt;&lt;/dates&gt;&lt;pub-location&gt;Washington, D.C.&lt;/pub-location&gt;&lt;publisher&gt;American Association of State Highway and Transportation Officials&lt;/publisher&gt;&lt;urls&gt;&lt;/urls&gt;&lt;/record&gt;&lt;/Cite&gt;&lt;/EndNote&gt;</w:instrText>
      </w:r>
      <w:r w:rsidRPr="002B76EF">
        <w:fldChar w:fldCharType="separate"/>
      </w:r>
      <w:r w:rsidR="00282238">
        <w:rPr>
          <w:noProof/>
        </w:rPr>
        <w:t>(AASHTO, 2015a)</w:t>
      </w:r>
      <w:r w:rsidRPr="002B76EF">
        <w:fldChar w:fldCharType="end"/>
      </w:r>
      <w:r w:rsidRPr="002B76EF">
        <w:t xml:space="preserve">. After conducting long-term aging, the specimens from the third subset were moisture conditioned following AASHTO T 283 </w:t>
      </w:r>
      <w:r w:rsidRPr="002B76EF">
        <w:fldChar w:fldCharType="begin"/>
      </w:r>
      <w:r w:rsidR="00282238">
        <w:instrText xml:space="preserve"> ADDIN EN.CITE &lt;EndNote&gt;&lt;Cite&gt;&lt;Author&gt;AASHTO&lt;/Author&gt;&lt;Year&gt;2014&lt;/Year&gt;&lt;RecNum&gt;233&lt;/RecNum&gt;&lt;DisplayText&gt;(AASHTO, 2014a)&lt;/DisplayText&gt;&lt;record&gt;&lt;rec-number&gt;233&lt;/rec-number&gt;&lt;foreign-keys&gt;&lt;key app="EN" db-id="d55vzfpwawdafteedfoxsf0lv0v0wp5va2aa" timestamp="1582054690"&gt;233&lt;/key&gt;&lt;/foreign-keys&gt;&lt;ref-type name="Standard"&gt;58&lt;/ref-type&gt;&lt;contributors&gt;&lt;authors&gt;&lt;author&gt;AASHTO&lt;/author&gt;&lt;/authors&gt;&lt;/contributors&gt;&lt;titles&gt;&lt;title&gt;AASHTO T 283: Standard Method of Test for Resistance of Compacted Asphalt Mixtures to Moisture-Induced Damage&lt;/title&gt;&lt;/titles&gt;&lt;dates&gt;&lt;year&gt;2014&lt;/year&gt;&lt;/dates&gt;&lt;pub-location&gt;Washington, D.C.&lt;/pub-location&gt;&lt;publisher&gt;American Association of State Highway and Transportation Officials&lt;/publisher&gt;&lt;urls&gt;&lt;/urls&gt;&lt;/record&gt;&lt;/Cite&gt;&lt;/EndNote&gt;</w:instrText>
      </w:r>
      <w:r w:rsidRPr="002B76EF">
        <w:fldChar w:fldCharType="separate"/>
      </w:r>
      <w:r w:rsidR="00282238">
        <w:rPr>
          <w:noProof/>
        </w:rPr>
        <w:t>(AASHTO, 2014a)</w:t>
      </w:r>
      <w:r w:rsidRPr="002B76EF">
        <w:fldChar w:fldCharType="end"/>
      </w:r>
      <w:r w:rsidRPr="002B76EF">
        <w:t xml:space="preserve"> method. According to AASHTO T 283 </w:t>
      </w:r>
      <w:r w:rsidRPr="002B76EF">
        <w:fldChar w:fldCharType="begin"/>
      </w:r>
      <w:r w:rsidR="00282238">
        <w:instrText xml:space="preserve"> ADDIN EN.CITE &lt;EndNote&gt;&lt;Cite&gt;&lt;Author&gt;AASHTO&lt;/Author&gt;&lt;Year&gt;2014&lt;/Year&gt;&lt;RecNum&gt;233&lt;/RecNum&gt;&lt;DisplayText&gt;(AASHTO, 2014a)&lt;/DisplayText&gt;&lt;record&gt;&lt;rec-number&gt;233&lt;/rec-number&gt;&lt;foreign-keys&gt;&lt;key app="EN" db-id="d55vzfpwawdafteedfoxsf0lv0v0wp5va2aa" timestamp="1582054690"&gt;233&lt;/key&gt;&lt;/foreign-keys&gt;&lt;ref-type name="Standard"&gt;58&lt;/ref-type&gt;&lt;contributors&gt;&lt;authors&gt;&lt;author&gt;AASHTO&lt;/author&gt;&lt;/authors&gt;&lt;/contributors&gt;&lt;titles&gt;&lt;title&gt;AASHTO T 283: Standard Method of Test for Resistance of Compacted Asphalt Mixtures to Moisture-Induced Damage&lt;/title&gt;&lt;/titles&gt;&lt;dates&gt;&lt;year&gt;2014&lt;/year&gt;&lt;/dates&gt;&lt;pub-location&gt;Washington, D.C.&lt;/pub-location&gt;&lt;publisher&gt;American Association of State Highway and Transportation Officials&lt;/publisher&gt;&lt;urls&gt;&lt;/urls&gt;&lt;/record&gt;&lt;/Cite&gt;&lt;/EndNote&gt;</w:instrText>
      </w:r>
      <w:r w:rsidRPr="002B76EF">
        <w:fldChar w:fldCharType="separate"/>
      </w:r>
      <w:r w:rsidR="00282238">
        <w:rPr>
          <w:noProof/>
        </w:rPr>
        <w:t>(AASHTO, 2014a)</w:t>
      </w:r>
      <w:r w:rsidRPr="002B76EF">
        <w:fldChar w:fldCharType="end"/>
      </w:r>
      <w:r w:rsidRPr="002B76EF">
        <w:t xml:space="preserve"> method, samples were conditioned by saturating with water (70-80% saturation) under a 13 to 67 kPa absolute vacuum pressure. After vacuum saturation, samples were tightly sealed with a plastic film and placed in leak-proof plastic bag containing 10 mL of water. The samples were then subjected to a freeze cycle at -18°C for a minimum of 16 hours followed by a thaw cycle at 60°C for 24 hours. All specimens were brought to 25°C before conducting the ITS test. The short-term aged </w:t>
      </w:r>
      <w:r w:rsidRPr="002B76EF">
        <w:rPr>
          <w:i/>
          <w:iCs/>
        </w:rPr>
        <w:t>TSR</w:t>
      </w:r>
      <w:r w:rsidRPr="002B76EF">
        <w:t xml:space="preserve"> (</w:t>
      </w:r>
      <w:r w:rsidRPr="002B76EF">
        <w:rPr>
          <w:i/>
          <w:iCs/>
        </w:rPr>
        <w:t>TSR</w:t>
      </w:r>
      <w:r w:rsidRPr="002B76EF">
        <w:rPr>
          <w:i/>
          <w:iCs/>
          <w:vertAlign w:val="subscript"/>
        </w:rPr>
        <w:t>ST</w:t>
      </w:r>
      <w:r w:rsidRPr="002B76EF">
        <w:t xml:space="preserve">) and long-term aged </w:t>
      </w:r>
      <w:r w:rsidRPr="002B76EF">
        <w:rPr>
          <w:i/>
          <w:iCs/>
        </w:rPr>
        <w:t>TSR</w:t>
      </w:r>
      <w:r w:rsidRPr="002B76EF">
        <w:t xml:space="preserve"> (</w:t>
      </w:r>
      <w:r w:rsidRPr="002B76EF">
        <w:rPr>
          <w:i/>
          <w:iCs/>
        </w:rPr>
        <w:t>TSR</w:t>
      </w:r>
      <w:r w:rsidRPr="002B76EF">
        <w:rPr>
          <w:i/>
          <w:iCs/>
          <w:vertAlign w:val="subscript"/>
        </w:rPr>
        <w:t>LT</w:t>
      </w:r>
      <w:r w:rsidRPr="002B76EF">
        <w:t>) for the mixes were calculated using Equations (</w:t>
      </w:r>
      <w:r w:rsidR="00AA34D6">
        <w:rPr>
          <w:rStyle w:val="fontstyle01"/>
          <w:sz w:val="24"/>
          <w:szCs w:val="24"/>
        </w:rPr>
        <w:t>4.</w:t>
      </w:r>
      <w:r w:rsidRPr="002B76EF">
        <w:t>9) and (</w:t>
      </w:r>
      <w:r w:rsidR="00AA34D6">
        <w:rPr>
          <w:rStyle w:val="fontstyle01"/>
          <w:sz w:val="24"/>
          <w:szCs w:val="24"/>
        </w:rPr>
        <w:t>4.</w:t>
      </w:r>
      <w:r w:rsidRPr="002B76EF">
        <w:t xml:space="preserve">10). </w:t>
      </w:r>
    </w:p>
    <w:p w14:paraId="670EDF64" w14:textId="072E40C9" w:rsidR="00C32564" w:rsidRPr="002B76EF" w:rsidRDefault="007F7885" w:rsidP="00E5144D">
      <w:pPr>
        <w:pStyle w:val="Paragraph"/>
        <w:spacing w:before="0"/>
        <w:jc w:val="center"/>
      </w:pPr>
      <m:oMath>
        <m:sSub>
          <m:sSubPr>
            <m:ctrlPr>
              <w:rPr>
                <w:rFonts w:ascii="Cambria Math" w:hAnsi="Cambria Math"/>
                <w:i/>
              </w:rPr>
            </m:ctrlPr>
          </m:sSubPr>
          <m:e>
            <m:r>
              <w:rPr>
                <w:rFonts w:ascii="Cambria Math" w:hAnsi="Cambria Math"/>
              </w:rPr>
              <m:t>TSR</m:t>
            </m:r>
          </m:e>
          <m:sub>
            <m:r>
              <w:rPr>
                <w:rFonts w:ascii="Cambria Math" w:hAnsi="Cambria Math"/>
              </w:rPr>
              <m:t>ST</m:t>
            </m:r>
          </m:sub>
        </m:sSub>
        <m:r>
          <w:rPr>
            <w:rFonts w:ascii="Cambria Math" w:hAnsi="Cambria Math"/>
          </w:rPr>
          <m:t>=</m:t>
        </m:r>
        <m:f>
          <m:fPr>
            <m:ctrlPr>
              <w:rPr>
                <w:rFonts w:ascii="Cambria Math" w:hAnsi="Cambria Math"/>
                <w:i/>
              </w:rPr>
            </m:ctrlPr>
          </m:fPr>
          <m:num>
            <m:r>
              <w:rPr>
                <w:rFonts w:ascii="Cambria Math" w:hAnsi="Cambria Math"/>
              </w:rPr>
              <m:t>ITS of short-term aged moisture-conditioned Specimens</m:t>
            </m:r>
          </m:num>
          <m:den>
            <m:r>
              <w:rPr>
                <w:rFonts w:ascii="Cambria Math" w:hAnsi="Cambria Math"/>
              </w:rPr>
              <m:t>ITS of short-term aged Dry-conditioned Specimens</m:t>
            </m:r>
          </m:den>
        </m:f>
      </m:oMath>
      <w:r w:rsidR="00C32564" w:rsidRPr="002B76EF">
        <w:t xml:space="preserve">          (</w:t>
      </w:r>
      <w:r w:rsidR="00AA34D6">
        <w:rPr>
          <w:rStyle w:val="fontstyle01"/>
          <w:sz w:val="24"/>
          <w:szCs w:val="24"/>
        </w:rPr>
        <w:t>4.</w:t>
      </w:r>
      <w:r w:rsidR="00C32564" w:rsidRPr="002B76EF">
        <w:t xml:space="preserve">9)    </w:t>
      </w:r>
    </w:p>
    <w:p w14:paraId="409CF0BB" w14:textId="14782036" w:rsidR="00C32564" w:rsidRPr="002B76EF" w:rsidRDefault="007F7885" w:rsidP="00E5144D">
      <w:pPr>
        <w:pStyle w:val="Paragraph"/>
        <w:spacing w:before="0"/>
        <w:jc w:val="center"/>
      </w:pPr>
      <m:oMath>
        <m:sSub>
          <m:sSubPr>
            <m:ctrlPr>
              <w:rPr>
                <w:rFonts w:ascii="Cambria Math" w:hAnsi="Cambria Math"/>
                <w:i/>
              </w:rPr>
            </m:ctrlPr>
          </m:sSubPr>
          <m:e>
            <m:r>
              <w:rPr>
                <w:rFonts w:ascii="Cambria Math" w:hAnsi="Cambria Math"/>
              </w:rPr>
              <m:t>TSR</m:t>
            </m:r>
          </m:e>
          <m:sub>
            <m:r>
              <w:rPr>
                <w:rFonts w:ascii="Cambria Math" w:hAnsi="Cambria Math"/>
              </w:rPr>
              <m:t>LT</m:t>
            </m:r>
          </m:sub>
        </m:sSub>
        <m:r>
          <w:rPr>
            <w:rFonts w:ascii="Cambria Math" w:hAnsi="Cambria Math"/>
          </w:rPr>
          <m:t>=</m:t>
        </m:r>
        <m:f>
          <m:fPr>
            <m:ctrlPr>
              <w:rPr>
                <w:rFonts w:ascii="Cambria Math" w:hAnsi="Cambria Math"/>
                <w:i/>
              </w:rPr>
            </m:ctrlPr>
          </m:fPr>
          <m:num>
            <m:r>
              <w:rPr>
                <w:rFonts w:ascii="Cambria Math" w:hAnsi="Cambria Math"/>
              </w:rPr>
              <m:t>ITS of long-term aged moisture-conditioned Specimens</m:t>
            </m:r>
          </m:num>
          <m:den>
            <m:r>
              <w:rPr>
                <w:rFonts w:ascii="Cambria Math" w:hAnsi="Cambria Math"/>
              </w:rPr>
              <m:t>ITS of short-term aged Dry-conditioned Specimens</m:t>
            </m:r>
          </m:den>
        </m:f>
      </m:oMath>
      <w:r w:rsidR="00C32564" w:rsidRPr="002B76EF">
        <w:t xml:space="preserve">          (</w:t>
      </w:r>
      <w:r w:rsidR="00AA34D6">
        <w:rPr>
          <w:rStyle w:val="fontstyle01"/>
          <w:sz w:val="24"/>
          <w:szCs w:val="24"/>
        </w:rPr>
        <w:t>4.</w:t>
      </w:r>
      <w:r w:rsidR="00C32564" w:rsidRPr="002B76EF">
        <w:t xml:space="preserve">10)    </w:t>
      </w:r>
    </w:p>
    <w:p w14:paraId="5FCC1F95" w14:textId="44EDB57A" w:rsidR="00C32564" w:rsidRPr="002B76EF" w:rsidRDefault="00C32564" w:rsidP="00E5144D">
      <w:pPr>
        <w:pStyle w:val="Paragraph"/>
        <w:spacing w:before="0"/>
      </w:pPr>
      <w:r w:rsidRPr="002B76EF">
        <w:t xml:space="preserve">The short-term aged </w:t>
      </w:r>
      <w:r w:rsidRPr="002B76EF">
        <w:rPr>
          <w:i/>
          <w:iCs/>
        </w:rPr>
        <w:t>TSR</w:t>
      </w:r>
      <w:r w:rsidRPr="002B76EF">
        <w:t xml:space="preserve"> (</w:t>
      </w:r>
      <w:r w:rsidRPr="002B76EF">
        <w:rPr>
          <w:i/>
          <w:iCs/>
        </w:rPr>
        <w:t>TSR</w:t>
      </w:r>
      <w:r w:rsidRPr="002B76EF">
        <w:rPr>
          <w:i/>
          <w:iCs/>
          <w:vertAlign w:val="subscript"/>
        </w:rPr>
        <w:t>ST</w:t>
      </w:r>
      <w:r w:rsidRPr="002B76EF">
        <w:t xml:space="preserve">) value was determined by dividing the average tensile strength of short-term aged moisture conditioned by short-term aged dry conditioned specimens. The reduction in tensile strength due to long-term aging and AASHTO T 283 </w:t>
      </w:r>
      <w:r w:rsidRPr="002B76EF">
        <w:fldChar w:fldCharType="begin"/>
      </w:r>
      <w:r w:rsidR="00282238">
        <w:instrText xml:space="preserve"> ADDIN EN.CITE &lt;EndNote&gt;&lt;Cite&gt;&lt;Author&gt;AASHTO&lt;/Author&gt;&lt;Year&gt;2014&lt;/Year&gt;&lt;RecNum&gt;233&lt;/RecNum&gt;&lt;DisplayText&gt;(AASHTO, 2014a)&lt;/DisplayText&gt;&lt;record&gt;&lt;rec-number&gt;233&lt;/rec-number&gt;&lt;foreign-keys&gt;&lt;key app="EN" db-id="d55vzfpwawdafteedfoxsf0lv0v0wp5va2aa" timestamp="1582054690"&gt;233&lt;/key&gt;&lt;/foreign-keys&gt;&lt;ref-type name="Standard"&gt;58&lt;/ref-type&gt;&lt;contributors&gt;&lt;authors&gt;&lt;author&gt;AASHTO&lt;/author&gt;&lt;/authors&gt;&lt;/contributors&gt;&lt;titles&gt;&lt;title&gt;AASHTO T 283: Standard Method of Test for Resistance of Compacted Asphalt Mixtures to Moisture-Induced Damage&lt;/title&gt;&lt;/titles&gt;&lt;dates&gt;&lt;year&gt;2014&lt;/year&gt;&lt;/dates&gt;&lt;pub-location&gt;Washington, D.C.&lt;/pub-location&gt;&lt;publisher&gt;American Association of State Highway and Transportation Officials&lt;/publisher&gt;&lt;urls&gt;&lt;/urls&gt;&lt;/record&gt;&lt;/Cite&gt;&lt;/EndNote&gt;</w:instrText>
      </w:r>
      <w:r w:rsidRPr="002B76EF">
        <w:fldChar w:fldCharType="separate"/>
      </w:r>
      <w:r w:rsidR="00282238">
        <w:rPr>
          <w:noProof/>
        </w:rPr>
        <w:t>(AASHTO, 2014a)</w:t>
      </w:r>
      <w:r w:rsidRPr="002B76EF">
        <w:fldChar w:fldCharType="end"/>
      </w:r>
      <w:r w:rsidRPr="002B76EF">
        <w:t xml:space="preserve"> moisture conditioning was determined using long-term aged </w:t>
      </w:r>
      <w:r w:rsidRPr="002B76EF">
        <w:rPr>
          <w:i/>
          <w:iCs/>
        </w:rPr>
        <w:t>TSR</w:t>
      </w:r>
      <w:r w:rsidRPr="002B76EF">
        <w:t xml:space="preserve"> (</w:t>
      </w:r>
      <w:r w:rsidRPr="002B76EF">
        <w:rPr>
          <w:i/>
          <w:iCs/>
        </w:rPr>
        <w:t>TSR</w:t>
      </w:r>
      <w:r w:rsidRPr="002B76EF">
        <w:rPr>
          <w:i/>
          <w:iCs/>
          <w:vertAlign w:val="subscript"/>
        </w:rPr>
        <w:t>LT</w:t>
      </w:r>
      <w:r w:rsidRPr="002B76EF">
        <w:t xml:space="preserve">). The </w:t>
      </w:r>
      <w:r w:rsidRPr="002B76EF">
        <w:rPr>
          <w:i/>
          <w:iCs/>
        </w:rPr>
        <w:t>TSR</w:t>
      </w:r>
      <w:r w:rsidRPr="002B76EF">
        <w:rPr>
          <w:i/>
          <w:iCs/>
          <w:vertAlign w:val="subscript"/>
        </w:rPr>
        <w:t>LT</w:t>
      </w:r>
      <w:r w:rsidRPr="002B76EF">
        <w:t xml:space="preserve"> is the ratio of the average tensile strength of long-term aged moisture conditioned to that of short-term aged dry conditioned specimens.</w:t>
      </w:r>
    </w:p>
    <w:p w14:paraId="34E47551" w14:textId="77777777" w:rsidR="00C32564" w:rsidRPr="002B76EF" w:rsidRDefault="00C32564" w:rsidP="00E5144D">
      <w:pPr>
        <w:pStyle w:val="Heading4"/>
        <w:spacing w:before="0" w:after="0"/>
      </w:pPr>
      <w:r w:rsidRPr="002B76EF">
        <w:t>Illinois Semi-Circular Bend Test</w:t>
      </w:r>
    </w:p>
    <w:p w14:paraId="3B756444" w14:textId="58E6E388" w:rsidR="00C32564" w:rsidRPr="002B76EF" w:rsidRDefault="00C32564" w:rsidP="00E5144D">
      <w:pPr>
        <w:pStyle w:val="Paragraph"/>
        <w:spacing w:before="0"/>
      </w:pPr>
      <w:r w:rsidRPr="002B76EF">
        <w:t>The fracture potential of asphalt mixes was evaluated using the fracture energy (</w:t>
      </w:r>
      <w:r w:rsidRPr="002B76EF">
        <w:rPr>
          <w:i/>
          <w:iCs/>
        </w:rPr>
        <w:t>G</w:t>
      </w:r>
      <w:r w:rsidRPr="002B76EF">
        <w:rPr>
          <w:i/>
          <w:iCs/>
          <w:vertAlign w:val="subscript"/>
        </w:rPr>
        <w:t>f</w:t>
      </w:r>
      <w:r w:rsidRPr="002B76EF">
        <w:t xml:space="preserve">) determined by IL-SCB test following the AASHTO TP 124 </w:t>
      </w:r>
      <w:r w:rsidRPr="002B76EF">
        <w:fldChar w:fldCharType="begin"/>
      </w:r>
      <w:r w:rsidR="00282238">
        <w:instrText xml:space="preserve"> ADDIN EN.CITE &lt;EndNote&gt;&lt;Cite&gt;&lt;Author&gt;AASHTO&lt;/Author&gt;&lt;Year&gt;2018&lt;/Year&gt;&lt;RecNum&gt;228&lt;/RecNum&gt;&lt;DisplayText&gt;(AASHTO, 2018)&lt;/DisplayText&gt;&lt;record&gt;&lt;rec-number&gt;228&lt;/rec-number&gt;&lt;foreign-keys&gt;&lt;key app="EN" db-id="d55vzfpwawdafteedfoxsf0lv0v0wp5va2aa" timestamp="1582053548"&gt;228&lt;/key&gt;&lt;/foreign-keys&gt;&lt;ref-type name="Standard"&gt;58&lt;/ref-type&gt;&lt;contributors&gt;&lt;authors&gt;&lt;author&gt;AASHTO&lt;/author&gt;&lt;/authors&gt;&lt;/contributors&gt;&lt;titles&gt;&lt;title&gt;AASHTO TP 124: Standard Method of Test for Determining the Fracture Potential of Asphalt Mixtures Using the Flexibility Index Test (FIT)&lt;/title&gt;&lt;/titles&gt;&lt;dates&gt;&lt;year&gt;2018&lt;/year&gt;&lt;/dates&gt;&lt;pub-location&gt;Washington, D.C.&lt;/pub-location&gt;&lt;publisher&gt;American Association of State Highway and Transportation Officials&lt;/publisher&gt;&lt;urls&gt;&lt;/urls&gt;&lt;/record&gt;&lt;/Cite&gt;&lt;/EndNote&gt;</w:instrText>
      </w:r>
      <w:r w:rsidRPr="002B76EF">
        <w:fldChar w:fldCharType="separate"/>
      </w:r>
      <w:r w:rsidR="00282238">
        <w:rPr>
          <w:noProof/>
        </w:rPr>
        <w:t>(AASHTO, 2018)</w:t>
      </w:r>
      <w:r w:rsidRPr="002B76EF">
        <w:fldChar w:fldCharType="end"/>
      </w:r>
      <w:r w:rsidRPr="002B76EF">
        <w:t xml:space="preserve"> method. For this purpose, cylindrical SGC samples of 150 mm diameter and 120 mm thickness were compacted in the laboratory. The sample was then cut into two cylindrical specimens with a diameter of 150 mm and a thickness of 50 mm. Specimens having a diameter of 150 mm, a height of 75 mm, and a thickness of 50 mm were obtained by cutting the cylindrical specimens into semi-circular halves. The moisture conditioning using only one freeze-thaw cycle was reported to be inadequate in simulating field conditions </w:t>
      </w:r>
      <w:r w:rsidRPr="002B76EF">
        <w:fldChar w:fldCharType="begin"/>
      </w:r>
      <w:r w:rsidR="00282238">
        <w:instrText xml:space="preserve"> ADDIN EN.CITE &lt;EndNote&gt;&lt;Cite&gt;&lt;Author&gt;Vargas-Nordcbeck&lt;/Author&gt;&lt;Year&gt;2016&lt;/Year&gt;&lt;RecNum&gt;42&lt;/RecNum&gt;&lt;DisplayText&gt;(Vargas-Nordcbeck et al., 2016)&lt;/DisplayText&gt;&lt;record&gt;&lt;rec-number&gt;42&lt;/rec-number&gt;&lt;foreign-keys&gt;&lt;key app="EN" db-id="d55vzfpwawdafteedfoxsf0lv0v0wp5va2aa" timestamp="1511300558"&gt;42&lt;/key&gt;&lt;/foreign-keys&gt;&lt;ref-type name="Journal Article"&gt;17&lt;/ref-type&gt;&lt;contributors&gt;&lt;authors&gt;&lt;author&gt;Vargas-Nordcbeck, Adriana&lt;/author&gt;&lt;author&gt;Leiva-Villacorta, Fabricio&lt;/author&gt;&lt;author&gt;Aguiar-Moya, José Pablo&lt;/author&gt;&lt;author&gt;Loria-Salazar, Luis&lt;/author&gt;&lt;/authors&gt;&lt;/contributors&gt;&lt;titles&gt;&lt;title&gt;Evaluating moisture susceptibility of asphalt concrete mixtures through simple performance tests&lt;/title&gt;&lt;secondary-title&gt;Transportation Research Record: Journal of the Transportation Research Board&lt;/secondary-title&gt;&lt;/titles&gt;&lt;periodical&gt;&lt;full-title&gt;Transportation Research Record: Journal of the Transportation Research Board&lt;/full-title&gt;&lt;/periodical&gt;&lt;pages&gt;70-78&lt;/pages&gt;&lt;number&gt;2575&lt;/number&gt;&lt;dates&gt;&lt;year&gt;2016&lt;/year&gt;&lt;/dates&gt;&lt;isbn&gt;0361-1981&lt;/isbn&gt;&lt;urls&gt;&lt;/urls&gt;&lt;/record&gt;&lt;/Cite&gt;&lt;/EndNote&gt;</w:instrText>
      </w:r>
      <w:r w:rsidRPr="002B76EF">
        <w:fldChar w:fldCharType="separate"/>
      </w:r>
      <w:r w:rsidR="00282238">
        <w:rPr>
          <w:noProof/>
        </w:rPr>
        <w:t>(Vargas-Nordcbeck et al., 2016)</w:t>
      </w:r>
      <w:r w:rsidRPr="002B76EF">
        <w:fldChar w:fldCharType="end"/>
      </w:r>
      <w:r w:rsidRPr="002B76EF">
        <w:t xml:space="preserve">. Therefore, another relatively new moisture conditioning process using Moisture Induced Sensitivity Test (MIST) device, following ASTM D 7870 </w:t>
      </w:r>
      <w:r w:rsidRPr="002B76EF">
        <w:fldChar w:fldCharType="begin"/>
      </w:r>
      <w:r w:rsidR="00282238">
        <w:instrText xml:space="preserve"> ADDIN EN.CITE &lt;EndNote&gt;&lt;Cite&gt;&lt;Author&gt;ASTM&lt;/Author&gt;&lt;Year&gt;2013&lt;/Year&gt;&lt;RecNum&gt;234&lt;/RecNum&gt;&lt;DisplayText&gt;(ASTM, 2013)&lt;/DisplayText&gt;&lt;record&gt;&lt;rec-number&gt;234&lt;/rec-number&gt;&lt;foreign-keys&gt;&lt;key app="EN" db-id="d55vzfpwawdafteedfoxsf0lv0v0wp5va2aa" timestamp="1582055990"&gt;234&lt;/key&gt;&lt;/foreign-keys&gt;&lt;ref-type name="Standard"&gt;58&lt;/ref-type&gt;&lt;contributors&gt;&lt;authors&gt;&lt;author&gt;ASTM&lt;/author&gt;&lt;/authors&gt;&lt;/contributors&gt;&lt;titles&gt;&lt;title&gt;ASTM D7870: Standard Practice for Moisture Conditioning Compacted Asphalt Mixture Specimens by Using Hydrostatic Pore Pressure&lt;/title&gt;&lt;/titles&gt;&lt;dates&gt;&lt;year&gt;2013&lt;/year&gt;&lt;/dates&gt;&lt;pub-location&gt;West Conshohocken, Pennsylvania&lt;/pub-location&gt;&lt;publisher&gt;ASTM International&lt;/publisher&gt;&lt;urls&gt;&lt;/urls&gt;&lt;/record&gt;&lt;/Cite&gt;&lt;/EndNote&gt;</w:instrText>
      </w:r>
      <w:r w:rsidRPr="002B76EF">
        <w:fldChar w:fldCharType="separate"/>
      </w:r>
      <w:r w:rsidR="00282238">
        <w:rPr>
          <w:noProof/>
        </w:rPr>
        <w:t>(ASTM, 2013)</w:t>
      </w:r>
      <w:r w:rsidRPr="002B76EF">
        <w:fldChar w:fldCharType="end"/>
      </w:r>
      <w:r w:rsidRPr="002B76EF">
        <w:t xml:space="preserve">, was used in this study as a part of the development of new test method using IL-SCB test. The MIST conditioning simulates the distress experienced by a wet pavement from a passing vehicle tire. Similar to ITS test, the samples were divided into three subsets, short-term aged dry conditioned, short-term aged MIST conditioned and long-term aged MIST conditioned. Following ASTM D 7870 (ASTM, 2013), compacted sample were placed inside the chamber of the MIST device. The chamber was then filled with sufficient water and the lid was secured. The chamber temperature was then raised to 60°C. The sample was conditioned at this temperature for 20 hours to simulate chemical and adhesion effects. After the adhesion phase, samples were subjected to 3,500 pressure cycles at 275 kPa to generate the effect of pore pressure inside the sample </w:t>
      </w:r>
      <w:r w:rsidRPr="002B76EF">
        <w:fldChar w:fldCharType="begin"/>
      </w:r>
      <w:r w:rsidR="00282238">
        <w:instrText xml:space="preserve"> ADDIN EN.CITE &lt;EndNote&gt;&lt;Cite&gt;&lt;Author&gt;ASTM&lt;/Author&gt;&lt;Year&gt;2013&lt;/Year&gt;&lt;RecNum&gt;234&lt;/RecNum&gt;&lt;DisplayText&gt;(ASTM, 2013)&lt;/DisplayText&gt;&lt;record&gt;&lt;rec-number&gt;234&lt;/rec-number&gt;&lt;foreign-keys&gt;&lt;key app="EN" db-id="d55vzfpwawdafteedfoxsf0lv0v0wp5va2aa" timestamp="1582055990"&gt;234&lt;/key&gt;&lt;/foreign-keys&gt;&lt;ref-type name="Standard"&gt;58&lt;/ref-type&gt;&lt;contributors&gt;&lt;authors&gt;&lt;author&gt;ASTM&lt;/author&gt;&lt;/authors&gt;&lt;/contributors&gt;&lt;titles&gt;&lt;title&gt;ASTM D7870: Standard Practice for Moisture Conditioning Compacted Asphalt Mixture Specimens by Using Hydrostatic Pore Pressure&lt;/title&gt;&lt;/titles&gt;&lt;dates&gt;&lt;year&gt;2013&lt;/year&gt;&lt;/dates&gt;&lt;pub-location&gt;West Conshohocken, Pennsylvania&lt;/pub-location&gt;&lt;publisher&gt;ASTM International&lt;/publisher&gt;&lt;urls&gt;&lt;/urls&gt;&lt;/record&gt;&lt;/Cite&gt;&lt;/EndNote&gt;</w:instrText>
      </w:r>
      <w:r w:rsidRPr="002B76EF">
        <w:fldChar w:fldCharType="separate"/>
      </w:r>
      <w:r w:rsidR="00282238">
        <w:rPr>
          <w:noProof/>
        </w:rPr>
        <w:t>(ASTM, 2013)</w:t>
      </w:r>
      <w:r w:rsidRPr="002B76EF">
        <w:fldChar w:fldCharType="end"/>
      </w:r>
      <w:r w:rsidRPr="002B76EF">
        <w:t xml:space="preserve">. After the completion of cycling process, the water drained through the drain valve. These steps were automatically controlled and performed by the MIST device. The sample was then carefully removed from the chamber and brought back to room temperature. After conditioning, specimen for IL-SCB test was prepared by cutting into desired shape with a notch of 15 mm depth and 1.5 mm width. The test was conducted at room temperature (25°C) with a loading rate of 50 mm/min following the AASHTO TP 124 test method </w:t>
      </w:r>
      <w:r w:rsidRPr="002B76EF">
        <w:fldChar w:fldCharType="begin"/>
      </w:r>
      <w:r w:rsidR="00282238">
        <w:instrText xml:space="preserve"> ADDIN EN.CITE &lt;EndNote&gt;&lt;Cite&gt;&lt;Author&gt;AASHTO&lt;/Author&gt;&lt;Year&gt;2018&lt;/Year&gt;&lt;RecNum&gt;228&lt;/RecNum&gt;&lt;DisplayText&gt;(AASHTO, 2018)&lt;/DisplayText&gt;&lt;record&gt;&lt;rec-number&gt;228&lt;/rec-number&gt;&lt;foreign-keys&gt;&lt;key app="EN" db-id="d55vzfpwawdafteedfoxsf0lv0v0wp5va2aa" timestamp="1582053548"&gt;228&lt;/key&gt;&lt;/foreign-keys&gt;&lt;ref-type name="Standard"&gt;58&lt;/ref-type&gt;&lt;contributors&gt;&lt;authors&gt;&lt;author&gt;AASHTO&lt;/author&gt;&lt;/authors&gt;&lt;/contributors&gt;&lt;titles&gt;&lt;title&gt;AASHTO TP 124: Standard Method of Test for Determining the Fracture Potential of Asphalt Mixtures Using the Flexibility Index Test (FIT)&lt;/title&gt;&lt;/titles&gt;&lt;dates&gt;&lt;year&gt;2018&lt;/year&gt;&lt;/dates&gt;&lt;pub-location&gt;Washington, D.C.&lt;/pub-location&gt;&lt;publisher&gt;American Association of State Highway and Transportation Officials&lt;/publisher&gt;&lt;urls&gt;&lt;/urls&gt;&lt;/record&gt;&lt;/Cite&gt;&lt;/EndNote&gt;</w:instrText>
      </w:r>
      <w:r w:rsidRPr="002B76EF">
        <w:fldChar w:fldCharType="separate"/>
      </w:r>
      <w:r w:rsidR="00282238">
        <w:rPr>
          <w:noProof/>
        </w:rPr>
        <w:t>(AASHTO, 2018)</w:t>
      </w:r>
      <w:r w:rsidRPr="002B76EF">
        <w:fldChar w:fldCharType="end"/>
      </w:r>
      <w:r w:rsidRPr="002B76EF">
        <w:t>. The fracture work (</w:t>
      </w:r>
      <w:r w:rsidRPr="002B76EF">
        <w:rPr>
          <w:i/>
          <w:iCs/>
        </w:rPr>
        <w:t>W</w:t>
      </w:r>
      <w:r w:rsidRPr="002B76EF">
        <w:rPr>
          <w:i/>
          <w:iCs/>
          <w:vertAlign w:val="subscript"/>
        </w:rPr>
        <w:t>f</w:t>
      </w:r>
      <w:r w:rsidRPr="002B76EF">
        <w:t xml:space="preserve">) was calculated by determining the area under the load vs. deformation curve from the IL-SCB test. The fracture energy, </w:t>
      </w:r>
      <w:r w:rsidRPr="002B76EF">
        <w:rPr>
          <w:i/>
          <w:iCs/>
        </w:rPr>
        <w:t>G</w:t>
      </w:r>
      <w:r w:rsidRPr="002B76EF">
        <w:rPr>
          <w:i/>
          <w:iCs/>
          <w:vertAlign w:val="subscript"/>
        </w:rPr>
        <w:t>f</w:t>
      </w:r>
      <w:r w:rsidRPr="002B76EF">
        <w:t>, was then calculated by dividing the fracture work with ligament area (</w:t>
      </w:r>
      <w:r w:rsidRPr="002B76EF">
        <w:rPr>
          <w:i/>
          <w:iCs/>
        </w:rPr>
        <w:t>A</w:t>
      </w:r>
      <w:r w:rsidRPr="002B76EF">
        <w:rPr>
          <w:i/>
          <w:iCs/>
          <w:vertAlign w:val="subscript"/>
        </w:rPr>
        <w:t>lig</w:t>
      </w:r>
      <w:r w:rsidRPr="002B76EF">
        <w:t>) using Equation (</w:t>
      </w:r>
      <w:r w:rsidR="00C8243B">
        <w:rPr>
          <w:rStyle w:val="fontstyle01"/>
          <w:sz w:val="24"/>
          <w:szCs w:val="24"/>
        </w:rPr>
        <w:t>4.</w:t>
      </w:r>
      <w:r w:rsidRPr="002B76EF">
        <w:t>11). The ligament area was calculated by multiplying the ligament length (sample height minus notch depth) with sample thickness. The fracture energy ratios of short-term ((</w:t>
      </w:r>
      <w:r w:rsidRPr="002B76EF">
        <w:rPr>
          <w:i/>
          <w:iCs/>
        </w:rPr>
        <w:t>G</w:t>
      </w:r>
      <w:r w:rsidRPr="002B76EF">
        <w:rPr>
          <w:i/>
          <w:iCs/>
          <w:vertAlign w:val="subscript"/>
        </w:rPr>
        <w:t>f</w:t>
      </w:r>
      <w:r w:rsidRPr="002B76EF">
        <w:rPr>
          <w:i/>
          <w:iCs/>
        </w:rPr>
        <w:t xml:space="preserve"> ratio)</w:t>
      </w:r>
      <w:r w:rsidRPr="002B76EF">
        <w:rPr>
          <w:i/>
          <w:iCs/>
          <w:vertAlign w:val="subscript"/>
        </w:rPr>
        <w:t>ST</w:t>
      </w:r>
      <w:r w:rsidRPr="002B76EF">
        <w:t>) and log-term aged (</w:t>
      </w:r>
      <w:r w:rsidRPr="002B76EF">
        <w:rPr>
          <w:i/>
          <w:iCs/>
        </w:rPr>
        <w:t>(G</w:t>
      </w:r>
      <w:r w:rsidRPr="002B76EF">
        <w:rPr>
          <w:i/>
          <w:iCs/>
          <w:vertAlign w:val="subscript"/>
        </w:rPr>
        <w:t>f</w:t>
      </w:r>
      <w:r w:rsidRPr="002B76EF">
        <w:rPr>
          <w:i/>
          <w:iCs/>
        </w:rPr>
        <w:t xml:space="preserve"> ratio)</w:t>
      </w:r>
      <w:r w:rsidRPr="002B76EF">
        <w:rPr>
          <w:i/>
          <w:iCs/>
          <w:vertAlign w:val="subscript"/>
        </w:rPr>
        <w:t>LT</w:t>
      </w:r>
      <w:r w:rsidRPr="002B76EF">
        <w:t>) specimens were determined using Equations (</w:t>
      </w:r>
      <w:r w:rsidR="00F9471E">
        <w:rPr>
          <w:rStyle w:val="fontstyle01"/>
          <w:sz w:val="24"/>
          <w:szCs w:val="24"/>
        </w:rPr>
        <w:t>4.</w:t>
      </w:r>
      <w:r w:rsidRPr="002B76EF">
        <w:t>12) and (</w:t>
      </w:r>
      <w:r w:rsidR="00F9471E">
        <w:rPr>
          <w:rStyle w:val="fontstyle01"/>
          <w:sz w:val="24"/>
          <w:szCs w:val="24"/>
        </w:rPr>
        <w:t>4.</w:t>
      </w:r>
      <w:r w:rsidRPr="002B76EF">
        <w:t>13), respectively.</w:t>
      </w:r>
    </w:p>
    <w:p w14:paraId="21945541" w14:textId="4C5A35A7" w:rsidR="00C32564" w:rsidRPr="002B76EF" w:rsidRDefault="007F7885" w:rsidP="00E5144D">
      <w:pPr>
        <w:pStyle w:val="Paragraph"/>
        <w:spacing w:before="0"/>
        <w:jc w:val="center"/>
      </w:pPr>
      <m:oMath>
        <m:sSub>
          <m:sSubPr>
            <m:ctrlPr>
              <w:rPr>
                <w:rFonts w:ascii="Cambria Math" w:hAnsi="Cambria Math"/>
                <w:i/>
              </w:rPr>
            </m:ctrlPr>
          </m:sSubPr>
          <m:e>
            <m:r>
              <w:rPr>
                <w:rFonts w:ascii="Cambria Math" w:hAnsi="Cambria Math"/>
              </w:rPr>
              <m:t>G</m:t>
            </m:r>
          </m:e>
          <m:sub>
            <m:r>
              <w:rPr>
                <w:rFonts w:ascii="Cambria Math" w:hAnsi="Cambria Math"/>
              </w:rPr>
              <m:t>f</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W</m:t>
                </m:r>
              </m:e>
              <m:sub>
                <m:r>
                  <w:rPr>
                    <w:rFonts w:ascii="Cambria Math" w:hAnsi="Cambria Math"/>
                  </w:rPr>
                  <m:t>f</m:t>
                </m:r>
              </m:sub>
            </m:sSub>
          </m:num>
          <m:den>
            <m:sSub>
              <m:sSubPr>
                <m:ctrlPr>
                  <w:rPr>
                    <w:rFonts w:ascii="Cambria Math" w:hAnsi="Cambria Math"/>
                    <w:i/>
                  </w:rPr>
                </m:ctrlPr>
              </m:sSubPr>
              <m:e>
                <m:r>
                  <w:rPr>
                    <w:rFonts w:ascii="Cambria Math" w:hAnsi="Cambria Math"/>
                  </w:rPr>
                  <m:t>A</m:t>
                </m:r>
              </m:e>
              <m:sub>
                <m:r>
                  <w:rPr>
                    <w:rFonts w:ascii="Cambria Math" w:hAnsi="Cambria Math"/>
                  </w:rPr>
                  <m:t>lig</m:t>
                </m:r>
              </m:sub>
            </m:sSub>
          </m:den>
        </m:f>
      </m:oMath>
      <w:r w:rsidR="00C32564" w:rsidRPr="002B76EF">
        <w:t xml:space="preserve">                  (</w:t>
      </w:r>
      <w:r w:rsidR="00F9471E">
        <w:rPr>
          <w:rStyle w:val="fontstyle01"/>
          <w:sz w:val="24"/>
          <w:szCs w:val="24"/>
        </w:rPr>
        <w:t>4.</w:t>
      </w:r>
      <w:r w:rsidR="00C32564" w:rsidRPr="002B76EF">
        <w:t>11)</w:t>
      </w:r>
    </w:p>
    <w:p w14:paraId="52975C34" w14:textId="3BC931D8" w:rsidR="00C32564" w:rsidRPr="002B76EF" w:rsidRDefault="007F7885" w:rsidP="00E5144D">
      <w:pPr>
        <w:pStyle w:val="Paragraph"/>
        <w:spacing w:before="0"/>
        <w:jc w:val="center"/>
      </w:pPr>
      <m:oMath>
        <m:sSub>
          <m:sSubPr>
            <m:ctrlPr>
              <w:rPr>
                <w:rFonts w:ascii="Cambria Math" w:hAnsi="Cambria Math"/>
                <w:i/>
              </w:rPr>
            </m:ctrlPr>
          </m:sSubPr>
          <m:e>
            <m:sSub>
              <m:sSubPr>
                <m:ctrlPr>
                  <w:rPr>
                    <w:rFonts w:ascii="Cambria Math" w:hAnsi="Cambria Math"/>
                    <w:i/>
                  </w:rPr>
                </m:ctrlPr>
              </m:sSubPr>
              <m:e>
                <m:r>
                  <w:rPr>
                    <w:rFonts w:ascii="Cambria Math" w:hAnsi="Cambria Math"/>
                  </w:rPr>
                  <m:t>(G</m:t>
                </m:r>
              </m:e>
              <m:sub>
                <m:r>
                  <w:rPr>
                    <w:rFonts w:ascii="Cambria Math" w:hAnsi="Cambria Math"/>
                  </w:rPr>
                  <m:t>f</m:t>
                </m:r>
              </m:sub>
            </m:sSub>
            <m:r>
              <w:rPr>
                <w:rFonts w:ascii="Cambria Math" w:hAnsi="Cambria Math"/>
              </w:rPr>
              <m:t xml:space="preserve"> ratio)</m:t>
            </m:r>
          </m:e>
          <m:sub>
            <m:r>
              <w:rPr>
                <w:rFonts w:ascii="Cambria Math" w:hAnsi="Cambria Math"/>
              </w:rPr>
              <m:t>ST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G</m:t>
                </m:r>
              </m:e>
              <m:sub>
                <m:r>
                  <w:rPr>
                    <w:rFonts w:ascii="Cambria Math" w:hAnsi="Cambria Math"/>
                  </w:rPr>
                  <m:t>f</m:t>
                </m:r>
              </m:sub>
            </m:sSub>
            <m:r>
              <w:rPr>
                <w:rFonts w:ascii="Cambria Math" w:hAnsi="Cambria Math"/>
              </w:rPr>
              <m:t xml:space="preserve"> of short-term aged MIST-conditioned Specimens</m:t>
            </m:r>
          </m:num>
          <m:den>
            <m:sSub>
              <m:sSubPr>
                <m:ctrlPr>
                  <w:rPr>
                    <w:rFonts w:ascii="Cambria Math" w:hAnsi="Cambria Math"/>
                    <w:i/>
                  </w:rPr>
                </m:ctrlPr>
              </m:sSubPr>
              <m:e>
                <m:r>
                  <w:rPr>
                    <w:rFonts w:ascii="Cambria Math" w:hAnsi="Cambria Math"/>
                  </w:rPr>
                  <m:t>G</m:t>
                </m:r>
              </m:e>
              <m:sub>
                <m:r>
                  <w:rPr>
                    <w:rFonts w:ascii="Cambria Math" w:hAnsi="Cambria Math"/>
                  </w:rPr>
                  <m:t>f</m:t>
                </m:r>
              </m:sub>
            </m:sSub>
            <m:r>
              <w:rPr>
                <w:rFonts w:ascii="Cambria Math" w:hAnsi="Cambria Math"/>
              </w:rPr>
              <m:t xml:space="preserve"> of short-term aged Dry-conditioned Specimens</m:t>
            </m:r>
          </m:den>
        </m:f>
      </m:oMath>
      <w:r w:rsidR="00C32564" w:rsidRPr="002B76EF">
        <w:t xml:space="preserve">          (</w:t>
      </w:r>
      <w:r w:rsidR="00F9471E">
        <w:rPr>
          <w:rStyle w:val="fontstyle01"/>
          <w:sz w:val="24"/>
          <w:szCs w:val="24"/>
        </w:rPr>
        <w:t>4.</w:t>
      </w:r>
      <w:r w:rsidR="00C32564" w:rsidRPr="002B76EF">
        <w:t xml:space="preserve">12)    </w:t>
      </w:r>
    </w:p>
    <w:p w14:paraId="13B91C92" w14:textId="3089EDB5" w:rsidR="00C32564" w:rsidRPr="002B76EF" w:rsidRDefault="007F7885" w:rsidP="00E5144D">
      <w:pPr>
        <w:pStyle w:val="Paragraph"/>
        <w:spacing w:before="0"/>
        <w:jc w:val="center"/>
      </w:pPr>
      <m:oMath>
        <m:sSub>
          <m:sSubPr>
            <m:ctrlPr>
              <w:rPr>
                <w:rFonts w:ascii="Cambria Math" w:hAnsi="Cambria Math"/>
                <w:i/>
              </w:rPr>
            </m:ctrlPr>
          </m:sSubPr>
          <m:e>
            <m:sSub>
              <m:sSubPr>
                <m:ctrlPr>
                  <w:rPr>
                    <w:rFonts w:ascii="Cambria Math" w:hAnsi="Cambria Math"/>
                    <w:i/>
                  </w:rPr>
                </m:ctrlPr>
              </m:sSubPr>
              <m:e>
                <m:r>
                  <w:rPr>
                    <w:rFonts w:ascii="Cambria Math" w:hAnsi="Cambria Math"/>
                  </w:rPr>
                  <m:t>(G</m:t>
                </m:r>
              </m:e>
              <m:sub>
                <m:r>
                  <w:rPr>
                    <w:rFonts w:ascii="Cambria Math" w:hAnsi="Cambria Math"/>
                  </w:rPr>
                  <m:t>f</m:t>
                </m:r>
              </m:sub>
            </m:sSub>
            <m:r>
              <w:rPr>
                <w:rFonts w:ascii="Cambria Math" w:hAnsi="Cambria Math"/>
              </w:rPr>
              <m:t xml:space="preserve"> ratio)</m:t>
            </m:r>
          </m:e>
          <m:sub>
            <m:r>
              <w:rPr>
                <w:rFonts w:ascii="Cambria Math" w:hAnsi="Cambria Math"/>
              </w:rPr>
              <m:t>LT</m:t>
            </m:r>
          </m:sub>
        </m:sSub>
        <m:r>
          <w:rPr>
            <w:rFonts w:ascii="Cambria Math" w:hAnsi="Cambria Math"/>
          </w:rPr>
          <m:t>=</m:t>
        </m:r>
        <m:f>
          <m:fPr>
            <m:ctrlPr>
              <w:rPr>
                <w:rFonts w:ascii="Cambria Math" w:hAnsi="Cambria Math"/>
                <w:i/>
              </w:rPr>
            </m:ctrlPr>
          </m:fPr>
          <m:num>
            <m:sSub>
              <m:sSubPr>
                <m:ctrlPr>
                  <w:rPr>
                    <w:rFonts w:ascii="Cambria Math" w:hAnsi="Cambria Math"/>
                    <w:i/>
                  </w:rPr>
                </m:ctrlPr>
              </m:sSubPr>
              <m:e>
                <m:r>
                  <w:rPr>
                    <w:rFonts w:ascii="Cambria Math" w:hAnsi="Cambria Math"/>
                  </w:rPr>
                  <m:t>G</m:t>
                </m:r>
              </m:e>
              <m:sub>
                <m:r>
                  <w:rPr>
                    <w:rFonts w:ascii="Cambria Math" w:hAnsi="Cambria Math"/>
                  </w:rPr>
                  <m:t>f</m:t>
                </m:r>
              </m:sub>
            </m:sSub>
            <m:r>
              <w:rPr>
                <w:rFonts w:ascii="Cambria Math" w:hAnsi="Cambria Math"/>
              </w:rPr>
              <m:t xml:space="preserve"> of long-term aged MIST-conditioned Specimens</m:t>
            </m:r>
          </m:num>
          <m:den>
            <m:sSub>
              <m:sSubPr>
                <m:ctrlPr>
                  <w:rPr>
                    <w:rFonts w:ascii="Cambria Math" w:hAnsi="Cambria Math"/>
                    <w:i/>
                  </w:rPr>
                </m:ctrlPr>
              </m:sSubPr>
              <m:e>
                <m:r>
                  <w:rPr>
                    <w:rFonts w:ascii="Cambria Math" w:hAnsi="Cambria Math"/>
                  </w:rPr>
                  <m:t>G</m:t>
                </m:r>
              </m:e>
              <m:sub>
                <m:r>
                  <w:rPr>
                    <w:rFonts w:ascii="Cambria Math" w:hAnsi="Cambria Math"/>
                  </w:rPr>
                  <m:t>f</m:t>
                </m:r>
              </m:sub>
            </m:sSub>
            <m:r>
              <w:rPr>
                <w:rFonts w:ascii="Cambria Math" w:hAnsi="Cambria Math"/>
              </w:rPr>
              <m:t xml:space="preserve"> of short-term aged Dry-conditioned Specimens</m:t>
            </m:r>
          </m:den>
        </m:f>
      </m:oMath>
      <w:r w:rsidR="00C32564" w:rsidRPr="002B76EF">
        <w:t xml:space="preserve">          (</w:t>
      </w:r>
      <w:r w:rsidR="00F9471E">
        <w:rPr>
          <w:rStyle w:val="fontstyle01"/>
          <w:sz w:val="24"/>
          <w:szCs w:val="24"/>
        </w:rPr>
        <w:t>4.</w:t>
      </w:r>
      <w:r w:rsidR="00C32564" w:rsidRPr="002B76EF">
        <w:t xml:space="preserve">13)    </w:t>
      </w:r>
    </w:p>
    <w:p w14:paraId="3F89D32C" w14:textId="77777777" w:rsidR="00C32564" w:rsidRPr="002B76EF" w:rsidRDefault="00C32564" w:rsidP="00E5144D">
      <w:pPr>
        <w:pStyle w:val="Heading4"/>
        <w:spacing w:before="0" w:after="0"/>
      </w:pPr>
      <w:r w:rsidRPr="002B76EF">
        <w:t>Dynamic Wilhelmy Plate Test</w:t>
      </w:r>
    </w:p>
    <w:p w14:paraId="2577196D" w14:textId="4002D51F" w:rsidR="00C32564" w:rsidRPr="002B76EF" w:rsidRDefault="00C32564" w:rsidP="00E5144D">
      <w:pPr>
        <w:ind w:firstLine="720"/>
        <w:rPr>
          <w:color w:val="000000"/>
        </w:rPr>
      </w:pPr>
      <w:r w:rsidRPr="002B76EF">
        <w:t>The SFE components of a binder can be calculated by solving Equation (</w:t>
      </w:r>
      <w:r w:rsidR="00F9471E">
        <w:rPr>
          <w:rStyle w:val="fontstyle01"/>
          <w:sz w:val="24"/>
          <w:szCs w:val="24"/>
        </w:rPr>
        <w:t>4.</w:t>
      </w:r>
      <w:r w:rsidRPr="002B76EF">
        <w:t>14) using contact angle values measured with different probe liquids of known SFE components. A number of probe liquids such as water (W), glycer</w:t>
      </w:r>
      <w:r w:rsidR="00B5178C">
        <w:t>ol</w:t>
      </w:r>
      <w:r w:rsidRPr="002B76EF">
        <w:t xml:space="preserve"> (G), formamide (F), diiodomethane (D) and ethylene glycol (E) has been used by researchers to determine the SFE components of the binder. Contact angles of the binder with at least three probe liquids are required to establish an equation set in order to simultaneously solve the three SFE components of the binder. However,</w:t>
      </w:r>
      <w:r w:rsidR="000A1237">
        <w:t xml:space="preserve"> the</w:t>
      </w:r>
      <w:r w:rsidRPr="002B76EF">
        <w:t xml:space="preserve"> WGFDE probe liquid set was </w:t>
      </w:r>
      <w:r w:rsidR="00C16F46">
        <w:t>found</w:t>
      </w:r>
      <w:r w:rsidRPr="002B76EF">
        <w:t xml:space="preserve"> to obtain consistent energy parameters. Therefore, in this study, the contact angles of the binder blends with the abovementioned five probe liquids were determined by DWP test using a dynamic contact angle (DCA) analy</w:t>
      </w:r>
      <w:r w:rsidR="000A1237">
        <w:t>z</w:t>
      </w:r>
      <w:r w:rsidRPr="002B76EF">
        <w:t xml:space="preserve">er. However, contact angles of the RTFO-aged and PAV-aged binder blends containing 1.5% PPA were found to be inconsistent with formamide and diiodomethane, therefore, excluded from the calculation. In order to solve the overdetermined equation set (i.e. number of equations &gt; number of unknowns), the Solver function incorporated into Microsoft Excel was used to compute the SFE components of the binder blends by minimizing the sum of the square errors. The binder samples for DWP testing were prepared using a 24 mm x 50 mm glass plate coated with the asphalt binder blends. The details of the testing procedure are described in the literature </w:t>
      </w:r>
      <w:r w:rsidRPr="002B76EF">
        <w:fldChar w:fldCharType="begin"/>
      </w:r>
      <w:r w:rsidR="00282238">
        <w:instrText xml:space="preserve"> ADDIN EN.CITE &lt;EndNote&gt;&lt;Cite&gt;&lt;Author&gt;Ghabchi&lt;/Author&gt;&lt;Year&gt;2014&lt;/Year&gt;&lt;RecNum&gt;113&lt;/RecNum&gt;&lt;DisplayText&gt;(Ghabchi et al., 2014)&lt;/DisplayText&gt;&lt;record&gt;&lt;rec-number&gt;113&lt;/rec-number&gt;&lt;foreign-keys&gt;&lt;key app="EN" db-id="d55vzfpwawdafteedfoxsf0lv0v0wp5va2aa" timestamp="1521350423"&gt;113&lt;/key&gt;&lt;/foreign-keys&gt;&lt;ref-type name="Journal Article"&gt;17&lt;/ref-type&gt;&lt;contributors&gt;&lt;authors&gt;&lt;author&gt;Ghabchi, Rouzbeh&lt;/author&gt;&lt;author&gt;Singh, Dharamveer&lt;/author&gt;&lt;author&gt;Zaman, Musharraf&lt;/author&gt;&lt;/authors&gt;&lt;/contributors&gt;&lt;titles&gt;&lt;title&gt;Evaluation of Moisture Susceptibility of Asphalt Mixes Containing RAP and Different Types of Aggregates and Asphalt Binders Using the Surface Free Energy Method&lt;/title&gt;&lt;secondary-title&gt;Construction and Building Materials&lt;/secondary-title&gt;&lt;/titles&gt;&lt;periodical&gt;&lt;full-title&gt;Construction and Building Materials&lt;/full-title&gt;&lt;/periodical&gt;&lt;pages&gt;479-489&lt;/pages&gt;&lt;volume&gt;73&lt;/volume&gt;&lt;dates&gt;&lt;year&gt;2014&lt;/year&gt;&lt;/dates&gt;&lt;isbn&gt;0950-0618&lt;/isbn&gt;&lt;urls&gt;&lt;/urls&gt;&lt;/record&gt;&lt;/Cite&gt;&lt;/EndNote&gt;</w:instrText>
      </w:r>
      <w:r w:rsidRPr="002B76EF">
        <w:fldChar w:fldCharType="separate"/>
      </w:r>
      <w:r w:rsidR="00282238">
        <w:rPr>
          <w:noProof/>
        </w:rPr>
        <w:t>(Ghabchi et al., 2014)</w:t>
      </w:r>
      <w:r w:rsidRPr="002B76EF">
        <w:fldChar w:fldCharType="end"/>
      </w:r>
      <w:r w:rsidRPr="002B76EF">
        <w:t>. Five replicates were tested for each probe liquid to ensure consistency and repeatability of the test results.</w:t>
      </w:r>
      <w:r w:rsidRPr="002B76EF">
        <w:rPr>
          <w:color w:val="000000"/>
        </w:rPr>
        <w:t xml:space="preserve"> </w:t>
      </w:r>
    </w:p>
    <w:p w14:paraId="6517274A" w14:textId="286ABF58" w:rsidR="00C32564" w:rsidRPr="002B76EF" w:rsidRDefault="007F7885" w:rsidP="00E5144D">
      <w:pPr>
        <w:jc w:val="center"/>
      </w:pPr>
      <m:oMath>
        <m:sSubSup>
          <m:sSubSupPr>
            <m:ctrlPr>
              <w:rPr>
                <w:rFonts w:ascii="Cambria Math" w:hAnsi="Cambria Math"/>
              </w:rPr>
            </m:ctrlPr>
          </m:sSubSupPr>
          <m:e>
            <m:r>
              <m:rPr>
                <m:sty m:val="p"/>
              </m:rPr>
              <w:rPr>
                <w:rFonts w:ascii="Cambria Math" w:hAnsi="Cambria Math"/>
              </w:rPr>
              <m:t>Γ</m:t>
            </m:r>
          </m:e>
          <m:sub>
            <m:r>
              <w:rPr>
                <w:rFonts w:ascii="Cambria Math" w:hAnsi="Cambria Math"/>
              </w:rPr>
              <m:t>L</m:t>
            </m:r>
          </m:sub>
          <m:sup>
            <m:r>
              <w:rPr>
                <w:rFonts w:ascii="Cambria Math" w:hAnsi="Cambria Math"/>
              </w:rPr>
              <m:t>Total</m:t>
            </m:r>
          </m:sup>
        </m:sSubSup>
        <m:d>
          <m:dPr>
            <m:ctrlPr>
              <w:rPr>
                <w:rFonts w:ascii="Cambria Math" w:hAnsi="Cambria Math"/>
              </w:rPr>
            </m:ctrlPr>
          </m:dPr>
          <m:e>
            <m:r>
              <m:rPr>
                <m:sty m:val="p"/>
              </m:rPr>
              <w:rPr>
                <w:rFonts w:ascii="Cambria Math" w:hAnsi="Cambria Math"/>
              </w:rPr>
              <m:t>1+</m:t>
            </m:r>
            <m:r>
              <w:rPr>
                <w:rFonts w:ascii="Cambria Math" w:hAnsi="Cambria Math"/>
              </w:rPr>
              <m:t>cosθ</m:t>
            </m:r>
          </m:e>
        </m:d>
        <m:r>
          <m:rPr>
            <m:sty m:val="p"/>
          </m:rPr>
          <w:rPr>
            <w:rFonts w:ascii="Cambria Math" w:hAnsi="Cambria Math"/>
          </w:rPr>
          <m:t>=2(</m:t>
        </m:r>
        <m:sSubSup>
          <m:sSubSupPr>
            <m:ctrlPr>
              <w:rPr>
                <w:rFonts w:ascii="Cambria Math" w:hAnsi="Cambria Math"/>
              </w:rPr>
            </m:ctrlPr>
          </m:sSubSupPr>
          <m:e>
            <m:r>
              <m:rPr>
                <m:sty m:val="p"/>
              </m:rPr>
              <w:rPr>
                <w:rFonts w:ascii="Cambria Math" w:hAnsi="Cambria Math"/>
              </w:rPr>
              <m:t>Γ</m:t>
            </m:r>
          </m:e>
          <m:sub>
            <m:r>
              <w:rPr>
                <w:rFonts w:ascii="Cambria Math" w:hAnsi="Cambria Math"/>
              </w:rPr>
              <m:t>A</m:t>
            </m:r>
          </m:sub>
          <m:sup>
            <m:r>
              <w:rPr>
                <w:rFonts w:ascii="Cambria Math" w:hAnsi="Cambria Math"/>
              </w:rPr>
              <m:t>LW</m:t>
            </m:r>
          </m:sup>
        </m:sSubSup>
        <m:sSubSup>
          <m:sSubSupPr>
            <m:ctrlPr>
              <w:rPr>
                <w:rFonts w:ascii="Cambria Math" w:hAnsi="Cambria Math"/>
              </w:rPr>
            </m:ctrlPr>
          </m:sSubSupPr>
          <m:e>
            <m:r>
              <m:rPr>
                <m:sty m:val="p"/>
              </m:rPr>
              <w:rPr>
                <w:rFonts w:ascii="Cambria Math" w:hAnsi="Cambria Math"/>
              </w:rPr>
              <m:t>Γ</m:t>
            </m:r>
          </m:e>
          <m:sub>
            <m:r>
              <w:rPr>
                <w:rFonts w:ascii="Cambria Math" w:hAnsi="Cambria Math"/>
              </w:rPr>
              <m:t>L</m:t>
            </m:r>
          </m:sub>
          <m:sup>
            <m:r>
              <w:rPr>
                <w:rFonts w:ascii="Cambria Math" w:hAnsi="Cambria Math"/>
              </w:rPr>
              <m:t>LW</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Γ</m:t>
            </m:r>
          </m:e>
          <m:sub>
            <m:r>
              <w:rPr>
                <w:rFonts w:ascii="Cambria Math" w:hAnsi="Cambria Math"/>
              </w:rPr>
              <m:t>A</m:t>
            </m:r>
          </m:sub>
          <m:sup>
            <m:r>
              <m:rPr>
                <m:sty m:val="p"/>
              </m:rPr>
              <w:rPr>
                <w:rFonts w:ascii="Cambria Math" w:hAnsi="Cambria Math"/>
              </w:rPr>
              <m:t>+</m:t>
            </m:r>
          </m:sup>
        </m:sSubSup>
        <m:sSubSup>
          <m:sSubSupPr>
            <m:ctrlPr>
              <w:rPr>
                <w:rFonts w:ascii="Cambria Math" w:hAnsi="Cambria Math"/>
              </w:rPr>
            </m:ctrlPr>
          </m:sSubSupPr>
          <m:e>
            <m:r>
              <m:rPr>
                <m:sty m:val="p"/>
              </m:rPr>
              <w:rPr>
                <w:rFonts w:ascii="Cambria Math" w:hAnsi="Cambria Math"/>
              </w:rPr>
              <m:t>Γ</m:t>
            </m:r>
          </m:e>
          <m:sub>
            <m:r>
              <w:rPr>
                <w:rFonts w:ascii="Cambria Math" w:hAnsi="Cambria Math"/>
              </w:rPr>
              <m:t>L</m:t>
            </m:r>
          </m:sub>
          <m:sup>
            <m:r>
              <m:rPr>
                <m:sty m:val="p"/>
              </m:rPr>
              <w:rPr>
                <w:rFonts w:ascii="Cambria Math" w:hAnsi="Cambria Math"/>
              </w:rPr>
              <m:t>-</m:t>
            </m:r>
          </m:sup>
        </m:sSubSup>
        <m:r>
          <m:rPr>
            <m:sty m:val="p"/>
          </m:rPr>
          <w:rPr>
            <w:rFonts w:ascii="Cambria Math" w:hAnsi="Cambria Math"/>
          </w:rPr>
          <m:t>+</m:t>
        </m:r>
        <m:sSubSup>
          <m:sSubSupPr>
            <m:ctrlPr>
              <w:rPr>
                <w:rFonts w:ascii="Cambria Math" w:hAnsi="Cambria Math"/>
              </w:rPr>
            </m:ctrlPr>
          </m:sSubSupPr>
          <m:e>
            <m:r>
              <m:rPr>
                <m:sty m:val="p"/>
              </m:rPr>
              <w:rPr>
                <w:rFonts w:ascii="Cambria Math" w:hAnsi="Cambria Math"/>
              </w:rPr>
              <m:t>Γ</m:t>
            </m:r>
          </m:e>
          <m:sub>
            <m:r>
              <w:rPr>
                <w:rFonts w:ascii="Cambria Math" w:hAnsi="Cambria Math"/>
              </w:rPr>
              <m:t>A</m:t>
            </m:r>
          </m:sub>
          <m:sup>
            <m:r>
              <m:rPr>
                <m:sty m:val="p"/>
              </m:rPr>
              <w:rPr>
                <w:rFonts w:ascii="Cambria Math" w:hAnsi="Cambria Math"/>
              </w:rPr>
              <m:t>-</m:t>
            </m:r>
          </m:sup>
        </m:sSubSup>
        <m:sSubSup>
          <m:sSubSupPr>
            <m:ctrlPr>
              <w:rPr>
                <w:rFonts w:ascii="Cambria Math" w:hAnsi="Cambria Math"/>
              </w:rPr>
            </m:ctrlPr>
          </m:sSubSupPr>
          <m:e>
            <m:r>
              <m:rPr>
                <m:sty m:val="p"/>
              </m:rPr>
              <w:rPr>
                <w:rFonts w:ascii="Cambria Math" w:hAnsi="Cambria Math"/>
              </w:rPr>
              <m:t>Γ</m:t>
            </m:r>
          </m:e>
          <m:sub>
            <m:r>
              <w:rPr>
                <w:rFonts w:ascii="Cambria Math" w:hAnsi="Cambria Math"/>
              </w:rPr>
              <m:t>L</m:t>
            </m:r>
          </m:sub>
          <m:sup>
            <m:r>
              <m:rPr>
                <m:sty m:val="p"/>
              </m:rPr>
              <w:rPr>
                <w:rFonts w:ascii="Cambria Math" w:hAnsi="Cambria Math"/>
              </w:rPr>
              <m:t>+</m:t>
            </m:r>
          </m:sup>
        </m:sSubSup>
        <m:r>
          <m:rPr>
            <m:sty m:val="p"/>
          </m:rPr>
          <w:rPr>
            <w:rFonts w:ascii="Cambria Math" w:hAnsi="Cambria Math"/>
          </w:rPr>
          <m:t>)</m:t>
        </m:r>
      </m:oMath>
      <w:r w:rsidR="00C32564" w:rsidRPr="002B76EF">
        <w:t xml:space="preserve">          (</w:t>
      </w:r>
      <w:r w:rsidR="00F9471E">
        <w:rPr>
          <w:rStyle w:val="fontstyle01"/>
          <w:sz w:val="24"/>
          <w:szCs w:val="24"/>
        </w:rPr>
        <w:t>4.</w:t>
      </w:r>
      <w:r w:rsidR="00C32564" w:rsidRPr="002B76EF">
        <w:t>14)</w:t>
      </w:r>
    </w:p>
    <w:p w14:paraId="444B20AB" w14:textId="77777777" w:rsidR="00C32564" w:rsidRPr="002B76EF" w:rsidRDefault="00C32564" w:rsidP="00E5144D">
      <w:pPr>
        <w:pStyle w:val="Heading4"/>
        <w:spacing w:before="0" w:after="0"/>
      </w:pPr>
      <w:r w:rsidRPr="002B76EF">
        <w:t>Universal Sorption Device (USD) Test</w:t>
      </w:r>
    </w:p>
    <w:p w14:paraId="11311159" w14:textId="47C7190B" w:rsidR="00C32564" w:rsidRPr="002B76EF" w:rsidRDefault="00C32564" w:rsidP="00E5144D">
      <w:pPr>
        <w:ind w:firstLine="720"/>
        <w:rPr>
          <w:color w:val="000000"/>
        </w:rPr>
      </w:pPr>
      <w:r w:rsidRPr="002B76EF">
        <w:t xml:space="preserve">The SFE components of the rhyolite aggregate were measured using a universal sorption device (USD). In this study, the adsorption isotherms of three probe </w:t>
      </w:r>
      <w:r w:rsidR="00DF4CA6" w:rsidRPr="002B76EF">
        <w:t>vapors</w:t>
      </w:r>
      <w:r w:rsidRPr="002B76EF">
        <w:t>, namely water, methyl propyl ketone (MPK), and toluene were determined by conducting the adsorption tests on aggregate at 25°C and different relative pressure ranging from 0.05 to 1.00. About 20 grams of the prepared aggregate sample was introduced in the sample chamber of the USD device to obtain adsorption isotherms. The equilibrium spreading pressure (</w:t>
      </w:r>
      <w:r w:rsidRPr="002B76EF">
        <w:rPr>
          <w:i/>
        </w:rPr>
        <w:t>π</w:t>
      </w:r>
      <w:r w:rsidRPr="002B76EF">
        <w:rPr>
          <w:i/>
          <w:vertAlign w:val="subscript"/>
        </w:rPr>
        <w:t>e</w:t>
      </w:r>
      <w:r w:rsidRPr="002B76EF">
        <w:t>) of each vapor was then calculated based on the mass absorbed at maximum saturated vapor pressure using Equation (</w:t>
      </w:r>
      <w:r w:rsidR="00F9471E">
        <w:rPr>
          <w:rStyle w:val="fontstyle01"/>
          <w:sz w:val="24"/>
          <w:szCs w:val="24"/>
        </w:rPr>
        <w:t>4.</w:t>
      </w:r>
      <w:r w:rsidRPr="002B76EF">
        <w:t>15).</w:t>
      </w:r>
      <w:r w:rsidRPr="002B76EF">
        <w:rPr>
          <w:color w:val="000000"/>
        </w:rPr>
        <w:t xml:space="preserve"> Equation (</w:t>
      </w:r>
      <w:r w:rsidR="00F9471E">
        <w:rPr>
          <w:rStyle w:val="fontstyle01"/>
          <w:sz w:val="24"/>
          <w:szCs w:val="24"/>
        </w:rPr>
        <w:t>4.</w:t>
      </w:r>
      <w:r w:rsidRPr="002B76EF">
        <w:rPr>
          <w:color w:val="000000"/>
        </w:rPr>
        <w:t>16) presents t</w:t>
      </w:r>
      <w:r w:rsidRPr="002B76EF">
        <w:t xml:space="preserve">he relation between work of adhesion, spreading pressure and the SFE components of the aggregate using </w:t>
      </w:r>
      <w:r w:rsidRPr="002B76EF">
        <w:rPr>
          <w:color w:val="000000"/>
        </w:rPr>
        <w:t xml:space="preserve">Good-van-Oss-Chaudhury (GVOC) theory. The three unknown SFE components of the aggregate in Equation (16) were determined by arranging a set of three equations using spreading pressures of three different probe </w:t>
      </w:r>
      <w:r w:rsidR="00DF4CA6" w:rsidRPr="002B76EF">
        <w:rPr>
          <w:color w:val="000000"/>
        </w:rPr>
        <w:t>vapors</w:t>
      </w:r>
      <w:r w:rsidRPr="002B76EF">
        <w:rPr>
          <w:color w:val="000000"/>
        </w:rPr>
        <w:t>.</w:t>
      </w:r>
    </w:p>
    <w:p w14:paraId="227332EA" w14:textId="3DE68F9D" w:rsidR="00C32564" w:rsidRPr="002B76EF" w:rsidRDefault="007F7885" w:rsidP="00E5144D">
      <w:pPr>
        <w:pStyle w:val="Displayedequation"/>
        <w:spacing w:before="0" w:after="0"/>
      </w:pPr>
      <m:oMath>
        <m:sSub>
          <m:sSubPr>
            <m:ctrlPr>
              <w:rPr>
                <w:rFonts w:ascii="Cambria Math" w:hAnsi="Cambria Math"/>
              </w:rPr>
            </m:ctrlPr>
          </m:sSubPr>
          <m:e>
            <m:r>
              <w:rPr>
                <w:rFonts w:ascii="Cambria Math" w:hAnsi="Cambria Math"/>
              </w:rPr>
              <m:t>π</m:t>
            </m:r>
          </m:e>
          <m:sub>
            <m:r>
              <w:rPr>
                <w:rFonts w:ascii="Cambria Math" w:hAnsi="Cambria Math"/>
              </w:rPr>
              <m:t>e</m:t>
            </m:r>
          </m:sub>
        </m:sSub>
        <m:r>
          <m:rPr>
            <m:sty m:val="p"/>
          </m:rPr>
          <w:rPr>
            <w:rFonts w:ascii="Cambria Math" w:hAnsi="Cambria Math"/>
          </w:rPr>
          <m:t>=</m:t>
        </m:r>
        <m:f>
          <m:fPr>
            <m:ctrlPr>
              <w:rPr>
                <w:rFonts w:ascii="Cambria Math" w:hAnsi="Cambria Math"/>
              </w:rPr>
            </m:ctrlPr>
          </m:fPr>
          <m:num>
            <m:r>
              <w:rPr>
                <w:rFonts w:ascii="Cambria Math" w:hAnsi="Cambria Math"/>
              </w:rPr>
              <m:t>RT</m:t>
            </m:r>
          </m:num>
          <m:den>
            <m:r>
              <w:rPr>
                <w:rFonts w:ascii="Cambria Math" w:hAnsi="Cambria Math"/>
              </w:rPr>
              <m:t>MA</m:t>
            </m:r>
          </m:den>
        </m:f>
        <m:nary>
          <m:naryPr>
            <m:limLoc m:val="subSup"/>
            <m:ctrlPr>
              <w:rPr>
                <w:rFonts w:ascii="Cambria Math" w:hAnsi="Cambria Math"/>
              </w:rPr>
            </m:ctrlPr>
          </m:naryPr>
          <m:sub>
            <m:r>
              <m:rPr>
                <m:sty m:val="p"/>
              </m:rPr>
              <w:rPr>
                <w:rFonts w:ascii="Cambria Math" w:hAnsi="Cambria Math"/>
              </w:rPr>
              <m:t>0</m:t>
            </m:r>
          </m:sub>
          <m:sup>
            <m:r>
              <w:rPr>
                <w:rFonts w:ascii="Cambria Math" w:hAnsi="Cambria Math"/>
              </w:rPr>
              <m:t>Po</m:t>
            </m:r>
          </m:sup>
          <m:e>
            <m:f>
              <m:fPr>
                <m:ctrlPr>
                  <w:rPr>
                    <w:rFonts w:ascii="Cambria Math" w:hAnsi="Cambria Math"/>
                  </w:rPr>
                </m:ctrlPr>
              </m:fPr>
              <m:num>
                <m:r>
                  <w:rPr>
                    <w:rFonts w:ascii="Cambria Math" w:hAnsi="Cambria Math"/>
                  </w:rPr>
                  <m:t>n</m:t>
                </m:r>
              </m:num>
              <m:den>
                <m:r>
                  <w:rPr>
                    <w:rFonts w:ascii="Cambria Math" w:hAnsi="Cambria Math"/>
                  </w:rPr>
                  <m:t>p</m:t>
                </m:r>
              </m:den>
            </m:f>
            <m:r>
              <w:rPr>
                <w:rFonts w:ascii="Cambria Math" w:hAnsi="Cambria Math"/>
              </w:rPr>
              <m:t>dp</m:t>
            </m:r>
          </m:e>
        </m:nary>
      </m:oMath>
      <w:r w:rsidR="00C32564" w:rsidRPr="002B76EF">
        <w:t xml:space="preserve"> </w:t>
      </w:r>
      <w:r w:rsidR="00C32564" w:rsidRPr="002B76EF">
        <w:tab/>
        <w:t>(</w:t>
      </w:r>
      <w:r w:rsidR="00F9471E">
        <w:rPr>
          <w:rStyle w:val="fontstyle01"/>
          <w:sz w:val="24"/>
          <w:szCs w:val="24"/>
        </w:rPr>
        <w:t>4.</w:t>
      </w:r>
      <w:r w:rsidR="00C32564" w:rsidRPr="002B76EF">
        <w:t>15)</w:t>
      </w:r>
    </w:p>
    <w:p w14:paraId="3874FB99" w14:textId="51204C4E" w:rsidR="00C32564" w:rsidRPr="002B76EF" w:rsidRDefault="007F7885" w:rsidP="00E5144D">
      <w:pPr>
        <w:jc w:val="center"/>
      </w:pPr>
      <m:oMath>
        <m:sSub>
          <m:sSubPr>
            <m:ctrlPr>
              <w:rPr>
                <w:rFonts w:ascii="Cambria Math" w:hAnsi="Cambria Math"/>
                <w:i/>
              </w:rPr>
            </m:ctrlPr>
          </m:sSubPr>
          <m:e>
            <m:r>
              <w:rPr>
                <w:rFonts w:ascii="Cambria Math" w:hAnsi="Cambria Math"/>
              </w:rPr>
              <m:t>π</m:t>
            </m:r>
          </m:e>
          <m:sub>
            <m:r>
              <w:rPr>
                <w:rFonts w:ascii="Cambria Math" w:hAnsi="Cambria Math"/>
              </w:rPr>
              <m:t>e</m:t>
            </m:r>
          </m:sub>
        </m:sSub>
        <m:r>
          <w:rPr>
            <w:rFonts w:ascii="Cambria Math" w:hAnsi="Cambria Math"/>
          </w:rPr>
          <m:t>+2</m:t>
        </m:r>
        <m:sSub>
          <m:sSubPr>
            <m:ctrlPr>
              <w:rPr>
                <w:rFonts w:ascii="Cambria Math" w:hAnsi="Cambria Math"/>
                <w:i/>
              </w:rPr>
            </m:ctrlPr>
          </m:sSubPr>
          <m:e>
            <m:r>
              <w:rPr>
                <w:rFonts w:ascii="Cambria Math" w:hAnsi="Cambria Math"/>
              </w:rPr>
              <m:t>γ</m:t>
            </m:r>
          </m:e>
          <m:sub>
            <m:r>
              <w:rPr>
                <w:rFonts w:ascii="Cambria Math" w:hAnsi="Cambria Math"/>
              </w:rPr>
              <m:t>LV</m:t>
            </m:r>
          </m:sub>
        </m:sSub>
        <m:r>
          <w:rPr>
            <w:rFonts w:ascii="Cambria Math" w:hAnsi="Cambria Math"/>
          </w:rPr>
          <m:t>=2</m:t>
        </m:r>
        <m:rad>
          <m:radPr>
            <m:degHide m:val="1"/>
            <m:ctrlPr>
              <w:rPr>
                <w:rFonts w:ascii="Cambria Math" w:hAnsi="Cambria Math"/>
                <w:i/>
              </w:rPr>
            </m:ctrlPr>
          </m:radPr>
          <m:deg/>
          <m:e>
            <m:sSubSup>
              <m:sSubSupPr>
                <m:ctrlPr>
                  <w:rPr>
                    <w:rFonts w:ascii="Cambria Math" w:hAnsi="Cambria Math"/>
                    <w:i/>
                  </w:rPr>
                </m:ctrlPr>
              </m:sSubSupPr>
              <m:e>
                <m:r>
                  <m:rPr>
                    <m:sty m:val="p"/>
                  </m:rPr>
                  <w:rPr>
                    <w:rFonts w:ascii="Cambria Math" w:hAnsi="Cambria Math"/>
                  </w:rPr>
                  <m:t>(Γ</m:t>
                </m:r>
              </m:e>
              <m:sub>
                <m:r>
                  <w:rPr>
                    <w:rFonts w:ascii="Cambria Math" w:hAnsi="Cambria Math"/>
                  </w:rPr>
                  <m:t>S</m:t>
                </m:r>
              </m:sub>
              <m:sup>
                <m:r>
                  <w:rPr>
                    <w:rFonts w:ascii="Cambria Math" w:hAnsi="Cambria Math"/>
                  </w:rPr>
                  <m:t>LW</m:t>
                </m:r>
              </m:sup>
            </m:sSubSup>
            <m:sSubSup>
              <m:sSubSupPr>
                <m:ctrlPr>
                  <w:rPr>
                    <w:rFonts w:ascii="Cambria Math" w:hAnsi="Cambria Math"/>
                    <w:i/>
                  </w:rPr>
                </m:ctrlPr>
              </m:sSubSupPr>
              <m:e>
                <m:r>
                  <m:rPr>
                    <m:sty m:val="p"/>
                  </m:rPr>
                  <w:rPr>
                    <w:rFonts w:ascii="Cambria Math" w:hAnsi="Cambria Math"/>
                  </w:rPr>
                  <m:t>Γ</m:t>
                </m:r>
              </m:e>
              <m:sub>
                <m:r>
                  <w:rPr>
                    <w:rFonts w:ascii="Cambria Math" w:hAnsi="Cambria Math"/>
                  </w:rPr>
                  <m:t>L</m:t>
                </m:r>
              </m:sub>
              <m:sup>
                <m:r>
                  <w:rPr>
                    <w:rFonts w:ascii="Cambria Math" w:hAnsi="Cambria Math"/>
                  </w:rPr>
                  <m:t>LW</m:t>
                </m:r>
              </m:sup>
            </m:sSubSup>
            <m:r>
              <w:rPr>
                <w:rFonts w:ascii="Cambria Math" w:hAnsi="Cambria Math"/>
              </w:rPr>
              <m:t>)</m:t>
            </m:r>
          </m:e>
        </m:rad>
        <m:r>
          <w:rPr>
            <w:rFonts w:ascii="Cambria Math" w:hAnsi="Cambria Math"/>
          </w:rPr>
          <m:t>+2</m:t>
        </m:r>
        <m:rad>
          <m:radPr>
            <m:degHide m:val="1"/>
            <m:ctrlPr>
              <w:rPr>
                <w:rFonts w:ascii="Cambria Math" w:hAnsi="Cambria Math"/>
                <w:i/>
              </w:rPr>
            </m:ctrlPr>
          </m:radPr>
          <m:deg/>
          <m:e>
            <m:sSubSup>
              <m:sSubSupPr>
                <m:ctrlPr>
                  <w:rPr>
                    <w:rFonts w:ascii="Cambria Math" w:hAnsi="Cambria Math"/>
                    <w:i/>
                  </w:rPr>
                </m:ctrlPr>
              </m:sSubSupPr>
              <m:e>
                <m:r>
                  <m:rPr>
                    <m:sty m:val="p"/>
                  </m:rPr>
                  <w:rPr>
                    <w:rFonts w:ascii="Cambria Math" w:hAnsi="Cambria Math"/>
                  </w:rPr>
                  <m:t>(Γ</m:t>
                </m:r>
              </m:e>
              <m:sub>
                <m:r>
                  <w:rPr>
                    <w:rFonts w:ascii="Cambria Math" w:hAnsi="Cambria Math"/>
                  </w:rPr>
                  <m:t>S</m:t>
                </m:r>
              </m:sub>
              <m:sup>
                <m:r>
                  <w:rPr>
                    <w:rFonts w:ascii="Cambria Math" w:hAnsi="Cambria Math"/>
                  </w:rPr>
                  <m:t>+</m:t>
                </m:r>
              </m:sup>
            </m:sSubSup>
            <m:sSubSup>
              <m:sSubSupPr>
                <m:ctrlPr>
                  <w:rPr>
                    <w:rFonts w:ascii="Cambria Math" w:hAnsi="Cambria Math"/>
                    <w:i/>
                  </w:rPr>
                </m:ctrlPr>
              </m:sSubSupPr>
              <m:e>
                <m:r>
                  <m:rPr>
                    <m:sty m:val="p"/>
                  </m:rPr>
                  <w:rPr>
                    <w:rFonts w:ascii="Cambria Math" w:hAnsi="Cambria Math"/>
                  </w:rPr>
                  <m:t>Γ</m:t>
                </m:r>
              </m:e>
              <m:sub>
                <m:r>
                  <w:rPr>
                    <w:rFonts w:ascii="Cambria Math" w:hAnsi="Cambria Math"/>
                  </w:rPr>
                  <m:t>L</m:t>
                </m:r>
              </m:sub>
              <m:sup>
                <m:r>
                  <w:rPr>
                    <w:rFonts w:ascii="Cambria Math" w:hAnsi="Cambria Math"/>
                  </w:rPr>
                  <m:t>-</m:t>
                </m:r>
              </m:sup>
            </m:sSubSup>
            <m:r>
              <w:rPr>
                <w:rFonts w:ascii="Cambria Math" w:hAnsi="Cambria Math"/>
              </w:rPr>
              <m:t>)</m:t>
            </m:r>
          </m:e>
        </m:rad>
        <m:r>
          <w:rPr>
            <w:rFonts w:ascii="Cambria Math" w:hAnsi="Cambria Math"/>
          </w:rPr>
          <m:t>+2</m:t>
        </m:r>
        <m:rad>
          <m:radPr>
            <m:degHide m:val="1"/>
            <m:ctrlPr>
              <w:rPr>
                <w:rFonts w:ascii="Cambria Math" w:hAnsi="Cambria Math"/>
                <w:i/>
              </w:rPr>
            </m:ctrlPr>
          </m:radPr>
          <m:deg/>
          <m:e>
            <m:sSubSup>
              <m:sSubSupPr>
                <m:ctrlPr>
                  <w:rPr>
                    <w:rFonts w:ascii="Cambria Math" w:hAnsi="Cambria Math"/>
                    <w:i/>
                  </w:rPr>
                </m:ctrlPr>
              </m:sSubSupPr>
              <m:e>
                <m:r>
                  <m:rPr>
                    <m:sty m:val="p"/>
                  </m:rPr>
                  <w:rPr>
                    <w:rFonts w:ascii="Cambria Math" w:hAnsi="Cambria Math"/>
                  </w:rPr>
                  <m:t>(Γ</m:t>
                </m:r>
              </m:e>
              <m:sub>
                <m:r>
                  <w:rPr>
                    <w:rFonts w:ascii="Cambria Math" w:hAnsi="Cambria Math"/>
                  </w:rPr>
                  <m:t>S</m:t>
                </m:r>
              </m:sub>
              <m:sup>
                <m:r>
                  <w:rPr>
                    <w:rFonts w:ascii="Cambria Math" w:hAnsi="Cambria Math"/>
                  </w:rPr>
                  <m:t>-</m:t>
                </m:r>
              </m:sup>
            </m:sSubSup>
            <m:sSubSup>
              <m:sSubSupPr>
                <m:ctrlPr>
                  <w:rPr>
                    <w:rFonts w:ascii="Cambria Math" w:hAnsi="Cambria Math"/>
                    <w:i/>
                  </w:rPr>
                </m:ctrlPr>
              </m:sSubSupPr>
              <m:e>
                <m:r>
                  <m:rPr>
                    <m:sty m:val="p"/>
                  </m:rPr>
                  <w:rPr>
                    <w:rFonts w:ascii="Cambria Math" w:hAnsi="Cambria Math"/>
                  </w:rPr>
                  <m:t>Γ</m:t>
                </m:r>
              </m:e>
              <m:sub>
                <m:r>
                  <w:rPr>
                    <w:rFonts w:ascii="Cambria Math" w:hAnsi="Cambria Math"/>
                  </w:rPr>
                  <m:t>L</m:t>
                </m:r>
              </m:sub>
              <m:sup>
                <m:r>
                  <w:rPr>
                    <w:rFonts w:ascii="Cambria Math" w:hAnsi="Cambria Math"/>
                  </w:rPr>
                  <m:t>+</m:t>
                </m:r>
              </m:sup>
            </m:sSubSup>
            <m:r>
              <w:rPr>
                <w:rFonts w:ascii="Cambria Math" w:hAnsi="Cambria Math"/>
              </w:rPr>
              <m:t>)</m:t>
            </m:r>
          </m:e>
        </m:rad>
      </m:oMath>
      <w:r w:rsidR="00C32564" w:rsidRPr="002B76EF">
        <w:t xml:space="preserve">     (</w:t>
      </w:r>
      <w:r w:rsidR="00F9471E">
        <w:rPr>
          <w:rStyle w:val="fontstyle01"/>
          <w:sz w:val="24"/>
          <w:szCs w:val="24"/>
        </w:rPr>
        <w:t>4.</w:t>
      </w:r>
      <w:r w:rsidR="00C32564" w:rsidRPr="002B76EF">
        <w:t>16)</w:t>
      </w:r>
    </w:p>
    <w:p w14:paraId="7AE4E615" w14:textId="77777777" w:rsidR="00C32564" w:rsidRPr="002B76EF" w:rsidRDefault="00C32564" w:rsidP="00E5144D">
      <w:pPr>
        <w:ind w:firstLine="720"/>
      </w:pPr>
      <w:r w:rsidRPr="002B76EF">
        <w:t xml:space="preserve">where, </w:t>
      </w:r>
    </w:p>
    <w:p w14:paraId="3A5BBB1A" w14:textId="242823EA" w:rsidR="00C32564" w:rsidRPr="002B76EF" w:rsidRDefault="00C32564" w:rsidP="00E5144D">
      <w:pPr>
        <w:ind w:left="1440"/>
      </w:pPr>
      <w:r w:rsidRPr="002B76EF">
        <w:rPr>
          <w:i/>
        </w:rPr>
        <w:t>R</w:t>
      </w:r>
      <w:r w:rsidRPr="002B76EF">
        <w:t xml:space="preserve"> = universal gas constant</w:t>
      </w:r>
      <w:r w:rsidR="0097343C">
        <w:t>,</w:t>
      </w:r>
    </w:p>
    <w:p w14:paraId="6C259781" w14:textId="51FF2225" w:rsidR="00C32564" w:rsidRPr="002B76EF" w:rsidRDefault="00C32564" w:rsidP="00E5144D">
      <w:pPr>
        <w:ind w:left="1440"/>
      </w:pPr>
      <w:r w:rsidRPr="002B76EF">
        <w:rPr>
          <w:i/>
        </w:rPr>
        <w:t>T =</w:t>
      </w:r>
      <w:r w:rsidRPr="002B76EF">
        <w:t xml:space="preserve"> temperature</w:t>
      </w:r>
      <w:r w:rsidR="0097343C">
        <w:t>,</w:t>
      </w:r>
    </w:p>
    <w:p w14:paraId="79321F81" w14:textId="47721BDA" w:rsidR="00C32564" w:rsidRPr="002B76EF" w:rsidRDefault="00C32564" w:rsidP="00E5144D">
      <w:pPr>
        <w:ind w:left="1440"/>
      </w:pPr>
      <w:r w:rsidRPr="002B76EF">
        <w:rPr>
          <w:i/>
        </w:rPr>
        <w:t>n</w:t>
      </w:r>
      <w:r w:rsidRPr="002B76EF">
        <w:t xml:space="preserve"> = mass absorbed per unit mass of aggregate at a vapor pressure </w:t>
      </w:r>
      <w:r w:rsidRPr="002B76EF">
        <w:rPr>
          <w:i/>
        </w:rPr>
        <w:t>p</w:t>
      </w:r>
      <w:r w:rsidR="0097343C">
        <w:t>,</w:t>
      </w:r>
    </w:p>
    <w:p w14:paraId="12EF8A95" w14:textId="3AD56CAC" w:rsidR="00C32564" w:rsidRPr="002B76EF" w:rsidRDefault="00C32564" w:rsidP="00E5144D">
      <w:pPr>
        <w:ind w:left="1440"/>
      </w:pPr>
      <w:r w:rsidRPr="002B76EF">
        <w:rPr>
          <w:i/>
        </w:rPr>
        <w:t>M</w:t>
      </w:r>
      <w:r w:rsidRPr="002B76EF">
        <w:t xml:space="preserve"> = molecular weight of the probe vapor</w:t>
      </w:r>
      <w:r w:rsidR="0097343C">
        <w:t>,</w:t>
      </w:r>
      <w:r w:rsidRPr="002B76EF">
        <w:t xml:space="preserve"> </w:t>
      </w:r>
    </w:p>
    <w:p w14:paraId="0AA42D34" w14:textId="0771CD62" w:rsidR="00C32564" w:rsidRPr="002B76EF" w:rsidRDefault="00C32564" w:rsidP="00E5144D">
      <w:pPr>
        <w:ind w:left="1440"/>
      </w:pPr>
      <w:r w:rsidRPr="002B76EF">
        <w:rPr>
          <w:i/>
        </w:rPr>
        <w:t>P</w:t>
      </w:r>
      <w:r w:rsidRPr="002B76EF">
        <w:rPr>
          <w:i/>
          <w:vertAlign w:val="subscript"/>
        </w:rPr>
        <w:t>0</w:t>
      </w:r>
      <w:r w:rsidRPr="002B76EF">
        <w:t xml:space="preserve"> = maximum saturation vapor pressure</w:t>
      </w:r>
      <w:r w:rsidR="0097343C">
        <w:t>,</w:t>
      </w:r>
    </w:p>
    <w:p w14:paraId="5766EAC6" w14:textId="77777777" w:rsidR="00C32564" w:rsidRPr="002B76EF" w:rsidRDefault="00C32564" w:rsidP="00E5144D">
      <w:pPr>
        <w:ind w:left="1440"/>
      </w:pPr>
      <w:r w:rsidRPr="002B76EF">
        <w:rPr>
          <w:i/>
        </w:rPr>
        <w:t>A</w:t>
      </w:r>
      <w:r w:rsidRPr="002B76EF">
        <w:t xml:space="preserve"> = specific surface area of the aggregate. </w:t>
      </w:r>
    </w:p>
    <w:p w14:paraId="22498154" w14:textId="7F5C98F0" w:rsidR="00C32564" w:rsidRPr="002B76EF" w:rsidRDefault="009664B6" w:rsidP="00E57694">
      <w:pPr>
        <w:pStyle w:val="Heading2"/>
        <w:rPr>
          <w:sz w:val="22"/>
          <w:szCs w:val="24"/>
        </w:rPr>
      </w:pPr>
      <w:bookmarkStart w:id="117" w:name="_Toc71728443"/>
      <w:r w:rsidRPr="002B76EF">
        <w:t>RESULTS AND DISCUSSIONS</w:t>
      </w:r>
      <w:bookmarkEnd w:id="117"/>
    </w:p>
    <w:p w14:paraId="78F32D5B" w14:textId="5177E084" w:rsidR="00C32564" w:rsidRPr="002B76EF" w:rsidRDefault="00C32564" w:rsidP="00985A4A">
      <w:pPr>
        <w:pStyle w:val="Heading3"/>
      </w:pPr>
      <w:bookmarkStart w:id="118" w:name="_Toc71728444"/>
      <w:r w:rsidRPr="002B76EF">
        <w:t>Surface Free Energy Components of Binder Blends</w:t>
      </w:r>
      <w:bookmarkEnd w:id="118"/>
    </w:p>
    <w:p w14:paraId="242004F4" w14:textId="77777777" w:rsidR="00C32564" w:rsidRPr="002B76EF" w:rsidRDefault="00C32564" w:rsidP="00E5144D">
      <w:pPr>
        <w:pStyle w:val="Heading4"/>
        <w:spacing w:before="0" w:after="0"/>
      </w:pPr>
      <w:r w:rsidRPr="002B76EF">
        <w:t>Effect of Additives</w:t>
      </w:r>
    </w:p>
    <w:p w14:paraId="7B6AD915" w14:textId="4B8607B1" w:rsidR="00C32564" w:rsidRPr="002B76EF" w:rsidRDefault="00C32564" w:rsidP="00E5144D">
      <w:pPr>
        <w:ind w:firstLine="720"/>
      </w:pPr>
      <w:r w:rsidRPr="002B76EF">
        <w:t xml:space="preserve">The average (avg) and standard deviation (SD) of contact angles of RTFO-aged and PAV-aged PG 64-22 binder with 0.5% WMA, 0.5% ASA, 1.5% PPA and 20% RAP are presented in Table </w:t>
      </w:r>
      <w:r w:rsidR="006D745C">
        <w:t>4.</w:t>
      </w:r>
      <w:r w:rsidRPr="002B76EF">
        <w:t xml:space="preserve">1. From Table </w:t>
      </w:r>
      <w:r w:rsidR="006D745C">
        <w:t>4.</w:t>
      </w:r>
      <w:r w:rsidRPr="002B76EF">
        <w:t>1, the effect of the addition of different additives on contact angle of binder blends with different probe liquids were found to be different. The reactions of the PG 64-22 binder with different additives are likely responsible for these variations. The contact angles of the binder blends with different probe liquids were used to calculate the SFE components of the tested binders using Equation (</w:t>
      </w:r>
      <w:r w:rsidR="00F9471E">
        <w:rPr>
          <w:rStyle w:val="fontstyle01"/>
          <w:sz w:val="24"/>
          <w:szCs w:val="24"/>
        </w:rPr>
        <w:t>4.</w:t>
      </w:r>
      <w:r w:rsidRPr="002B76EF">
        <w:t xml:space="preserve">14). The SFE components of the RTFO-aged and PAV-aged PG 64-22 binders with different additives are presented in Table </w:t>
      </w:r>
      <w:r w:rsidR="006D745C">
        <w:t>4.</w:t>
      </w:r>
      <w:r w:rsidRPr="002B76EF">
        <w:t xml:space="preserve">2. Typically, a change in the SFE components of a binder is expected to result in a change in the moisture-induced damage potential of the corresponding binder-aggregate system. It was observed that the acid component of the asphalt acts as a scale factor in calculation of dry adhesive bond strength </w:t>
      </w:r>
      <w:r w:rsidRPr="002B76EF">
        <w:fldChar w:fldCharType="begin"/>
      </w:r>
      <w:r w:rsidR="00282238">
        <w:instrText xml:space="preserve"> ADDIN EN.CITE &lt;EndNote&gt;&lt;Cite&gt;&lt;Author&gt;Bhasin&lt;/Author&gt;&lt;Year&gt;2006&lt;/Year&gt;&lt;RecNum&gt;23&lt;/RecNum&gt;&lt;DisplayText&gt;(Bhasin et al., 2006)&lt;/DisplayText&gt;&lt;record&gt;&lt;rec-number&gt;23&lt;/rec-number&gt;&lt;foreign-keys&gt;&lt;key app="EN" db-id="d55vzfpwawdafteedfoxsf0lv0v0wp5va2aa" timestamp="1509901106"&gt;23&lt;/key&gt;&lt;/foreign-keys&gt;&lt;ref-type name="Journal Article"&gt;17&lt;/ref-type&gt;&lt;contributors&gt;&lt;authors&gt;&lt;author&gt;Bhasin, Amit&lt;/author&gt;&lt;author&gt;Masad, Eyad&lt;/author&gt;&lt;author&gt;Little, Dallas&lt;/author&gt;&lt;author&gt;Lytton, Robert&lt;/author&gt;&lt;/authors&gt;&lt;/contributors&gt;&lt;titles&gt;&lt;title&gt;Limits on Adhesive Bond Energy for Improved Resistance of Hot-Mix Asphalt to Moisture Damage&lt;/title&gt;&lt;secondary-title&gt;Transportation research record: journal of the transportation research board&lt;/secondary-title&gt;&lt;/titles&gt;&lt;periodical&gt;&lt;full-title&gt;Transportation Research Record: Journal of the Transportation Research Board&lt;/full-title&gt;&lt;/periodical&gt;&lt;pages&gt;3-13&lt;/pages&gt;&lt;number&gt;1970&lt;/number&gt;&lt;dates&gt;&lt;year&gt;2006&lt;/year&gt;&lt;/dates&gt;&lt;isbn&gt;0361-1981&lt;/isbn&gt;&lt;urls&gt;&lt;/urls&gt;&lt;/record&gt;&lt;/Cite&gt;&lt;/EndNote&gt;</w:instrText>
      </w:r>
      <w:r w:rsidRPr="002B76EF">
        <w:fldChar w:fldCharType="separate"/>
      </w:r>
      <w:r w:rsidR="00282238">
        <w:rPr>
          <w:noProof/>
        </w:rPr>
        <w:t>(Bhasin et al., 2006)</w:t>
      </w:r>
      <w:r w:rsidRPr="002B76EF">
        <w:fldChar w:fldCharType="end"/>
      </w:r>
      <w:r w:rsidRPr="002B76EF">
        <w:t>.</w:t>
      </w:r>
    </w:p>
    <w:p w14:paraId="4D16EFAB" w14:textId="42DDF7E2" w:rsidR="00C32564" w:rsidRPr="002B76EF" w:rsidRDefault="00C32564" w:rsidP="00E5144D">
      <w:pPr>
        <w:ind w:firstLine="720"/>
      </w:pPr>
      <w:r w:rsidRPr="002B76EF">
        <w:t xml:space="preserve">From Table </w:t>
      </w:r>
      <w:r w:rsidR="006D745C">
        <w:t>4.</w:t>
      </w:r>
      <w:r w:rsidRPr="002B76EF">
        <w:t>2, it was observed that the acid (Γ</w:t>
      </w:r>
      <w:r w:rsidRPr="002B76EF">
        <w:rPr>
          <w:vertAlign w:val="superscript"/>
        </w:rPr>
        <w:t>+</w:t>
      </w:r>
      <w:r w:rsidRPr="002B76EF">
        <w:t>) and base (Γ</w:t>
      </w:r>
      <w:r w:rsidRPr="002B76EF">
        <w:rPr>
          <w:vertAlign w:val="superscript"/>
        </w:rPr>
        <w:t>-</w:t>
      </w:r>
      <w:r w:rsidRPr="002B76EF">
        <w:t>) components of RTFO-aged PG 64-22 binder increased with the addition of the WMA additive. However, non-polar Lifshitz-van der Waals (Γ</w:t>
      </w:r>
      <w:r w:rsidRPr="002B76EF">
        <w:rPr>
          <w:i/>
          <w:iCs/>
          <w:vertAlign w:val="superscript"/>
        </w:rPr>
        <w:t>LW</w:t>
      </w:r>
      <w:r w:rsidRPr="002B76EF">
        <w:t xml:space="preserve">) component of PG 64-22 binder was found not to change with the addition of WMA additive. From Table </w:t>
      </w:r>
      <w:r w:rsidR="006D745C">
        <w:t>4.</w:t>
      </w:r>
      <w:r w:rsidRPr="002B76EF">
        <w:t>2, it was also observed that the Γ</w:t>
      </w:r>
      <w:r w:rsidRPr="002B76EF">
        <w:rPr>
          <w:vertAlign w:val="superscript"/>
        </w:rPr>
        <w:t>+</w:t>
      </w:r>
      <w:r w:rsidRPr="002B76EF">
        <w:t xml:space="preserve"> and the Γ</w:t>
      </w:r>
      <w:r w:rsidRPr="002B76EF">
        <w:rPr>
          <w:vertAlign w:val="superscript"/>
        </w:rPr>
        <w:t>-</w:t>
      </w:r>
      <w:r w:rsidRPr="002B76EF">
        <w:t xml:space="preserve"> components of PG 64-22 binder increased as a result of the </w:t>
      </w:r>
      <w:r w:rsidRPr="00DF4CA6">
        <w:t>addition of ASA. Also, the Γ</w:t>
      </w:r>
      <w:r w:rsidRPr="00DF4CA6">
        <w:rPr>
          <w:vertAlign w:val="superscript"/>
        </w:rPr>
        <w:t>+</w:t>
      </w:r>
      <w:r w:rsidRPr="00DF4CA6">
        <w:t>/Γ</w:t>
      </w:r>
      <w:r w:rsidRPr="00DF4CA6">
        <w:rPr>
          <w:vertAlign w:val="superscript"/>
        </w:rPr>
        <w:t>-</w:t>
      </w:r>
      <w:r w:rsidRPr="00DF4CA6">
        <w:t xml:space="preserve"> ratio</w:t>
      </w:r>
      <w:r w:rsidRPr="00DF4CA6">
        <w:rPr>
          <w:bCs/>
        </w:rPr>
        <w:t xml:space="preserve"> </w:t>
      </w:r>
      <w:r w:rsidRPr="00DF4CA6">
        <w:t xml:space="preserve">was found to reduce from 1.06 to 0.87 indicating more basic </w:t>
      </w:r>
      <w:r w:rsidR="00607E89" w:rsidRPr="00DF4CA6">
        <w:t>behavior</w:t>
      </w:r>
      <w:r w:rsidRPr="00DF4CA6">
        <w:t xml:space="preserve"> with the addition of 0.5% ASA. The reaction of the amine-based ASA, which is basic in nature, with binder constituents are expected to be responsible for the changes in the binder surface energy properties. Similar increase in the basic </w:t>
      </w:r>
      <w:r w:rsidR="00607E89" w:rsidRPr="00DF4CA6">
        <w:t>behavior</w:t>
      </w:r>
      <w:r w:rsidRPr="00DF4CA6">
        <w:t xml:space="preserve"> with the addition antistripping agent was reported by other study </w:t>
      </w:r>
      <w:r w:rsidRPr="00DF4CA6">
        <w:fldChar w:fldCharType="begin"/>
      </w:r>
      <w:r w:rsidR="00282238" w:rsidRPr="00DF4CA6">
        <w:instrText xml:space="preserve"> ADDIN EN.CITE &lt;EndNote&gt;&lt;Cite&gt;&lt;Author&gt;Wasiuddin&lt;/Author&gt;&lt;Year&gt;2007&lt;/Year&gt;&lt;RecNum&gt;82&lt;/RecNum&gt;&lt;DisplayText&gt;(Wasiuddin et al., 2007c)&lt;/DisplayText&gt;&lt;record&gt;&lt;rec-number&gt;82&lt;/rec-number&gt;&lt;foreign-keys&gt;&lt;key app="EN" db-id="d55vzfpwawdafteedfoxsf0lv0v0wp5va2aa" timestamp="1519487395"&gt;82&lt;/key&gt;&lt;/foreign-keys&gt;&lt;ref-type name="Journal Article"&gt;17&lt;/ref-type&gt;&lt;contributors&gt;&lt;authors&gt;&lt;author&gt;Wasiuddin, Nazimuddin M&lt;/author&gt;&lt;author&gt;Fogle, Chris M&lt;/author&gt;&lt;author&gt;Zaman, Musharraf M&lt;/author&gt;&lt;author&gt;O’Rear, Edgar A&lt;/author&gt;&lt;/authors&gt;&lt;/contributors&gt;&lt;titles&gt;&lt;title&gt;Effect of Antistrip Additives on Surface Free Energy Characteristics of Asphalt Binders for Moisture-Induced Damage Potential&lt;/title&gt;&lt;secondary-title&gt;Journal of Testing and Evaluation&lt;/secondary-title&gt;&lt;/titles&gt;&lt;periodical&gt;&lt;full-title&gt;Journal of Testing and Evaluation&lt;/full-title&gt;&lt;/periodical&gt;&lt;volume&gt;35&lt;/volume&gt;&lt;number&gt;1&lt;/number&gt;&lt;dates&gt;&lt;year&gt;2007&lt;/year&gt;&lt;/dates&gt;&lt;urls&gt;&lt;/urls&gt;&lt;/record&gt;&lt;/Cite&gt;&lt;/EndNote&gt;</w:instrText>
      </w:r>
      <w:r w:rsidRPr="00DF4CA6">
        <w:fldChar w:fldCharType="separate"/>
      </w:r>
      <w:r w:rsidR="00282238" w:rsidRPr="00DF4CA6">
        <w:rPr>
          <w:noProof/>
        </w:rPr>
        <w:t>(Wasiuddin et al., 2007c)</w:t>
      </w:r>
      <w:r w:rsidRPr="00DF4CA6">
        <w:fldChar w:fldCharType="end"/>
      </w:r>
      <w:r w:rsidRPr="00DF4CA6">
        <w:t>. Also, it was observed that the Γ</w:t>
      </w:r>
      <w:r w:rsidRPr="00DF4CA6">
        <w:rPr>
          <w:vertAlign w:val="superscript"/>
        </w:rPr>
        <w:t>+</w:t>
      </w:r>
      <w:r w:rsidRPr="00DF4CA6">
        <w:t xml:space="preserve"> and Γ</w:t>
      </w:r>
      <w:r w:rsidRPr="00DF4CA6">
        <w:rPr>
          <w:vertAlign w:val="superscript"/>
        </w:rPr>
        <w:t>-</w:t>
      </w:r>
      <w:r w:rsidRPr="00DF4CA6">
        <w:t xml:space="preserve"> components of PG 64-22 binder increased and Γ</w:t>
      </w:r>
      <w:r w:rsidRPr="00DF4CA6">
        <w:rPr>
          <w:i/>
          <w:vertAlign w:val="superscript"/>
        </w:rPr>
        <w:t>LW</w:t>
      </w:r>
      <w:r w:rsidRPr="00DF4CA6">
        <w:t xml:space="preserve"> components reduced due to the addition of simulated RAP. The Γ</w:t>
      </w:r>
      <w:r w:rsidRPr="00DF4CA6">
        <w:rPr>
          <w:vertAlign w:val="superscript"/>
        </w:rPr>
        <w:t>+</w:t>
      </w:r>
      <w:r w:rsidRPr="00DF4CA6">
        <w:t>/Γ</w:t>
      </w:r>
      <w:r w:rsidRPr="00DF4CA6">
        <w:rPr>
          <w:vertAlign w:val="superscript"/>
        </w:rPr>
        <w:t>-</w:t>
      </w:r>
      <w:r w:rsidRPr="00DF4CA6">
        <w:t xml:space="preserve"> ratio</w:t>
      </w:r>
      <w:r w:rsidRPr="00DF4CA6">
        <w:rPr>
          <w:bCs/>
        </w:rPr>
        <w:t xml:space="preserve"> </w:t>
      </w:r>
      <w:r w:rsidRPr="00DF4CA6">
        <w:t xml:space="preserve">was found to increase from 1.06 to 1.36 indicating more acidic </w:t>
      </w:r>
      <w:r w:rsidR="00607E89" w:rsidRPr="00DF4CA6">
        <w:t>behavior</w:t>
      </w:r>
      <w:r w:rsidRPr="00DF4CA6">
        <w:t xml:space="preserve"> with the addition of 20% RAP, which is consistent with the previous studies </w:t>
      </w:r>
      <w:r w:rsidRPr="00DF4CA6">
        <w:fldChar w:fldCharType="begin"/>
      </w:r>
      <w:r w:rsidR="00282238" w:rsidRPr="00DF4CA6">
        <w:instrText xml:space="preserve"> ADDIN EN.CITE &lt;EndNote&gt;&lt;Cite&gt;&lt;Author&gt;Ghabchi&lt;/Author&gt;&lt;Year&gt;2014&lt;/Year&gt;&lt;RecNum&gt;113&lt;/RecNum&gt;&lt;DisplayText&gt;(Ghabchi et al., 2014)&lt;/DisplayText&gt;&lt;record&gt;&lt;rec-number&gt;113&lt;/rec-number&gt;&lt;foreign-keys&gt;&lt;key app="EN" db-id="d55vzfpwawdafteedfoxsf0lv0v0wp5va2aa" timestamp="1521350423"&gt;113&lt;/key&gt;&lt;/foreign-keys&gt;&lt;ref-type name="Journal Article"&gt;17&lt;/ref-type&gt;&lt;contributors&gt;&lt;authors&gt;&lt;author&gt;Ghabchi, Rouzbeh&lt;/author&gt;&lt;author&gt;Singh, Dharamveer&lt;/author&gt;&lt;author&gt;Zaman, Musharraf&lt;/author&gt;&lt;/authors&gt;&lt;/contributors&gt;&lt;titles&gt;&lt;title&gt;Evaluation of Moisture Susceptibility of Asphalt Mixes Containing RAP and Different Types of Aggregates and Asphalt Binders Using the Surface Free Energy Method&lt;/title&gt;&lt;secondary-title&gt;Construction and Building Materials&lt;/secondary-title&gt;&lt;/titles&gt;&lt;periodical&gt;&lt;full-title&gt;Construction and Building Materials&lt;/full-title&gt;&lt;/periodical&gt;&lt;pages&gt;479-489&lt;/pages&gt;&lt;volume&gt;73&lt;/volume&gt;&lt;dates&gt;&lt;year&gt;2014&lt;/year&gt;&lt;/dates&gt;&lt;isbn&gt;0950-0618&lt;/isbn&gt;&lt;urls&gt;&lt;/urls&gt;&lt;/record&gt;&lt;/Cite&gt;&lt;/EndNote&gt;</w:instrText>
      </w:r>
      <w:r w:rsidRPr="00DF4CA6">
        <w:fldChar w:fldCharType="separate"/>
      </w:r>
      <w:r w:rsidR="00282238" w:rsidRPr="00DF4CA6">
        <w:rPr>
          <w:noProof/>
        </w:rPr>
        <w:t>(Ghabchi et al., 2014)</w:t>
      </w:r>
      <w:r w:rsidRPr="00DF4CA6">
        <w:fldChar w:fldCharType="end"/>
      </w:r>
      <w:r w:rsidRPr="00DF4CA6">
        <w:t>. As a result of the addition of PPA, the Γ</w:t>
      </w:r>
      <w:r w:rsidRPr="00DF4CA6">
        <w:rPr>
          <w:vertAlign w:val="superscript"/>
        </w:rPr>
        <w:t>+</w:t>
      </w:r>
      <w:r w:rsidRPr="00DF4CA6">
        <w:t>/Γ</w:t>
      </w:r>
      <w:r w:rsidRPr="00DF4CA6">
        <w:rPr>
          <w:vertAlign w:val="superscript"/>
        </w:rPr>
        <w:t>-</w:t>
      </w:r>
      <w:r w:rsidRPr="00DF4CA6">
        <w:t xml:space="preserve"> value for the PG 64-22 binder was found to reduce from 1.06 to 0.24 indicating a substantial increase in basic </w:t>
      </w:r>
      <w:r w:rsidR="00607E89" w:rsidRPr="00DF4CA6">
        <w:t>behavior</w:t>
      </w:r>
      <w:r w:rsidRPr="00DF4CA6">
        <w:t xml:space="preserve"> with the addition of PPA to binder blend. Increase in the basic SFE component of the binder with an increase</w:t>
      </w:r>
      <w:r w:rsidRPr="002B76EF">
        <w:t xml:space="preserve"> in PPA amount</w:t>
      </w:r>
      <w:r w:rsidRPr="002B76EF">
        <w:rPr>
          <w:noProof/>
        </w:rPr>
        <w:t xml:space="preserve"> was also reported in the available literature </w:t>
      </w:r>
      <w:r w:rsidRPr="002B76EF">
        <w:fldChar w:fldCharType="begin"/>
      </w:r>
      <w:r w:rsidR="00282238">
        <w:instrText xml:space="preserve"> ADDIN EN.CITE &lt;EndNote&gt;&lt;Cite&gt;&lt;Author&gt;Al-Qadi&lt;/Author&gt;&lt;Year&gt;2014&lt;/Year&gt;&lt;RecNum&gt;129&lt;/RecNum&gt;&lt;DisplayText&gt;(Al-Qadi et al., 2014)&lt;/DisplayText&gt;&lt;record&gt;&lt;rec-number&gt;129&lt;/rec-number&gt;&lt;foreign-keys&gt;&lt;key app="EN" db-id="d55vzfpwawdafteedfoxsf0lv0v0wp5va2aa" timestamp="1521482466"&gt;129&lt;/key&gt;&lt;/foreign-keys&gt;&lt;ref-type name="Report"&gt;27&lt;/ref-type&gt;&lt;contributors&gt;&lt;authors&gt;&lt;author&gt;Al-Qadi, Imad L&lt;/author&gt;&lt;author&gt;Abauwad, Ibrahim M&lt;/author&gt;&lt;author&gt;Dhasmana, Heena&lt;/author&gt;&lt;author&gt;Coenen, Aaron R&lt;/author&gt;&lt;/authors&gt;&lt;/contributors&gt;&lt;titles&gt;&lt;title&gt;Effects of Various Asphalt Binder Additives/Modifiers on Moisture-Susceptible Asphaltic Mixtures&lt;/title&gt;&lt;/titles&gt;&lt;dates&gt;&lt;year&gt;2014&lt;/year&gt;&lt;/dates&gt;&lt;publisher&gt;Illinois Center for Transportation&lt;/publisher&gt;&lt;isbn&gt;0197-9191&lt;/isbn&gt;&lt;urls&gt;&lt;/urls&gt;&lt;/record&gt;&lt;/Cite&gt;&lt;/EndNote&gt;</w:instrText>
      </w:r>
      <w:r w:rsidRPr="002B76EF">
        <w:fldChar w:fldCharType="separate"/>
      </w:r>
      <w:r w:rsidR="00282238">
        <w:rPr>
          <w:noProof/>
        </w:rPr>
        <w:t>(Al-Qadi et al., 2014)</w:t>
      </w:r>
      <w:r w:rsidRPr="002B76EF">
        <w:fldChar w:fldCharType="end"/>
      </w:r>
      <w:r w:rsidRPr="002B76EF">
        <w:t>. Therefore, the addition of PPA may result in a weak bonding with aggregates that generally have a higher basic component than acid component. Similar to contact angles, the reactions of the PG 64-22 binder constituents with PPA are likely to be responsible for such changes in the binder’s surface energy properties.</w:t>
      </w:r>
    </w:p>
    <w:p w14:paraId="03F54279" w14:textId="77777777" w:rsidR="00C32564" w:rsidRPr="002B76EF" w:rsidRDefault="00C32564" w:rsidP="00E5144D">
      <w:pPr>
        <w:pStyle w:val="Heading4"/>
        <w:spacing w:before="0" w:after="0"/>
      </w:pPr>
      <w:r w:rsidRPr="002B76EF">
        <w:t>Effect of Aging</w:t>
      </w:r>
    </w:p>
    <w:p w14:paraId="7303DD24" w14:textId="12528835" w:rsidR="00C32564" w:rsidRPr="002B76EF" w:rsidRDefault="00C32564" w:rsidP="00E5144D">
      <w:pPr>
        <w:ind w:firstLine="720"/>
      </w:pPr>
      <w:r w:rsidRPr="002B76EF">
        <w:t xml:space="preserve">From Table </w:t>
      </w:r>
      <w:r w:rsidR="006D745C">
        <w:t>4.</w:t>
      </w:r>
      <w:r w:rsidRPr="002B76EF">
        <w:t>2, it was observed that the Γ</w:t>
      </w:r>
      <w:r w:rsidRPr="002B76EF">
        <w:rPr>
          <w:i/>
          <w:vertAlign w:val="superscript"/>
        </w:rPr>
        <w:t>LW</w:t>
      </w:r>
      <w:r w:rsidRPr="002B76EF">
        <w:t xml:space="preserve"> and Γ</w:t>
      </w:r>
      <w:r w:rsidRPr="002B76EF">
        <w:rPr>
          <w:i/>
          <w:vertAlign w:val="superscript"/>
        </w:rPr>
        <w:t>Total</w:t>
      </w:r>
      <w:r w:rsidRPr="002B76EF">
        <w:t xml:space="preserve"> components of PG 64-22 binder decreased with PAV-aging. However, the Γ</w:t>
      </w:r>
      <w:r w:rsidRPr="002B76EF">
        <w:rPr>
          <w:vertAlign w:val="superscript"/>
        </w:rPr>
        <w:t>+</w:t>
      </w:r>
      <w:r w:rsidRPr="002B76EF">
        <w:t xml:space="preserve"> and Γ</w:t>
      </w:r>
      <w:r w:rsidRPr="002B76EF">
        <w:rPr>
          <w:vertAlign w:val="superscript"/>
        </w:rPr>
        <w:t>-</w:t>
      </w:r>
      <w:r w:rsidRPr="002B76EF">
        <w:t xml:space="preserve"> components of the PG 64-22 binder was found to increase with long-term aging. Also, the Γ</w:t>
      </w:r>
      <w:r w:rsidRPr="002B76EF">
        <w:rPr>
          <w:vertAlign w:val="superscript"/>
        </w:rPr>
        <w:t>+</w:t>
      </w:r>
      <w:r w:rsidRPr="002B76EF">
        <w:t>/Γ</w:t>
      </w:r>
      <w:r w:rsidRPr="002B76EF">
        <w:rPr>
          <w:vertAlign w:val="superscript"/>
        </w:rPr>
        <w:t>-</w:t>
      </w:r>
      <w:r w:rsidRPr="002B76EF">
        <w:t xml:space="preserve"> ratio</w:t>
      </w:r>
      <w:r w:rsidRPr="002B76EF">
        <w:rPr>
          <w:bCs/>
        </w:rPr>
        <w:t xml:space="preserve"> </w:t>
      </w:r>
      <w:r w:rsidRPr="002B76EF">
        <w:t>of PG 64-22 binder was found to reduce significantly (from 1.06 to 0.58) as a result of PAV-aging</w:t>
      </w:r>
      <w:r w:rsidRPr="002B76EF">
        <w:rPr>
          <w:bCs/>
        </w:rPr>
        <w:t xml:space="preserve">. A similar trend in reduction of </w:t>
      </w:r>
      <w:r w:rsidRPr="002B76EF">
        <w:t>Γ</w:t>
      </w:r>
      <w:r w:rsidRPr="002B76EF">
        <w:rPr>
          <w:vertAlign w:val="superscript"/>
        </w:rPr>
        <w:t>+</w:t>
      </w:r>
      <w:r w:rsidRPr="002B76EF">
        <w:t>/Γ</w:t>
      </w:r>
      <w:r w:rsidRPr="002B76EF">
        <w:rPr>
          <w:vertAlign w:val="superscript"/>
        </w:rPr>
        <w:t>-</w:t>
      </w:r>
      <w:r w:rsidRPr="002B76EF">
        <w:t xml:space="preserve"> ratio</w:t>
      </w:r>
      <w:r w:rsidRPr="002B76EF">
        <w:rPr>
          <w:bCs/>
        </w:rPr>
        <w:t xml:space="preserve"> was observed for PG 64-22 with 20% RAP. </w:t>
      </w:r>
      <w:r w:rsidRPr="002B76EF">
        <w:t>These results indicate that the binder became more basic in nature with long-term aging, which may result in weak bonding with basic aggregates. However, the Γ</w:t>
      </w:r>
      <w:r w:rsidRPr="002B76EF">
        <w:rPr>
          <w:vertAlign w:val="superscript"/>
        </w:rPr>
        <w:t>+</w:t>
      </w:r>
      <w:r w:rsidRPr="002B76EF">
        <w:t>/Γ</w:t>
      </w:r>
      <w:r w:rsidRPr="002B76EF">
        <w:rPr>
          <w:vertAlign w:val="superscript"/>
        </w:rPr>
        <w:t>-</w:t>
      </w:r>
      <w:r w:rsidRPr="002B76EF">
        <w:t xml:space="preserve"> ratio was found to increase from 1.24 to 1.82 for WMA modified binder and from 0.87 to 1.17 for ASA-modified binders. This phenomena may be resulted from the degradation of ASA with aging </w:t>
      </w:r>
      <w:r w:rsidRPr="002B76EF">
        <w:fldChar w:fldCharType="begin"/>
      </w:r>
      <w:r w:rsidR="00282238">
        <w:instrText xml:space="preserve"> ADDIN EN.CITE &lt;EndNote&gt;&lt;Cite&gt;&lt;Author&gt;Wasiuddin&lt;/Author&gt;&lt;Year&gt;2007&lt;/Year&gt;&lt;RecNum&gt;109&lt;/RecNum&gt;&lt;DisplayText&gt;(Wasiuddin et al., 2007a)&lt;/DisplayText&gt;&lt;record&gt;&lt;rec-number&gt;109&lt;/rec-number&gt;&lt;foreign-keys&gt;&lt;key app="EN" db-id="d55vzfpwawdafteedfoxsf0lv0v0wp5va2aa" timestamp="1521326591"&gt;109&lt;/key&gt;&lt;/foreign-keys&gt;&lt;ref-type name="Journal Article"&gt;17&lt;/ref-type&gt;&lt;contributors&gt;&lt;authors&gt;&lt;author&gt;Wasiuddin, Nazimuddin M&lt;/author&gt;&lt;author&gt;Fogle, Chris M&lt;/author&gt;&lt;author&gt;Zaman, Musharraf M&lt;/author&gt;&lt;author&gt;Edgar, AO&lt;/author&gt;&lt;/authors&gt;&lt;/contributors&gt;&lt;titles&gt;&lt;title&gt;Characterization of Thermal Degradation of Liquid Amine Anti-Strip Additives in Asphalt Binders Due to RTFO and PAV-Aging&lt;/title&gt;&lt;secondary-title&gt;Journal of Testing and Evaluation&lt;/secondary-title&gt;&lt;/titles&gt;&lt;periodical&gt;&lt;full-title&gt;Journal of Testing and Evaluation&lt;/full-title&gt;&lt;/periodical&gt;&lt;pages&gt;387-394&lt;/pages&gt;&lt;volume&gt;35&lt;/volume&gt;&lt;number&gt;4&lt;/number&gt;&lt;dates&gt;&lt;year&gt;2007&lt;/year&gt;&lt;/dates&gt;&lt;isbn&gt;0090-3973&lt;/isbn&gt;&lt;urls&gt;&lt;/urls&gt;&lt;/record&gt;&lt;/Cite&gt;&lt;/EndNote&gt;</w:instrText>
      </w:r>
      <w:r w:rsidRPr="002B76EF">
        <w:fldChar w:fldCharType="separate"/>
      </w:r>
      <w:r w:rsidR="00282238">
        <w:rPr>
          <w:noProof/>
        </w:rPr>
        <w:t>(Wasiuddin et al., 2007a)</w:t>
      </w:r>
      <w:r w:rsidRPr="002B76EF">
        <w:fldChar w:fldCharType="end"/>
      </w:r>
      <w:r w:rsidRPr="002B76EF">
        <w:t>. Therefore, the reduction in basic properties of amine-based ASA with long-term aging is expected to be responsible for this observation. The Γ</w:t>
      </w:r>
      <w:r w:rsidRPr="002B76EF">
        <w:rPr>
          <w:vertAlign w:val="superscript"/>
        </w:rPr>
        <w:t>+</w:t>
      </w:r>
      <w:r w:rsidRPr="002B76EF">
        <w:t xml:space="preserve"> component was found to reduce and the Γ</w:t>
      </w:r>
      <w:r w:rsidRPr="002B76EF">
        <w:rPr>
          <w:vertAlign w:val="superscript"/>
        </w:rPr>
        <w:t>-</w:t>
      </w:r>
      <w:r w:rsidRPr="002B76EF">
        <w:t xml:space="preserve"> component was found to increase for 1.5% PPA-modified binder with long-term aging making the binder more susceptible to moisture-induced damage. </w:t>
      </w:r>
    </w:p>
    <w:p w14:paraId="7647AF54" w14:textId="14482116" w:rsidR="00C32564" w:rsidRPr="002B76EF" w:rsidRDefault="00C32564" w:rsidP="00985A4A">
      <w:pPr>
        <w:pStyle w:val="Heading3"/>
      </w:pPr>
      <w:bookmarkStart w:id="119" w:name="_Toc71728445"/>
      <w:r w:rsidRPr="002B76EF">
        <w:t>Surface Free Energy Components of Aggregates</w:t>
      </w:r>
      <w:bookmarkEnd w:id="119"/>
    </w:p>
    <w:p w14:paraId="371E1018" w14:textId="48A3CD7E" w:rsidR="00C32564" w:rsidRPr="002B76EF" w:rsidRDefault="00C32564" w:rsidP="00E5144D">
      <w:pPr>
        <w:ind w:firstLine="720"/>
        <w:rPr>
          <w:lang w:val="en-CA"/>
        </w:rPr>
      </w:pPr>
      <w:r w:rsidRPr="002B76EF">
        <w:rPr>
          <w:lang w:val="en-CA"/>
        </w:rPr>
        <w:t xml:space="preserve">The SFE components of the tested aggregate are presented in Table </w:t>
      </w:r>
      <w:r w:rsidR="006D745C">
        <w:t>4.</w:t>
      </w:r>
      <w:r w:rsidRPr="002B76EF">
        <w:rPr>
          <w:lang w:val="en-CA"/>
        </w:rPr>
        <w:t xml:space="preserve">2. The magnitude of </w:t>
      </w:r>
      <w:r w:rsidRPr="002B76EF">
        <w:t>Γ</w:t>
      </w:r>
      <w:r w:rsidRPr="002B76EF">
        <w:rPr>
          <w:vertAlign w:val="superscript"/>
        </w:rPr>
        <w:t>+</w:t>
      </w:r>
      <w:r w:rsidRPr="002B76EF">
        <w:t xml:space="preserve"> </w:t>
      </w:r>
      <w:r w:rsidRPr="002B76EF">
        <w:rPr>
          <w:lang w:val="en-CA"/>
        </w:rPr>
        <w:t>(0.39 mJ/m</w:t>
      </w:r>
      <w:r w:rsidRPr="002B76EF">
        <w:rPr>
          <w:vertAlign w:val="superscript"/>
          <w:lang w:val="en-CA"/>
        </w:rPr>
        <w:t>2</w:t>
      </w:r>
      <w:r w:rsidRPr="002B76EF">
        <w:rPr>
          <w:lang w:val="en-CA"/>
        </w:rPr>
        <w:t xml:space="preserve">) and </w:t>
      </w:r>
      <w:r w:rsidRPr="002B76EF">
        <w:t>Γ</w:t>
      </w:r>
      <w:r w:rsidRPr="002B76EF">
        <w:rPr>
          <w:i/>
          <w:vertAlign w:val="superscript"/>
        </w:rPr>
        <w:t>LW</w:t>
      </w:r>
      <w:r w:rsidRPr="002B76EF">
        <w:rPr>
          <w:lang w:val="en-CA"/>
        </w:rPr>
        <w:t xml:space="preserve"> (52.87 mJ/m</w:t>
      </w:r>
      <w:r w:rsidRPr="002B76EF">
        <w:rPr>
          <w:vertAlign w:val="superscript"/>
          <w:lang w:val="en-CA"/>
        </w:rPr>
        <w:t>2</w:t>
      </w:r>
      <w:r w:rsidRPr="002B76EF">
        <w:rPr>
          <w:lang w:val="en-CA"/>
        </w:rPr>
        <w:t xml:space="preserve">) components of the SFE was found to be much lower than the </w:t>
      </w:r>
      <w:r w:rsidRPr="002B76EF">
        <w:t>Γ</w:t>
      </w:r>
      <w:r w:rsidRPr="002B76EF">
        <w:rPr>
          <w:vertAlign w:val="superscript"/>
        </w:rPr>
        <w:t>-</w:t>
      </w:r>
      <w:r w:rsidRPr="002B76EF">
        <w:t xml:space="preserve"> </w:t>
      </w:r>
      <w:r w:rsidRPr="002B76EF">
        <w:rPr>
          <w:lang w:val="en-CA"/>
        </w:rPr>
        <w:t>component of the aggregate. For basic aggregates (</w:t>
      </w:r>
      <w:r w:rsidRPr="002B76EF">
        <w:t>Γ</w:t>
      </w:r>
      <w:r w:rsidRPr="002B76EF">
        <w:rPr>
          <w:vertAlign w:val="superscript"/>
        </w:rPr>
        <w:t>-</w:t>
      </w:r>
      <w:r w:rsidRPr="002B76EF">
        <w:t xml:space="preserve"> </w:t>
      </w:r>
      <w:r w:rsidRPr="002B76EF">
        <w:rPr>
          <w:lang w:val="en-CA"/>
        </w:rPr>
        <w:t xml:space="preserve">component greater than </w:t>
      </w:r>
      <w:r w:rsidRPr="002B76EF">
        <w:t>Γ</w:t>
      </w:r>
      <w:r w:rsidRPr="002B76EF">
        <w:rPr>
          <w:vertAlign w:val="superscript"/>
        </w:rPr>
        <w:t>+</w:t>
      </w:r>
      <w:r w:rsidRPr="002B76EF">
        <w:t xml:space="preserve"> component), </w:t>
      </w:r>
      <w:r w:rsidRPr="002B76EF">
        <w:rPr>
          <w:lang w:val="en-CA"/>
        </w:rPr>
        <w:fldChar w:fldCharType="begin"/>
      </w:r>
      <w:r w:rsidRPr="002B76EF">
        <w:rPr>
          <w:lang w:val="en-CA"/>
        </w:rPr>
        <w:instrText xml:space="preserve"> ADDIN EN.CITE &lt;EndNote&gt;&lt;Cite AuthorYear="1"&gt;&lt;Author&gt;Bhasin&lt;/Author&gt;&lt;Year&gt;2007&lt;/Year&gt;&lt;RecNum&gt;7&lt;/RecNum&gt;&lt;DisplayText&gt;Bhasin (2007)&lt;/DisplayText&gt;&lt;record&gt;&lt;rec-number&gt;7&lt;/rec-number&gt;&lt;foreign-keys&gt;&lt;key app="EN" db-id="d55vzfpwawdafteedfoxsf0lv0v0wp5va2aa" timestamp="1509900362"&gt;7&lt;/key&gt;&lt;/foreign-keys&gt;&lt;ref-type name="Thesis"&gt;32&lt;/ref-type&gt;&lt;contributors&gt;&lt;authors&gt;&lt;author&gt;Bhasin, Amit&lt;/author&gt;&lt;/authors&gt;&lt;/contributors&gt;&lt;titles&gt;&lt;title&gt;Development of Methods to Quantify Bitumen-Aggregate Adhesion and Loss of Adhesion Due to Water&lt;/title&gt;&lt;/titles&gt;&lt;dates&gt;&lt;year&gt;2007&lt;/year&gt;&lt;/dates&gt;&lt;publisher&gt;Texas A&amp;amp;M University&lt;/publisher&gt;&lt;urls&gt;&lt;/urls&gt;&lt;/record&gt;&lt;/Cite&gt;&lt;/EndNote&gt;</w:instrText>
      </w:r>
      <w:r w:rsidRPr="002B76EF">
        <w:rPr>
          <w:lang w:val="en-CA"/>
        </w:rPr>
        <w:fldChar w:fldCharType="separate"/>
      </w:r>
      <w:r w:rsidRPr="002B76EF">
        <w:rPr>
          <w:noProof/>
          <w:lang w:val="en-CA"/>
        </w:rPr>
        <w:t>Bhasin (2007)</w:t>
      </w:r>
      <w:r w:rsidRPr="002B76EF">
        <w:rPr>
          <w:lang w:val="en-CA"/>
        </w:rPr>
        <w:fldChar w:fldCharType="end"/>
      </w:r>
      <w:r w:rsidRPr="002B76EF">
        <w:rPr>
          <w:lang w:val="en-CA"/>
        </w:rPr>
        <w:t xml:space="preserve"> reported that the adhesion between the binder and aggregate is significantly influenced by the large magnitude of the </w:t>
      </w:r>
      <w:r w:rsidRPr="002B76EF">
        <w:t>Γ</w:t>
      </w:r>
      <w:r w:rsidRPr="002B76EF">
        <w:rPr>
          <w:vertAlign w:val="superscript"/>
        </w:rPr>
        <w:t>-</w:t>
      </w:r>
      <w:r w:rsidRPr="002B76EF">
        <w:t xml:space="preserve"> </w:t>
      </w:r>
      <w:r w:rsidRPr="002B76EF">
        <w:rPr>
          <w:lang w:val="en-CA"/>
        </w:rPr>
        <w:t xml:space="preserve">component of the aggregates. </w:t>
      </w:r>
    </w:p>
    <w:p w14:paraId="175C35D3" w14:textId="0AA3A855" w:rsidR="00C32564" w:rsidRPr="002B76EF" w:rsidRDefault="00C32564" w:rsidP="00985A4A">
      <w:pPr>
        <w:pStyle w:val="Heading3"/>
      </w:pPr>
      <w:bookmarkStart w:id="120" w:name="_Toc71728446"/>
      <w:r w:rsidRPr="002B76EF">
        <w:t>Energy Parameters from SFE Method</w:t>
      </w:r>
      <w:bookmarkEnd w:id="120"/>
    </w:p>
    <w:p w14:paraId="47898F9B" w14:textId="77777777" w:rsidR="00C32564" w:rsidRPr="002B76EF" w:rsidRDefault="00C32564" w:rsidP="00E5144D">
      <w:pPr>
        <w:pStyle w:val="Heading4"/>
        <w:spacing w:before="0" w:after="0"/>
      </w:pPr>
      <w:r w:rsidRPr="002B76EF">
        <w:t>Effect of Additives</w:t>
      </w:r>
    </w:p>
    <w:p w14:paraId="035710BE" w14:textId="084BA224" w:rsidR="00C32564" w:rsidRPr="002B76EF" w:rsidRDefault="00C32564" w:rsidP="00E5144D">
      <w:pPr>
        <w:ind w:firstLine="720"/>
        <w:rPr>
          <w:lang w:val="en-CA"/>
        </w:rPr>
      </w:pPr>
      <w:r w:rsidRPr="002B76EF">
        <w:rPr>
          <w:lang w:val="en-CA"/>
        </w:rPr>
        <w:t xml:space="preserve">The </w:t>
      </w:r>
      <w:r w:rsidRPr="002B76EF">
        <w:rPr>
          <w:i/>
          <w:lang w:val="en-CA"/>
        </w:rPr>
        <w:t>S</w:t>
      </w:r>
      <w:r w:rsidRPr="002B76EF">
        <w:rPr>
          <w:i/>
          <w:vertAlign w:val="subscript"/>
          <w:lang w:val="en-CA"/>
        </w:rPr>
        <w:t>A/S</w:t>
      </w:r>
      <w:r w:rsidRPr="002B76EF">
        <w:rPr>
          <w:lang w:val="en-CA"/>
        </w:rPr>
        <w:t xml:space="preserve">, </w:t>
      </w:r>
      <w:r w:rsidRPr="002B76EF">
        <w:rPr>
          <w:i/>
          <w:iCs/>
          <w:lang w:val="en-CA"/>
        </w:rPr>
        <w:t>W</w:t>
      </w:r>
      <w:r w:rsidRPr="002B76EF">
        <w:rPr>
          <w:i/>
          <w:iCs/>
          <w:vertAlign w:val="subscript"/>
          <w:lang w:val="en-CA"/>
        </w:rPr>
        <w:t>AS</w:t>
      </w:r>
      <w:r w:rsidRPr="002B76EF">
        <w:rPr>
          <w:lang w:val="en-CA"/>
        </w:rPr>
        <w:t xml:space="preserve"> and </w:t>
      </w:r>
      <m:oMath>
        <m:sSubSup>
          <m:sSubSupPr>
            <m:ctrlPr>
              <w:rPr>
                <w:rFonts w:ascii="Cambria Math" w:hAnsi="Cambria Math"/>
                <w:i/>
              </w:rPr>
            </m:ctrlPr>
          </m:sSubSupPr>
          <m:e>
            <m:r>
              <w:rPr>
                <w:rFonts w:ascii="Cambria Math" w:hAnsi="Cambria Math"/>
              </w:rPr>
              <m:t>W</m:t>
            </m:r>
          </m:e>
          <m:sub>
            <m:r>
              <w:rPr>
                <w:rFonts w:ascii="Cambria Math" w:hAnsi="Cambria Math"/>
              </w:rPr>
              <m:t>ASW</m:t>
            </m:r>
          </m:sub>
          <m:sup>
            <m:r>
              <w:rPr>
                <w:rFonts w:ascii="Cambria Math" w:hAnsi="Cambria Math"/>
              </w:rPr>
              <m:t>wet</m:t>
            </m:r>
          </m:sup>
        </m:sSubSup>
      </m:oMath>
      <w:r w:rsidRPr="002B76EF">
        <w:t xml:space="preserve"> were determined by combining t</w:t>
      </w:r>
      <w:r w:rsidRPr="002B76EF">
        <w:rPr>
          <w:lang w:val="en-CA"/>
        </w:rPr>
        <w:t xml:space="preserve">he SFE components of the RTFO-aged binder blends with the SFE components of rhyolite aggregate and are presented in Figures </w:t>
      </w:r>
      <w:r w:rsidR="006D745C">
        <w:t>4.</w:t>
      </w:r>
      <w:r w:rsidRPr="002B76EF">
        <w:rPr>
          <w:lang w:val="en-CA"/>
        </w:rPr>
        <w:t xml:space="preserve">3(a), </w:t>
      </w:r>
      <w:r w:rsidR="006D745C">
        <w:t>4.</w:t>
      </w:r>
      <w:r w:rsidRPr="002B76EF">
        <w:rPr>
          <w:lang w:val="en-CA"/>
        </w:rPr>
        <w:t xml:space="preserve">3(b) and </w:t>
      </w:r>
      <w:r w:rsidR="006D745C">
        <w:t>4.</w:t>
      </w:r>
      <w:r w:rsidRPr="002B76EF">
        <w:rPr>
          <w:lang w:val="en-CA"/>
        </w:rPr>
        <w:t xml:space="preserve">3(c), respectively. A higher magnitude of </w:t>
      </w:r>
      <w:r w:rsidRPr="002B76EF">
        <w:rPr>
          <w:i/>
          <w:lang w:val="en-CA"/>
        </w:rPr>
        <w:t>S</w:t>
      </w:r>
      <w:r w:rsidRPr="002B76EF">
        <w:rPr>
          <w:i/>
          <w:vertAlign w:val="subscript"/>
          <w:lang w:val="en-CA"/>
        </w:rPr>
        <w:t>A/S</w:t>
      </w:r>
      <w:r w:rsidRPr="002B76EF">
        <w:rPr>
          <w:lang w:val="en-CA"/>
        </w:rPr>
        <w:t xml:space="preserve"> of a binder-aggregate system means a greater tendency of the liquid asphalt binder to wet and coat the surface of that aggregate </w:t>
      </w:r>
      <w:r w:rsidRPr="002B76EF">
        <w:rPr>
          <w:lang w:val="en-CA"/>
        </w:rPr>
        <w:fldChar w:fldCharType="begin"/>
      </w:r>
      <w:r w:rsidR="00282238">
        <w:rPr>
          <w:lang w:val="en-CA"/>
        </w:rPr>
        <w:instrText xml:space="preserve"> ADDIN EN.CITE &lt;EndNote&gt;&lt;Cite&gt;&lt;Author&gt;Buddhala&lt;/Author&gt;&lt;Year&gt;2011&lt;/Year&gt;&lt;RecNum&gt;88&lt;/RecNum&gt;&lt;DisplayText&gt;(Buddhala et al., 2011)&lt;/DisplayText&gt;&lt;record&gt;&lt;rec-number&gt;88&lt;/rec-number&gt;&lt;foreign-keys&gt;&lt;key app="EN" db-id="d55vzfpwawdafteedfoxsf0lv0v0wp5va2aa" timestamp="1519497346"&gt;88&lt;/key&gt;&lt;/foreign-keys&gt;&lt;ref-type name="Journal Article"&gt;17&lt;/ref-type&gt;&lt;contributors&gt;&lt;authors&gt;&lt;author&gt;Buddhala, Aravinda&lt;/author&gt;&lt;author&gt;Hossain, Zahid&lt;/author&gt;&lt;author&gt;Wasiuddin, Nazimuddin M&lt;/author&gt;&lt;author&gt;Zaman, Musharraf&lt;/author&gt;&lt;author&gt;Edgar, AO&lt;/author&gt;&lt;/authors&gt;&lt;/contributors&gt;&lt;titles&gt;&lt;title&gt;Effects of an Amine Anti-stripping Agent on Moisture Susceptibility of Sasobit and Aspha-min Mixes by Surface Free Energy Analysis&lt;/title&gt;&lt;secondary-title&gt;Journal of Testing and Evaluation&lt;/secondary-title&gt;&lt;/titles&gt;&lt;periodical&gt;&lt;full-title&gt;Journal of Testing and Evaluation&lt;/full-title&gt;&lt;/periodical&gt;&lt;pages&gt;91-99&lt;/pages&gt;&lt;volume&gt;40&lt;/volume&gt;&lt;number&gt;1&lt;/number&gt;&lt;dates&gt;&lt;year&gt;2011&lt;/year&gt;&lt;/dates&gt;&lt;isbn&gt;0090-3973&lt;/isbn&gt;&lt;urls&gt;&lt;/urls&gt;&lt;/record&gt;&lt;/Cite&gt;&lt;/EndNote&gt;</w:instrText>
      </w:r>
      <w:r w:rsidRPr="002B76EF">
        <w:rPr>
          <w:lang w:val="en-CA"/>
        </w:rPr>
        <w:fldChar w:fldCharType="separate"/>
      </w:r>
      <w:r w:rsidR="00282238">
        <w:rPr>
          <w:noProof/>
          <w:lang w:val="en-CA"/>
        </w:rPr>
        <w:t>(Buddhala et al., 2011)</w:t>
      </w:r>
      <w:r w:rsidRPr="002B76EF">
        <w:rPr>
          <w:lang w:val="en-CA"/>
        </w:rPr>
        <w:fldChar w:fldCharType="end"/>
      </w:r>
      <w:r w:rsidRPr="002B76EF">
        <w:rPr>
          <w:lang w:val="en-CA"/>
        </w:rPr>
        <w:t xml:space="preserve">. From Figure </w:t>
      </w:r>
      <w:r w:rsidR="006D745C">
        <w:t>4.</w:t>
      </w:r>
      <w:r w:rsidRPr="002B76EF">
        <w:rPr>
          <w:lang w:val="en-CA"/>
        </w:rPr>
        <w:t xml:space="preserve">3(a), the </w:t>
      </w:r>
      <w:r w:rsidRPr="002B76EF">
        <w:rPr>
          <w:i/>
          <w:iCs/>
          <w:lang w:val="en-CA"/>
        </w:rPr>
        <w:t>S</w:t>
      </w:r>
      <w:r w:rsidRPr="002B76EF">
        <w:rPr>
          <w:i/>
          <w:iCs/>
          <w:vertAlign w:val="subscript"/>
          <w:lang w:val="en-CA"/>
        </w:rPr>
        <w:t>A/S</w:t>
      </w:r>
      <w:r w:rsidRPr="002B76EF">
        <w:rPr>
          <w:lang w:val="en-CA"/>
        </w:rPr>
        <w:t xml:space="preserve"> of PG 64-22 binder was found to increase with the addition of 0.5% WMA. Other studies also reported an increase in the </w:t>
      </w:r>
      <w:r w:rsidRPr="002B76EF">
        <w:rPr>
          <w:i/>
          <w:iCs/>
          <w:lang w:val="en-CA"/>
        </w:rPr>
        <w:t>S</w:t>
      </w:r>
      <w:r w:rsidRPr="002B76EF">
        <w:rPr>
          <w:i/>
          <w:iCs/>
          <w:vertAlign w:val="subscript"/>
          <w:lang w:val="en-CA"/>
        </w:rPr>
        <w:t>A/S</w:t>
      </w:r>
      <w:r w:rsidRPr="002B76EF">
        <w:rPr>
          <w:lang w:val="en-CA"/>
        </w:rPr>
        <w:t xml:space="preserve"> with the addition of amine-derived WMA additive </w:t>
      </w:r>
      <w:r w:rsidRPr="002B76EF">
        <w:rPr>
          <w:lang w:val="en-CA"/>
        </w:rPr>
        <w:fldChar w:fldCharType="begin"/>
      </w:r>
      <w:r w:rsidR="00282238">
        <w:rPr>
          <w:lang w:val="en-CA"/>
        </w:rPr>
        <w:instrText xml:space="preserve"> ADDIN EN.CITE &lt;EndNote&gt;&lt;Cite&gt;&lt;Author&gt;Ghabchi&lt;/Author&gt;&lt;Year&gt;2013&lt;/Year&gt;&lt;RecNum&gt;33&lt;/RecNum&gt;&lt;DisplayText&gt;(Ghabchi et al., 2013; Ghabchi, 2014)&lt;/DisplayText&gt;&lt;record&gt;&lt;rec-number&gt;33&lt;/rec-number&gt;&lt;foreign-keys&gt;&lt;key app="EN" db-id="d55vzfpwawdafteedfoxsf0lv0v0wp5va2aa" timestamp="1509901289"&gt;33&lt;/key&gt;&lt;/foreign-keys&gt;&lt;ref-type name="Journal Article"&gt;17&lt;/ref-type&gt;&lt;contributors&gt;&lt;authors&gt;&lt;author&gt;Ghabchi, Rouzbeh&lt;/author&gt;&lt;author&gt;Singh, Dharamveer&lt;/author&gt;&lt;author&gt;Zaman, Musharraf&lt;/author&gt;&lt;author&gt;Tian, Qingyan&lt;/author&gt;&lt;/authors&gt;&lt;/contributors&gt;&lt;titles&gt;&lt;title&gt;Mechanistic Evaluation of the Effect of WMA Additives on Wettability and Moisture Susceptibility Properties of Asphalt Mixes&lt;/title&gt;&lt;secondary-title&gt;Journal of Testing and Evaluation&lt;/secondary-title&gt;&lt;/titles&gt;&lt;periodical&gt;&lt;full-title&gt;Journal of Testing and Evaluation&lt;/full-title&gt;&lt;/periodical&gt;&lt;pages&gt;933-942&lt;/pages&gt;&lt;volume&gt;41&lt;/volume&gt;&lt;number&gt;6&lt;/number&gt;&lt;dates&gt;&lt;year&gt;2013&lt;/year&gt;&lt;/dates&gt;&lt;isbn&gt;0090-3973&lt;/isbn&gt;&lt;urls&gt;&lt;/urls&gt;&lt;/record&gt;&lt;/Cite&gt;&lt;Cite&gt;&lt;Author&gt;Ghabchi&lt;/Author&gt;&lt;Year&gt;2014&lt;/Year&gt;&lt;RecNum&gt;228&lt;/RecNum&gt;&lt;record&gt;&lt;rec-number&gt;228&lt;/rec-number&gt;&lt;foreign-keys&gt;&lt;key app="EN" db-id="d55vzfpwawdafteedfoxsf0lv0v0wp5va2aa" timestamp="1581536465"&gt;228&lt;/key&gt;&lt;/foreign-keys&gt;&lt;ref-type name="Thesis"&gt;32&lt;/ref-type&gt;&lt;contributors&gt;&lt;authors&gt;&lt;author&gt;Ghabchi, Rouzbeh&lt;/author&gt;&lt;/authors&gt;&lt;/contributors&gt;&lt;titles&gt;&lt;title&gt;Laboratory Characterization of Recycled and Warm Mix Asphalt for Enhanced Pavement Applications&lt;/title&gt;&lt;secondary-title&gt;School of Civil Engineering and Environmental Science&lt;/secondary-title&gt;&lt;/titles&gt;&lt;volume&gt;Ph.D.&lt;/volume&gt;&lt;dates&gt;&lt;year&gt;2014&lt;/year&gt;&lt;/dates&gt;&lt;pub-location&gt;Norman, Oklahoma&lt;/pub-location&gt;&lt;publisher&gt;University of Oklahoma&lt;/publisher&gt;&lt;work-type&gt;Dissertation&lt;/work-type&gt;&lt;urls&gt;&lt;/urls&gt;&lt;/record&gt;&lt;/Cite&gt;&lt;/EndNote&gt;</w:instrText>
      </w:r>
      <w:r w:rsidRPr="002B76EF">
        <w:rPr>
          <w:lang w:val="en-CA"/>
        </w:rPr>
        <w:fldChar w:fldCharType="separate"/>
      </w:r>
      <w:r w:rsidR="00282238">
        <w:rPr>
          <w:noProof/>
          <w:lang w:val="en-CA"/>
        </w:rPr>
        <w:t>(Ghabchi et al., 2013; Ghabchi, 2014)</w:t>
      </w:r>
      <w:r w:rsidRPr="002B76EF">
        <w:rPr>
          <w:lang w:val="en-CA"/>
        </w:rPr>
        <w:fldChar w:fldCharType="end"/>
      </w:r>
      <w:r w:rsidRPr="002B76EF">
        <w:rPr>
          <w:lang w:val="en-CA"/>
        </w:rPr>
        <w:t xml:space="preserve">. The reaction of the amine derivatives from the WMA additives with the binder constituents are expected to be responsible for this increase in </w:t>
      </w:r>
      <w:r w:rsidRPr="002B76EF">
        <w:rPr>
          <w:i/>
          <w:iCs/>
          <w:lang w:val="en-CA"/>
        </w:rPr>
        <w:t>S</w:t>
      </w:r>
      <w:r w:rsidRPr="002B76EF">
        <w:rPr>
          <w:i/>
          <w:iCs/>
          <w:vertAlign w:val="subscript"/>
          <w:lang w:val="en-CA"/>
        </w:rPr>
        <w:t>A/S</w:t>
      </w:r>
      <w:r w:rsidRPr="002B76EF">
        <w:rPr>
          <w:lang w:val="en-CA"/>
        </w:rPr>
        <w:t xml:space="preserve">. Also, the coating ability of the PG 64-22 binder was found to increase with the addition of ASA and RAP, which is consistent with other studies </w:t>
      </w:r>
      <w:r w:rsidRPr="002B76EF">
        <w:rPr>
          <w:lang w:val="en-CA"/>
        </w:rPr>
        <w:fldChar w:fldCharType="begin"/>
      </w:r>
      <w:r w:rsidR="00282238">
        <w:rPr>
          <w:lang w:val="en-CA"/>
        </w:rPr>
        <w:instrText xml:space="preserve"> ADDIN EN.CITE &lt;EndNote&gt;&lt;Cite&gt;&lt;Author&gt;Ghabchi&lt;/Author&gt;&lt;Year&gt;2014&lt;/Year&gt;&lt;RecNum&gt;113&lt;/RecNum&gt;&lt;DisplayText&gt;(Wasiuddin et al., 2007c; Ghabchi et al., 2014)&lt;/DisplayText&gt;&lt;record&gt;&lt;rec-number&gt;113&lt;/rec-number&gt;&lt;foreign-keys&gt;&lt;key app="EN" db-id="d55vzfpwawdafteedfoxsf0lv0v0wp5va2aa" timestamp="1521350423"&gt;113&lt;/key&gt;&lt;/foreign-keys&gt;&lt;ref-type name="Journal Article"&gt;17&lt;/ref-type&gt;&lt;contributors&gt;&lt;authors&gt;&lt;author&gt;Ghabchi, Rouzbeh&lt;/author&gt;&lt;author&gt;Singh, Dharamveer&lt;/author&gt;&lt;author&gt;Zaman, Musharraf&lt;/author&gt;&lt;/authors&gt;&lt;/contributors&gt;&lt;titles&gt;&lt;title&gt;Evaluation of Moisture Susceptibility of Asphalt Mixes Containing RAP and Different Types of Aggregates and Asphalt Binders Using the Surface Free Energy Method&lt;/title&gt;&lt;secondary-title&gt;Construction and Building Materials&lt;/secondary-title&gt;&lt;/titles&gt;&lt;periodical&gt;&lt;full-title&gt;Construction and Building Materials&lt;/full-title&gt;&lt;/periodical&gt;&lt;pages&gt;479-489&lt;/pages&gt;&lt;volume&gt;73&lt;/volume&gt;&lt;dates&gt;&lt;year&gt;2014&lt;/year&gt;&lt;/dates&gt;&lt;isbn&gt;0950-0618&lt;/isbn&gt;&lt;urls&gt;&lt;/urls&gt;&lt;/record&gt;&lt;/Cite&gt;&lt;Cite&gt;&lt;Author&gt;Wasiuddin&lt;/Author&gt;&lt;Year&gt;2007&lt;/Year&gt;&lt;RecNum&gt;82&lt;/RecNum&gt;&lt;record&gt;&lt;rec-number&gt;82&lt;/rec-number&gt;&lt;foreign-keys&gt;&lt;key app="EN" db-id="d55vzfpwawdafteedfoxsf0lv0v0wp5va2aa" timestamp="1519487395"&gt;82&lt;/key&gt;&lt;/foreign-keys&gt;&lt;ref-type name="Journal Article"&gt;17&lt;/ref-type&gt;&lt;contributors&gt;&lt;authors&gt;&lt;author&gt;Wasiuddin, Nazimuddin M&lt;/author&gt;&lt;author&gt;Fogle, Chris M&lt;/author&gt;&lt;author&gt;Zaman, Musharraf M&lt;/author&gt;&lt;author&gt;O’Rear, Edgar A&lt;/author&gt;&lt;/authors&gt;&lt;/contributors&gt;&lt;titles&gt;&lt;title&gt;Effect of Antistrip Additives on Surface Free Energy Characteristics of Asphalt Binders for Moisture-Induced Damage Potential&lt;/title&gt;&lt;secondary-title&gt;Journal of Testing and Evaluation&lt;/secondary-title&gt;&lt;/titles&gt;&lt;periodical&gt;&lt;full-title&gt;Journal of Testing and Evaluation&lt;/full-title&gt;&lt;/periodical&gt;&lt;volume&gt;35&lt;/volume&gt;&lt;number&gt;1&lt;/number&gt;&lt;dates&gt;&lt;year&gt;2007&lt;/year&gt;&lt;/dates&gt;&lt;urls&gt;&lt;/urls&gt;&lt;/record&gt;&lt;/Cite&gt;&lt;/EndNote&gt;</w:instrText>
      </w:r>
      <w:r w:rsidRPr="002B76EF">
        <w:rPr>
          <w:lang w:val="en-CA"/>
        </w:rPr>
        <w:fldChar w:fldCharType="separate"/>
      </w:r>
      <w:r w:rsidR="00282238">
        <w:rPr>
          <w:noProof/>
          <w:lang w:val="en-CA"/>
        </w:rPr>
        <w:t>(Wasiuddin et al., 2007c; Ghabchi et al., 2014)</w:t>
      </w:r>
      <w:r w:rsidRPr="002B76EF">
        <w:rPr>
          <w:lang w:val="en-CA"/>
        </w:rPr>
        <w:fldChar w:fldCharType="end"/>
      </w:r>
      <w:r w:rsidRPr="002B76EF">
        <w:rPr>
          <w:lang w:val="en-CA"/>
        </w:rPr>
        <w:t>.</w:t>
      </w:r>
    </w:p>
    <w:p w14:paraId="3E29FDEC" w14:textId="22EF7172" w:rsidR="00C32564" w:rsidRPr="002B76EF" w:rsidRDefault="00C32564" w:rsidP="00E5144D">
      <w:pPr>
        <w:ind w:firstLine="720"/>
      </w:pPr>
      <w:r w:rsidRPr="002B76EF">
        <w:rPr>
          <w:lang w:val="en-CA"/>
        </w:rPr>
        <w:t xml:space="preserve">A higher </w:t>
      </w:r>
      <w:r w:rsidRPr="002B76EF">
        <w:rPr>
          <w:i/>
          <w:iCs/>
          <w:lang w:val="en-CA"/>
        </w:rPr>
        <w:t>W</w:t>
      </w:r>
      <w:r w:rsidRPr="002B76EF">
        <w:rPr>
          <w:i/>
          <w:iCs/>
          <w:vertAlign w:val="subscript"/>
          <w:lang w:val="en-CA"/>
        </w:rPr>
        <w:t>AS</w:t>
      </w:r>
      <w:r w:rsidRPr="002B76EF">
        <w:rPr>
          <w:lang w:val="en-CA"/>
        </w:rPr>
        <w:t xml:space="preserve"> value indicates a stronger bond between asphalt binder and aggregate under dry condition. From Figure </w:t>
      </w:r>
      <w:r w:rsidR="006D745C">
        <w:t>4.</w:t>
      </w:r>
      <w:r w:rsidRPr="002B76EF">
        <w:rPr>
          <w:lang w:val="en-CA"/>
        </w:rPr>
        <w:t>3(b), i</w:t>
      </w:r>
      <w:r w:rsidRPr="002B76EF">
        <w:t xml:space="preserve">t was observed that the </w:t>
      </w:r>
      <w:r w:rsidRPr="002B76EF">
        <w:rPr>
          <w:i/>
        </w:rPr>
        <w:t>W</w:t>
      </w:r>
      <w:r w:rsidRPr="002B76EF">
        <w:rPr>
          <w:i/>
          <w:vertAlign w:val="subscript"/>
        </w:rPr>
        <w:t>AS</w:t>
      </w:r>
      <w:r w:rsidRPr="002B76EF">
        <w:t xml:space="preserve"> for PG 64-22 binder increased due to the addition of all the additives. The work of adhesion for PG 64-22 binder was found to be 81.88 mJ/m</w:t>
      </w:r>
      <w:r w:rsidRPr="002B76EF">
        <w:rPr>
          <w:vertAlign w:val="superscript"/>
        </w:rPr>
        <w:t>2</w:t>
      </w:r>
      <w:r w:rsidRPr="002B76EF">
        <w:t xml:space="preserve">, whereas the </w:t>
      </w:r>
      <w:r w:rsidRPr="002B76EF">
        <w:rPr>
          <w:i/>
        </w:rPr>
        <w:t>W</w:t>
      </w:r>
      <w:r w:rsidRPr="002B76EF">
        <w:rPr>
          <w:i/>
          <w:vertAlign w:val="subscript"/>
        </w:rPr>
        <w:t>AS</w:t>
      </w:r>
      <w:r w:rsidRPr="002B76EF">
        <w:t xml:space="preserve"> increased to 84.71, 83.22, 85.88 and 85.05 mJ/m</w:t>
      </w:r>
      <w:r w:rsidRPr="002B76EF">
        <w:rPr>
          <w:vertAlign w:val="superscript"/>
        </w:rPr>
        <w:t>2</w:t>
      </w:r>
      <w:r w:rsidRPr="002B76EF">
        <w:t xml:space="preserve"> with the addition of WMA, ASA, RAP and PPA, respectively. </w:t>
      </w:r>
    </w:p>
    <w:p w14:paraId="6BFF29B6" w14:textId="770B0449" w:rsidR="00C32564" w:rsidRPr="002B76EF" w:rsidRDefault="00C32564" w:rsidP="00E5144D">
      <w:pPr>
        <w:ind w:firstLine="720"/>
        <w:rPr>
          <w:lang w:val="en-CA"/>
        </w:rPr>
      </w:pPr>
      <w:r w:rsidRPr="002B76EF">
        <w:t xml:space="preserve">Generally, the </w:t>
      </w:r>
      <m:oMath>
        <m:sSubSup>
          <m:sSubSupPr>
            <m:ctrlPr>
              <w:rPr>
                <w:rFonts w:ascii="Cambria Math" w:hAnsi="Cambria Math"/>
                <w:i/>
              </w:rPr>
            </m:ctrlPr>
          </m:sSubSupPr>
          <m:e>
            <m:r>
              <w:rPr>
                <w:rFonts w:ascii="Cambria Math" w:hAnsi="Cambria Math"/>
              </w:rPr>
              <m:t>W</m:t>
            </m:r>
          </m:e>
          <m:sub>
            <m:r>
              <w:rPr>
                <w:rFonts w:ascii="Cambria Math" w:hAnsi="Cambria Math"/>
              </w:rPr>
              <m:t>ASW</m:t>
            </m:r>
          </m:sub>
          <m:sup>
            <m:r>
              <w:rPr>
                <w:rFonts w:ascii="Cambria Math" w:hAnsi="Cambria Math"/>
              </w:rPr>
              <m:t>wet</m:t>
            </m:r>
          </m:sup>
        </m:sSubSup>
        <m:r>
          <w:rPr>
            <w:rFonts w:ascii="Cambria Math" w:hAnsi="Cambria Math"/>
          </w:rPr>
          <m:t xml:space="preserve"> </m:t>
        </m:r>
      </m:oMath>
      <w:r w:rsidRPr="002B76EF">
        <w:t xml:space="preserve">for a specific binder-aggregate system in </w:t>
      </w:r>
      <w:r w:rsidRPr="00DF4CA6">
        <w:t xml:space="preserve">the presence of water is negative, which indicates that the process is thermodynamically </w:t>
      </w:r>
      <w:r w:rsidR="00607E89" w:rsidRPr="00DF4CA6">
        <w:t>favorable</w:t>
      </w:r>
      <w:r w:rsidRPr="00DF4CA6">
        <w:t xml:space="preserve"> for debonding of asphalt binder and aggregate. A lower magnitude of </w:t>
      </w:r>
      <m:oMath>
        <m:r>
          <w:rPr>
            <w:rFonts w:ascii="Cambria Math" w:hAnsi="Cambria Math"/>
          </w:rPr>
          <m:t>|</m:t>
        </m:r>
        <m:sSubSup>
          <m:sSubSupPr>
            <m:ctrlPr>
              <w:rPr>
                <w:rFonts w:ascii="Cambria Math" w:hAnsi="Cambria Math"/>
                <w:i/>
              </w:rPr>
            </m:ctrlPr>
          </m:sSubSupPr>
          <m:e>
            <m:r>
              <w:rPr>
                <w:rFonts w:ascii="Cambria Math" w:hAnsi="Cambria Math"/>
              </w:rPr>
              <m:t>W</m:t>
            </m:r>
          </m:e>
          <m:sub>
            <m:r>
              <w:rPr>
                <w:rFonts w:ascii="Cambria Math" w:hAnsi="Cambria Math"/>
              </w:rPr>
              <m:t>ASW</m:t>
            </m:r>
          </m:sub>
          <m:sup>
            <m:r>
              <w:rPr>
                <w:rFonts w:ascii="Cambria Math" w:hAnsi="Cambria Math"/>
              </w:rPr>
              <m:t>wet</m:t>
            </m:r>
          </m:sup>
        </m:sSubSup>
        <m:r>
          <w:rPr>
            <w:rFonts w:ascii="Cambria Math" w:hAnsi="Cambria Math"/>
          </w:rPr>
          <m:t>|</m:t>
        </m:r>
      </m:oMath>
      <w:r w:rsidRPr="00DF4CA6">
        <w:t xml:space="preserve"> is desirable</w:t>
      </w:r>
      <w:r w:rsidRPr="002B76EF">
        <w:t xml:space="preserve"> as it reduces the tendency of the binder-aggregate system to debond. The magnitude of the </w:t>
      </w:r>
      <m:oMath>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W</m:t>
                </m:r>
              </m:e>
              <m:sub>
                <m:r>
                  <w:rPr>
                    <w:rFonts w:ascii="Cambria Math" w:hAnsi="Cambria Math"/>
                  </w:rPr>
                  <m:t>ASW</m:t>
                </m:r>
              </m:sub>
              <m:sup>
                <m:r>
                  <w:rPr>
                    <w:rFonts w:ascii="Cambria Math" w:hAnsi="Cambria Math"/>
                  </w:rPr>
                  <m:t>wet</m:t>
                </m:r>
              </m:sup>
            </m:sSubSup>
          </m:e>
        </m:d>
      </m:oMath>
      <w:r w:rsidRPr="002B76EF">
        <w:rPr>
          <w:rFonts w:eastAsiaTheme="minorEastAsia"/>
        </w:rPr>
        <w:t xml:space="preserve"> </w:t>
      </w:r>
      <w:r w:rsidRPr="002B76EF">
        <w:t xml:space="preserve">was found to decrease upon the addition of WMA, ASA and RAP. However, the </w:t>
      </w:r>
      <m:oMath>
        <m:sSubSup>
          <m:sSubSupPr>
            <m:ctrlPr>
              <w:rPr>
                <w:rFonts w:ascii="Cambria Math" w:hAnsi="Cambria Math"/>
                <w:i/>
              </w:rPr>
            </m:ctrlPr>
          </m:sSubSupPr>
          <m:e>
            <m:r>
              <w:rPr>
                <w:rFonts w:ascii="Cambria Math" w:hAnsi="Cambria Math"/>
              </w:rPr>
              <m:t>|W</m:t>
            </m:r>
          </m:e>
          <m:sub>
            <m:r>
              <w:rPr>
                <w:rFonts w:ascii="Cambria Math" w:hAnsi="Cambria Math"/>
              </w:rPr>
              <m:t>ASW</m:t>
            </m:r>
          </m:sub>
          <m:sup>
            <m:r>
              <w:rPr>
                <w:rFonts w:ascii="Cambria Math" w:hAnsi="Cambria Math"/>
              </w:rPr>
              <m:t>wet</m:t>
            </m:r>
          </m:sup>
        </m:sSubSup>
        <m:r>
          <w:rPr>
            <w:rFonts w:ascii="Cambria Math" w:hAnsi="Cambria Math"/>
          </w:rPr>
          <m:t>|</m:t>
        </m:r>
      </m:oMath>
      <w:r w:rsidRPr="002B76EF">
        <w:t>for the PG 64-22 binder with rhyolite aggregate was found to increase from 82.31 mJ/m</w:t>
      </w:r>
      <w:r w:rsidRPr="002B76EF">
        <w:rPr>
          <w:vertAlign w:val="superscript"/>
        </w:rPr>
        <w:t>2</w:t>
      </w:r>
      <w:r w:rsidRPr="002B76EF">
        <w:t xml:space="preserve"> to 87.9 mJ/m</w:t>
      </w:r>
      <w:r w:rsidRPr="002B76EF">
        <w:rPr>
          <w:vertAlign w:val="superscript"/>
        </w:rPr>
        <w:t>2</w:t>
      </w:r>
      <w:r w:rsidRPr="002B76EF">
        <w:t xml:space="preserve"> with the addition of PPA (</w:t>
      </w:r>
      <w:r w:rsidRPr="002B76EF">
        <w:rPr>
          <w:lang w:val="en-CA"/>
        </w:rPr>
        <w:t xml:space="preserve">Figure </w:t>
      </w:r>
      <w:r w:rsidR="006D745C">
        <w:t>4.</w:t>
      </w:r>
      <w:r w:rsidRPr="002B76EF">
        <w:rPr>
          <w:lang w:val="en-CA"/>
        </w:rPr>
        <w:t>3(c))</w:t>
      </w:r>
      <w:r w:rsidRPr="002B76EF">
        <w:t xml:space="preserve">. Based on the results of the </w:t>
      </w:r>
      <m:oMath>
        <m:sSubSup>
          <m:sSubSupPr>
            <m:ctrlPr>
              <w:rPr>
                <w:rFonts w:ascii="Cambria Math" w:hAnsi="Cambria Math"/>
                <w:i/>
              </w:rPr>
            </m:ctrlPr>
          </m:sSubSupPr>
          <m:e>
            <m:r>
              <w:rPr>
                <w:rFonts w:ascii="Cambria Math" w:hAnsi="Cambria Math"/>
              </w:rPr>
              <m:t>|W</m:t>
            </m:r>
          </m:e>
          <m:sub>
            <m:r>
              <w:rPr>
                <w:rFonts w:ascii="Cambria Math" w:hAnsi="Cambria Math"/>
              </w:rPr>
              <m:t>ASW</m:t>
            </m:r>
          </m:sub>
          <m:sup>
            <m:r>
              <w:rPr>
                <w:rFonts w:ascii="Cambria Math" w:hAnsi="Cambria Math"/>
              </w:rPr>
              <m:t>wet</m:t>
            </m:r>
          </m:sup>
        </m:sSubSup>
        <m:r>
          <w:rPr>
            <w:rFonts w:ascii="Cambria Math" w:hAnsi="Cambria Math"/>
          </w:rPr>
          <m:t>|</m:t>
        </m:r>
      </m:oMath>
      <w:r w:rsidRPr="002B76EF">
        <w:rPr>
          <w:rFonts w:eastAsiaTheme="minorEastAsia"/>
        </w:rPr>
        <w:t xml:space="preserve">, </w:t>
      </w:r>
      <w:r w:rsidRPr="002B76EF">
        <w:t>it can be concluded that the addition of PPA may increase the moisture-induced damage potential of an asphalt mix containing basic aggregate such as rhyolite.</w:t>
      </w:r>
    </w:p>
    <w:p w14:paraId="36F0294C" w14:textId="286D0ECC" w:rsidR="00C32564" w:rsidRPr="002B76EF" w:rsidRDefault="00C32564" w:rsidP="00E5144D">
      <w:pPr>
        <w:ind w:firstLine="720"/>
        <w:rPr>
          <w:color w:val="000000" w:themeColor="text1"/>
        </w:rPr>
      </w:pPr>
      <w:r w:rsidRPr="002B76EF">
        <w:rPr>
          <w:color w:val="000000" w:themeColor="text1"/>
        </w:rPr>
        <w:t xml:space="preserve">The </w:t>
      </w:r>
      <w:r w:rsidRPr="002B76EF">
        <w:rPr>
          <w:i/>
        </w:rPr>
        <w:t>ER</w:t>
      </w:r>
      <w:r w:rsidRPr="002B76EF">
        <w:rPr>
          <w:i/>
          <w:vertAlign w:val="subscript"/>
        </w:rPr>
        <w:t>1</w:t>
      </w:r>
      <w:r w:rsidRPr="002B76EF">
        <w:t xml:space="preserve"> and </w:t>
      </w:r>
      <w:r w:rsidRPr="002B76EF">
        <w:rPr>
          <w:i/>
        </w:rPr>
        <w:t>ER</w:t>
      </w:r>
      <w:r w:rsidRPr="002B76EF">
        <w:rPr>
          <w:i/>
          <w:vertAlign w:val="subscript"/>
        </w:rPr>
        <w:t>2</w:t>
      </w:r>
      <w:r w:rsidRPr="002B76EF">
        <w:rPr>
          <w:i/>
        </w:rPr>
        <w:t xml:space="preserve"> </w:t>
      </w:r>
      <w:r w:rsidRPr="002B76EF">
        <w:rPr>
          <w:color w:val="000000" w:themeColor="text1"/>
        </w:rPr>
        <w:t xml:space="preserve">parameters were used to evaluate the moisture-induced damage potential of different combinations of PG 64-22 with the rhyolite aggregate and are presented in Figure </w:t>
      </w:r>
      <w:r w:rsidR="006D745C">
        <w:t>4.</w:t>
      </w:r>
      <w:r w:rsidRPr="002B76EF">
        <w:rPr>
          <w:color w:val="000000" w:themeColor="text1"/>
        </w:rPr>
        <w:t xml:space="preserve">5(a). It was found that both </w:t>
      </w:r>
      <w:r w:rsidRPr="002B76EF">
        <w:rPr>
          <w:i/>
        </w:rPr>
        <w:t>ER</w:t>
      </w:r>
      <w:r w:rsidRPr="002B76EF">
        <w:rPr>
          <w:i/>
          <w:vertAlign w:val="subscript"/>
        </w:rPr>
        <w:t>1</w:t>
      </w:r>
      <w:r w:rsidRPr="002B76EF">
        <w:t xml:space="preserve"> and </w:t>
      </w:r>
      <w:r w:rsidRPr="002B76EF">
        <w:rPr>
          <w:i/>
        </w:rPr>
        <w:t>ER</w:t>
      </w:r>
      <w:r w:rsidRPr="002B76EF">
        <w:rPr>
          <w:i/>
          <w:vertAlign w:val="subscript"/>
        </w:rPr>
        <w:t>2</w:t>
      </w:r>
      <w:r w:rsidRPr="002B76EF">
        <w:t xml:space="preserve"> </w:t>
      </w:r>
      <w:r w:rsidRPr="002B76EF">
        <w:rPr>
          <w:color w:val="000000" w:themeColor="text1"/>
        </w:rPr>
        <w:t xml:space="preserve">increased with the addition of WMA, ASA and RAP indicating better resistance to moisture-induced damage potential of asphalt mixes. These findings are consistent with other studies </w:t>
      </w:r>
      <w:r w:rsidRPr="002B76EF">
        <w:rPr>
          <w:color w:val="000000" w:themeColor="text1"/>
        </w:rPr>
        <w:fldChar w:fldCharType="begin">
          <w:fldData xml:space="preserve">PEVuZE5vdGU+PENpdGU+PEF1dGhvcj5XYXNpdWRkaW48L0F1dGhvcj48WWVhcj4yMDA3PC9ZZWFy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</w:fldData>
        </w:fldChar>
      </w:r>
      <w:r w:rsidR="00282238">
        <w:rPr>
          <w:color w:val="000000" w:themeColor="text1"/>
        </w:rPr>
        <w:instrText xml:space="preserve"> ADDIN EN.CITE </w:instrText>
      </w:r>
      <w:r w:rsidR="00282238">
        <w:rPr>
          <w:color w:val="000000" w:themeColor="text1"/>
        </w:rPr>
        <w:fldChar w:fldCharType="begin">
          <w:fldData xml:space="preserve">PEVuZE5vdGU+PENpdGU+PEF1dGhvcj5XYXNpdWRkaW48L0F1dGhvcj48WWVhcj4yMDA3PC9ZZWFy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</w:fldData>
        </w:fldChar>
      </w:r>
      <w:r w:rsidR="00282238">
        <w:rPr>
          <w:color w:val="000000" w:themeColor="text1"/>
        </w:rPr>
        <w:instrText xml:space="preserve"> ADDIN EN.CITE.DATA </w:instrText>
      </w:r>
      <w:r w:rsidR="00282238">
        <w:rPr>
          <w:color w:val="000000" w:themeColor="text1"/>
        </w:rPr>
      </w:r>
      <w:r w:rsidR="00282238">
        <w:rPr>
          <w:color w:val="000000" w:themeColor="text1"/>
        </w:rPr>
        <w:fldChar w:fldCharType="end"/>
      </w:r>
      <w:r w:rsidRPr="002B76EF">
        <w:rPr>
          <w:color w:val="000000" w:themeColor="text1"/>
        </w:rPr>
      </w:r>
      <w:r w:rsidRPr="002B76EF">
        <w:rPr>
          <w:color w:val="000000" w:themeColor="text1"/>
        </w:rPr>
        <w:fldChar w:fldCharType="separate"/>
      </w:r>
      <w:r w:rsidR="00282238">
        <w:rPr>
          <w:noProof/>
          <w:color w:val="000000" w:themeColor="text1"/>
        </w:rPr>
        <w:t>(Wasiuddin et al., 2007c; Ghabchi et al., 2013; Ghabchi et al., 2014)</w:t>
      </w:r>
      <w:r w:rsidRPr="002B76EF">
        <w:rPr>
          <w:color w:val="000000" w:themeColor="text1"/>
        </w:rPr>
        <w:fldChar w:fldCharType="end"/>
      </w:r>
      <w:r w:rsidRPr="002B76EF">
        <w:rPr>
          <w:color w:val="000000" w:themeColor="text1"/>
        </w:rPr>
        <w:t xml:space="preserve">. </w:t>
      </w:r>
      <w:r w:rsidRPr="002B76EF">
        <w:t xml:space="preserve">On the contrary, lower magnitudes of </w:t>
      </w:r>
      <w:r w:rsidRPr="002B76EF">
        <w:rPr>
          <w:i/>
        </w:rPr>
        <w:t>ER</w:t>
      </w:r>
      <w:r w:rsidRPr="002B76EF">
        <w:rPr>
          <w:i/>
          <w:vertAlign w:val="subscript"/>
        </w:rPr>
        <w:t>1</w:t>
      </w:r>
      <w:r w:rsidRPr="002B76EF">
        <w:t xml:space="preserve"> and </w:t>
      </w:r>
      <w:r w:rsidRPr="002B76EF">
        <w:rPr>
          <w:i/>
        </w:rPr>
        <w:t>ER</w:t>
      </w:r>
      <w:r w:rsidRPr="002B76EF">
        <w:rPr>
          <w:i/>
          <w:vertAlign w:val="subscript"/>
        </w:rPr>
        <w:t>2</w:t>
      </w:r>
      <w:r w:rsidRPr="002B76EF">
        <w:t xml:space="preserve"> were observed for PPA modified binder indicating a greater tendency of debonding between asphalt binder and aggregate. A reduction in the moisture damage resistance of a PPA-modified binders with basic aggregate was also reported in other studies </w:t>
      </w:r>
      <w:r w:rsidRPr="002B76EF">
        <w:fldChar w:fldCharType="begin"/>
      </w:r>
      <w:r w:rsidR="00282238">
        <w:instrText xml:space="preserve"> ADDIN EN.CITE &lt;EndNote&gt;&lt;Cite&gt;&lt;Author&gt;Reinke&lt;/Author&gt;&lt;Year&gt;2010&lt;/Year&gt;&lt;RecNum&gt;124&lt;/RecNum&gt;&lt;DisplayText&gt;(Reinke and Glidden, 2010; Al-Qadi et al., 2014)&lt;/DisplayText&gt;&lt;record&gt;&lt;rec-number&gt;124&lt;/rec-number&gt;&lt;foreign-keys&gt;&lt;key app="EN" db-id="d55vzfpwawdafteedfoxsf0lv0v0wp5va2aa" timestamp="1521480238"&gt;124&lt;/key&gt;&lt;/foreign-keys&gt;&lt;ref-type name="Journal Article"&gt;17&lt;/ref-type&gt;&lt;contributors&gt;&lt;authors&gt;&lt;author&gt;Reinke, Gerry&lt;/author&gt;&lt;author&gt;Glidden, Stacey&lt;/author&gt;&lt;/authors&gt;&lt;/contributors&gt;&lt;titles&gt;&lt;title&gt;Analytical Procedures for Determining Phosphorus Content in Asphalt Binders and Impact of Aggregate on Quantitative Recovery of Phosphorus from Asphalt Binders&lt;/title&gt;&lt;secondary-title&gt;Asphalt Paving Technology-Proceedings Association of Asphalt Technologists&lt;/secondary-title&gt;&lt;/titles&gt;&lt;periodical&gt;&lt;full-title&gt;Asphalt Paving Technology-Proceedings Association of Asphalt Technologists&lt;/full-title&gt;&lt;/periodical&gt;&lt;pages&gt;695&lt;/pages&gt;&lt;volume&gt;79&lt;/volume&gt;&lt;dates&gt;&lt;year&gt;2010&lt;/year&gt;&lt;/dates&gt;&lt;isbn&gt;0270-2932&lt;/isbn&gt;&lt;urls&gt;&lt;/urls&gt;&lt;/record&gt;&lt;/Cite&gt;&lt;Cite&gt;&lt;Author&gt;Al-Qadi&lt;/Author&gt;&lt;Year&gt;2014&lt;/Year&gt;&lt;RecNum&gt;129&lt;/RecNum&gt;&lt;record&gt;&lt;rec-number&gt;129&lt;/rec-number&gt;&lt;foreign-keys&gt;&lt;key app="EN" db-id="d55vzfpwawdafteedfoxsf0lv0v0wp5va2aa" timestamp="1521482466"&gt;129&lt;/key&gt;&lt;/foreign-keys&gt;&lt;ref-type name="Report"&gt;27&lt;/ref-type&gt;&lt;contributors&gt;&lt;authors&gt;&lt;author&gt;Al-Qadi, Imad L&lt;/author&gt;&lt;author&gt;Abauwad, Ibrahim M&lt;/author&gt;&lt;author&gt;Dhasmana, Heena&lt;/author&gt;&lt;author&gt;Coenen, Aaron R&lt;/author&gt;&lt;/authors&gt;&lt;/contributors&gt;&lt;titles&gt;&lt;title&gt;Effects of Various Asphalt Binder Additives/Modifiers on Moisture-Susceptible Asphaltic Mixtures&lt;/title&gt;&lt;/titles&gt;&lt;dates&gt;&lt;year&gt;2014&lt;/year&gt;&lt;/dates&gt;&lt;publisher&gt;Illinois Center for Transportation&lt;/publisher&gt;&lt;isbn&gt;0197-9191&lt;/isbn&gt;&lt;urls&gt;&lt;/urls&gt;&lt;/record&gt;&lt;/Cite&gt;&lt;/EndNote&gt;</w:instrText>
      </w:r>
      <w:r w:rsidRPr="002B76EF">
        <w:fldChar w:fldCharType="separate"/>
      </w:r>
      <w:r w:rsidR="00282238">
        <w:rPr>
          <w:noProof/>
        </w:rPr>
        <w:t>(Reinke and Glidden, 2010; Al-Qadi et al., 2014)</w:t>
      </w:r>
      <w:r w:rsidRPr="002B76EF">
        <w:fldChar w:fldCharType="end"/>
      </w:r>
      <w:r w:rsidRPr="002B76EF">
        <w:t>.</w:t>
      </w:r>
    </w:p>
    <w:p w14:paraId="366D1DF4" w14:textId="77777777" w:rsidR="00C32564" w:rsidRPr="002B76EF" w:rsidRDefault="00C32564" w:rsidP="00E5144D">
      <w:pPr>
        <w:pStyle w:val="Heading4"/>
        <w:spacing w:before="0" w:after="0"/>
      </w:pPr>
      <w:r w:rsidRPr="002B76EF">
        <w:t>Effect of Aging</w:t>
      </w:r>
    </w:p>
    <w:p w14:paraId="1322EF36" w14:textId="57EE0EED" w:rsidR="00C32564" w:rsidRPr="002B76EF" w:rsidRDefault="00C32564" w:rsidP="00E5144D">
      <w:pPr>
        <w:ind w:firstLine="720"/>
      </w:pPr>
      <w:r w:rsidRPr="002B76EF">
        <w:t xml:space="preserve">Figures </w:t>
      </w:r>
      <w:r w:rsidR="006D745C">
        <w:t>4.</w:t>
      </w:r>
      <w:r w:rsidRPr="002B76EF">
        <w:t xml:space="preserve">4(a), </w:t>
      </w:r>
      <w:r w:rsidR="006D745C">
        <w:t>4.</w:t>
      </w:r>
      <w:r w:rsidRPr="002B76EF">
        <w:t xml:space="preserve">4(b) and </w:t>
      </w:r>
      <w:r w:rsidR="006D745C">
        <w:t>4.</w:t>
      </w:r>
      <w:r w:rsidRPr="002B76EF">
        <w:t xml:space="preserve">4(c) presents the </w:t>
      </w:r>
      <w:r w:rsidRPr="002B76EF">
        <w:rPr>
          <w:i/>
        </w:rPr>
        <w:t>S</w:t>
      </w:r>
      <w:r w:rsidRPr="002B76EF">
        <w:rPr>
          <w:i/>
          <w:vertAlign w:val="subscript"/>
        </w:rPr>
        <w:t>A/S</w:t>
      </w:r>
      <w:r w:rsidRPr="002B76EF">
        <w:t xml:space="preserve">, </w:t>
      </w:r>
      <w:r w:rsidRPr="002B76EF">
        <w:rPr>
          <w:i/>
        </w:rPr>
        <w:t>W</w:t>
      </w:r>
      <w:r w:rsidRPr="002B76EF">
        <w:rPr>
          <w:i/>
          <w:vertAlign w:val="subscript"/>
        </w:rPr>
        <w:t>AS</w:t>
      </w:r>
      <w:r w:rsidRPr="002B76EF">
        <w:t xml:space="preserve"> and </w:t>
      </w:r>
      <m:oMath>
        <m:sSubSup>
          <m:sSubSupPr>
            <m:ctrlPr>
              <w:rPr>
                <w:rFonts w:ascii="Cambria Math" w:hAnsi="Cambria Math"/>
                <w:i/>
              </w:rPr>
            </m:ctrlPr>
          </m:sSubSupPr>
          <m:e>
            <m:r>
              <w:rPr>
                <w:rFonts w:ascii="Cambria Math" w:hAnsi="Cambria Math"/>
              </w:rPr>
              <m:t>W</m:t>
            </m:r>
          </m:e>
          <m:sub>
            <m:r>
              <w:rPr>
                <w:rFonts w:ascii="Cambria Math" w:hAnsi="Cambria Math"/>
              </w:rPr>
              <m:t>ASW</m:t>
            </m:r>
          </m:sub>
          <m:sup>
            <m:r>
              <w:rPr>
                <w:rFonts w:ascii="Cambria Math" w:hAnsi="Cambria Math"/>
              </w:rPr>
              <m:t>wet</m:t>
            </m:r>
          </m:sup>
        </m:sSubSup>
      </m:oMath>
      <w:r w:rsidRPr="002B76EF">
        <w:t xml:space="preserve"> of the PAV-aged PG 64-22 binders with rhyolite aggregate, respectively. Comparing Figures </w:t>
      </w:r>
      <w:r w:rsidR="006D745C">
        <w:t>4.</w:t>
      </w:r>
      <w:r w:rsidRPr="002B76EF">
        <w:t xml:space="preserve">3(a) and </w:t>
      </w:r>
      <w:r w:rsidR="006D745C">
        <w:t>4.</w:t>
      </w:r>
      <w:r w:rsidRPr="002B76EF">
        <w:t xml:space="preserve">4(a), the </w:t>
      </w:r>
      <w:r w:rsidRPr="002B76EF">
        <w:rPr>
          <w:i/>
        </w:rPr>
        <w:t>S</w:t>
      </w:r>
      <w:r w:rsidRPr="002B76EF">
        <w:rPr>
          <w:i/>
          <w:vertAlign w:val="subscript"/>
        </w:rPr>
        <w:t>A/S</w:t>
      </w:r>
      <w:r w:rsidRPr="002B76EF">
        <w:t xml:space="preserve"> value of the PG 64-22 binder was found to remain almost the same with long-term aging. However, the </w:t>
      </w:r>
      <w:r w:rsidRPr="002B76EF">
        <w:rPr>
          <w:i/>
        </w:rPr>
        <w:t>W</w:t>
      </w:r>
      <w:r w:rsidRPr="002B76EF">
        <w:rPr>
          <w:i/>
          <w:vertAlign w:val="subscript"/>
        </w:rPr>
        <w:t>AS</w:t>
      </w:r>
      <w:r w:rsidRPr="002B76EF">
        <w:t xml:space="preserve"> reduced and </w:t>
      </w:r>
      <m:oMath>
        <m:sSubSup>
          <m:sSubSupPr>
            <m:ctrlPr>
              <w:rPr>
                <w:rFonts w:ascii="Cambria Math" w:hAnsi="Cambria Math"/>
                <w:i/>
              </w:rPr>
            </m:ctrlPr>
          </m:sSubSupPr>
          <m:e>
            <m:r>
              <w:rPr>
                <w:rFonts w:ascii="Cambria Math" w:hAnsi="Cambria Math"/>
              </w:rPr>
              <m:t>W</m:t>
            </m:r>
          </m:e>
          <m:sub>
            <m:r>
              <w:rPr>
                <w:rFonts w:ascii="Cambria Math" w:hAnsi="Cambria Math"/>
              </w:rPr>
              <m:t>ASW</m:t>
            </m:r>
          </m:sub>
          <m:sup>
            <m:r>
              <w:rPr>
                <w:rFonts w:ascii="Cambria Math" w:hAnsi="Cambria Math"/>
              </w:rPr>
              <m:t>wet</m:t>
            </m:r>
          </m:sup>
        </m:sSubSup>
      </m:oMath>
      <w:r w:rsidRPr="002B76EF">
        <w:t xml:space="preserve"> increased for PAV-aged PG 64-22 binder. From Figures </w:t>
      </w:r>
      <w:r w:rsidR="006D745C">
        <w:t>4.</w:t>
      </w:r>
      <w:r w:rsidRPr="002B76EF">
        <w:t xml:space="preserve">5(a) and 5(b), the </w:t>
      </w:r>
      <w:r w:rsidRPr="002B76EF">
        <w:rPr>
          <w:i/>
        </w:rPr>
        <w:t>ER</w:t>
      </w:r>
      <w:r w:rsidRPr="002B76EF">
        <w:rPr>
          <w:i/>
          <w:vertAlign w:val="subscript"/>
        </w:rPr>
        <w:t>1</w:t>
      </w:r>
      <w:r w:rsidRPr="002B76EF">
        <w:t xml:space="preserve"> was also found to reduce from 0.99 to 0.96 indicating a higher moisture-induced damage potential for PAV-aged binder. A similar trend was observed for PG 64-22 with 20% RAP binder. However, with long-term aging, no significant variation in moisture-induced damage potential was observed with the addition of ASA. Also, the PG 64-22 with 0.5% WMA exhibited an increase in resistance to moisture-induced damage with long-term aging as the </w:t>
      </w:r>
      <w:r w:rsidRPr="002B76EF">
        <w:rPr>
          <w:i/>
        </w:rPr>
        <w:t>ER</w:t>
      </w:r>
      <w:r w:rsidRPr="002B76EF">
        <w:rPr>
          <w:i/>
          <w:vertAlign w:val="subscript"/>
        </w:rPr>
        <w:t>1</w:t>
      </w:r>
      <w:r w:rsidRPr="002B76EF">
        <w:t xml:space="preserve"> value increased from 1.05 for RTFO-aged binder to 1.16 for PAV-aged binder. A significant increase in </w:t>
      </w:r>
      <m:oMath>
        <m:sSubSup>
          <m:sSubSupPr>
            <m:ctrlPr>
              <w:rPr>
                <w:rFonts w:ascii="Cambria Math" w:hAnsi="Cambria Math"/>
                <w:i/>
              </w:rPr>
            </m:ctrlPr>
          </m:sSubSupPr>
          <m:e>
            <m:r>
              <w:rPr>
                <w:rFonts w:ascii="Cambria Math" w:hAnsi="Cambria Math"/>
              </w:rPr>
              <m:t>W</m:t>
            </m:r>
          </m:e>
          <m:sub>
            <m:r>
              <w:rPr>
                <w:rFonts w:ascii="Cambria Math" w:hAnsi="Cambria Math"/>
              </w:rPr>
              <m:t>ASW</m:t>
            </m:r>
          </m:sub>
          <m:sup>
            <m:r>
              <w:rPr>
                <w:rFonts w:ascii="Cambria Math" w:hAnsi="Cambria Math"/>
              </w:rPr>
              <m:t>wet</m:t>
            </m:r>
          </m:sup>
        </m:sSubSup>
      </m:oMath>
      <w:r w:rsidRPr="002B76EF">
        <w:t xml:space="preserve"> and reduction in ER</w:t>
      </w:r>
      <w:r w:rsidRPr="002B76EF">
        <w:rPr>
          <w:vertAlign w:val="subscript"/>
        </w:rPr>
        <w:t>1</w:t>
      </w:r>
      <w:r w:rsidRPr="002B76EF">
        <w:t xml:space="preserve"> was observed for PPA modified binder after PAV-aging. The </w:t>
      </w:r>
      <w:r w:rsidRPr="002B76EF">
        <w:rPr>
          <w:i/>
          <w:iCs/>
        </w:rPr>
        <w:t>ER</w:t>
      </w:r>
      <w:r w:rsidRPr="002B76EF">
        <w:rPr>
          <w:i/>
          <w:iCs/>
          <w:vertAlign w:val="subscript"/>
        </w:rPr>
        <w:t>2</w:t>
      </w:r>
      <w:r w:rsidRPr="002B76EF">
        <w:t xml:space="preserve"> energy ratio parameter was found to follow similar trend as </w:t>
      </w:r>
      <w:r w:rsidRPr="002B76EF">
        <w:rPr>
          <w:i/>
          <w:iCs/>
        </w:rPr>
        <w:t>ER</w:t>
      </w:r>
      <w:r w:rsidRPr="002B76EF">
        <w:rPr>
          <w:vertAlign w:val="subscript"/>
        </w:rPr>
        <w:t>1</w:t>
      </w:r>
      <w:r w:rsidRPr="002B76EF">
        <w:t xml:space="preserve"> for all the additives at PAV-aged condition.</w:t>
      </w:r>
    </w:p>
    <w:p w14:paraId="3E3FAEBA" w14:textId="170F509A" w:rsidR="00C32564" w:rsidRPr="002B76EF" w:rsidRDefault="00C32564" w:rsidP="00985A4A">
      <w:pPr>
        <w:pStyle w:val="Heading3"/>
        <w:rPr>
          <w:lang w:val="en-CA"/>
        </w:rPr>
      </w:pPr>
      <w:bookmarkStart w:id="121" w:name="_Toc71728447"/>
      <w:r w:rsidRPr="002B76EF">
        <w:rPr>
          <w:lang w:val="en-CA"/>
        </w:rPr>
        <w:t>Indirect Tensile Strength Test</w:t>
      </w:r>
      <w:bookmarkEnd w:id="121"/>
    </w:p>
    <w:p w14:paraId="2C1EF3AF" w14:textId="0C89E689" w:rsidR="00C32564" w:rsidRPr="002B76EF" w:rsidRDefault="00C32564" w:rsidP="00E5144D">
      <w:pPr>
        <w:ind w:firstLine="720"/>
        <w:rPr>
          <w:lang w:val="en-CA"/>
        </w:rPr>
      </w:pPr>
      <w:r w:rsidRPr="002B76EF">
        <w:rPr>
          <w:lang w:val="en-CA"/>
        </w:rPr>
        <w:t xml:space="preserve">Figure </w:t>
      </w:r>
      <w:r w:rsidR="006D745C">
        <w:t>4.</w:t>
      </w:r>
      <w:r w:rsidRPr="002B76EF">
        <w:rPr>
          <w:lang w:val="en-CA"/>
        </w:rPr>
        <w:t xml:space="preserve">6(a) presents the </w:t>
      </w:r>
      <w:r w:rsidRPr="002B76EF">
        <w:rPr>
          <w:i/>
          <w:iCs/>
          <w:lang w:val="en-CA"/>
        </w:rPr>
        <w:t>ITS</w:t>
      </w:r>
      <w:r w:rsidRPr="002B76EF">
        <w:rPr>
          <w:lang w:val="en-CA"/>
        </w:rPr>
        <w:t xml:space="preserve"> values of the dry, short-term aged moisture conditioned and long-term aged moisture conditioned specimens. For each mix, three specimens were tested at each condition. The average of the three specimens are presented in Figure </w:t>
      </w:r>
      <w:r w:rsidR="006D745C">
        <w:t>4.</w:t>
      </w:r>
      <w:r w:rsidRPr="002B76EF">
        <w:rPr>
          <w:lang w:val="en-CA"/>
        </w:rPr>
        <w:t xml:space="preserve">6(a). The error bar indicates one standard deviation from the average value. From Figure </w:t>
      </w:r>
      <w:r w:rsidR="006D745C">
        <w:t>4.</w:t>
      </w:r>
      <w:r w:rsidRPr="002B76EF">
        <w:rPr>
          <w:lang w:val="en-CA"/>
        </w:rPr>
        <w:t xml:space="preserve">6(a) it is evident that the </w:t>
      </w:r>
      <w:r w:rsidRPr="002B76EF">
        <w:rPr>
          <w:i/>
          <w:iCs/>
          <w:lang w:val="en-CA"/>
        </w:rPr>
        <w:t>ITS</w:t>
      </w:r>
      <w:r w:rsidRPr="002B76EF">
        <w:rPr>
          <w:lang w:val="en-CA"/>
        </w:rPr>
        <w:t xml:space="preserve"> values for dry and wet conditioned Mix-4-PPA and Mix-5-RAP specimens are significantly higher than the other three mixes. Therefore, addition of PPA and RAP are expected to increase the strength of the mixes, which is consistent with other studies </w:t>
      </w:r>
      <w:r w:rsidRPr="002B76EF">
        <w:rPr>
          <w:lang w:val="en-CA"/>
        </w:rPr>
        <w:fldChar w:fldCharType="begin"/>
      </w:r>
      <w:r w:rsidR="00282238">
        <w:rPr>
          <w:lang w:val="en-CA"/>
        </w:rPr>
        <w:instrText xml:space="preserve"> ADDIN EN.CITE &lt;EndNote&gt;&lt;Cite&gt;&lt;Author&gt;Abuawad&lt;/Author&gt;&lt;Year&gt;2015&lt;/Year&gt;&lt;RecNum&gt;80&lt;/RecNum&gt;&lt;DisplayText&gt;(Abuawad et al., 2015; Ghabchi et al., 2016)&lt;/DisplayText&gt;&lt;record&gt;&lt;rec-number&gt;80&lt;/rec-number&gt;&lt;foreign-keys&gt;&lt;key app="EN" db-id="d55vzfpwawdafteedfoxsf0lv0v0wp5va2aa" timestamp="1519483651"&gt;80&lt;/key&gt;&lt;/foreign-keys&gt;&lt;ref-type name="Journal Article"&gt;17&lt;/ref-type&gt;&lt;contributors&gt;&lt;authors&gt;&lt;author&gt;Abuawad, Ibrahim MA&lt;/author&gt;&lt;author&gt;Al-Qadi, Imad L&lt;/author&gt;&lt;author&gt;Trepanier, James S&lt;/author&gt;&lt;/authors&gt;&lt;/contributors&gt;&lt;titles&gt;&lt;title&gt;Mitigation of Moisture Damage in Asphalt Concrete: Testing Techniques and Additives/Modifiers Effectiveness&lt;/title&gt;&lt;secondary-title&gt;Construction and Building Materials&lt;/secondary-title&gt;&lt;/titles&gt;&lt;periodical&gt;&lt;full-title&gt;Construction and Building Materials&lt;/full-title&gt;&lt;/periodical&gt;&lt;pages&gt;437-443&lt;/pages&gt;&lt;volume&gt;84&lt;/volume&gt;&lt;dates&gt;&lt;year&gt;2015&lt;/year&gt;&lt;/dates&gt;&lt;isbn&gt;0950-0618&lt;/isbn&gt;&lt;urls&gt;&lt;/urls&gt;&lt;/record&gt;&lt;/Cite&gt;&lt;Cite&gt;&lt;Author&gt;Ghabchi&lt;/Author&gt;&lt;Year&gt;2016&lt;/Year&gt;&lt;RecNum&gt;11&lt;/RecNum&gt;&lt;record&gt;&lt;rec-number&gt;11&lt;/rec-number&gt;&lt;foreign-keys&gt;&lt;key app="EN" db-id="d55vzfpwawdafteedfoxsf0lv0v0wp5va2aa" timestamp="1509900711"&gt;11&lt;/key&gt;&lt;/foreign-keys&gt;&lt;ref-type name="Journal Article"&gt;17&lt;/ref-type&gt;&lt;contributors&gt;&lt;authors&gt;&lt;author&gt;Ghabchi, Rouzbeh&lt;/author&gt;&lt;author&gt;Barman, Manik&lt;/author&gt;&lt;author&gt;Singh, Dharamveer&lt;/author&gt;&lt;author&gt;Zaman, Musharraf&lt;/author&gt;&lt;author&gt;Mubaraki, Muhammad Ali&lt;/author&gt;&lt;/authors&gt;&lt;/contributors&gt;&lt;titles&gt;&lt;title&gt;Comparison of Laboratory Performance of Asphalt Mixes Containing Different Proportions of RAS and RAP&lt;/title&gt;&lt;secondary-title&gt;Construction and Building Materials&lt;/secondary-title&gt;&lt;/titles&gt;&lt;periodical&gt;&lt;full-title&gt;Construction and Building Materials&lt;/full-title&gt;&lt;/periodical&gt;&lt;pages&gt;343-351&lt;/pages&gt;&lt;volume&gt;124&lt;/volume&gt;&lt;dates&gt;&lt;year&gt;2016&lt;/year&gt;&lt;/dates&gt;&lt;isbn&gt;0950-0618&lt;/isbn&gt;&lt;urls&gt;&lt;/urls&gt;&lt;/record&gt;&lt;/Cite&gt;&lt;/EndNote&gt;</w:instrText>
      </w:r>
      <w:r w:rsidRPr="002B76EF">
        <w:rPr>
          <w:lang w:val="en-CA"/>
        </w:rPr>
        <w:fldChar w:fldCharType="separate"/>
      </w:r>
      <w:r w:rsidR="00282238">
        <w:rPr>
          <w:noProof/>
          <w:lang w:val="en-CA"/>
        </w:rPr>
        <w:t>(Abuawad et al., 2015; Ghabchi et al., 2016)</w:t>
      </w:r>
      <w:r w:rsidRPr="002B76EF">
        <w:rPr>
          <w:lang w:val="en-CA"/>
        </w:rPr>
        <w:fldChar w:fldCharType="end"/>
      </w:r>
      <w:r w:rsidRPr="002B76EF">
        <w:rPr>
          <w:lang w:val="en-CA"/>
        </w:rPr>
        <w:t xml:space="preserve">. The addition of WMA additive and ASA did not exhibit noticeable changes in dry strength compared to the control mix. However, short-term aged moisture conditioning was found to reduce the </w:t>
      </w:r>
      <w:r w:rsidRPr="002B76EF">
        <w:rPr>
          <w:i/>
          <w:iCs/>
          <w:lang w:val="en-CA"/>
        </w:rPr>
        <w:t>ITS</w:t>
      </w:r>
      <w:r w:rsidRPr="002B76EF">
        <w:rPr>
          <w:lang w:val="en-CA"/>
        </w:rPr>
        <w:t xml:space="preserve"> values for all mixes compared to the dry conditioned mixes. Also, except Mix-1-None, all the mixes exhibited further reduction in the </w:t>
      </w:r>
      <w:r w:rsidRPr="002B76EF">
        <w:rPr>
          <w:i/>
          <w:iCs/>
          <w:lang w:val="en-CA"/>
        </w:rPr>
        <w:t>ITS</w:t>
      </w:r>
      <w:r w:rsidRPr="002B76EF">
        <w:rPr>
          <w:lang w:val="en-CA"/>
        </w:rPr>
        <w:t xml:space="preserve"> values with long-term aging followed by moisture conditioning. Therefore, TSR</w:t>
      </w:r>
      <w:r w:rsidRPr="002B76EF">
        <w:rPr>
          <w:vertAlign w:val="subscript"/>
          <w:lang w:val="en-CA"/>
        </w:rPr>
        <w:t>LT</w:t>
      </w:r>
      <w:r w:rsidRPr="002B76EF">
        <w:rPr>
          <w:lang w:val="en-CA"/>
        </w:rPr>
        <w:t xml:space="preserve"> was found to be lower than </w:t>
      </w:r>
      <w:r w:rsidRPr="002B76EF">
        <w:rPr>
          <w:i/>
          <w:iCs/>
          <w:lang w:val="en-CA"/>
        </w:rPr>
        <w:t>TSR</w:t>
      </w:r>
      <w:r w:rsidRPr="002B76EF">
        <w:rPr>
          <w:i/>
          <w:iCs/>
          <w:vertAlign w:val="subscript"/>
          <w:lang w:val="en-CA"/>
        </w:rPr>
        <w:t>ST</w:t>
      </w:r>
      <w:r w:rsidRPr="002B76EF">
        <w:rPr>
          <w:lang w:val="en-CA"/>
        </w:rPr>
        <w:t xml:space="preserve"> for all mixes, except Mix-1-None (Figure </w:t>
      </w:r>
      <w:r w:rsidR="006D745C">
        <w:t>4.</w:t>
      </w:r>
      <w:r w:rsidRPr="002B76EF">
        <w:rPr>
          <w:lang w:val="en-CA"/>
        </w:rPr>
        <w:t xml:space="preserve">6(b)). From Figure </w:t>
      </w:r>
      <w:r w:rsidR="006D745C">
        <w:t>4.</w:t>
      </w:r>
      <w:r w:rsidRPr="002B76EF">
        <w:rPr>
          <w:lang w:val="en-CA"/>
        </w:rPr>
        <w:t xml:space="preserve">6(b), the control mix (Mix-1-None) was found to exhibit a </w:t>
      </w:r>
      <w:r w:rsidRPr="002B76EF">
        <w:rPr>
          <w:i/>
          <w:iCs/>
          <w:lang w:val="en-CA"/>
        </w:rPr>
        <w:t>TSR</w:t>
      </w:r>
      <w:r w:rsidRPr="002B76EF">
        <w:rPr>
          <w:i/>
          <w:iCs/>
          <w:vertAlign w:val="subscript"/>
          <w:lang w:val="en-CA"/>
        </w:rPr>
        <w:t>ST</w:t>
      </w:r>
      <w:r w:rsidRPr="002B76EF">
        <w:rPr>
          <w:i/>
          <w:iCs/>
          <w:lang w:val="en-CA"/>
        </w:rPr>
        <w:t xml:space="preserve"> </w:t>
      </w:r>
      <w:r w:rsidRPr="002B76EF">
        <w:rPr>
          <w:lang w:val="en-CA"/>
        </w:rPr>
        <w:t xml:space="preserve">value of 0.73 which increased to 0.90 for </w:t>
      </w:r>
      <w:r w:rsidRPr="002B76EF">
        <w:rPr>
          <w:i/>
          <w:iCs/>
          <w:lang w:val="en-CA"/>
        </w:rPr>
        <w:t>TSR</w:t>
      </w:r>
      <w:r w:rsidRPr="002B76EF">
        <w:rPr>
          <w:i/>
          <w:iCs/>
          <w:vertAlign w:val="subscript"/>
          <w:lang w:val="en-CA"/>
        </w:rPr>
        <w:t>LT</w:t>
      </w:r>
      <w:r w:rsidRPr="002B76EF">
        <w:rPr>
          <w:lang w:val="en-CA"/>
        </w:rPr>
        <w:t xml:space="preserve">. The long-term aging of the specimens might have contributed to the increase in strength for Mix-1-None. From Figure </w:t>
      </w:r>
      <w:r w:rsidR="006D745C">
        <w:t>4.</w:t>
      </w:r>
      <w:r w:rsidRPr="002B76EF">
        <w:rPr>
          <w:lang w:val="en-CA"/>
        </w:rPr>
        <w:t xml:space="preserve">6(b), it was observed that the addition of WMA (Mix-2-WMA) and ASA (Mix-3-ASA) increased the </w:t>
      </w:r>
      <w:r w:rsidRPr="002B76EF">
        <w:rPr>
          <w:i/>
          <w:iCs/>
          <w:lang w:val="en-CA"/>
        </w:rPr>
        <w:t>TSR</w:t>
      </w:r>
      <w:r w:rsidRPr="002B76EF">
        <w:rPr>
          <w:i/>
          <w:iCs/>
          <w:vertAlign w:val="subscript"/>
          <w:lang w:val="en-CA"/>
        </w:rPr>
        <w:t>ST</w:t>
      </w:r>
      <w:r w:rsidRPr="002B76EF">
        <w:rPr>
          <w:lang w:val="en-CA"/>
        </w:rPr>
        <w:t xml:space="preserve"> value to 0.93 and 0.99, respectively, indicating a reduction in moisture-induced damage potential of the mix. The </w:t>
      </w:r>
      <w:r w:rsidRPr="002B76EF">
        <w:rPr>
          <w:i/>
          <w:iCs/>
          <w:lang w:val="en-CA"/>
        </w:rPr>
        <w:t>ITS</w:t>
      </w:r>
      <w:r w:rsidRPr="002B76EF">
        <w:rPr>
          <w:lang w:val="en-CA"/>
        </w:rPr>
        <w:t xml:space="preserve"> values of both Mix-2-WMA and Mix-3-ASA were observed to reduce with long-term aged moisture conditioning process and thus resulted in a </w:t>
      </w:r>
      <w:r w:rsidRPr="002B76EF">
        <w:rPr>
          <w:i/>
          <w:iCs/>
          <w:lang w:val="en-CA"/>
        </w:rPr>
        <w:t>TSR</w:t>
      </w:r>
      <w:r w:rsidRPr="002B76EF">
        <w:rPr>
          <w:i/>
          <w:iCs/>
          <w:vertAlign w:val="subscript"/>
          <w:lang w:val="en-CA"/>
        </w:rPr>
        <w:t>LT</w:t>
      </w:r>
      <w:r w:rsidRPr="002B76EF">
        <w:rPr>
          <w:lang w:val="en-CA"/>
        </w:rPr>
        <w:t xml:space="preserve"> value of 0.88 for both mixes. Mix-4-PPA was found to show a significant reduction in both </w:t>
      </w:r>
      <w:r w:rsidRPr="002B76EF">
        <w:rPr>
          <w:i/>
          <w:iCs/>
          <w:lang w:val="en-CA"/>
        </w:rPr>
        <w:t>TSR</w:t>
      </w:r>
      <w:r w:rsidRPr="002B76EF">
        <w:rPr>
          <w:i/>
          <w:iCs/>
          <w:vertAlign w:val="subscript"/>
          <w:lang w:val="en-CA"/>
        </w:rPr>
        <w:t>ST</w:t>
      </w:r>
      <w:r w:rsidRPr="002B76EF">
        <w:rPr>
          <w:lang w:val="en-CA"/>
        </w:rPr>
        <w:t xml:space="preserve"> and </w:t>
      </w:r>
      <w:r w:rsidRPr="002B76EF">
        <w:rPr>
          <w:i/>
          <w:iCs/>
          <w:lang w:val="en-CA"/>
        </w:rPr>
        <w:t>TSR</w:t>
      </w:r>
      <w:r w:rsidRPr="002B76EF">
        <w:rPr>
          <w:i/>
          <w:iCs/>
          <w:vertAlign w:val="subscript"/>
          <w:lang w:val="en-CA"/>
        </w:rPr>
        <w:t>LT</w:t>
      </w:r>
      <w:r w:rsidRPr="002B76EF">
        <w:rPr>
          <w:lang w:val="en-CA"/>
        </w:rPr>
        <w:t xml:space="preserve"> values from the control mix indicating an increase in moisture-induced damage potential of asphalt mixes due to the incorporation of PPA. A reduction in </w:t>
      </w:r>
      <w:r w:rsidRPr="002B76EF">
        <w:rPr>
          <w:i/>
          <w:iCs/>
          <w:lang w:val="en-CA"/>
        </w:rPr>
        <w:t>TSR</w:t>
      </w:r>
      <w:r w:rsidRPr="002B76EF">
        <w:rPr>
          <w:lang w:val="en-CA"/>
        </w:rPr>
        <w:t xml:space="preserve"> value with the addition of PPA was also reported by other researchers </w:t>
      </w:r>
      <w:r w:rsidRPr="002B76EF">
        <w:rPr>
          <w:lang w:val="en-CA"/>
        </w:rPr>
        <w:fldChar w:fldCharType="begin"/>
      </w:r>
      <w:r w:rsidR="00282238">
        <w:rPr>
          <w:lang w:val="en-CA"/>
        </w:rPr>
        <w:instrText xml:space="preserve"> ADDIN EN.CITE &lt;EndNote&gt;&lt;Cite&gt;&lt;Author&gt;Abuawad&lt;/Author&gt;&lt;Year&gt;2015&lt;/Year&gt;&lt;RecNum&gt;80&lt;/RecNum&gt;&lt;DisplayText&gt;(Orange et al., 2004; Abuawad et al., 2015)&lt;/DisplayText&gt;&lt;record&gt;&lt;rec-number&gt;80&lt;/rec-number&gt;&lt;foreign-keys&gt;&lt;key app="EN" db-id="d55vzfpwawdafteedfoxsf0lv0v0wp5va2aa" timestamp="1519483651"&gt;80&lt;/key&gt;&lt;/foreign-keys&gt;&lt;ref-type name="Journal Article"&gt;17&lt;/ref-type&gt;&lt;contributors&gt;&lt;authors&gt;&lt;author&gt;Abuawad, Ibrahim MA&lt;/author&gt;&lt;author&gt;Al-Qadi, Imad L&lt;/author&gt;&lt;author&gt;Trepanier, James S&lt;/author&gt;&lt;/authors&gt;&lt;/contributors&gt;&lt;titles&gt;&lt;title&gt;Mitigation of Moisture Damage in Asphalt Concrete: Testing Techniques and Additives/Modifiers Effectiveness&lt;/title&gt;&lt;secondary-title&gt;Construction and Building Materials&lt;/secondary-title&gt;&lt;/titles&gt;&lt;periodical&gt;&lt;full-title&gt;Construction and Building Materials&lt;/full-title&gt;&lt;/periodical&gt;&lt;pages&gt;437-443&lt;/pages&gt;&lt;volume&gt;84&lt;/volume&gt;&lt;dates&gt;&lt;year&gt;2015&lt;/year&gt;&lt;/dates&gt;&lt;isbn&gt;0950-0618&lt;/isbn&gt;&lt;urls&gt;&lt;/urls&gt;&lt;/record&gt;&lt;/Cite&gt;&lt;Cite&gt;&lt;Author&gt;Orange&lt;/Author&gt;&lt;Year&gt;2004&lt;/Year&gt;&lt;RecNum&gt;128&lt;/RecNum&gt;&lt;record&gt;&lt;rec-number&gt;128&lt;/rec-number&gt;&lt;foreign-keys&gt;&lt;key app="EN" db-id="d55vzfpwawdafteedfoxsf0lv0v0wp5va2aa" timestamp="1521482427"&gt;128&lt;/key&gt;&lt;/foreign-keys&gt;&lt;ref-type name="Journal Article"&gt;17&lt;/ref-type&gt;&lt;contributors&gt;&lt;authors&gt;&lt;author&gt;Orange, Gilles&lt;/author&gt;&lt;author&gt;Martin, Jean-Valery&lt;/author&gt;&lt;author&gt;Menapace, A&lt;/author&gt;&lt;author&gt;Hemsley, M&lt;/author&gt;&lt;author&gt;Baumgardner, GL&lt;/author&gt;&lt;/authors&gt;&lt;/contributors&gt;&lt;titles&gt;&lt;title&gt;Rutting and Moisture Resistance of Asphalt Mixtures Containing Polymer and Polyphosphoric Acid Modified Bitumen&lt;/title&gt;&lt;secondary-title&gt;Road materials and pavement design&lt;/secondary-title&gt;&lt;/titles&gt;&lt;periodical&gt;&lt;full-title&gt;Road Materials and Pavement Design&lt;/full-title&gt;&lt;/periodical&gt;&lt;pages&gt;323-354&lt;/pages&gt;&lt;volume&gt;5&lt;/volume&gt;&lt;number&gt;3&lt;/number&gt;&lt;dates&gt;&lt;year&gt;2004&lt;/year&gt;&lt;/dates&gt;&lt;isbn&gt;1468-0629&lt;/isbn&gt;&lt;urls&gt;&lt;/urls&gt;&lt;/record&gt;&lt;/Cite&gt;&lt;/EndNote&gt;</w:instrText>
      </w:r>
      <w:r w:rsidRPr="002B76EF">
        <w:rPr>
          <w:lang w:val="en-CA"/>
        </w:rPr>
        <w:fldChar w:fldCharType="separate"/>
      </w:r>
      <w:r w:rsidR="00282238">
        <w:rPr>
          <w:noProof/>
          <w:lang w:val="en-CA"/>
        </w:rPr>
        <w:t>(Orange et al., 2004; Abuawad et al., 2015)</w:t>
      </w:r>
      <w:r w:rsidRPr="002B76EF">
        <w:rPr>
          <w:lang w:val="en-CA"/>
        </w:rPr>
        <w:fldChar w:fldCharType="end"/>
      </w:r>
      <w:r w:rsidRPr="002B76EF">
        <w:rPr>
          <w:lang w:val="en-CA"/>
        </w:rPr>
        <w:t xml:space="preserve">. From Figure </w:t>
      </w:r>
      <w:r w:rsidR="006D745C">
        <w:t>4.</w:t>
      </w:r>
      <w:r w:rsidRPr="002B76EF">
        <w:rPr>
          <w:lang w:val="en-CA"/>
        </w:rPr>
        <w:t xml:space="preserve">6(b), it was also observed that the addition of RAP produced </w:t>
      </w:r>
      <w:r w:rsidRPr="002B76EF">
        <w:rPr>
          <w:i/>
          <w:iCs/>
          <w:lang w:val="en-CA"/>
        </w:rPr>
        <w:t>TSR</w:t>
      </w:r>
      <w:r w:rsidRPr="002B76EF">
        <w:rPr>
          <w:lang w:val="en-CA"/>
        </w:rPr>
        <w:t xml:space="preserve"> values of 0.73 and 0.59 for short-term and long-term aged moisture conditioned mixes indicating an increase in moisture-induced damage potential of mixes. </w:t>
      </w:r>
    </w:p>
    <w:p w14:paraId="3A773972" w14:textId="70A311D1" w:rsidR="00C32564" w:rsidRPr="002B76EF" w:rsidRDefault="00C32564" w:rsidP="00985A4A">
      <w:pPr>
        <w:pStyle w:val="Heading3"/>
        <w:rPr>
          <w:lang w:val="en-CA"/>
        </w:rPr>
      </w:pPr>
      <w:bookmarkStart w:id="122" w:name="_Toc71728448"/>
      <w:r w:rsidRPr="002B76EF">
        <w:rPr>
          <w:lang w:val="en-CA"/>
        </w:rPr>
        <w:t>Illinois Semi-Circular Bend Test</w:t>
      </w:r>
      <w:bookmarkEnd w:id="122"/>
    </w:p>
    <w:p w14:paraId="0AE39F16" w14:textId="55543FFD" w:rsidR="00C32564" w:rsidRPr="002B76EF" w:rsidRDefault="00C32564" w:rsidP="00E5144D">
      <w:pPr>
        <w:ind w:firstLine="720"/>
        <w:rPr>
          <w:lang w:val="en-CA"/>
        </w:rPr>
      </w:pPr>
      <w:r w:rsidRPr="002B76EF">
        <w:rPr>
          <w:lang w:val="en-CA"/>
        </w:rPr>
        <w:t xml:space="preserve">Figure </w:t>
      </w:r>
      <w:r w:rsidR="006D745C">
        <w:t>4.</w:t>
      </w:r>
      <w:r w:rsidRPr="002B76EF">
        <w:rPr>
          <w:lang w:val="en-CA"/>
        </w:rPr>
        <w:t>7(a) presents the average fracture energy (</w:t>
      </w:r>
      <w:r w:rsidRPr="002B76EF">
        <w:rPr>
          <w:i/>
          <w:iCs/>
          <w:lang w:val="en-CA"/>
        </w:rPr>
        <w:t>G</w:t>
      </w:r>
      <w:r w:rsidRPr="002B76EF">
        <w:rPr>
          <w:i/>
          <w:iCs/>
          <w:vertAlign w:val="subscript"/>
          <w:lang w:val="en-CA"/>
        </w:rPr>
        <w:t>f</w:t>
      </w:r>
      <w:r w:rsidRPr="002B76EF">
        <w:rPr>
          <w:lang w:val="en-CA"/>
        </w:rPr>
        <w:t xml:space="preserve">) values of the short-term aged dry, short-term aged MIST and long-term aged MIST conditioned specimens for all mixes from IL-SCB tests. </w:t>
      </w:r>
      <w:r w:rsidRPr="002B76EF">
        <w:t xml:space="preserve">Three specimens were tested for each mix at each condition. In Figure </w:t>
      </w:r>
      <w:r w:rsidR="006D745C">
        <w:t>4.</w:t>
      </w:r>
      <w:r w:rsidRPr="002B76EF">
        <w:t xml:space="preserve">7(a), the variation of one standard deviation from the average value is illustrated using the error bar. </w:t>
      </w:r>
      <w:r w:rsidRPr="002B76EF">
        <w:rPr>
          <w:lang w:val="en-CA"/>
        </w:rPr>
        <w:t xml:space="preserve">From Figure </w:t>
      </w:r>
      <w:r w:rsidR="006D745C">
        <w:t>4.</w:t>
      </w:r>
      <w:r w:rsidRPr="002B76EF">
        <w:rPr>
          <w:lang w:val="en-CA"/>
        </w:rPr>
        <w:t xml:space="preserve">7(a), the </w:t>
      </w:r>
      <w:r w:rsidRPr="002B76EF">
        <w:rPr>
          <w:i/>
          <w:iCs/>
          <w:lang w:val="en-CA"/>
        </w:rPr>
        <w:t>G</w:t>
      </w:r>
      <w:r w:rsidRPr="002B76EF">
        <w:rPr>
          <w:i/>
          <w:iCs/>
          <w:vertAlign w:val="subscript"/>
          <w:lang w:val="en-CA"/>
        </w:rPr>
        <w:t>f</w:t>
      </w:r>
      <w:r w:rsidRPr="002B76EF">
        <w:rPr>
          <w:lang w:val="en-CA"/>
        </w:rPr>
        <w:t xml:space="preserve"> value of Mix-4-PPA was found to be the lowest among all mixes indicating a higher fracture susceptibility with the addition of PPA. The increase in brittleness of the mix with the addition of PPA is expected to be responsible for this phenomenon. One the other hand, the addition of ASA softens the mix resulting a lower susceptibility to fracture </w:t>
      </w:r>
      <w:r w:rsidRPr="002B76EF">
        <w:rPr>
          <w:lang w:val="en-CA"/>
        </w:rPr>
        <w:fldChar w:fldCharType="begin"/>
      </w:r>
      <w:r w:rsidR="00282238">
        <w:rPr>
          <w:lang w:val="en-CA"/>
        </w:rPr>
        <w:instrText xml:space="preserve"> ADDIN EN.CITE &lt;EndNote&gt;&lt;Cite&gt;&lt;Author&gt;Abuawad&lt;/Author&gt;&lt;Year&gt;2015&lt;/Year&gt;&lt;RecNum&gt;80&lt;/RecNum&gt;&lt;DisplayText&gt;(Abuawad et al., 2015)&lt;/DisplayText&gt;&lt;record&gt;&lt;rec-number&gt;80&lt;/rec-number&gt;&lt;foreign-keys&gt;&lt;key app="EN" db-id="d55vzfpwawdafteedfoxsf0lv0v0wp5va2aa" timestamp="1519483651"&gt;80&lt;/key&gt;&lt;/foreign-keys&gt;&lt;ref-type name="Journal Article"&gt;17&lt;/ref-type&gt;&lt;contributors&gt;&lt;authors&gt;&lt;author&gt;Abuawad, Ibrahim MA&lt;/author&gt;&lt;author&gt;Al-Qadi, Imad L&lt;/author&gt;&lt;author&gt;Trepanier, James S&lt;/author&gt;&lt;/authors&gt;&lt;/contributors&gt;&lt;titles&gt;&lt;title&gt;Mitigation of Moisture Damage in Asphalt Concrete: Testing Techniques and Additives/Modifiers Effectiveness&lt;/title&gt;&lt;secondary-title&gt;Construction and Building Materials&lt;/secondary-title&gt;&lt;/titles&gt;&lt;periodical&gt;&lt;full-title&gt;Construction and Building Materials&lt;/full-title&gt;&lt;/periodical&gt;&lt;pages&gt;437-443&lt;/pages&gt;&lt;volume&gt;84&lt;/volume&gt;&lt;dates&gt;&lt;year&gt;2015&lt;/year&gt;&lt;/dates&gt;&lt;isbn&gt;0950-0618&lt;/isbn&gt;&lt;urls&gt;&lt;/urls&gt;&lt;/record&gt;&lt;/Cite&gt;&lt;/EndNote&gt;</w:instrText>
      </w:r>
      <w:r w:rsidRPr="002B76EF">
        <w:rPr>
          <w:lang w:val="en-CA"/>
        </w:rPr>
        <w:fldChar w:fldCharType="separate"/>
      </w:r>
      <w:r w:rsidR="00282238">
        <w:rPr>
          <w:noProof/>
          <w:lang w:val="en-CA"/>
        </w:rPr>
        <w:t>(Abuawad et al., 2015)</w:t>
      </w:r>
      <w:r w:rsidRPr="002B76EF">
        <w:rPr>
          <w:lang w:val="en-CA"/>
        </w:rPr>
        <w:fldChar w:fldCharType="end"/>
      </w:r>
      <w:r w:rsidRPr="002B76EF">
        <w:rPr>
          <w:lang w:val="en-CA"/>
        </w:rPr>
        <w:t xml:space="preserve">. The Mix-5-RAP shows the highest </w:t>
      </w:r>
      <w:r w:rsidRPr="002B76EF">
        <w:rPr>
          <w:i/>
          <w:iCs/>
          <w:lang w:val="en-CA"/>
        </w:rPr>
        <w:t>G</w:t>
      </w:r>
      <w:r w:rsidRPr="002B76EF">
        <w:rPr>
          <w:i/>
          <w:iCs/>
          <w:vertAlign w:val="subscript"/>
          <w:lang w:val="en-CA"/>
        </w:rPr>
        <w:t>f</w:t>
      </w:r>
      <w:r w:rsidRPr="002B76EF">
        <w:rPr>
          <w:lang w:val="en-CA"/>
        </w:rPr>
        <w:t xml:space="preserve"> value among all the mixes. The increased binder content of the Mix-5-RAP could be the reason behind this phenomenon. However, significant changes in the fracture energy were observed among the mixes after MIST conditioning on short-term aged and long-term aged specimens. For short-term aged conditioning, the Mix-1-None was found to exhibit a </w:t>
      </w:r>
      <w:r w:rsidRPr="002B76EF">
        <w:rPr>
          <w:i/>
          <w:iCs/>
          <w:lang w:val="en-CA"/>
        </w:rPr>
        <w:t>G</w:t>
      </w:r>
      <w:r w:rsidRPr="002B76EF">
        <w:rPr>
          <w:i/>
          <w:iCs/>
          <w:vertAlign w:val="subscript"/>
          <w:lang w:val="en-CA"/>
        </w:rPr>
        <w:t>f</w:t>
      </w:r>
      <w:r w:rsidRPr="002B76EF">
        <w:rPr>
          <w:i/>
          <w:iCs/>
          <w:lang w:val="en-CA"/>
        </w:rPr>
        <w:t xml:space="preserve"> ratio</w:t>
      </w:r>
      <w:r w:rsidRPr="002B76EF">
        <w:rPr>
          <w:lang w:val="en-CA"/>
        </w:rPr>
        <w:t xml:space="preserve"> of 0.90 whereas, the Mix-2-WMA, Mix-3-ASA, Mix-4-PPA and Mix-5-RAP exhibited </w:t>
      </w:r>
      <w:r w:rsidRPr="002B76EF">
        <w:rPr>
          <w:i/>
          <w:iCs/>
          <w:lang w:val="en-CA"/>
        </w:rPr>
        <w:t>G</w:t>
      </w:r>
      <w:r w:rsidRPr="002B76EF">
        <w:rPr>
          <w:i/>
          <w:iCs/>
          <w:vertAlign w:val="subscript"/>
          <w:lang w:val="en-CA"/>
        </w:rPr>
        <w:t>f</w:t>
      </w:r>
      <w:r w:rsidRPr="002B76EF">
        <w:rPr>
          <w:i/>
          <w:iCs/>
          <w:lang w:val="en-CA"/>
        </w:rPr>
        <w:t xml:space="preserve"> ratios</w:t>
      </w:r>
      <w:r w:rsidRPr="002B76EF">
        <w:rPr>
          <w:lang w:val="en-CA"/>
        </w:rPr>
        <w:t xml:space="preserve"> of 0.94, 0.87, 0.58 and 0.73, respectively. Therefore, the addition of WMA is expected to produce mixes which is less susceptible to moisture-induced damage, whereas, addition of PPA and RAP are expected to increase the moisture-induced damage potential of the mix significantly. The long-term aging followed by MIST conditioning was found to further reduce the </w:t>
      </w:r>
      <w:r w:rsidRPr="002B76EF">
        <w:rPr>
          <w:i/>
          <w:iCs/>
          <w:lang w:val="en-CA"/>
        </w:rPr>
        <w:t>G</w:t>
      </w:r>
      <w:r w:rsidRPr="002B76EF">
        <w:rPr>
          <w:i/>
          <w:iCs/>
          <w:vertAlign w:val="subscript"/>
          <w:lang w:val="en-CA"/>
        </w:rPr>
        <w:t>f</w:t>
      </w:r>
      <w:r w:rsidRPr="002B76EF">
        <w:rPr>
          <w:lang w:val="en-CA"/>
        </w:rPr>
        <w:t xml:space="preserve"> values as well as the </w:t>
      </w:r>
      <w:r w:rsidRPr="002B76EF">
        <w:rPr>
          <w:i/>
          <w:iCs/>
          <w:lang w:val="en-CA"/>
        </w:rPr>
        <w:t>G</w:t>
      </w:r>
      <w:r w:rsidRPr="002B76EF">
        <w:rPr>
          <w:i/>
          <w:iCs/>
          <w:vertAlign w:val="subscript"/>
          <w:lang w:val="en-CA"/>
        </w:rPr>
        <w:t>f</w:t>
      </w:r>
      <w:r w:rsidRPr="002B76EF">
        <w:rPr>
          <w:i/>
          <w:iCs/>
          <w:lang w:val="en-CA"/>
        </w:rPr>
        <w:t xml:space="preserve"> ratios</w:t>
      </w:r>
      <w:r w:rsidRPr="002B76EF">
        <w:rPr>
          <w:lang w:val="en-CA"/>
        </w:rPr>
        <w:t xml:space="preserve"> for all the mixes. Mixes with PPA (Mix-4-PPA) and RAP (Mix-5-RAP) were found to exhibit higher increase in moisture-induced damage potentials than other mixes. Addition of WMA and ASA were found to exhibit higher </w:t>
      </w:r>
      <w:r w:rsidRPr="002B76EF">
        <w:rPr>
          <w:i/>
          <w:iCs/>
          <w:lang w:val="en-CA"/>
        </w:rPr>
        <w:t>G</w:t>
      </w:r>
      <w:r w:rsidRPr="002B76EF">
        <w:rPr>
          <w:i/>
          <w:iCs/>
          <w:vertAlign w:val="subscript"/>
          <w:lang w:val="en-CA"/>
        </w:rPr>
        <w:t>f</w:t>
      </w:r>
      <w:r w:rsidRPr="002B76EF">
        <w:rPr>
          <w:i/>
          <w:iCs/>
          <w:lang w:val="en-CA"/>
        </w:rPr>
        <w:t xml:space="preserve"> ratios</w:t>
      </w:r>
      <w:r w:rsidRPr="002B76EF">
        <w:rPr>
          <w:lang w:val="en-CA"/>
        </w:rPr>
        <w:t xml:space="preserve"> than the control mix (Mix-1-None) indicating improved moisture-induced damage resistance for asphalt mixes.</w:t>
      </w:r>
    </w:p>
    <w:p w14:paraId="595ACC35" w14:textId="24883910" w:rsidR="00C32564" w:rsidRPr="002B76EF" w:rsidRDefault="00C32564" w:rsidP="00985A4A">
      <w:pPr>
        <w:pStyle w:val="Heading3"/>
        <w:rPr>
          <w:lang w:val="en-CA"/>
        </w:rPr>
      </w:pPr>
      <w:bookmarkStart w:id="123" w:name="_Toc71728449"/>
      <w:r w:rsidRPr="002B76EF">
        <w:rPr>
          <w:lang w:val="en-CA"/>
        </w:rPr>
        <w:t>Comparison of Moisture-induced Damage Parameters</w:t>
      </w:r>
      <w:bookmarkEnd w:id="123"/>
      <w:r w:rsidRPr="002B76EF">
        <w:rPr>
          <w:lang w:val="en-CA"/>
        </w:rPr>
        <w:t xml:space="preserve"> </w:t>
      </w:r>
    </w:p>
    <w:p w14:paraId="0B58F675" w14:textId="04547C02" w:rsidR="00C32564" w:rsidRPr="00704477" w:rsidRDefault="00C32564" w:rsidP="00E5144D">
      <w:pPr>
        <w:pStyle w:val="Paragraph"/>
        <w:spacing w:before="0"/>
      </w:pPr>
      <w:r w:rsidRPr="002B76EF">
        <w:t xml:space="preserve">Figures </w:t>
      </w:r>
      <w:r w:rsidR="006D745C">
        <w:t>4.</w:t>
      </w:r>
      <w:r w:rsidRPr="002B76EF">
        <w:t xml:space="preserve">8(a) and </w:t>
      </w:r>
      <w:r w:rsidR="006D745C">
        <w:t>4.</w:t>
      </w:r>
      <w:r w:rsidRPr="002B76EF">
        <w:t xml:space="preserve">8(b) present the comparisons of </w:t>
      </w:r>
      <w:r w:rsidRPr="002B76EF">
        <w:rPr>
          <w:i/>
          <w:iCs/>
        </w:rPr>
        <w:t>TSR</w:t>
      </w:r>
      <w:r w:rsidRPr="002B76EF">
        <w:t xml:space="preserve"> and </w:t>
      </w:r>
      <w:r w:rsidRPr="002B76EF">
        <w:rPr>
          <w:i/>
          <w:iCs/>
        </w:rPr>
        <w:t>G</w:t>
      </w:r>
      <w:r w:rsidRPr="002B76EF">
        <w:rPr>
          <w:i/>
          <w:iCs/>
          <w:vertAlign w:val="subscript"/>
        </w:rPr>
        <w:t>f</w:t>
      </w:r>
      <w:r w:rsidRPr="002B76EF">
        <w:rPr>
          <w:i/>
          <w:iCs/>
        </w:rPr>
        <w:t xml:space="preserve"> ratio</w:t>
      </w:r>
      <w:r w:rsidRPr="002B76EF">
        <w:t xml:space="preserve"> with </w:t>
      </w:r>
      <w:r w:rsidRPr="002B76EF">
        <w:rPr>
          <w:i/>
          <w:iCs/>
        </w:rPr>
        <w:t>ER</w:t>
      </w:r>
      <w:r w:rsidRPr="002B76EF">
        <w:rPr>
          <w:i/>
          <w:iCs/>
          <w:vertAlign w:val="subscript"/>
        </w:rPr>
        <w:t>1</w:t>
      </w:r>
      <w:r w:rsidRPr="002B76EF">
        <w:t xml:space="preserve">, respectively. From Figure </w:t>
      </w:r>
      <w:r w:rsidR="006D745C">
        <w:t>4.</w:t>
      </w:r>
      <w:r w:rsidRPr="002B76EF">
        <w:t xml:space="preserve">8(a), the </w:t>
      </w:r>
      <w:r w:rsidRPr="002B76EF">
        <w:rPr>
          <w:i/>
          <w:iCs/>
        </w:rPr>
        <w:t>TSR</w:t>
      </w:r>
      <w:r w:rsidRPr="002B76EF">
        <w:rPr>
          <w:i/>
          <w:iCs/>
          <w:vertAlign w:val="subscript"/>
        </w:rPr>
        <w:t>ST</w:t>
      </w:r>
      <w:r w:rsidRPr="002B76EF">
        <w:t xml:space="preserve"> was found to exhibit no meaningful correlation with </w:t>
      </w:r>
      <w:r w:rsidRPr="002B76EF">
        <w:rPr>
          <w:i/>
          <w:iCs/>
        </w:rPr>
        <w:t>ER1</w:t>
      </w:r>
      <w:r w:rsidRPr="002B76EF">
        <w:t xml:space="preserve"> from</w:t>
      </w:r>
      <w:r w:rsidRPr="002B76EF">
        <w:rPr>
          <w:i/>
          <w:iCs/>
        </w:rPr>
        <w:t xml:space="preserve"> </w:t>
      </w:r>
      <w:r w:rsidRPr="002B76EF">
        <w:t xml:space="preserve">RTFO-aged binder-aggregate system. However, </w:t>
      </w:r>
      <w:r w:rsidRPr="002B76EF">
        <w:rPr>
          <w:i/>
          <w:iCs/>
        </w:rPr>
        <w:t>TSR</w:t>
      </w:r>
      <w:r w:rsidRPr="002B76EF">
        <w:rPr>
          <w:i/>
          <w:iCs/>
          <w:vertAlign w:val="subscript"/>
        </w:rPr>
        <w:t>LT</w:t>
      </w:r>
      <w:r w:rsidRPr="002B76EF">
        <w:t xml:space="preserve"> was found to exhibit a better correlation with a R</w:t>
      </w:r>
      <w:r w:rsidRPr="002B76EF">
        <w:rPr>
          <w:vertAlign w:val="superscript"/>
        </w:rPr>
        <w:t>2</w:t>
      </w:r>
      <w:r w:rsidRPr="002B76EF">
        <w:t xml:space="preserve"> value of 0.70. On the other hand, the R</w:t>
      </w:r>
      <w:r w:rsidRPr="002B76EF">
        <w:rPr>
          <w:vertAlign w:val="superscript"/>
        </w:rPr>
        <w:t>2</w:t>
      </w:r>
      <w:r w:rsidRPr="002B76EF">
        <w:t xml:space="preserve"> values for (</w:t>
      </w:r>
      <w:r w:rsidRPr="002B76EF">
        <w:rPr>
          <w:i/>
          <w:iCs/>
        </w:rPr>
        <w:t>G</w:t>
      </w:r>
      <w:r w:rsidRPr="002B76EF">
        <w:rPr>
          <w:i/>
          <w:iCs/>
          <w:vertAlign w:val="subscript"/>
        </w:rPr>
        <w:t>f</w:t>
      </w:r>
      <w:r w:rsidRPr="002B76EF">
        <w:rPr>
          <w:i/>
          <w:iCs/>
        </w:rPr>
        <w:t xml:space="preserve"> ratio)</w:t>
      </w:r>
      <w:r w:rsidRPr="002B76EF">
        <w:rPr>
          <w:i/>
          <w:iCs/>
          <w:vertAlign w:val="subscript"/>
        </w:rPr>
        <w:t>ST</w:t>
      </w:r>
      <w:r w:rsidRPr="002B76EF">
        <w:t xml:space="preserve"> and </w:t>
      </w:r>
      <w:r w:rsidRPr="002B76EF">
        <w:rPr>
          <w:i/>
          <w:iCs/>
        </w:rPr>
        <w:t>(G</w:t>
      </w:r>
      <w:r w:rsidRPr="002B76EF">
        <w:rPr>
          <w:i/>
          <w:iCs/>
          <w:vertAlign w:val="subscript"/>
        </w:rPr>
        <w:t>f</w:t>
      </w:r>
      <w:r w:rsidRPr="002B76EF">
        <w:rPr>
          <w:i/>
          <w:iCs/>
        </w:rPr>
        <w:t xml:space="preserve"> ratio)</w:t>
      </w:r>
      <w:r w:rsidRPr="002B76EF">
        <w:rPr>
          <w:i/>
          <w:iCs/>
          <w:vertAlign w:val="subscript"/>
        </w:rPr>
        <w:t>LT</w:t>
      </w:r>
      <w:r w:rsidRPr="002B76EF">
        <w:t xml:space="preserve"> with ER</w:t>
      </w:r>
      <w:r w:rsidRPr="002B76EF">
        <w:rPr>
          <w:vertAlign w:val="subscript"/>
        </w:rPr>
        <w:t>1</w:t>
      </w:r>
      <w:r w:rsidRPr="002B76EF">
        <w:t xml:space="preserve"> from RTFO-aged and PAV-aged binder-aggregate system were found to be better than </w:t>
      </w:r>
      <w:r w:rsidRPr="002B76EF">
        <w:rPr>
          <w:i/>
          <w:iCs/>
        </w:rPr>
        <w:t>TSR</w:t>
      </w:r>
      <w:r w:rsidRPr="002B76EF">
        <w:rPr>
          <w:i/>
          <w:iCs/>
          <w:vertAlign w:val="subscript"/>
        </w:rPr>
        <w:t>ST</w:t>
      </w:r>
      <w:r w:rsidRPr="002B76EF">
        <w:t xml:space="preserve"> and </w:t>
      </w:r>
      <w:r w:rsidRPr="002B76EF">
        <w:rPr>
          <w:i/>
          <w:iCs/>
        </w:rPr>
        <w:t>TSR</w:t>
      </w:r>
      <w:r w:rsidRPr="002B76EF">
        <w:rPr>
          <w:i/>
          <w:iCs/>
          <w:vertAlign w:val="subscript"/>
        </w:rPr>
        <w:t>LT</w:t>
      </w:r>
      <w:r w:rsidRPr="002B76EF">
        <w:t xml:space="preserve">. Strongest correlation was observed between the </w:t>
      </w:r>
      <w:r w:rsidRPr="002B76EF">
        <w:rPr>
          <w:i/>
          <w:iCs/>
        </w:rPr>
        <w:t>(G</w:t>
      </w:r>
      <w:r w:rsidRPr="002B76EF">
        <w:rPr>
          <w:i/>
          <w:iCs/>
          <w:vertAlign w:val="subscript"/>
        </w:rPr>
        <w:t>f</w:t>
      </w:r>
      <w:r w:rsidRPr="002B76EF">
        <w:rPr>
          <w:i/>
          <w:iCs/>
        </w:rPr>
        <w:t xml:space="preserve"> ratio)</w:t>
      </w:r>
      <w:r w:rsidRPr="002B76EF">
        <w:rPr>
          <w:i/>
          <w:iCs/>
          <w:vertAlign w:val="subscript"/>
        </w:rPr>
        <w:t>LT</w:t>
      </w:r>
      <w:r w:rsidRPr="002B76EF">
        <w:t xml:space="preserve"> and </w:t>
      </w:r>
      <w:r w:rsidRPr="002B76EF">
        <w:rPr>
          <w:i/>
          <w:iCs/>
        </w:rPr>
        <w:t>ER</w:t>
      </w:r>
      <w:r w:rsidRPr="002B76EF">
        <w:rPr>
          <w:i/>
          <w:iCs/>
          <w:vertAlign w:val="subscript"/>
        </w:rPr>
        <w:t>1</w:t>
      </w:r>
      <w:r w:rsidRPr="002B76EF">
        <w:t xml:space="preserve"> from PAV-aged binder-aggregate system as compared to other correlations considered in this study. The energy parameter </w:t>
      </w:r>
      <w:r w:rsidRPr="002B76EF">
        <w:rPr>
          <w:i/>
          <w:iCs/>
        </w:rPr>
        <w:t>ER</w:t>
      </w:r>
      <w:r w:rsidRPr="002B76EF">
        <w:rPr>
          <w:i/>
          <w:iCs/>
          <w:vertAlign w:val="subscript"/>
        </w:rPr>
        <w:t>1</w:t>
      </w:r>
      <w:r w:rsidRPr="002B76EF">
        <w:t xml:space="preserve"> is the ratio of work of adhesion and work of debonding between binder and aggregate which are quantified mechanistically using thermodynamic properties of </w:t>
      </w:r>
      <w:r w:rsidR="0097343C" w:rsidRPr="002B76EF">
        <w:t>both</w:t>
      </w:r>
      <w:r w:rsidRPr="002B76EF">
        <w:t xml:space="preserve"> materials. On the other hand, </w:t>
      </w:r>
      <w:r w:rsidRPr="002B76EF">
        <w:rPr>
          <w:lang w:val="en-CA"/>
        </w:rPr>
        <w:t>the behavior of dry and moisture conditioned specimens during peak load</w:t>
      </w:r>
      <w:r w:rsidRPr="002B76EF">
        <w:t xml:space="preserve"> </w:t>
      </w:r>
      <w:r w:rsidRPr="002B76EF">
        <w:rPr>
          <w:lang w:val="en-CA"/>
        </w:rPr>
        <w:t xml:space="preserve">is representative </w:t>
      </w:r>
      <w:r w:rsidRPr="002B76EF">
        <w:t>by the</w:t>
      </w:r>
      <w:r w:rsidRPr="002B76EF">
        <w:rPr>
          <w:lang w:val="en-CA"/>
        </w:rPr>
        <w:t xml:space="preserve"> </w:t>
      </w:r>
      <w:r w:rsidRPr="002B76EF">
        <w:rPr>
          <w:i/>
          <w:iCs/>
          <w:lang w:val="en-CA"/>
        </w:rPr>
        <w:t>TSR</w:t>
      </w:r>
      <w:r w:rsidRPr="002B76EF">
        <w:rPr>
          <w:lang w:val="en-CA"/>
        </w:rPr>
        <w:t xml:space="preserve"> value. Therefore, no strong correlation was expected between the </w:t>
      </w:r>
      <w:r w:rsidRPr="002B76EF">
        <w:rPr>
          <w:i/>
          <w:iCs/>
          <w:lang w:val="en-CA"/>
        </w:rPr>
        <w:t>ER</w:t>
      </w:r>
      <w:r w:rsidRPr="002B76EF">
        <w:rPr>
          <w:i/>
          <w:iCs/>
          <w:vertAlign w:val="subscript"/>
          <w:lang w:val="en-CA"/>
        </w:rPr>
        <w:t>1</w:t>
      </w:r>
      <w:r w:rsidRPr="002B76EF">
        <w:rPr>
          <w:lang w:val="en-CA"/>
        </w:rPr>
        <w:t xml:space="preserve"> and </w:t>
      </w:r>
      <w:r w:rsidRPr="002B76EF">
        <w:rPr>
          <w:i/>
          <w:iCs/>
          <w:lang w:val="en-CA"/>
        </w:rPr>
        <w:t>TSR</w:t>
      </w:r>
      <w:r w:rsidRPr="002B76EF">
        <w:rPr>
          <w:lang w:val="en-CA"/>
        </w:rPr>
        <w:t xml:space="preserve">. However, the fracture energy represents the work required to initiate and propagate fracture, i.e. complete damage (adhesion and cohesion failure) </w:t>
      </w:r>
      <w:r w:rsidRPr="00704477">
        <w:rPr>
          <w:lang w:val="en-CA"/>
        </w:rPr>
        <w:t xml:space="preserve">characteristics of the mixes. Therefore, the correlation between </w:t>
      </w:r>
      <w:r w:rsidRPr="00704477">
        <w:rPr>
          <w:i/>
          <w:iCs/>
          <w:lang w:val="en-CA"/>
        </w:rPr>
        <w:t>G</w:t>
      </w:r>
      <w:r w:rsidRPr="00704477">
        <w:rPr>
          <w:i/>
          <w:iCs/>
          <w:vertAlign w:val="subscript"/>
          <w:lang w:val="en-CA"/>
        </w:rPr>
        <w:t>f</w:t>
      </w:r>
      <w:r w:rsidRPr="00704477">
        <w:rPr>
          <w:i/>
          <w:iCs/>
          <w:lang w:val="en-CA"/>
        </w:rPr>
        <w:t xml:space="preserve"> ratio</w:t>
      </w:r>
      <w:r w:rsidRPr="00704477">
        <w:rPr>
          <w:lang w:val="en-CA"/>
        </w:rPr>
        <w:t xml:space="preserve"> and </w:t>
      </w:r>
      <w:r w:rsidRPr="00704477">
        <w:rPr>
          <w:i/>
          <w:iCs/>
          <w:lang w:val="en-CA"/>
        </w:rPr>
        <w:t>ER</w:t>
      </w:r>
      <w:r w:rsidRPr="00704477">
        <w:rPr>
          <w:i/>
          <w:iCs/>
          <w:vertAlign w:val="subscript"/>
        </w:rPr>
        <w:t>1</w:t>
      </w:r>
      <w:r w:rsidRPr="00704477">
        <w:t xml:space="preserve"> was found to be stronger than </w:t>
      </w:r>
      <w:r w:rsidRPr="00704477">
        <w:rPr>
          <w:i/>
          <w:iCs/>
        </w:rPr>
        <w:t>TSR</w:t>
      </w:r>
      <w:r w:rsidRPr="00704477">
        <w:t>. Therefore, IL-SCB test with MIST conditioning can be used as an alternative tool for mechanistic evaluation of the moisture-induced damage of asphalt mixes. The correlation</w:t>
      </w:r>
      <w:r w:rsidR="00915B56" w:rsidRPr="00704477">
        <w:t>s</w:t>
      </w:r>
      <w:r w:rsidRPr="00704477">
        <w:t xml:space="preserve"> of </w:t>
      </w:r>
      <w:r w:rsidRPr="00704477">
        <w:rPr>
          <w:i/>
          <w:iCs/>
        </w:rPr>
        <w:t>TSR</w:t>
      </w:r>
      <w:r w:rsidRPr="00704477">
        <w:t xml:space="preserve"> and </w:t>
      </w:r>
      <w:r w:rsidRPr="00704477">
        <w:rPr>
          <w:i/>
          <w:iCs/>
        </w:rPr>
        <w:t>G</w:t>
      </w:r>
      <w:r w:rsidRPr="00704477">
        <w:rPr>
          <w:i/>
          <w:iCs/>
          <w:vertAlign w:val="subscript"/>
        </w:rPr>
        <w:t>f</w:t>
      </w:r>
      <w:r w:rsidRPr="00704477">
        <w:rPr>
          <w:i/>
          <w:iCs/>
        </w:rPr>
        <w:t xml:space="preserve"> ratio</w:t>
      </w:r>
      <w:r w:rsidRPr="00704477">
        <w:t xml:space="preserve"> with </w:t>
      </w:r>
      <w:r w:rsidRPr="00704477">
        <w:rPr>
          <w:i/>
          <w:iCs/>
        </w:rPr>
        <w:t>ER</w:t>
      </w:r>
      <w:r w:rsidRPr="00704477">
        <w:rPr>
          <w:i/>
          <w:iCs/>
          <w:vertAlign w:val="subscript"/>
        </w:rPr>
        <w:t xml:space="preserve">2 </w:t>
      </w:r>
      <w:r w:rsidRPr="00704477">
        <w:t>w</w:t>
      </w:r>
      <w:r w:rsidR="00915B56" w:rsidRPr="00704477">
        <w:t>ere</w:t>
      </w:r>
      <w:r w:rsidRPr="00704477">
        <w:t xml:space="preserve"> found similar </w:t>
      </w:r>
      <w:r w:rsidR="00915B56" w:rsidRPr="00704477">
        <w:t>to those of</w:t>
      </w:r>
      <w:r w:rsidRPr="00704477">
        <w:t xml:space="preserve"> </w:t>
      </w:r>
      <w:r w:rsidRPr="00704477">
        <w:rPr>
          <w:i/>
          <w:iCs/>
        </w:rPr>
        <w:t>ER</w:t>
      </w:r>
      <w:r w:rsidRPr="00704477">
        <w:rPr>
          <w:i/>
          <w:iCs/>
          <w:vertAlign w:val="subscript"/>
        </w:rPr>
        <w:t>1</w:t>
      </w:r>
      <w:r w:rsidRPr="00704477">
        <w:t>.</w:t>
      </w:r>
    </w:p>
    <w:p w14:paraId="6EF39AE0" w14:textId="4026BFB9" w:rsidR="00C32564" w:rsidRPr="00704477" w:rsidRDefault="009664B6" w:rsidP="00E57694">
      <w:pPr>
        <w:pStyle w:val="Heading2"/>
        <w:rPr>
          <w:sz w:val="22"/>
          <w:szCs w:val="24"/>
        </w:rPr>
      </w:pPr>
      <w:bookmarkStart w:id="124" w:name="_Toc71728450"/>
      <w:r w:rsidRPr="00704477">
        <w:t>CONCLUSIONS</w:t>
      </w:r>
      <w:bookmarkEnd w:id="124"/>
    </w:p>
    <w:p w14:paraId="1289824E" w14:textId="77777777" w:rsidR="00C32564" w:rsidRPr="002B76EF" w:rsidRDefault="00C32564" w:rsidP="00E5144D">
      <w:pPr>
        <w:ind w:firstLine="720"/>
      </w:pPr>
      <w:r w:rsidRPr="002B76EF">
        <w:t>In this study, SFE method was used to mechanistically quantify the changes in the moisture-induced damage potential of binder-aggregate systems with the addition of different additives. Also, the effect of aging on the moisture-induced damage performance of the binder-aggregate system was assessed by evaluating the changes in the energy parameters from SFE method. In addition, the moisture-induced damage potentials of short-term and long-term aged asphalt mixes were evaluated using a conventional (</w:t>
      </w:r>
      <w:r w:rsidRPr="002B76EF">
        <w:rPr>
          <w:i/>
          <w:iCs/>
        </w:rPr>
        <w:t>TSR</w:t>
      </w:r>
      <w:r w:rsidRPr="002B76EF">
        <w:t>) and a new (</w:t>
      </w:r>
      <w:r w:rsidRPr="002B76EF">
        <w:rPr>
          <w:i/>
          <w:iCs/>
        </w:rPr>
        <w:t>G</w:t>
      </w:r>
      <w:r w:rsidRPr="002B76EF">
        <w:rPr>
          <w:i/>
          <w:iCs/>
          <w:vertAlign w:val="subscript"/>
        </w:rPr>
        <w:t>f</w:t>
      </w:r>
      <w:r w:rsidRPr="002B76EF">
        <w:rPr>
          <w:i/>
          <w:iCs/>
        </w:rPr>
        <w:t xml:space="preserve"> ratio</w:t>
      </w:r>
      <w:r w:rsidRPr="002B76EF">
        <w:t>) parameter. Correlations between the moisture-induced damage performance parameters from laboratory performance tests and the SFE technique were also investigated. Based on the test results obtained from different laboratory tests conducted on asphalt mixes, aggregates and binders, the following conclusions were made:</w:t>
      </w:r>
    </w:p>
    <w:p w14:paraId="4058B8C9" w14:textId="77777777" w:rsidR="00C32564" w:rsidRPr="002B76EF" w:rsidRDefault="00C32564" w:rsidP="00E5144D">
      <w:pPr>
        <w:pStyle w:val="ListParagraph"/>
        <w:numPr>
          <w:ilvl w:val="0"/>
          <w:numId w:val="10"/>
        </w:numPr>
        <w:ind w:left="720"/>
      </w:pPr>
      <w:r w:rsidRPr="002B76EF">
        <w:t xml:space="preserve">An improved resistance to moisture-induced damage of asphalt mixes was observed with the addition of WMA and ASA from SFE method. Similar improvements were also observed from the </w:t>
      </w:r>
      <w:r w:rsidRPr="002B76EF">
        <w:rPr>
          <w:i/>
          <w:iCs/>
        </w:rPr>
        <w:t>TSR</w:t>
      </w:r>
      <w:r w:rsidRPr="002B76EF">
        <w:t xml:space="preserve"> and </w:t>
      </w:r>
      <w:r w:rsidRPr="002B76EF">
        <w:rPr>
          <w:i/>
          <w:iCs/>
        </w:rPr>
        <w:t>G</w:t>
      </w:r>
      <w:r w:rsidRPr="002B76EF">
        <w:rPr>
          <w:i/>
          <w:iCs/>
          <w:vertAlign w:val="subscript"/>
        </w:rPr>
        <w:t xml:space="preserve">f </w:t>
      </w:r>
      <w:r w:rsidRPr="002B76EF">
        <w:rPr>
          <w:i/>
          <w:iCs/>
        </w:rPr>
        <w:t>ratio</w:t>
      </w:r>
      <w:r w:rsidRPr="002B76EF">
        <w:t xml:space="preserve"> parameters. The mix containing PPA was found to exhibit the lowest </w:t>
      </w:r>
      <w:r w:rsidRPr="002B76EF">
        <w:rPr>
          <w:i/>
          <w:iCs/>
        </w:rPr>
        <w:t>ER</w:t>
      </w:r>
      <w:r w:rsidRPr="002B76EF">
        <w:rPr>
          <w:i/>
          <w:iCs/>
          <w:vertAlign w:val="subscript"/>
        </w:rPr>
        <w:t>1</w:t>
      </w:r>
      <w:r w:rsidRPr="002B76EF">
        <w:t xml:space="preserve">, </w:t>
      </w:r>
      <w:r w:rsidRPr="002B76EF">
        <w:rPr>
          <w:i/>
          <w:iCs/>
        </w:rPr>
        <w:t>TSR</w:t>
      </w:r>
      <w:r w:rsidRPr="002B76EF">
        <w:t xml:space="preserve"> and </w:t>
      </w:r>
      <w:r w:rsidRPr="002B76EF">
        <w:rPr>
          <w:i/>
          <w:iCs/>
        </w:rPr>
        <w:t>G</w:t>
      </w:r>
      <w:r w:rsidRPr="002B76EF">
        <w:rPr>
          <w:i/>
          <w:iCs/>
          <w:vertAlign w:val="subscript"/>
        </w:rPr>
        <w:t>f</w:t>
      </w:r>
      <w:r w:rsidRPr="002B76EF">
        <w:rPr>
          <w:i/>
          <w:iCs/>
        </w:rPr>
        <w:t xml:space="preserve"> ratio</w:t>
      </w:r>
      <w:r w:rsidRPr="002B76EF">
        <w:t xml:space="preserve"> values among all mixes indicating the highest susceptibility to moisture-induced damage.</w:t>
      </w:r>
    </w:p>
    <w:p w14:paraId="26B5D7AE" w14:textId="77777777" w:rsidR="00C32564" w:rsidRPr="002B76EF" w:rsidRDefault="00C32564" w:rsidP="00E5144D">
      <w:pPr>
        <w:pStyle w:val="ListParagraph"/>
        <w:numPr>
          <w:ilvl w:val="0"/>
          <w:numId w:val="10"/>
        </w:numPr>
        <w:ind w:left="720"/>
      </w:pPr>
      <w:r w:rsidRPr="002B76EF">
        <w:t xml:space="preserve">Asphalt mixes, in general, were found to become more prone to moisture-induced damage with long-term aging. Significant changes in the SFE components, </w:t>
      </w:r>
      <w:r w:rsidRPr="002B76EF">
        <w:rPr>
          <w:i/>
          <w:iCs/>
        </w:rPr>
        <w:t>ITS</w:t>
      </w:r>
      <w:r w:rsidRPr="002B76EF">
        <w:t xml:space="preserve"> and </w:t>
      </w:r>
      <w:r w:rsidRPr="002B76EF">
        <w:rPr>
          <w:i/>
          <w:iCs/>
        </w:rPr>
        <w:t>G</w:t>
      </w:r>
      <w:r w:rsidRPr="002B76EF">
        <w:rPr>
          <w:i/>
          <w:iCs/>
          <w:vertAlign w:val="subscript"/>
        </w:rPr>
        <w:t>f</w:t>
      </w:r>
      <w:r w:rsidRPr="002B76EF">
        <w:rPr>
          <w:vertAlign w:val="subscript"/>
        </w:rPr>
        <w:t xml:space="preserve"> </w:t>
      </w:r>
      <w:r w:rsidRPr="002B76EF">
        <w:t>values were observed due to the thermal degradation of the constituents of binder and additives.</w:t>
      </w:r>
    </w:p>
    <w:p w14:paraId="291FEDD4" w14:textId="77777777" w:rsidR="00C32564" w:rsidRPr="002B76EF" w:rsidRDefault="00C32564" w:rsidP="00E5144D">
      <w:pPr>
        <w:pStyle w:val="ListParagraph"/>
        <w:numPr>
          <w:ilvl w:val="0"/>
          <w:numId w:val="10"/>
        </w:numPr>
        <w:ind w:left="720"/>
      </w:pPr>
      <w:r w:rsidRPr="002B76EF">
        <w:t xml:space="preserve">The </w:t>
      </w:r>
      <w:r w:rsidRPr="002B76EF">
        <w:rPr>
          <w:i/>
          <w:iCs/>
        </w:rPr>
        <w:t>G</w:t>
      </w:r>
      <w:r w:rsidRPr="002B76EF">
        <w:rPr>
          <w:i/>
          <w:iCs/>
          <w:vertAlign w:val="subscript"/>
        </w:rPr>
        <w:t>f</w:t>
      </w:r>
      <w:r w:rsidRPr="002B76EF">
        <w:rPr>
          <w:i/>
          <w:iCs/>
        </w:rPr>
        <w:t xml:space="preserve"> ratio</w:t>
      </w:r>
      <w:r w:rsidRPr="002B76EF">
        <w:t xml:space="preserve"> obtained from IL-SCB test was found to exhibit a strong correlation with energy parameters from SFE method. Therefore, </w:t>
      </w:r>
      <w:r w:rsidRPr="002B76EF">
        <w:rPr>
          <w:i/>
          <w:iCs/>
        </w:rPr>
        <w:t>G</w:t>
      </w:r>
      <w:r w:rsidRPr="002B76EF">
        <w:rPr>
          <w:i/>
          <w:iCs/>
          <w:vertAlign w:val="subscript"/>
        </w:rPr>
        <w:t xml:space="preserve">f </w:t>
      </w:r>
      <w:r w:rsidRPr="002B76EF">
        <w:rPr>
          <w:i/>
          <w:iCs/>
        </w:rPr>
        <w:t>ratio</w:t>
      </w:r>
      <w:r w:rsidRPr="002B76EF">
        <w:t xml:space="preserve"> can be used in mechanistic evaluation of the moisture-induced damage potential of asphalt mixes. </w:t>
      </w:r>
    </w:p>
    <w:p w14:paraId="48F399A9" w14:textId="599A448A" w:rsidR="00C32564" w:rsidRDefault="00C32564" w:rsidP="00E5144D">
      <w:pPr>
        <w:ind w:firstLine="720"/>
      </w:pPr>
      <w:bookmarkStart w:id="125" w:name="_Hlk31811659"/>
      <w:r w:rsidRPr="002B76EF">
        <w:t xml:space="preserve">Although the </w:t>
      </w:r>
      <w:r w:rsidRPr="002B76EF">
        <w:rPr>
          <w:i/>
          <w:iCs/>
        </w:rPr>
        <w:t>G</w:t>
      </w:r>
      <w:r w:rsidRPr="002B76EF">
        <w:rPr>
          <w:i/>
          <w:iCs/>
          <w:vertAlign w:val="subscript"/>
        </w:rPr>
        <w:t>f</w:t>
      </w:r>
      <w:r w:rsidRPr="002B76EF">
        <w:rPr>
          <w:i/>
          <w:iCs/>
        </w:rPr>
        <w:t xml:space="preserve"> ratio</w:t>
      </w:r>
      <w:r w:rsidRPr="002B76EF">
        <w:t xml:space="preserve"> exhibited the potential to be used as an effective parameter for evaluating moisture-induced damage in the laboratory, </w:t>
      </w:r>
      <w:bookmarkStart w:id="126" w:name="_Hlk31812432"/>
      <w:r w:rsidRPr="002B76EF">
        <w:t xml:space="preserve">additional studies are needed to correlate the </w:t>
      </w:r>
      <w:r w:rsidRPr="002B76EF">
        <w:rPr>
          <w:i/>
          <w:iCs/>
        </w:rPr>
        <w:t>G</w:t>
      </w:r>
      <w:r w:rsidRPr="002B76EF">
        <w:rPr>
          <w:i/>
          <w:iCs/>
          <w:vertAlign w:val="subscript"/>
        </w:rPr>
        <w:t>f</w:t>
      </w:r>
      <w:r w:rsidRPr="002B76EF">
        <w:rPr>
          <w:i/>
          <w:iCs/>
        </w:rPr>
        <w:t xml:space="preserve"> ratio</w:t>
      </w:r>
      <w:r w:rsidRPr="002B76EF">
        <w:t xml:space="preserve"> with the field performance of asphalt mixes</w:t>
      </w:r>
      <w:bookmarkEnd w:id="126"/>
      <w:r w:rsidRPr="002B76EF">
        <w:t xml:space="preserve">. </w:t>
      </w:r>
      <w:bookmarkEnd w:id="125"/>
      <w:r w:rsidRPr="002B76EF">
        <w:t>Also, the current study was limited to one type of aggregate (rhyolite). Therefore, future studies including other types of aggregates such as limestone, granite and dolomite need to be conducted to obtain a better understanding of additives and aging for different binder-aggregate combinations.</w:t>
      </w:r>
    </w:p>
    <w:p w14:paraId="0E444724" w14:textId="72029DD3" w:rsidR="003F330B" w:rsidRDefault="003F330B" w:rsidP="00E5144D">
      <w:pPr>
        <w:ind w:firstLine="720"/>
      </w:pPr>
    </w:p>
    <w:p w14:paraId="696D8DB4" w14:textId="0B7917E6" w:rsidR="003F330B" w:rsidRDefault="003F330B" w:rsidP="00E5144D">
      <w:pPr>
        <w:ind w:firstLine="720"/>
      </w:pPr>
    </w:p>
    <w:p w14:paraId="2FAFC773" w14:textId="0D6DCC3C" w:rsidR="00B66EEA" w:rsidRPr="00575748" w:rsidRDefault="00323A59" w:rsidP="00323A59">
      <w:pPr>
        <w:pStyle w:val="Caption"/>
        <w:jc w:val="center"/>
        <w:rPr>
          <w:b w:val="0"/>
          <w:bCs w:val="0"/>
          <w:szCs w:val="24"/>
        </w:rPr>
      </w:pPr>
      <w:bookmarkStart w:id="127" w:name="_Toc71330994"/>
      <w:r>
        <w:t xml:space="preserve">Table </w:t>
      </w:r>
      <w:fldSimple w:instr=" STYLEREF 1 \s ">
        <w:r w:rsidR="005050F0">
          <w:rPr>
            <w:noProof/>
          </w:rPr>
          <w:t>4</w:t>
        </w:r>
      </w:fldSimple>
      <w:r w:rsidR="00700639">
        <w:t>.</w:t>
      </w:r>
      <w:fldSimple w:instr=" SEQ Table \* ARABIC \s 1 ">
        <w:r w:rsidR="005050F0">
          <w:rPr>
            <w:noProof/>
          </w:rPr>
          <w:t>1</w:t>
        </w:r>
      </w:fldSimple>
      <w:r>
        <w:rPr>
          <w:b w:val="0"/>
          <w:bCs w:val="0"/>
          <w:szCs w:val="24"/>
        </w:rPr>
        <w:t xml:space="preserve"> </w:t>
      </w:r>
      <w:r w:rsidR="00B66EEA" w:rsidRPr="00575748">
        <w:rPr>
          <w:szCs w:val="24"/>
        </w:rPr>
        <w:t>Contact Angles of the Binder Blends with Different Solvents</w:t>
      </w:r>
      <w:bookmarkEnd w:id="127"/>
    </w:p>
    <w:tbl>
      <w:tblPr>
        <w:tblpPr w:leftFromText="180" w:rightFromText="180" w:vertAnchor="text" w:horzAnchor="margin" w:tblpY="138"/>
        <w:tblW w:w="85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3"/>
        <w:gridCol w:w="987"/>
        <w:gridCol w:w="1079"/>
        <w:gridCol w:w="736"/>
        <w:gridCol w:w="473"/>
        <w:gridCol w:w="563"/>
        <w:gridCol w:w="508"/>
        <w:gridCol w:w="587"/>
        <w:gridCol w:w="504"/>
        <w:gridCol w:w="701"/>
        <w:gridCol w:w="613"/>
        <w:gridCol w:w="671"/>
        <w:gridCol w:w="505"/>
      </w:tblGrid>
      <w:tr w:rsidR="00B66EEA" w:rsidRPr="003C7B86" w14:paraId="127E6B35" w14:textId="77777777" w:rsidTr="00CC5BAB">
        <w:trPr>
          <w:trHeight w:val="312"/>
        </w:trPr>
        <w:tc>
          <w:tcPr>
            <w:tcW w:w="823" w:type="dxa"/>
            <w:vMerge w:val="restart"/>
            <w:shd w:val="clear" w:color="auto" w:fill="auto"/>
            <w:noWrap/>
            <w:vAlign w:val="center"/>
          </w:tcPr>
          <w:p w14:paraId="05834A97" w14:textId="77777777" w:rsidR="00B66EEA" w:rsidRPr="00613C98" w:rsidRDefault="00B66EEA" w:rsidP="006300FC">
            <w:pPr>
              <w:spacing w:line="240" w:lineRule="auto"/>
              <w:ind w:hanging="30"/>
              <w:jc w:val="center"/>
              <w:rPr>
                <w:rFonts w:eastAsia="Times New Roman" w:cs="Times New Roman"/>
                <w:b/>
                <w:bCs/>
                <w:color w:val="000000"/>
                <w:sz w:val="18"/>
                <w:szCs w:val="18"/>
              </w:rPr>
            </w:pPr>
            <w:r w:rsidRPr="00613C98">
              <w:rPr>
                <w:rFonts w:eastAsia="Times New Roman" w:cs="Times New Roman"/>
                <w:b/>
                <w:bCs/>
                <w:color w:val="000000"/>
                <w:sz w:val="18"/>
                <w:szCs w:val="18"/>
              </w:rPr>
              <w:t>Binder Type</w:t>
            </w:r>
          </w:p>
        </w:tc>
        <w:tc>
          <w:tcPr>
            <w:tcW w:w="915" w:type="dxa"/>
            <w:vMerge w:val="restart"/>
            <w:shd w:val="clear" w:color="auto" w:fill="auto"/>
            <w:noWrap/>
            <w:vAlign w:val="center"/>
          </w:tcPr>
          <w:p w14:paraId="18D14518" w14:textId="77777777" w:rsidR="00B66EEA" w:rsidRPr="00613C98" w:rsidRDefault="00B66EEA" w:rsidP="006300FC">
            <w:pPr>
              <w:spacing w:line="240" w:lineRule="auto"/>
              <w:jc w:val="center"/>
              <w:rPr>
                <w:rFonts w:eastAsia="Times New Roman" w:cs="Times New Roman"/>
                <w:b/>
                <w:bCs/>
                <w:color w:val="000000"/>
                <w:sz w:val="18"/>
                <w:szCs w:val="18"/>
              </w:rPr>
            </w:pPr>
            <w:r w:rsidRPr="00613C98">
              <w:rPr>
                <w:rFonts w:eastAsia="Times New Roman" w:cs="Times New Roman"/>
                <w:b/>
                <w:bCs/>
                <w:color w:val="000000"/>
                <w:sz w:val="18"/>
                <w:szCs w:val="18"/>
              </w:rPr>
              <w:t xml:space="preserve">Aging </w:t>
            </w:r>
            <w:r>
              <w:rPr>
                <w:rFonts w:eastAsia="Times New Roman" w:cs="Times New Roman"/>
                <w:b/>
                <w:bCs/>
                <w:color w:val="000000"/>
                <w:sz w:val="18"/>
                <w:szCs w:val="18"/>
              </w:rPr>
              <w:t>C</w:t>
            </w:r>
            <w:r w:rsidRPr="00613C98">
              <w:rPr>
                <w:rFonts w:eastAsia="Times New Roman" w:cs="Times New Roman"/>
                <w:b/>
                <w:bCs/>
                <w:color w:val="000000"/>
                <w:sz w:val="18"/>
                <w:szCs w:val="18"/>
              </w:rPr>
              <w:t>ondition</w:t>
            </w:r>
          </w:p>
        </w:tc>
        <w:tc>
          <w:tcPr>
            <w:tcW w:w="1079" w:type="dxa"/>
            <w:vMerge w:val="restart"/>
            <w:shd w:val="clear" w:color="auto" w:fill="auto"/>
            <w:noWrap/>
            <w:vAlign w:val="center"/>
          </w:tcPr>
          <w:p w14:paraId="2F547313" w14:textId="77777777" w:rsidR="00B66EEA" w:rsidRPr="00613C98" w:rsidRDefault="00B66EEA" w:rsidP="006300FC">
            <w:pPr>
              <w:spacing w:line="240" w:lineRule="auto"/>
              <w:ind w:hanging="59"/>
              <w:jc w:val="center"/>
              <w:rPr>
                <w:rFonts w:eastAsia="Times New Roman" w:cs="Times New Roman"/>
                <w:b/>
                <w:bCs/>
                <w:color w:val="000000"/>
                <w:sz w:val="18"/>
                <w:szCs w:val="18"/>
              </w:rPr>
            </w:pPr>
            <w:r w:rsidRPr="00613C98">
              <w:rPr>
                <w:rFonts w:eastAsia="Times New Roman" w:cs="Times New Roman"/>
                <w:b/>
                <w:bCs/>
                <w:color w:val="000000"/>
                <w:sz w:val="18"/>
                <w:szCs w:val="18"/>
              </w:rPr>
              <w:t>Additive</w:t>
            </w:r>
          </w:p>
        </w:tc>
        <w:tc>
          <w:tcPr>
            <w:tcW w:w="5740" w:type="dxa"/>
            <w:gridSpan w:val="10"/>
            <w:shd w:val="clear" w:color="auto" w:fill="auto"/>
            <w:noWrap/>
            <w:vAlign w:val="center"/>
          </w:tcPr>
          <w:p w14:paraId="55CF7312" w14:textId="77777777" w:rsidR="00B66EEA" w:rsidRPr="00613C98" w:rsidRDefault="00B66EEA" w:rsidP="006300FC">
            <w:pPr>
              <w:spacing w:line="240" w:lineRule="auto"/>
              <w:jc w:val="center"/>
              <w:rPr>
                <w:rFonts w:eastAsia="Times New Roman" w:cs="Times New Roman"/>
                <w:b/>
                <w:bCs/>
                <w:color w:val="000000"/>
                <w:sz w:val="18"/>
                <w:szCs w:val="18"/>
              </w:rPr>
            </w:pPr>
            <w:r>
              <w:rPr>
                <w:rFonts w:eastAsia="Times New Roman" w:cs="Times New Roman"/>
                <w:b/>
                <w:bCs/>
                <w:color w:val="000000"/>
                <w:sz w:val="18"/>
                <w:szCs w:val="18"/>
              </w:rPr>
              <w:t>Contact Angle (°)</w:t>
            </w:r>
          </w:p>
        </w:tc>
      </w:tr>
      <w:tr w:rsidR="00B66EEA" w:rsidRPr="003C7B86" w14:paraId="67880C1C" w14:textId="77777777" w:rsidTr="00CC5BAB">
        <w:trPr>
          <w:trHeight w:val="312"/>
        </w:trPr>
        <w:tc>
          <w:tcPr>
            <w:tcW w:w="823" w:type="dxa"/>
            <w:vMerge/>
            <w:shd w:val="clear" w:color="auto" w:fill="auto"/>
            <w:noWrap/>
            <w:vAlign w:val="center"/>
            <w:hideMark/>
          </w:tcPr>
          <w:p w14:paraId="16E398CA" w14:textId="77777777" w:rsidR="00B66EEA" w:rsidRPr="00613C98" w:rsidRDefault="00B66EEA" w:rsidP="006300FC">
            <w:pPr>
              <w:spacing w:line="240" w:lineRule="auto"/>
              <w:ind w:hanging="30"/>
              <w:jc w:val="center"/>
              <w:rPr>
                <w:rFonts w:eastAsia="Times New Roman" w:cs="Times New Roman"/>
                <w:sz w:val="18"/>
                <w:szCs w:val="18"/>
              </w:rPr>
            </w:pPr>
          </w:p>
        </w:tc>
        <w:tc>
          <w:tcPr>
            <w:tcW w:w="915" w:type="dxa"/>
            <w:vMerge/>
            <w:shd w:val="clear" w:color="auto" w:fill="auto"/>
            <w:noWrap/>
            <w:vAlign w:val="center"/>
            <w:hideMark/>
          </w:tcPr>
          <w:p w14:paraId="34692A44" w14:textId="77777777" w:rsidR="00B66EEA" w:rsidRPr="00613C98" w:rsidRDefault="00B66EEA" w:rsidP="006300FC">
            <w:pPr>
              <w:spacing w:line="240" w:lineRule="auto"/>
              <w:jc w:val="center"/>
              <w:rPr>
                <w:rFonts w:eastAsia="Times New Roman" w:cs="Times New Roman"/>
                <w:sz w:val="18"/>
                <w:szCs w:val="18"/>
              </w:rPr>
            </w:pPr>
          </w:p>
        </w:tc>
        <w:tc>
          <w:tcPr>
            <w:tcW w:w="1079" w:type="dxa"/>
            <w:vMerge/>
            <w:shd w:val="clear" w:color="auto" w:fill="auto"/>
            <w:noWrap/>
            <w:vAlign w:val="center"/>
            <w:hideMark/>
          </w:tcPr>
          <w:p w14:paraId="418744FA" w14:textId="77777777" w:rsidR="00B66EEA" w:rsidRPr="00613C98" w:rsidRDefault="00B66EEA" w:rsidP="006300FC">
            <w:pPr>
              <w:spacing w:line="240" w:lineRule="auto"/>
              <w:ind w:hanging="59"/>
              <w:jc w:val="center"/>
              <w:rPr>
                <w:rFonts w:eastAsia="Times New Roman" w:cs="Times New Roman"/>
                <w:sz w:val="18"/>
                <w:szCs w:val="18"/>
              </w:rPr>
            </w:pPr>
          </w:p>
        </w:tc>
        <w:tc>
          <w:tcPr>
            <w:tcW w:w="1179" w:type="dxa"/>
            <w:gridSpan w:val="2"/>
            <w:shd w:val="clear" w:color="auto" w:fill="auto"/>
            <w:noWrap/>
            <w:vAlign w:val="center"/>
            <w:hideMark/>
          </w:tcPr>
          <w:p w14:paraId="7D6DEF3A" w14:textId="77777777" w:rsidR="00B66EEA" w:rsidRPr="00613C98" w:rsidRDefault="00B66EEA" w:rsidP="006300FC">
            <w:pPr>
              <w:spacing w:line="240" w:lineRule="auto"/>
              <w:ind w:hanging="59"/>
              <w:jc w:val="center"/>
              <w:rPr>
                <w:rFonts w:eastAsia="Times New Roman" w:cs="Times New Roman"/>
                <w:b/>
                <w:bCs/>
                <w:color w:val="000000"/>
                <w:sz w:val="18"/>
                <w:szCs w:val="18"/>
              </w:rPr>
            </w:pPr>
            <w:r w:rsidRPr="00613C98">
              <w:rPr>
                <w:rFonts w:eastAsia="Times New Roman" w:cs="Times New Roman"/>
                <w:b/>
                <w:bCs/>
                <w:color w:val="000000"/>
                <w:sz w:val="18"/>
                <w:szCs w:val="18"/>
              </w:rPr>
              <w:t>Water</w:t>
            </w:r>
          </w:p>
        </w:tc>
        <w:tc>
          <w:tcPr>
            <w:tcW w:w="1033" w:type="dxa"/>
            <w:gridSpan w:val="2"/>
            <w:shd w:val="clear" w:color="auto" w:fill="auto"/>
            <w:noWrap/>
            <w:vAlign w:val="center"/>
            <w:hideMark/>
          </w:tcPr>
          <w:p w14:paraId="7D7F7E0D" w14:textId="09C4E035" w:rsidR="00B66EEA" w:rsidRPr="00613C98" w:rsidRDefault="00B66EEA" w:rsidP="006300FC">
            <w:pPr>
              <w:spacing w:line="240" w:lineRule="auto"/>
              <w:jc w:val="center"/>
              <w:rPr>
                <w:rFonts w:eastAsia="Times New Roman" w:cs="Times New Roman"/>
                <w:b/>
                <w:bCs/>
                <w:color w:val="000000"/>
                <w:sz w:val="18"/>
                <w:szCs w:val="18"/>
              </w:rPr>
            </w:pPr>
            <w:r w:rsidRPr="00613C98">
              <w:rPr>
                <w:rFonts w:eastAsia="Times New Roman" w:cs="Times New Roman"/>
                <w:b/>
                <w:bCs/>
                <w:color w:val="000000"/>
                <w:sz w:val="18"/>
                <w:szCs w:val="18"/>
              </w:rPr>
              <w:t>Glycer</w:t>
            </w:r>
            <w:r w:rsidR="00B5178C">
              <w:rPr>
                <w:rFonts w:eastAsia="Times New Roman" w:cs="Times New Roman"/>
                <w:b/>
                <w:bCs/>
                <w:color w:val="000000"/>
                <w:sz w:val="18"/>
                <w:szCs w:val="18"/>
              </w:rPr>
              <w:t>ol</w:t>
            </w:r>
          </w:p>
        </w:tc>
        <w:tc>
          <w:tcPr>
            <w:tcW w:w="1091" w:type="dxa"/>
            <w:gridSpan w:val="2"/>
            <w:shd w:val="clear" w:color="auto" w:fill="auto"/>
            <w:noWrap/>
            <w:vAlign w:val="center"/>
            <w:hideMark/>
          </w:tcPr>
          <w:p w14:paraId="1F13ADD7" w14:textId="77777777" w:rsidR="00B66EEA" w:rsidRPr="00613C98" w:rsidRDefault="00B66EEA" w:rsidP="006300FC">
            <w:pPr>
              <w:spacing w:line="240" w:lineRule="auto"/>
              <w:ind w:hanging="59"/>
              <w:jc w:val="center"/>
              <w:rPr>
                <w:rFonts w:eastAsia="Times New Roman" w:cs="Times New Roman"/>
                <w:b/>
                <w:bCs/>
                <w:color w:val="000000"/>
                <w:sz w:val="18"/>
                <w:szCs w:val="18"/>
              </w:rPr>
            </w:pPr>
            <w:r w:rsidRPr="00613C98">
              <w:rPr>
                <w:rFonts w:eastAsia="Times New Roman" w:cs="Times New Roman"/>
                <w:b/>
                <w:bCs/>
                <w:color w:val="000000"/>
                <w:sz w:val="18"/>
                <w:szCs w:val="18"/>
              </w:rPr>
              <w:t>Formamide</w:t>
            </w:r>
          </w:p>
        </w:tc>
        <w:tc>
          <w:tcPr>
            <w:tcW w:w="1259" w:type="dxa"/>
            <w:gridSpan w:val="2"/>
            <w:shd w:val="clear" w:color="auto" w:fill="auto"/>
            <w:noWrap/>
            <w:vAlign w:val="center"/>
            <w:hideMark/>
          </w:tcPr>
          <w:p w14:paraId="5100C0FC" w14:textId="77777777" w:rsidR="00B66EEA" w:rsidRPr="00613C98" w:rsidRDefault="00B66EEA" w:rsidP="006300FC">
            <w:pPr>
              <w:spacing w:line="240" w:lineRule="auto"/>
              <w:ind w:hanging="73"/>
              <w:jc w:val="right"/>
              <w:rPr>
                <w:rFonts w:eastAsia="Times New Roman" w:cs="Times New Roman"/>
                <w:b/>
                <w:bCs/>
                <w:color w:val="000000"/>
                <w:sz w:val="18"/>
                <w:szCs w:val="18"/>
              </w:rPr>
            </w:pPr>
            <w:r w:rsidRPr="00613C98">
              <w:rPr>
                <w:rFonts w:eastAsia="Times New Roman" w:cs="Times New Roman"/>
                <w:b/>
                <w:bCs/>
                <w:color w:val="000000"/>
                <w:sz w:val="18"/>
                <w:szCs w:val="18"/>
              </w:rPr>
              <w:t>Diiodomethane</w:t>
            </w:r>
          </w:p>
        </w:tc>
        <w:tc>
          <w:tcPr>
            <w:tcW w:w="1176" w:type="dxa"/>
            <w:gridSpan w:val="2"/>
            <w:shd w:val="clear" w:color="auto" w:fill="auto"/>
            <w:noWrap/>
            <w:vAlign w:val="center"/>
            <w:hideMark/>
          </w:tcPr>
          <w:p w14:paraId="24F86003" w14:textId="77777777" w:rsidR="00B66EEA" w:rsidRPr="00613C98" w:rsidRDefault="00B66EEA" w:rsidP="006300FC">
            <w:pPr>
              <w:spacing w:line="240" w:lineRule="auto"/>
              <w:jc w:val="center"/>
              <w:rPr>
                <w:rFonts w:eastAsia="Times New Roman" w:cs="Times New Roman"/>
                <w:b/>
                <w:bCs/>
                <w:color w:val="000000"/>
                <w:sz w:val="18"/>
                <w:szCs w:val="18"/>
              </w:rPr>
            </w:pPr>
            <w:r w:rsidRPr="00613C98">
              <w:rPr>
                <w:rFonts w:eastAsia="Times New Roman" w:cs="Times New Roman"/>
                <w:b/>
                <w:bCs/>
                <w:color w:val="000000"/>
                <w:sz w:val="18"/>
                <w:szCs w:val="18"/>
              </w:rPr>
              <w:t>Ethylene Glycol</w:t>
            </w:r>
          </w:p>
        </w:tc>
      </w:tr>
      <w:tr w:rsidR="00B66EEA" w:rsidRPr="003C7B86" w14:paraId="260615B5" w14:textId="77777777" w:rsidTr="00CC5BAB">
        <w:trPr>
          <w:trHeight w:val="344"/>
        </w:trPr>
        <w:tc>
          <w:tcPr>
            <w:tcW w:w="823" w:type="dxa"/>
            <w:vMerge/>
            <w:shd w:val="clear" w:color="auto" w:fill="auto"/>
            <w:noWrap/>
            <w:vAlign w:val="center"/>
            <w:hideMark/>
          </w:tcPr>
          <w:p w14:paraId="694570C6" w14:textId="77777777" w:rsidR="00B66EEA" w:rsidRPr="00613C98" w:rsidRDefault="00B66EEA" w:rsidP="006300FC">
            <w:pPr>
              <w:spacing w:line="240" w:lineRule="auto"/>
              <w:ind w:hanging="30"/>
              <w:jc w:val="center"/>
              <w:rPr>
                <w:rFonts w:eastAsia="Times New Roman" w:cs="Times New Roman"/>
                <w:b/>
                <w:bCs/>
                <w:color w:val="000000"/>
                <w:sz w:val="18"/>
                <w:szCs w:val="18"/>
              </w:rPr>
            </w:pPr>
          </w:p>
        </w:tc>
        <w:tc>
          <w:tcPr>
            <w:tcW w:w="915" w:type="dxa"/>
            <w:vMerge/>
            <w:shd w:val="clear" w:color="auto" w:fill="auto"/>
            <w:noWrap/>
            <w:vAlign w:val="center"/>
            <w:hideMark/>
          </w:tcPr>
          <w:p w14:paraId="28045DA2" w14:textId="77777777" w:rsidR="00B66EEA" w:rsidRPr="00613C98" w:rsidRDefault="00B66EEA" w:rsidP="006300FC">
            <w:pPr>
              <w:spacing w:line="240" w:lineRule="auto"/>
              <w:jc w:val="center"/>
              <w:rPr>
                <w:rFonts w:eastAsia="Times New Roman" w:cs="Times New Roman"/>
                <w:b/>
                <w:bCs/>
                <w:color w:val="000000"/>
                <w:sz w:val="18"/>
                <w:szCs w:val="18"/>
              </w:rPr>
            </w:pPr>
          </w:p>
        </w:tc>
        <w:tc>
          <w:tcPr>
            <w:tcW w:w="1079" w:type="dxa"/>
            <w:vMerge/>
            <w:shd w:val="clear" w:color="auto" w:fill="auto"/>
            <w:noWrap/>
            <w:vAlign w:val="center"/>
            <w:hideMark/>
          </w:tcPr>
          <w:p w14:paraId="4A88D370" w14:textId="77777777" w:rsidR="00B66EEA" w:rsidRPr="00613C98" w:rsidRDefault="00B66EEA" w:rsidP="006300FC">
            <w:pPr>
              <w:spacing w:line="240" w:lineRule="auto"/>
              <w:ind w:hanging="59"/>
              <w:jc w:val="center"/>
              <w:rPr>
                <w:rFonts w:eastAsia="Times New Roman" w:cs="Times New Roman"/>
                <w:b/>
                <w:bCs/>
                <w:color w:val="000000"/>
                <w:sz w:val="18"/>
                <w:szCs w:val="18"/>
              </w:rPr>
            </w:pPr>
          </w:p>
        </w:tc>
        <w:tc>
          <w:tcPr>
            <w:tcW w:w="736" w:type="dxa"/>
            <w:shd w:val="clear" w:color="auto" w:fill="auto"/>
            <w:noWrap/>
            <w:vAlign w:val="center"/>
            <w:hideMark/>
          </w:tcPr>
          <w:p w14:paraId="7E244361" w14:textId="77777777" w:rsidR="00B66EEA" w:rsidRPr="00613C98" w:rsidRDefault="00B66EEA" w:rsidP="006300FC">
            <w:pPr>
              <w:spacing w:line="240" w:lineRule="auto"/>
              <w:ind w:hanging="59"/>
              <w:jc w:val="center"/>
              <w:rPr>
                <w:rFonts w:eastAsia="Times New Roman" w:cs="Times New Roman"/>
                <w:b/>
                <w:bCs/>
                <w:color w:val="000000"/>
                <w:sz w:val="18"/>
                <w:szCs w:val="18"/>
              </w:rPr>
            </w:pPr>
            <w:r w:rsidRPr="00613C98">
              <w:rPr>
                <w:rFonts w:eastAsia="Times New Roman" w:cs="Times New Roman"/>
                <w:b/>
                <w:bCs/>
                <w:color w:val="000000"/>
                <w:sz w:val="18"/>
                <w:szCs w:val="18"/>
              </w:rPr>
              <w:t>Av</w:t>
            </w:r>
            <w:r w:rsidRPr="003C7B86">
              <w:rPr>
                <w:rFonts w:eastAsia="Times New Roman" w:cs="Times New Roman"/>
                <w:b/>
                <w:bCs/>
                <w:color w:val="000000"/>
                <w:sz w:val="18"/>
                <w:szCs w:val="18"/>
              </w:rPr>
              <w:t>g</w:t>
            </w:r>
          </w:p>
        </w:tc>
        <w:tc>
          <w:tcPr>
            <w:tcW w:w="442" w:type="dxa"/>
            <w:shd w:val="clear" w:color="auto" w:fill="auto"/>
            <w:noWrap/>
            <w:vAlign w:val="center"/>
            <w:hideMark/>
          </w:tcPr>
          <w:p w14:paraId="5039DC52" w14:textId="77777777" w:rsidR="00B66EEA" w:rsidRPr="00613C98" w:rsidRDefault="00B66EEA" w:rsidP="006300FC">
            <w:pPr>
              <w:spacing w:line="240" w:lineRule="auto"/>
              <w:ind w:hanging="59"/>
              <w:jc w:val="center"/>
              <w:rPr>
                <w:rFonts w:eastAsia="Times New Roman" w:cs="Times New Roman"/>
                <w:b/>
                <w:bCs/>
                <w:color w:val="000000"/>
                <w:sz w:val="18"/>
                <w:szCs w:val="18"/>
              </w:rPr>
            </w:pPr>
            <w:r w:rsidRPr="00613C98">
              <w:rPr>
                <w:rFonts w:eastAsia="Times New Roman" w:cs="Times New Roman"/>
                <w:b/>
                <w:bCs/>
                <w:color w:val="000000"/>
                <w:sz w:val="18"/>
                <w:szCs w:val="18"/>
              </w:rPr>
              <w:t>SD</w:t>
            </w:r>
          </w:p>
        </w:tc>
        <w:tc>
          <w:tcPr>
            <w:tcW w:w="524" w:type="dxa"/>
            <w:shd w:val="clear" w:color="auto" w:fill="auto"/>
            <w:noWrap/>
            <w:vAlign w:val="center"/>
            <w:hideMark/>
          </w:tcPr>
          <w:p w14:paraId="56C607D6" w14:textId="77777777" w:rsidR="00B66EEA" w:rsidRPr="00613C98" w:rsidRDefault="00B66EEA" w:rsidP="006300FC">
            <w:pPr>
              <w:spacing w:line="240" w:lineRule="auto"/>
              <w:ind w:hanging="59"/>
              <w:jc w:val="center"/>
              <w:rPr>
                <w:rFonts w:eastAsia="Times New Roman" w:cs="Times New Roman"/>
                <w:b/>
                <w:bCs/>
                <w:color w:val="000000"/>
                <w:sz w:val="18"/>
                <w:szCs w:val="18"/>
              </w:rPr>
            </w:pPr>
            <w:r w:rsidRPr="00613C98">
              <w:rPr>
                <w:rFonts w:eastAsia="Times New Roman" w:cs="Times New Roman"/>
                <w:b/>
                <w:bCs/>
                <w:color w:val="000000"/>
                <w:sz w:val="18"/>
                <w:szCs w:val="18"/>
              </w:rPr>
              <w:t>Av</w:t>
            </w:r>
            <w:r w:rsidRPr="003C7B86">
              <w:rPr>
                <w:rFonts w:eastAsia="Times New Roman" w:cs="Times New Roman"/>
                <w:b/>
                <w:bCs/>
                <w:color w:val="000000"/>
                <w:sz w:val="18"/>
                <w:szCs w:val="18"/>
              </w:rPr>
              <w:t>g</w:t>
            </w:r>
          </w:p>
        </w:tc>
        <w:tc>
          <w:tcPr>
            <w:tcW w:w="508" w:type="dxa"/>
            <w:shd w:val="clear" w:color="auto" w:fill="auto"/>
            <w:noWrap/>
            <w:vAlign w:val="center"/>
            <w:hideMark/>
          </w:tcPr>
          <w:p w14:paraId="0627729D" w14:textId="77777777" w:rsidR="00B66EEA" w:rsidRPr="00613C98" w:rsidRDefault="00B66EEA" w:rsidP="006300FC">
            <w:pPr>
              <w:spacing w:line="240" w:lineRule="auto"/>
              <w:ind w:hanging="119"/>
              <w:jc w:val="center"/>
              <w:rPr>
                <w:rFonts w:eastAsia="Times New Roman" w:cs="Times New Roman"/>
                <w:b/>
                <w:bCs/>
                <w:color w:val="000000"/>
                <w:sz w:val="18"/>
                <w:szCs w:val="18"/>
              </w:rPr>
            </w:pPr>
            <w:r w:rsidRPr="00613C98">
              <w:rPr>
                <w:rFonts w:eastAsia="Times New Roman" w:cs="Times New Roman"/>
                <w:b/>
                <w:bCs/>
                <w:color w:val="000000"/>
                <w:sz w:val="18"/>
                <w:szCs w:val="18"/>
              </w:rPr>
              <w:t>SD</w:t>
            </w:r>
          </w:p>
        </w:tc>
        <w:tc>
          <w:tcPr>
            <w:tcW w:w="587" w:type="dxa"/>
            <w:shd w:val="clear" w:color="auto" w:fill="auto"/>
            <w:noWrap/>
            <w:vAlign w:val="center"/>
            <w:hideMark/>
          </w:tcPr>
          <w:p w14:paraId="3264AAA8" w14:textId="77777777" w:rsidR="00B66EEA" w:rsidRPr="00613C98" w:rsidRDefault="00B66EEA" w:rsidP="006300FC">
            <w:pPr>
              <w:spacing w:line="240" w:lineRule="auto"/>
              <w:ind w:hanging="119"/>
              <w:jc w:val="center"/>
              <w:rPr>
                <w:rFonts w:eastAsia="Times New Roman" w:cs="Times New Roman"/>
                <w:b/>
                <w:bCs/>
                <w:color w:val="000000"/>
                <w:sz w:val="18"/>
                <w:szCs w:val="18"/>
              </w:rPr>
            </w:pPr>
            <w:r w:rsidRPr="00613C98">
              <w:rPr>
                <w:rFonts w:eastAsia="Times New Roman" w:cs="Times New Roman"/>
                <w:b/>
                <w:bCs/>
                <w:color w:val="000000"/>
                <w:sz w:val="18"/>
                <w:szCs w:val="18"/>
              </w:rPr>
              <w:t>Av</w:t>
            </w:r>
            <w:r w:rsidRPr="003C7B86">
              <w:rPr>
                <w:rFonts w:eastAsia="Times New Roman" w:cs="Times New Roman"/>
                <w:b/>
                <w:bCs/>
                <w:color w:val="000000"/>
                <w:sz w:val="18"/>
                <w:szCs w:val="18"/>
              </w:rPr>
              <w:t>g</w:t>
            </w:r>
          </w:p>
        </w:tc>
        <w:tc>
          <w:tcPr>
            <w:tcW w:w="504" w:type="dxa"/>
            <w:shd w:val="clear" w:color="auto" w:fill="auto"/>
            <w:noWrap/>
            <w:vAlign w:val="center"/>
            <w:hideMark/>
          </w:tcPr>
          <w:p w14:paraId="5AF3BCA8" w14:textId="77777777" w:rsidR="00B66EEA" w:rsidRPr="00613C98" w:rsidRDefault="00B66EEA" w:rsidP="006300FC">
            <w:pPr>
              <w:spacing w:line="240" w:lineRule="auto"/>
              <w:ind w:hanging="59"/>
              <w:jc w:val="center"/>
              <w:rPr>
                <w:rFonts w:eastAsia="Times New Roman" w:cs="Times New Roman"/>
                <w:b/>
                <w:bCs/>
                <w:color w:val="000000"/>
                <w:sz w:val="18"/>
                <w:szCs w:val="18"/>
              </w:rPr>
            </w:pPr>
            <w:r w:rsidRPr="00613C98">
              <w:rPr>
                <w:rFonts w:eastAsia="Times New Roman" w:cs="Times New Roman"/>
                <w:b/>
                <w:bCs/>
                <w:color w:val="000000"/>
                <w:sz w:val="18"/>
                <w:szCs w:val="18"/>
              </w:rPr>
              <w:t>SD</w:t>
            </w:r>
          </w:p>
        </w:tc>
        <w:tc>
          <w:tcPr>
            <w:tcW w:w="671" w:type="dxa"/>
            <w:shd w:val="clear" w:color="auto" w:fill="auto"/>
            <w:noWrap/>
            <w:vAlign w:val="center"/>
            <w:hideMark/>
          </w:tcPr>
          <w:p w14:paraId="539959C3" w14:textId="77777777" w:rsidR="00B66EEA" w:rsidRPr="00613C98" w:rsidRDefault="00B66EEA" w:rsidP="006300FC">
            <w:pPr>
              <w:spacing w:line="240" w:lineRule="auto"/>
              <w:ind w:hanging="89"/>
              <w:jc w:val="center"/>
              <w:rPr>
                <w:rFonts w:eastAsia="Times New Roman" w:cs="Times New Roman"/>
                <w:b/>
                <w:bCs/>
                <w:color w:val="000000"/>
                <w:sz w:val="18"/>
                <w:szCs w:val="18"/>
              </w:rPr>
            </w:pPr>
            <w:r w:rsidRPr="00613C98">
              <w:rPr>
                <w:rFonts w:eastAsia="Times New Roman" w:cs="Times New Roman"/>
                <w:b/>
                <w:bCs/>
                <w:color w:val="000000"/>
                <w:sz w:val="18"/>
                <w:szCs w:val="18"/>
              </w:rPr>
              <w:t>Av</w:t>
            </w:r>
            <w:r w:rsidRPr="003C7B86">
              <w:rPr>
                <w:rFonts w:eastAsia="Times New Roman" w:cs="Times New Roman"/>
                <w:b/>
                <w:bCs/>
                <w:color w:val="000000"/>
                <w:sz w:val="18"/>
                <w:szCs w:val="18"/>
              </w:rPr>
              <w:t>g</w:t>
            </w:r>
          </w:p>
        </w:tc>
        <w:tc>
          <w:tcPr>
            <w:tcW w:w="587" w:type="dxa"/>
            <w:shd w:val="clear" w:color="auto" w:fill="auto"/>
            <w:noWrap/>
            <w:vAlign w:val="center"/>
            <w:hideMark/>
          </w:tcPr>
          <w:p w14:paraId="3D157AC9" w14:textId="77777777" w:rsidR="00B66EEA" w:rsidRPr="00613C98" w:rsidRDefault="00B66EEA" w:rsidP="006300FC">
            <w:pPr>
              <w:spacing w:line="240" w:lineRule="auto"/>
              <w:ind w:hanging="119"/>
              <w:jc w:val="center"/>
              <w:rPr>
                <w:rFonts w:eastAsia="Times New Roman" w:cs="Times New Roman"/>
                <w:b/>
                <w:bCs/>
                <w:color w:val="000000"/>
                <w:sz w:val="18"/>
                <w:szCs w:val="18"/>
              </w:rPr>
            </w:pPr>
            <w:r w:rsidRPr="00613C98">
              <w:rPr>
                <w:rFonts w:eastAsia="Times New Roman" w:cs="Times New Roman"/>
                <w:b/>
                <w:bCs/>
                <w:color w:val="000000"/>
                <w:sz w:val="18"/>
                <w:szCs w:val="18"/>
              </w:rPr>
              <w:t>SD</w:t>
            </w:r>
          </w:p>
        </w:tc>
        <w:tc>
          <w:tcPr>
            <w:tcW w:w="671" w:type="dxa"/>
            <w:shd w:val="clear" w:color="auto" w:fill="auto"/>
            <w:noWrap/>
            <w:vAlign w:val="center"/>
            <w:hideMark/>
          </w:tcPr>
          <w:p w14:paraId="7C144EE7" w14:textId="77777777" w:rsidR="00B66EEA" w:rsidRPr="00613C98" w:rsidRDefault="00B66EEA" w:rsidP="006300FC">
            <w:pPr>
              <w:spacing w:line="240" w:lineRule="auto"/>
              <w:ind w:hanging="119"/>
              <w:jc w:val="center"/>
              <w:rPr>
                <w:rFonts w:eastAsia="Times New Roman" w:cs="Times New Roman"/>
                <w:b/>
                <w:bCs/>
                <w:color w:val="000000"/>
                <w:sz w:val="18"/>
                <w:szCs w:val="18"/>
              </w:rPr>
            </w:pPr>
            <w:r w:rsidRPr="00613C98">
              <w:rPr>
                <w:rFonts w:eastAsia="Times New Roman" w:cs="Times New Roman"/>
                <w:b/>
                <w:bCs/>
                <w:color w:val="000000"/>
                <w:sz w:val="18"/>
                <w:szCs w:val="18"/>
              </w:rPr>
              <w:t>Av</w:t>
            </w:r>
            <w:r w:rsidRPr="003C7B86">
              <w:rPr>
                <w:rFonts w:eastAsia="Times New Roman" w:cs="Times New Roman"/>
                <w:b/>
                <w:bCs/>
                <w:color w:val="000000"/>
                <w:sz w:val="18"/>
                <w:szCs w:val="18"/>
              </w:rPr>
              <w:t>g</w:t>
            </w:r>
          </w:p>
        </w:tc>
        <w:tc>
          <w:tcPr>
            <w:tcW w:w="505" w:type="dxa"/>
            <w:shd w:val="clear" w:color="auto" w:fill="auto"/>
            <w:noWrap/>
            <w:vAlign w:val="center"/>
            <w:hideMark/>
          </w:tcPr>
          <w:p w14:paraId="3223E49C" w14:textId="77777777" w:rsidR="00B66EEA" w:rsidRPr="00613C98" w:rsidRDefault="00B66EEA" w:rsidP="006300FC">
            <w:pPr>
              <w:spacing w:line="240" w:lineRule="auto"/>
              <w:ind w:hanging="74"/>
              <w:jc w:val="center"/>
              <w:rPr>
                <w:rFonts w:eastAsia="Times New Roman" w:cs="Times New Roman"/>
                <w:b/>
                <w:bCs/>
                <w:color w:val="000000"/>
                <w:sz w:val="18"/>
                <w:szCs w:val="18"/>
              </w:rPr>
            </w:pPr>
            <w:r w:rsidRPr="00613C98">
              <w:rPr>
                <w:rFonts w:eastAsia="Times New Roman" w:cs="Times New Roman"/>
                <w:b/>
                <w:bCs/>
                <w:color w:val="000000"/>
                <w:sz w:val="18"/>
                <w:szCs w:val="18"/>
              </w:rPr>
              <w:t>SD</w:t>
            </w:r>
          </w:p>
        </w:tc>
      </w:tr>
      <w:tr w:rsidR="00B66EEA" w:rsidRPr="003C7B86" w14:paraId="5C335A61" w14:textId="77777777" w:rsidTr="00CC5BAB">
        <w:trPr>
          <w:trHeight w:val="312"/>
        </w:trPr>
        <w:tc>
          <w:tcPr>
            <w:tcW w:w="823" w:type="dxa"/>
            <w:vMerge w:val="restart"/>
            <w:shd w:val="clear" w:color="auto" w:fill="auto"/>
            <w:noWrap/>
            <w:vAlign w:val="center"/>
            <w:hideMark/>
          </w:tcPr>
          <w:p w14:paraId="527B7CD8" w14:textId="77777777" w:rsidR="00B66EEA" w:rsidRPr="00613C98" w:rsidRDefault="00B66EEA" w:rsidP="006300FC">
            <w:pPr>
              <w:spacing w:line="240" w:lineRule="auto"/>
              <w:ind w:hanging="30"/>
              <w:jc w:val="center"/>
              <w:rPr>
                <w:rFonts w:eastAsia="Times New Roman" w:cs="Times New Roman"/>
                <w:color w:val="000000"/>
                <w:sz w:val="18"/>
                <w:szCs w:val="18"/>
              </w:rPr>
            </w:pPr>
            <w:bookmarkStart w:id="128" w:name="_Toc6529139"/>
            <w:r w:rsidRPr="00613C98">
              <w:rPr>
                <w:rFonts w:eastAsia="Times New Roman" w:cs="Times New Roman"/>
                <w:color w:val="000000"/>
                <w:sz w:val="18"/>
                <w:szCs w:val="18"/>
              </w:rPr>
              <w:t>PG 64-22</w:t>
            </w:r>
          </w:p>
        </w:tc>
        <w:tc>
          <w:tcPr>
            <w:tcW w:w="915" w:type="dxa"/>
            <w:vMerge w:val="restart"/>
            <w:shd w:val="clear" w:color="auto" w:fill="auto"/>
            <w:noWrap/>
            <w:vAlign w:val="center"/>
            <w:hideMark/>
          </w:tcPr>
          <w:p w14:paraId="66715E3B" w14:textId="77777777" w:rsidR="00B66EEA" w:rsidRPr="00613C98" w:rsidRDefault="00B66EEA" w:rsidP="006300FC">
            <w:pPr>
              <w:spacing w:line="240" w:lineRule="auto"/>
              <w:jc w:val="center"/>
              <w:rPr>
                <w:rFonts w:eastAsia="Times New Roman" w:cs="Times New Roman"/>
                <w:color w:val="000000"/>
                <w:sz w:val="18"/>
                <w:szCs w:val="18"/>
              </w:rPr>
            </w:pPr>
            <w:r w:rsidRPr="00613C98">
              <w:rPr>
                <w:rFonts w:eastAsia="Times New Roman" w:cs="Times New Roman"/>
                <w:color w:val="000000"/>
                <w:sz w:val="18"/>
                <w:szCs w:val="18"/>
              </w:rPr>
              <w:t>RTFO-aging</w:t>
            </w:r>
          </w:p>
        </w:tc>
        <w:tc>
          <w:tcPr>
            <w:tcW w:w="1079" w:type="dxa"/>
            <w:shd w:val="clear" w:color="auto" w:fill="auto"/>
            <w:noWrap/>
            <w:vAlign w:val="center"/>
            <w:hideMark/>
          </w:tcPr>
          <w:p w14:paraId="2638EFA0"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None</w:t>
            </w:r>
          </w:p>
        </w:tc>
        <w:tc>
          <w:tcPr>
            <w:tcW w:w="736" w:type="dxa"/>
            <w:shd w:val="clear" w:color="auto" w:fill="auto"/>
            <w:noWrap/>
            <w:vAlign w:val="center"/>
            <w:hideMark/>
          </w:tcPr>
          <w:p w14:paraId="714DA011"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107.91</w:t>
            </w:r>
          </w:p>
        </w:tc>
        <w:tc>
          <w:tcPr>
            <w:tcW w:w="442" w:type="dxa"/>
            <w:shd w:val="clear" w:color="auto" w:fill="auto"/>
            <w:noWrap/>
            <w:vAlign w:val="center"/>
            <w:hideMark/>
          </w:tcPr>
          <w:p w14:paraId="4A02AF4D"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0.10</w:t>
            </w:r>
          </w:p>
        </w:tc>
        <w:tc>
          <w:tcPr>
            <w:tcW w:w="524" w:type="dxa"/>
            <w:shd w:val="clear" w:color="auto" w:fill="auto"/>
            <w:noWrap/>
            <w:vAlign w:val="center"/>
            <w:hideMark/>
          </w:tcPr>
          <w:p w14:paraId="640BF204"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94.27</w:t>
            </w:r>
          </w:p>
        </w:tc>
        <w:tc>
          <w:tcPr>
            <w:tcW w:w="508" w:type="dxa"/>
            <w:shd w:val="clear" w:color="auto" w:fill="auto"/>
            <w:noWrap/>
            <w:vAlign w:val="center"/>
            <w:hideMark/>
          </w:tcPr>
          <w:p w14:paraId="39506383"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0.11</w:t>
            </w:r>
          </w:p>
        </w:tc>
        <w:tc>
          <w:tcPr>
            <w:tcW w:w="587" w:type="dxa"/>
            <w:shd w:val="clear" w:color="auto" w:fill="auto"/>
            <w:noWrap/>
            <w:vAlign w:val="center"/>
            <w:hideMark/>
          </w:tcPr>
          <w:p w14:paraId="5C066D2F"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90.46</w:t>
            </w:r>
          </w:p>
        </w:tc>
        <w:tc>
          <w:tcPr>
            <w:tcW w:w="504" w:type="dxa"/>
            <w:shd w:val="clear" w:color="auto" w:fill="auto"/>
            <w:noWrap/>
            <w:vAlign w:val="center"/>
            <w:hideMark/>
          </w:tcPr>
          <w:p w14:paraId="7D9780AF"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0.13</w:t>
            </w:r>
          </w:p>
        </w:tc>
        <w:tc>
          <w:tcPr>
            <w:tcW w:w="671" w:type="dxa"/>
            <w:shd w:val="clear" w:color="auto" w:fill="auto"/>
            <w:noWrap/>
            <w:vAlign w:val="center"/>
            <w:hideMark/>
          </w:tcPr>
          <w:p w14:paraId="3830A6E5" w14:textId="77777777" w:rsidR="00B66EEA" w:rsidRPr="00613C98" w:rsidRDefault="00B66EEA" w:rsidP="006300FC">
            <w:pPr>
              <w:spacing w:line="240" w:lineRule="auto"/>
              <w:ind w:hanging="89"/>
              <w:jc w:val="center"/>
              <w:rPr>
                <w:rFonts w:eastAsia="Times New Roman" w:cs="Times New Roman"/>
                <w:color w:val="000000"/>
                <w:sz w:val="18"/>
                <w:szCs w:val="18"/>
              </w:rPr>
            </w:pPr>
            <w:r w:rsidRPr="00613C98">
              <w:rPr>
                <w:rFonts w:eastAsia="Times New Roman" w:cs="Times New Roman"/>
                <w:color w:val="000000"/>
                <w:sz w:val="18"/>
                <w:szCs w:val="18"/>
              </w:rPr>
              <w:t>78.73</w:t>
            </w:r>
          </w:p>
        </w:tc>
        <w:tc>
          <w:tcPr>
            <w:tcW w:w="587" w:type="dxa"/>
            <w:shd w:val="clear" w:color="auto" w:fill="auto"/>
            <w:noWrap/>
            <w:vAlign w:val="center"/>
            <w:hideMark/>
          </w:tcPr>
          <w:p w14:paraId="3D7F79A1"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0.57</w:t>
            </w:r>
          </w:p>
        </w:tc>
        <w:tc>
          <w:tcPr>
            <w:tcW w:w="671" w:type="dxa"/>
            <w:shd w:val="clear" w:color="auto" w:fill="auto"/>
            <w:noWrap/>
            <w:vAlign w:val="center"/>
            <w:hideMark/>
          </w:tcPr>
          <w:p w14:paraId="5E69F88B"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78.38</w:t>
            </w:r>
          </w:p>
        </w:tc>
        <w:tc>
          <w:tcPr>
            <w:tcW w:w="505" w:type="dxa"/>
            <w:shd w:val="clear" w:color="auto" w:fill="auto"/>
            <w:noWrap/>
            <w:vAlign w:val="center"/>
            <w:hideMark/>
          </w:tcPr>
          <w:p w14:paraId="2270CB48" w14:textId="77777777" w:rsidR="00B66EEA" w:rsidRPr="00613C98" w:rsidRDefault="00B66EEA" w:rsidP="006300FC">
            <w:pPr>
              <w:spacing w:line="240" w:lineRule="auto"/>
              <w:ind w:hanging="74"/>
              <w:jc w:val="center"/>
              <w:rPr>
                <w:rFonts w:eastAsia="Times New Roman" w:cs="Times New Roman"/>
                <w:color w:val="000000"/>
                <w:sz w:val="18"/>
                <w:szCs w:val="18"/>
              </w:rPr>
            </w:pPr>
            <w:r w:rsidRPr="00613C98">
              <w:rPr>
                <w:rFonts w:eastAsia="Times New Roman" w:cs="Times New Roman"/>
                <w:color w:val="000000"/>
                <w:sz w:val="18"/>
                <w:szCs w:val="18"/>
              </w:rPr>
              <w:t>0.62</w:t>
            </w:r>
          </w:p>
        </w:tc>
      </w:tr>
      <w:tr w:rsidR="00B66EEA" w:rsidRPr="003C7B86" w14:paraId="4F1C31F8" w14:textId="77777777" w:rsidTr="00CC5BAB">
        <w:trPr>
          <w:trHeight w:val="312"/>
        </w:trPr>
        <w:tc>
          <w:tcPr>
            <w:tcW w:w="823" w:type="dxa"/>
            <w:vMerge/>
            <w:shd w:val="clear" w:color="auto" w:fill="auto"/>
            <w:noWrap/>
            <w:vAlign w:val="center"/>
          </w:tcPr>
          <w:p w14:paraId="391F112F" w14:textId="77777777" w:rsidR="00B66EEA" w:rsidRPr="00613C98" w:rsidRDefault="00B66EEA" w:rsidP="006300FC">
            <w:pPr>
              <w:spacing w:line="240" w:lineRule="auto"/>
              <w:ind w:hanging="30"/>
              <w:jc w:val="center"/>
              <w:rPr>
                <w:rFonts w:eastAsia="Times New Roman" w:cs="Times New Roman"/>
                <w:color w:val="000000"/>
                <w:sz w:val="18"/>
                <w:szCs w:val="18"/>
              </w:rPr>
            </w:pPr>
          </w:p>
        </w:tc>
        <w:tc>
          <w:tcPr>
            <w:tcW w:w="915" w:type="dxa"/>
            <w:vMerge/>
            <w:shd w:val="clear" w:color="auto" w:fill="auto"/>
            <w:noWrap/>
            <w:vAlign w:val="center"/>
          </w:tcPr>
          <w:p w14:paraId="77E2F8A9" w14:textId="77777777" w:rsidR="00B66EEA" w:rsidRPr="00613C98" w:rsidRDefault="00B66EEA" w:rsidP="006300FC">
            <w:pPr>
              <w:spacing w:line="240" w:lineRule="auto"/>
              <w:jc w:val="center"/>
              <w:rPr>
                <w:rFonts w:eastAsia="Times New Roman" w:cs="Times New Roman"/>
                <w:color w:val="000000"/>
                <w:sz w:val="18"/>
                <w:szCs w:val="18"/>
              </w:rPr>
            </w:pPr>
          </w:p>
        </w:tc>
        <w:tc>
          <w:tcPr>
            <w:tcW w:w="1079" w:type="dxa"/>
            <w:shd w:val="clear" w:color="auto" w:fill="auto"/>
            <w:noWrap/>
            <w:vAlign w:val="center"/>
            <w:hideMark/>
          </w:tcPr>
          <w:p w14:paraId="596A5B43"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0.5% W</w:t>
            </w:r>
            <w:r>
              <w:rPr>
                <w:rFonts w:eastAsia="Times New Roman" w:cs="Times New Roman"/>
                <w:color w:val="000000"/>
                <w:sz w:val="18"/>
                <w:szCs w:val="18"/>
              </w:rPr>
              <w:t>MA</w:t>
            </w:r>
          </w:p>
        </w:tc>
        <w:tc>
          <w:tcPr>
            <w:tcW w:w="736" w:type="dxa"/>
            <w:shd w:val="clear" w:color="auto" w:fill="auto"/>
            <w:noWrap/>
            <w:vAlign w:val="center"/>
            <w:hideMark/>
          </w:tcPr>
          <w:p w14:paraId="603BFA85"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107.75</w:t>
            </w:r>
          </w:p>
        </w:tc>
        <w:tc>
          <w:tcPr>
            <w:tcW w:w="442" w:type="dxa"/>
            <w:shd w:val="clear" w:color="auto" w:fill="auto"/>
            <w:noWrap/>
            <w:vAlign w:val="center"/>
            <w:hideMark/>
          </w:tcPr>
          <w:p w14:paraId="7806B0B5"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0.16</w:t>
            </w:r>
          </w:p>
        </w:tc>
        <w:tc>
          <w:tcPr>
            <w:tcW w:w="524" w:type="dxa"/>
            <w:shd w:val="clear" w:color="auto" w:fill="auto"/>
            <w:noWrap/>
            <w:vAlign w:val="center"/>
            <w:hideMark/>
          </w:tcPr>
          <w:p w14:paraId="33B5FB47"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94.12</w:t>
            </w:r>
          </w:p>
        </w:tc>
        <w:tc>
          <w:tcPr>
            <w:tcW w:w="508" w:type="dxa"/>
            <w:shd w:val="clear" w:color="auto" w:fill="auto"/>
            <w:noWrap/>
            <w:vAlign w:val="center"/>
            <w:hideMark/>
          </w:tcPr>
          <w:p w14:paraId="67759F71"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0.36</w:t>
            </w:r>
          </w:p>
        </w:tc>
        <w:tc>
          <w:tcPr>
            <w:tcW w:w="587" w:type="dxa"/>
            <w:shd w:val="clear" w:color="auto" w:fill="auto"/>
            <w:noWrap/>
            <w:vAlign w:val="center"/>
            <w:hideMark/>
          </w:tcPr>
          <w:p w14:paraId="2672AB49"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89.83</w:t>
            </w:r>
          </w:p>
        </w:tc>
        <w:tc>
          <w:tcPr>
            <w:tcW w:w="504" w:type="dxa"/>
            <w:shd w:val="clear" w:color="auto" w:fill="auto"/>
            <w:noWrap/>
            <w:vAlign w:val="center"/>
            <w:hideMark/>
          </w:tcPr>
          <w:p w14:paraId="1821E551"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0.38</w:t>
            </w:r>
          </w:p>
        </w:tc>
        <w:tc>
          <w:tcPr>
            <w:tcW w:w="671" w:type="dxa"/>
            <w:shd w:val="clear" w:color="auto" w:fill="auto"/>
            <w:noWrap/>
            <w:vAlign w:val="center"/>
            <w:hideMark/>
          </w:tcPr>
          <w:p w14:paraId="67670713" w14:textId="77777777" w:rsidR="00B66EEA" w:rsidRPr="00613C98" w:rsidRDefault="00B66EEA" w:rsidP="006300FC">
            <w:pPr>
              <w:spacing w:line="240" w:lineRule="auto"/>
              <w:ind w:hanging="89"/>
              <w:jc w:val="center"/>
              <w:rPr>
                <w:rFonts w:eastAsia="Times New Roman" w:cs="Times New Roman"/>
                <w:color w:val="000000"/>
                <w:sz w:val="18"/>
                <w:szCs w:val="18"/>
              </w:rPr>
            </w:pPr>
            <w:r w:rsidRPr="00613C98">
              <w:rPr>
                <w:rFonts w:eastAsia="Times New Roman" w:cs="Times New Roman"/>
                <w:color w:val="000000"/>
                <w:sz w:val="18"/>
                <w:szCs w:val="18"/>
              </w:rPr>
              <w:t>80.32</w:t>
            </w:r>
          </w:p>
        </w:tc>
        <w:tc>
          <w:tcPr>
            <w:tcW w:w="587" w:type="dxa"/>
            <w:shd w:val="clear" w:color="auto" w:fill="auto"/>
            <w:noWrap/>
            <w:vAlign w:val="center"/>
            <w:hideMark/>
          </w:tcPr>
          <w:p w14:paraId="76875C02"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1.39</w:t>
            </w:r>
          </w:p>
        </w:tc>
        <w:tc>
          <w:tcPr>
            <w:tcW w:w="671" w:type="dxa"/>
            <w:shd w:val="clear" w:color="auto" w:fill="auto"/>
            <w:noWrap/>
            <w:vAlign w:val="center"/>
            <w:hideMark/>
          </w:tcPr>
          <w:p w14:paraId="41E1BF73"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78.85</w:t>
            </w:r>
          </w:p>
        </w:tc>
        <w:tc>
          <w:tcPr>
            <w:tcW w:w="505" w:type="dxa"/>
            <w:shd w:val="clear" w:color="auto" w:fill="auto"/>
            <w:noWrap/>
            <w:vAlign w:val="center"/>
            <w:hideMark/>
          </w:tcPr>
          <w:p w14:paraId="0C7A6909" w14:textId="77777777" w:rsidR="00B66EEA" w:rsidRPr="00613C98" w:rsidRDefault="00B66EEA" w:rsidP="006300FC">
            <w:pPr>
              <w:spacing w:line="240" w:lineRule="auto"/>
              <w:ind w:hanging="74"/>
              <w:jc w:val="center"/>
              <w:rPr>
                <w:rFonts w:eastAsia="Times New Roman" w:cs="Times New Roman"/>
                <w:color w:val="000000"/>
                <w:sz w:val="18"/>
                <w:szCs w:val="18"/>
              </w:rPr>
            </w:pPr>
            <w:r w:rsidRPr="00613C98">
              <w:rPr>
                <w:rFonts w:eastAsia="Times New Roman" w:cs="Times New Roman"/>
                <w:color w:val="000000"/>
                <w:sz w:val="18"/>
                <w:szCs w:val="18"/>
              </w:rPr>
              <w:t>0.08</w:t>
            </w:r>
          </w:p>
        </w:tc>
      </w:tr>
      <w:tr w:rsidR="00B66EEA" w:rsidRPr="003C7B86" w14:paraId="10BD97D6" w14:textId="77777777" w:rsidTr="00CC5BAB">
        <w:trPr>
          <w:trHeight w:val="312"/>
        </w:trPr>
        <w:tc>
          <w:tcPr>
            <w:tcW w:w="823" w:type="dxa"/>
            <w:vMerge/>
            <w:shd w:val="clear" w:color="auto" w:fill="auto"/>
            <w:noWrap/>
            <w:vAlign w:val="center"/>
          </w:tcPr>
          <w:p w14:paraId="07B5DDAD" w14:textId="77777777" w:rsidR="00B66EEA" w:rsidRPr="00613C98" w:rsidRDefault="00B66EEA" w:rsidP="006300FC">
            <w:pPr>
              <w:spacing w:line="240" w:lineRule="auto"/>
              <w:ind w:hanging="30"/>
              <w:jc w:val="center"/>
              <w:rPr>
                <w:rFonts w:eastAsia="Times New Roman" w:cs="Times New Roman"/>
                <w:color w:val="000000"/>
                <w:sz w:val="18"/>
                <w:szCs w:val="18"/>
              </w:rPr>
            </w:pPr>
          </w:p>
        </w:tc>
        <w:tc>
          <w:tcPr>
            <w:tcW w:w="915" w:type="dxa"/>
            <w:vMerge/>
            <w:shd w:val="clear" w:color="auto" w:fill="auto"/>
            <w:noWrap/>
            <w:vAlign w:val="center"/>
          </w:tcPr>
          <w:p w14:paraId="6705DC82" w14:textId="77777777" w:rsidR="00B66EEA" w:rsidRPr="00613C98" w:rsidRDefault="00B66EEA" w:rsidP="006300FC">
            <w:pPr>
              <w:spacing w:line="240" w:lineRule="auto"/>
              <w:jc w:val="center"/>
              <w:rPr>
                <w:rFonts w:eastAsia="Times New Roman" w:cs="Times New Roman"/>
                <w:color w:val="000000"/>
                <w:sz w:val="18"/>
                <w:szCs w:val="18"/>
              </w:rPr>
            </w:pPr>
          </w:p>
        </w:tc>
        <w:tc>
          <w:tcPr>
            <w:tcW w:w="1079" w:type="dxa"/>
            <w:shd w:val="clear" w:color="auto" w:fill="auto"/>
            <w:noWrap/>
            <w:vAlign w:val="center"/>
            <w:hideMark/>
          </w:tcPr>
          <w:p w14:paraId="66E95CF0"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0.5% A</w:t>
            </w:r>
            <w:r>
              <w:rPr>
                <w:rFonts w:eastAsia="Times New Roman" w:cs="Times New Roman"/>
                <w:color w:val="000000"/>
                <w:sz w:val="18"/>
                <w:szCs w:val="18"/>
              </w:rPr>
              <w:t>SA</w:t>
            </w:r>
          </w:p>
        </w:tc>
        <w:tc>
          <w:tcPr>
            <w:tcW w:w="736" w:type="dxa"/>
            <w:shd w:val="clear" w:color="auto" w:fill="auto"/>
            <w:noWrap/>
            <w:vAlign w:val="center"/>
            <w:hideMark/>
          </w:tcPr>
          <w:p w14:paraId="219F4ABE"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106.98</w:t>
            </w:r>
          </w:p>
        </w:tc>
        <w:tc>
          <w:tcPr>
            <w:tcW w:w="442" w:type="dxa"/>
            <w:shd w:val="clear" w:color="auto" w:fill="auto"/>
            <w:noWrap/>
            <w:vAlign w:val="center"/>
            <w:hideMark/>
          </w:tcPr>
          <w:p w14:paraId="77030F8C"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0.09</w:t>
            </w:r>
          </w:p>
        </w:tc>
        <w:tc>
          <w:tcPr>
            <w:tcW w:w="524" w:type="dxa"/>
            <w:shd w:val="clear" w:color="auto" w:fill="auto"/>
            <w:noWrap/>
            <w:vAlign w:val="center"/>
            <w:hideMark/>
          </w:tcPr>
          <w:p w14:paraId="4B78545C"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93.95</w:t>
            </w:r>
          </w:p>
        </w:tc>
        <w:tc>
          <w:tcPr>
            <w:tcW w:w="508" w:type="dxa"/>
            <w:shd w:val="clear" w:color="auto" w:fill="auto"/>
            <w:noWrap/>
            <w:vAlign w:val="center"/>
            <w:hideMark/>
          </w:tcPr>
          <w:p w14:paraId="624939D7"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0.14</w:t>
            </w:r>
          </w:p>
        </w:tc>
        <w:tc>
          <w:tcPr>
            <w:tcW w:w="587" w:type="dxa"/>
            <w:shd w:val="clear" w:color="auto" w:fill="auto"/>
            <w:noWrap/>
            <w:vAlign w:val="center"/>
            <w:hideMark/>
          </w:tcPr>
          <w:p w14:paraId="2E3CE6F1"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89.74</w:t>
            </w:r>
          </w:p>
        </w:tc>
        <w:tc>
          <w:tcPr>
            <w:tcW w:w="504" w:type="dxa"/>
            <w:shd w:val="clear" w:color="auto" w:fill="auto"/>
            <w:noWrap/>
            <w:vAlign w:val="center"/>
            <w:hideMark/>
          </w:tcPr>
          <w:p w14:paraId="71746C5C"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0.32</w:t>
            </w:r>
          </w:p>
        </w:tc>
        <w:tc>
          <w:tcPr>
            <w:tcW w:w="671" w:type="dxa"/>
            <w:shd w:val="clear" w:color="auto" w:fill="auto"/>
            <w:noWrap/>
            <w:vAlign w:val="center"/>
            <w:hideMark/>
          </w:tcPr>
          <w:p w14:paraId="1A6E0A33" w14:textId="77777777" w:rsidR="00B66EEA" w:rsidRPr="00613C98" w:rsidRDefault="00B66EEA" w:rsidP="006300FC">
            <w:pPr>
              <w:spacing w:line="240" w:lineRule="auto"/>
              <w:ind w:hanging="89"/>
              <w:jc w:val="center"/>
              <w:rPr>
                <w:rFonts w:eastAsia="Times New Roman" w:cs="Times New Roman"/>
                <w:color w:val="000000"/>
                <w:sz w:val="18"/>
                <w:szCs w:val="18"/>
              </w:rPr>
            </w:pPr>
            <w:r w:rsidRPr="00613C98">
              <w:rPr>
                <w:rFonts w:eastAsia="Times New Roman" w:cs="Times New Roman"/>
                <w:color w:val="000000"/>
                <w:sz w:val="18"/>
                <w:szCs w:val="18"/>
              </w:rPr>
              <w:t>79.97</w:t>
            </w:r>
          </w:p>
        </w:tc>
        <w:tc>
          <w:tcPr>
            <w:tcW w:w="587" w:type="dxa"/>
            <w:shd w:val="clear" w:color="auto" w:fill="auto"/>
            <w:noWrap/>
            <w:vAlign w:val="center"/>
            <w:hideMark/>
          </w:tcPr>
          <w:p w14:paraId="0A89F4E9"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0.99</w:t>
            </w:r>
          </w:p>
        </w:tc>
        <w:tc>
          <w:tcPr>
            <w:tcW w:w="671" w:type="dxa"/>
            <w:shd w:val="clear" w:color="auto" w:fill="auto"/>
            <w:noWrap/>
            <w:vAlign w:val="center"/>
            <w:hideMark/>
          </w:tcPr>
          <w:p w14:paraId="698552D4"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78.17</w:t>
            </w:r>
          </w:p>
        </w:tc>
        <w:tc>
          <w:tcPr>
            <w:tcW w:w="505" w:type="dxa"/>
            <w:shd w:val="clear" w:color="auto" w:fill="auto"/>
            <w:noWrap/>
            <w:vAlign w:val="center"/>
            <w:hideMark/>
          </w:tcPr>
          <w:p w14:paraId="3AC77418" w14:textId="77777777" w:rsidR="00B66EEA" w:rsidRPr="00613C98" w:rsidRDefault="00B66EEA" w:rsidP="006300FC">
            <w:pPr>
              <w:spacing w:line="240" w:lineRule="auto"/>
              <w:ind w:hanging="74"/>
              <w:jc w:val="center"/>
              <w:rPr>
                <w:rFonts w:eastAsia="Times New Roman" w:cs="Times New Roman"/>
                <w:color w:val="000000"/>
                <w:sz w:val="18"/>
                <w:szCs w:val="18"/>
              </w:rPr>
            </w:pPr>
            <w:r w:rsidRPr="00613C98">
              <w:rPr>
                <w:rFonts w:eastAsia="Times New Roman" w:cs="Times New Roman"/>
                <w:color w:val="000000"/>
                <w:sz w:val="18"/>
                <w:szCs w:val="18"/>
              </w:rPr>
              <w:t>0.58</w:t>
            </w:r>
          </w:p>
        </w:tc>
      </w:tr>
      <w:tr w:rsidR="00B66EEA" w:rsidRPr="003C7B86" w14:paraId="0CFC2D53" w14:textId="77777777" w:rsidTr="00CC5BAB">
        <w:trPr>
          <w:trHeight w:val="312"/>
        </w:trPr>
        <w:tc>
          <w:tcPr>
            <w:tcW w:w="823" w:type="dxa"/>
            <w:vMerge/>
            <w:shd w:val="clear" w:color="auto" w:fill="auto"/>
            <w:noWrap/>
            <w:vAlign w:val="center"/>
          </w:tcPr>
          <w:p w14:paraId="54769B6C" w14:textId="77777777" w:rsidR="00B66EEA" w:rsidRPr="00613C98" w:rsidRDefault="00B66EEA" w:rsidP="006300FC">
            <w:pPr>
              <w:spacing w:line="240" w:lineRule="auto"/>
              <w:ind w:hanging="30"/>
              <w:jc w:val="center"/>
              <w:rPr>
                <w:rFonts w:eastAsia="Times New Roman" w:cs="Times New Roman"/>
                <w:color w:val="000000"/>
                <w:sz w:val="18"/>
                <w:szCs w:val="18"/>
              </w:rPr>
            </w:pPr>
          </w:p>
        </w:tc>
        <w:tc>
          <w:tcPr>
            <w:tcW w:w="915" w:type="dxa"/>
            <w:vMerge/>
            <w:shd w:val="clear" w:color="auto" w:fill="auto"/>
            <w:noWrap/>
            <w:vAlign w:val="center"/>
          </w:tcPr>
          <w:p w14:paraId="65355E4A" w14:textId="77777777" w:rsidR="00B66EEA" w:rsidRPr="00613C98" w:rsidRDefault="00B66EEA" w:rsidP="006300FC">
            <w:pPr>
              <w:spacing w:line="240" w:lineRule="auto"/>
              <w:jc w:val="center"/>
              <w:rPr>
                <w:rFonts w:eastAsia="Times New Roman" w:cs="Times New Roman"/>
                <w:color w:val="000000"/>
                <w:sz w:val="18"/>
                <w:szCs w:val="18"/>
              </w:rPr>
            </w:pPr>
          </w:p>
        </w:tc>
        <w:tc>
          <w:tcPr>
            <w:tcW w:w="1079" w:type="dxa"/>
            <w:shd w:val="clear" w:color="auto" w:fill="auto"/>
            <w:noWrap/>
            <w:vAlign w:val="center"/>
            <w:hideMark/>
          </w:tcPr>
          <w:p w14:paraId="4B6F37D7"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20% R</w:t>
            </w:r>
            <w:r>
              <w:rPr>
                <w:rFonts w:eastAsia="Times New Roman" w:cs="Times New Roman"/>
                <w:color w:val="000000"/>
                <w:sz w:val="18"/>
                <w:szCs w:val="18"/>
              </w:rPr>
              <w:t>AP</w:t>
            </w:r>
          </w:p>
        </w:tc>
        <w:tc>
          <w:tcPr>
            <w:tcW w:w="736" w:type="dxa"/>
            <w:shd w:val="clear" w:color="auto" w:fill="auto"/>
            <w:noWrap/>
            <w:vAlign w:val="center"/>
            <w:hideMark/>
          </w:tcPr>
          <w:p w14:paraId="04BE0FB9"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107.08</w:t>
            </w:r>
          </w:p>
        </w:tc>
        <w:tc>
          <w:tcPr>
            <w:tcW w:w="442" w:type="dxa"/>
            <w:shd w:val="clear" w:color="auto" w:fill="auto"/>
            <w:noWrap/>
            <w:vAlign w:val="center"/>
            <w:hideMark/>
          </w:tcPr>
          <w:p w14:paraId="0A6DCCCE"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0.26</w:t>
            </w:r>
          </w:p>
        </w:tc>
        <w:tc>
          <w:tcPr>
            <w:tcW w:w="524" w:type="dxa"/>
            <w:shd w:val="clear" w:color="auto" w:fill="auto"/>
            <w:noWrap/>
            <w:vAlign w:val="center"/>
            <w:hideMark/>
          </w:tcPr>
          <w:p w14:paraId="3156AED6"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93.13</w:t>
            </w:r>
          </w:p>
        </w:tc>
        <w:tc>
          <w:tcPr>
            <w:tcW w:w="508" w:type="dxa"/>
            <w:shd w:val="clear" w:color="auto" w:fill="auto"/>
            <w:noWrap/>
            <w:vAlign w:val="center"/>
            <w:hideMark/>
          </w:tcPr>
          <w:p w14:paraId="657E23D4"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0.18</w:t>
            </w:r>
          </w:p>
        </w:tc>
        <w:tc>
          <w:tcPr>
            <w:tcW w:w="587" w:type="dxa"/>
            <w:shd w:val="clear" w:color="auto" w:fill="auto"/>
            <w:noWrap/>
            <w:vAlign w:val="center"/>
            <w:hideMark/>
          </w:tcPr>
          <w:p w14:paraId="33315EEC"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89.18</w:t>
            </w:r>
          </w:p>
        </w:tc>
        <w:tc>
          <w:tcPr>
            <w:tcW w:w="504" w:type="dxa"/>
            <w:shd w:val="clear" w:color="auto" w:fill="auto"/>
            <w:noWrap/>
            <w:vAlign w:val="center"/>
            <w:hideMark/>
          </w:tcPr>
          <w:p w14:paraId="08135496"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0.21</w:t>
            </w:r>
          </w:p>
        </w:tc>
        <w:tc>
          <w:tcPr>
            <w:tcW w:w="671" w:type="dxa"/>
            <w:shd w:val="clear" w:color="auto" w:fill="auto"/>
            <w:noWrap/>
            <w:vAlign w:val="center"/>
            <w:hideMark/>
          </w:tcPr>
          <w:p w14:paraId="68A0B197" w14:textId="77777777" w:rsidR="00B66EEA" w:rsidRPr="00613C98" w:rsidRDefault="00B66EEA" w:rsidP="006300FC">
            <w:pPr>
              <w:spacing w:line="240" w:lineRule="auto"/>
              <w:ind w:hanging="89"/>
              <w:jc w:val="center"/>
              <w:rPr>
                <w:rFonts w:eastAsia="Times New Roman" w:cs="Times New Roman"/>
                <w:color w:val="000000"/>
                <w:sz w:val="18"/>
                <w:szCs w:val="18"/>
              </w:rPr>
            </w:pPr>
            <w:r w:rsidRPr="00613C98">
              <w:rPr>
                <w:rFonts w:eastAsia="Times New Roman" w:cs="Times New Roman"/>
                <w:color w:val="000000"/>
                <w:sz w:val="18"/>
                <w:szCs w:val="18"/>
              </w:rPr>
              <w:t>81.36</w:t>
            </w:r>
          </w:p>
        </w:tc>
        <w:tc>
          <w:tcPr>
            <w:tcW w:w="587" w:type="dxa"/>
            <w:shd w:val="clear" w:color="auto" w:fill="auto"/>
            <w:noWrap/>
            <w:vAlign w:val="center"/>
            <w:hideMark/>
          </w:tcPr>
          <w:p w14:paraId="77C9E969"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0.70</w:t>
            </w:r>
          </w:p>
        </w:tc>
        <w:tc>
          <w:tcPr>
            <w:tcW w:w="671" w:type="dxa"/>
            <w:shd w:val="clear" w:color="auto" w:fill="auto"/>
            <w:noWrap/>
            <w:vAlign w:val="center"/>
            <w:hideMark/>
          </w:tcPr>
          <w:p w14:paraId="180C4F24"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78.47</w:t>
            </w:r>
          </w:p>
        </w:tc>
        <w:tc>
          <w:tcPr>
            <w:tcW w:w="505" w:type="dxa"/>
            <w:shd w:val="clear" w:color="auto" w:fill="auto"/>
            <w:noWrap/>
            <w:vAlign w:val="center"/>
            <w:hideMark/>
          </w:tcPr>
          <w:p w14:paraId="2B44E46F" w14:textId="77777777" w:rsidR="00B66EEA" w:rsidRPr="00613C98" w:rsidRDefault="00B66EEA" w:rsidP="006300FC">
            <w:pPr>
              <w:spacing w:line="240" w:lineRule="auto"/>
              <w:ind w:hanging="74"/>
              <w:jc w:val="center"/>
              <w:rPr>
                <w:rFonts w:eastAsia="Times New Roman" w:cs="Times New Roman"/>
                <w:color w:val="000000"/>
                <w:sz w:val="18"/>
                <w:szCs w:val="18"/>
              </w:rPr>
            </w:pPr>
            <w:r w:rsidRPr="00613C98">
              <w:rPr>
                <w:rFonts w:eastAsia="Times New Roman" w:cs="Times New Roman"/>
                <w:color w:val="000000"/>
                <w:sz w:val="18"/>
                <w:szCs w:val="18"/>
              </w:rPr>
              <w:t>0.24</w:t>
            </w:r>
          </w:p>
        </w:tc>
      </w:tr>
      <w:tr w:rsidR="00B66EEA" w:rsidRPr="003C7B86" w14:paraId="19B5F618" w14:textId="77777777" w:rsidTr="00CC5BAB">
        <w:trPr>
          <w:trHeight w:val="312"/>
        </w:trPr>
        <w:tc>
          <w:tcPr>
            <w:tcW w:w="823" w:type="dxa"/>
            <w:vMerge/>
            <w:shd w:val="clear" w:color="auto" w:fill="auto"/>
            <w:noWrap/>
            <w:vAlign w:val="center"/>
          </w:tcPr>
          <w:p w14:paraId="41638911" w14:textId="77777777" w:rsidR="00B66EEA" w:rsidRPr="00613C98" w:rsidRDefault="00B66EEA" w:rsidP="006300FC">
            <w:pPr>
              <w:spacing w:line="240" w:lineRule="auto"/>
              <w:ind w:hanging="30"/>
              <w:jc w:val="center"/>
              <w:rPr>
                <w:rFonts w:eastAsia="Times New Roman" w:cs="Times New Roman"/>
                <w:color w:val="000000"/>
                <w:sz w:val="18"/>
                <w:szCs w:val="18"/>
              </w:rPr>
            </w:pPr>
          </w:p>
        </w:tc>
        <w:tc>
          <w:tcPr>
            <w:tcW w:w="915" w:type="dxa"/>
            <w:vMerge/>
            <w:shd w:val="clear" w:color="auto" w:fill="auto"/>
            <w:noWrap/>
            <w:vAlign w:val="center"/>
          </w:tcPr>
          <w:p w14:paraId="228E28B2" w14:textId="77777777" w:rsidR="00B66EEA" w:rsidRPr="00613C98" w:rsidRDefault="00B66EEA" w:rsidP="006300FC">
            <w:pPr>
              <w:spacing w:line="240" w:lineRule="auto"/>
              <w:jc w:val="center"/>
              <w:rPr>
                <w:rFonts w:eastAsia="Times New Roman" w:cs="Times New Roman"/>
                <w:color w:val="000000"/>
                <w:sz w:val="18"/>
                <w:szCs w:val="18"/>
              </w:rPr>
            </w:pPr>
          </w:p>
        </w:tc>
        <w:tc>
          <w:tcPr>
            <w:tcW w:w="1079" w:type="dxa"/>
            <w:shd w:val="clear" w:color="auto" w:fill="auto"/>
            <w:noWrap/>
            <w:vAlign w:val="center"/>
            <w:hideMark/>
          </w:tcPr>
          <w:p w14:paraId="42BBEE22"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1.5% P</w:t>
            </w:r>
            <w:r>
              <w:rPr>
                <w:rFonts w:eastAsia="Times New Roman" w:cs="Times New Roman"/>
                <w:color w:val="000000"/>
                <w:sz w:val="18"/>
                <w:szCs w:val="18"/>
              </w:rPr>
              <w:t>PA</w:t>
            </w:r>
          </w:p>
        </w:tc>
        <w:tc>
          <w:tcPr>
            <w:tcW w:w="736" w:type="dxa"/>
            <w:shd w:val="clear" w:color="auto" w:fill="auto"/>
            <w:noWrap/>
            <w:vAlign w:val="center"/>
            <w:hideMark/>
          </w:tcPr>
          <w:p w14:paraId="3EAB7468"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100.98</w:t>
            </w:r>
          </w:p>
        </w:tc>
        <w:tc>
          <w:tcPr>
            <w:tcW w:w="442" w:type="dxa"/>
            <w:shd w:val="clear" w:color="auto" w:fill="auto"/>
            <w:noWrap/>
            <w:vAlign w:val="center"/>
            <w:hideMark/>
          </w:tcPr>
          <w:p w14:paraId="529D7C64"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1.89</w:t>
            </w:r>
          </w:p>
        </w:tc>
        <w:tc>
          <w:tcPr>
            <w:tcW w:w="524" w:type="dxa"/>
            <w:shd w:val="clear" w:color="auto" w:fill="auto"/>
            <w:noWrap/>
            <w:vAlign w:val="center"/>
            <w:hideMark/>
          </w:tcPr>
          <w:p w14:paraId="7EB9F485"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91.95</w:t>
            </w:r>
          </w:p>
        </w:tc>
        <w:tc>
          <w:tcPr>
            <w:tcW w:w="508" w:type="dxa"/>
            <w:shd w:val="clear" w:color="auto" w:fill="auto"/>
            <w:noWrap/>
            <w:vAlign w:val="center"/>
            <w:hideMark/>
          </w:tcPr>
          <w:p w14:paraId="3EE69D9C"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0.62</w:t>
            </w:r>
          </w:p>
        </w:tc>
        <w:tc>
          <w:tcPr>
            <w:tcW w:w="587" w:type="dxa"/>
            <w:shd w:val="clear" w:color="auto" w:fill="auto"/>
            <w:noWrap/>
            <w:vAlign w:val="center"/>
          </w:tcPr>
          <w:p w14:paraId="303936ED" w14:textId="77777777" w:rsidR="00B66EEA" w:rsidRPr="00613C98" w:rsidRDefault="00B66EEA" w:rsidP="006300FC">
            <w:pPr>
              <w:spacing w:line="240" w:lineRule="auto"/>
              <w:ind w:hanging="119"/>
              <w:jc w:val="center"/>
              <w:rPr>
                <w:rFonts w:eastAsia="Times New Roman" w:cs="Times New Roman"/>
                <w:color w:val="000000"/>
                <w:sz w:val="18"/>
                <w:szCs w:val="18"/>
              </w:rPr>
            </w:pPr>
            <w:r w:rsidRPr="003C7B86">
              <w:rPr>
                <w:rFonts w:eastAsia="Times New Roman" w:cs="Times New Roman"/>
                <w:color w:val="000000"/>
                <w:sz w:val="18"/>
                <w:szCs w:val="18"/>
              </w:rPr>
              <w:t>-</w:t>
            </w:r>
          </w:p>
        </w:tc>
        <w:tc>
          <w:tcPr>
            <w:tcW w:w="504" w:type="dxa"/>
            <w:shd w:val="clear" w:color="auto" w:fill="auto"/>
            <w:noWrap/>
            <w:vAlign w:val="center"/>
          </w:tcPr>
          <w:p w14:paraId="1DFCDFFE" w14:textId="77777777" w:rsidR="00B66EEA" w:rsidRPr="00613C98" w:rsidRDefault="00B66EEA" w:rsidP="006300FC">
            <w:pPr>
              <w:spacing w:line="240" w:lineRule="auto"/>
              <w:ind w:hanging="59"/>
              <w:jc w:val="center"/>
              <w:rPr>
                <w:rFonts w:eastAsia="Times New Roman" w:cs="Times New Roman"/>
                <w:color w:val="000000"/>
                <w:sz w:val="18"/>
                <w:szCs w:val="18"/>
              </w:rPr>
            </w:pPr>
            <w:r w:rsidRPr="003C7B86">
              <w:rPr>
                <w:rFonts w:eastAsia="Times New Roman" w:cs="Times New Roman"/>
                <w:color w:val="000000"/>
                <w:sz w:val="18"/>
                <w:szCs w:val="18"/>
              </w:rPr>
              <w:t>-</w:t>
            </w:r>
          </w:p>
        </w:tc>
        <w:tc>
          <w:tcPr>
            <w:tcW w:w="671" w:type="dxa"/>
            <w:shd w:val="clear" w:color="auto" w:fill="auto"/>
            <w:noWrap/>
            <w:vAlign w:val="center"/>
            <w:hideMark/>
          </w:tcPr>
          <w:p w14:paraId="0929C81A" w14:textId="77777777" w:rsidR="00B66EEA" w:rsidRPr="00613C98" w:rsidRDefault="00B66EEA" w:rsidP="006300FC">
            <w:pPr>
              <w:spacing w:line="240" w:lineRule="auto"/>
              <w:ind w:hanging="89"/>
              <w:jc w:val="center"/>
              <w:rPr>
                <w:rFonts w:eastAsia="Times New Roman" w:cs="Times New Roman"/>
                <w:color w:val="000000"/>
                <w:sz w:val="18"/>
                <w:szCs w:val="18"/>
              </w:rPr>
            </w:pPr>
            <w:r w:rsidRPr="003C7B86">
              <w:rPr>
                <w:rFonts w:eastAsia="Times New Roman" w:cs="Times New Roman"/>
                <w:color w:val="000000"/>
                <w:sz w:val="18"/>
                <w:szCs w:val="18"/>
              </w:rPr>
              <w:t>-</w:t>
            </w:r>
          </w:p>
        </w:tc>
        <w:tc>
          <w:tcPr>
            <w:tcW w:w="587" w:type="dxa"/>
            <w:shd w:val="clear" w:color="auto" w:fill="auto"/>
            <w:noWrap/>
            <w:vAlign w:val="center"/>
            <w:hideMark/>
          </w:tcPr>
          <w:p w14:paraId="22EE4319" w14:textId="77777777" w:rsidR="00B66EEA" w:rsidRPr="00613C98" w:rsidRDefault="00B66EEA" w:rsidP="006300FC">
            <w:pPr>
              <w:spacing w:line="240" w:lineRule="auto"/>
              <w:ind w:hanging="119"/>
              <w:jc w:val="center"/>
              <w:rPr>
                <w:rFonts w:eastAsia="Times New Roman" w:cs="Times New Roman"/>
                <w:color w:val="000000"/>
                <w:sz w:val="18"/>
                <w:szCs w:val="18"/>
              </w:rPr>
            </w:pPr>
            <w:r w:rsidRPr="003C7B86">
              <w:rPr>
                <w:rFonts w:eastAsia="Times New Roman" w:cs="Times New Roman"/>
                <w:color w:val="000000"/>
                <w:sz w:val="18"/>
                <w:szCs w:val="18"/>
              </w:rPr>
              <w:t>-</w:t>
            </w:r>
          </w:p>
        </w:tc>
        <w:tc>
          <w:tcPr>
            <w:tcW w:w="671" w:type="dxa"/>
            <w:shd w:val="clear" w:color="auto" w:fill="auto"/>
            <w:noWrap/>
            <w:vAlign w:val="center"/>
            <w:hideMark/>
          </w:tcPr>
          <w:p w14:paraId="2990CBA8"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77.93</w:t>
            </w:r>
          </w:p>
        </w:tc>
        <w:tc>
          <w:tcPr>
            <w:tcW w:w="505" w:type="dxa"/>
            <w:shd w:val="clear" w:color="auto" w:fill="auto"/>
            <w:noWrap/>
            <w:vAlign w:val="center"/>
            <w:hideMark/>
          </w:tcPr>
          <w:p w14:paraId="32E1C100" w14:textId="77777777" w:rsidR="00B66EEA" w:rsidRPr="00613C98" w:rsidRDefault="00B66EEA" w:rsidP="006300FC">
            <w:pPr>
              <w:spacing w:line="240" w:lineRule="auto"/>
              <w:ind w:hanging="74"/>
              <w:jc w:val="center"/>
              <w:rPr>
                <w:rFonts w:eastAsia="Times New Roman" w:cs="Times New Roman"/>
                <w:color w:val="000000"/>
                <w:sz w:val="18"/>
                <w:szCs w:val="18"/>
              </w:rPr>
            </w:pPr>
            <w:r w:rsidRPr="00613C98">
              <w:rPr>
                <w:rFonts w:eastAsia="Times New Roman" w:cs="Times New Roman"/>
                <w:color w:val="000000"/>
                <w:sz w:val="18"/>
                <w:szCs w:val="18"/>
              </w:rPr>
              <w:t>0.31</w:t>
            </w:r>
          </w:p>
        </w:tc>
      </w:tr>
      <w:tr w:rsidR="00B66EEA" w:rsidRPr="003C7B86" w14:paraId="2C48EAFD" w14:textId="77777777" w:rsidTr="00CC5BAB">
        <w:trPr>
          <w:trHeight w:val="312"/>
        </w:trPr>
        <w:tc>
          <w:tcPr>
            <w:tcW w:w="823" w:type="dxa"/>
            <w:vMerge/>
            <w:shd w:val="clear" w:color="auto" w:fill="auto"/>
            <w:noWrap/>
            <w:vAlign w:val="center"/>
          </w:tcPr>
          <w:p w14:paraId="74AEA911" w14:textId="77777777" w:rsidR="00B66EEA" w:rsidRPr="00613C98" w:rsidRDefault="00B66EEA" w:rsidP="006300FC">
            <w:pPr>
              <w:spacing w:line="240" w:lineRule="auto"/>
              <w:ind w:hanging="30"/>
              <w:jc w:val="center"/>
              <w:rPr>
                <w:rFonts w:eastAsia="Times New Roman" w:cs="Times New Roman"/>
                <w:color w:val="000000"/>
                <w:sz w:val="18"/>
                <w:szCs w:val="18"/>
              </w:rPr>
            </w:pPr>
          </w:p>
        </w:tc>
        <w:tc>
          <w:tcPr>
            <w:tcW w:w="915" w:type="dxa"/>
            <w:vMerge w:val="restart"/>
            <w:shd w:val="clear" w:color="auto" w:fill="auto"/>
            <w:noWrap/>
            <w:vAlign w:val="center"/>
            <w:hideMark/>
          </w:tcPr>
          <w:p w14:paraId="6B98F3C6" w14:textId="77777777" w:rsidR="00B66EEA" w:rsidRPr="00613C98" w:rsidRDefault="00B66EEA" w:rsidP="006300FC">
            <w:pPr>
              <w:spacing w:line="240" w:lineRule="auto"/>
              <w:jc w:val="center"/>
              <w:rPr>
                <w:rFonts w:eastAsia="Times New Roman" w:cs="Times New Roman"/>
                <w:color w:val="000000"/>
                <w:sz w:val="18"/>
                <w:szCs w:val="18"/>
              </w:rPr>
            </w:pPr>
            <w:r w:rsidRPr="00613C98">
              <w:rPr>
                <w:rFonts w:eastAsia="Times New Roman" w:cs="Times New Roman"/>
                <w:color w:val="000000"/>
                <w:sz w:val="18"/>
                <w:szCs w:val="18"/>
              </w:rPr>
              <w:t>PAV-aging</w:t>
            </w:r>
          </w:p>
        </w:tc>
        <w:tc>
          <w:tcPr>
            <w:tcW w:w="1079" w:type="dxa"/>
            <w:shd w:val="clear" w:color="auto" w:fill="auto"/>
            <w:noWrap/>
            <w:vAlign w:val="center"/>
            <w:hideMark/>
          </w:tcPr>
          <w:p w14:paraId="65CCE3D8"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None</w:t>
            </w:r>
          </w:p>
        </w:tc>
        <w:tc>
          <w:tcPr>
            <w:tcW w:w="736" w:type="dxa"/>
            <w:shd w:val="clear" w:color="auto" w:fill="auto"/>
            <w:noWrap/>
            <w:vAlign w:val="center"/>
            <w:hideMark/>
          </w:tcPr>
          <w:p w14:paraId="004DCB7C"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107.13</w:t>
            </w:r>
          </w:p>
        </w:tc>
        <w:tc>
          <w:tcPr>
            <w:tcW w:w="442" w:type="dxa"/>
            <w:shd w:val="clear" w:color="auto" w:fill="auto"/>
            <w:noWrap/>
            <w:vAlign w:val="center"/>
            <w:hideMark/>
          </w:tcPr>
          <w:p w14:paraId="43840ABF"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0.59</w:t>
            </w:r>
          </w:p>
        </w:tc>
        <w:tc>
          <w:tcPr>
            <w:tcW w:w="524" w:type="dxa"/>
            <w:shd w:val="clear" w:color="auto" w:fill="auto"/>
            <w:noWrap/>
            <w:vAlign w:val="center"/>
            <w:hideMark/>
          </w:tcPr>
          <w:p w14:paraId="3B9D0BCB"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95.17</w:t>
            </w:r>
          </w:p>
        </w:tc>
        <w:tc>
          <w:tcPr>
            <w:tcW w:w="508" w:type="dxa"/>
            <w:shd w:val="clear" w:color="auto" w:fill="auto"/>
            <w:noWrap/>
            <w:vAlign w:val="center"/>
            <w:hideMark/>
          </w:tcPr>
          <w:p w14:paraId="12DA3AC6"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0.19</w:t>
            </w:r>
          </w:p>
        </w:tc>
        <w:tc>
          <w:tcPr>
            <w:tcW w:w="587" w:type="dxa"/>
            <w:shd w:val="clear" w:color="auto" w:fill="auto"/>
            <w:noWrap/>
            <w:vAlign w:val="center"/>
            <w:hideMark/>
          </w:tcPr>
          <w:p w14:paraId="590D711B"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91.17</w:t>
            </w:r>
          </w:p>
        </w:tc>
        <w:tc>
          <w:tcPr>
            <w:tcW w:w="504" w:type="dxa"/>
            <w:shd w:val="clear" w:color="auto" w:fill="auto"/>
            <w:noWrap/>
            <w:vAlign w:val="center"/>
            <w:hideMark/>
          </w:tcPr>
          <w:p w14:paraId="73B8F4F8"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0.21</w:t>
            </w:r>
          </w:p>
        </w:tc>
        <w:tc>
          <w:tcPr>
            <w:tcW w:w="671" w:type="dxa"/>
            <w:shd w:val="clear" w:color="auto" w:fill="auto"/>
            <w:noWrap/>
            <w:vAlign w:val="center"/>
            <w:hideMark/>
          </w:tcPr>
          <w:p w14:paraId="199AB7F8" w14:textId="77777777" w:rsidR="00B66EEA" w:rsidRPr="00613C98" w:rsidRDefault="00B66EEA" w:rsidP="006300FC">
            <w:pPr>
              <w:spacing w:line="240" w:lineRule="auto"/>
              <w:ind w:hanging="89"/>
              <w:jc w:val="center"/>
              <w:rPr>
                <w:rFonts w:eastAsia="Times New Roman" w:cs="Times New Roman"/>
                <w:color w:val="000000"/>
                <w:sz w:val="18"/>
                <w:szCs w:val="18"/>
              </w:rPr>
            </w:pPr>
            <w:r w:rsidRPr="00613C98">
              <w:rPr>
                <w:rFonts w:eastAsia="Times New Roman" w:cs="Times New Roman"/>
                <w:color w:val="000000"/>
                <w:sz w:val="18"/>
                <w:szCs w:val="18"/>
              </w:rPr>
              <w:t>80.78</w:t>
            </w:r>
          </w:p>
        </w:tc>
        <w:tc>
          <w:tcPr>
            <w:tcW w:w="587" w:type="dxa"/>
            <w:shd w:val="clear" w:color="auto" w:fill="auto"/>
            <w:noWrap/>
            <w:vAlign w:val="center"/>
            <w:hideMark/>
          </w:tcPr>
          <w:p w14:paraId="5F9071E5"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0.34</w:t>
            </w:r>
          </w:p>
        </w:tc>
        <w:tc>
          <w:tcPr>
            <w:tcW w:w="671" w:type="dxa"/>
            <w:shd w:val="clear" w:color="auto" w:fill="auto"/>
            <w:noWrap/>
            <w:vAlign w:val="center"/>
            <w:hideMark/>
          </w:tcPr>
          <w:p w14:paraId="436E3F00"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78.75</w:t>
            </w:r>
          </w:p>
        </w:tc>
        <w:tc>
          <w:tcPr>
            <w:tcW w:w="505" w:type="dxa"/>
            <w:shd w:val="clear" w:color="auto" w:fill="auto"/>
            <w:noWrap/>
            <w:vAlign w:val="center"/>
            <w:hideMark/>
          </w:tcPr>
          <w:p w14:paraId="7773B08C" w14:textId="77777777" w:rsidR="00B66EEA" w:rsidRPr="00613C98" w:rsidRDefault="00B66EEA" w:rsidP="006300FC">
            <w:pPr>
              <w:spacing w:line="240" w:lineRule="auto"/>
              <w:ind w:hanging="74"/>
              <w:jc w:val="center"/>
              <w:rPr>
                <w:rFonts w:eastAsia="Times New Roman" w:cs="Times New Roman"/>
                <w:color w:val="000000"/>
                <w:sz w:val="18"/>
                <w:szCs w:val="18"/>
              </w:rPr>
            </w:pPr>
            <w:r w:rsidRPr="00613C98">
              <w:rPr>
                <w:rFonts w:eastAsia="Times New Roman" w:cs="Times New Roman"/>
                <w:color w:val="000000"/>
                <w:sz w:val="18"/>
                <w:szCs w:val="18"/>
              </w:rPr>
              <w:t>0.41</w:t>
            </w:r>
          </w:p>
        </w:tc>
      </w:tr>
      <w:tr w:rsidR="00B66EEA" w:rsidRPr="003C7B86" w14:paraId="66198604" w14:textId="77777777" w:rsidTr="00CC5BAB">
        <w:trPr>
          <w:trHeight w:val="312"/>
        </w:trPr>
        <w:tc>
          <w:tcPr>
            <w:tcW w:w="823" w:type="dxa"/>
            <w:vMerge/>
            <w:shd w:val="clear" w:color="auto" w:fill="auto"/>
            <w:noWrap/>
            <w:vAlign w:val="center"/>
          </w:tcPr>
          <w:p w14:paraId="046BB6C4" w14:textId="77777777" w:rsidR="00B66EEA" w:rsidRPr="00613C98" w:rsidRDefault="00B66EEA" w:rsidP="006300FC">
            <w:pPr>
              <w:spacing w:line="240" w:lineRule="auto"/>
              <w:ind w:hanging="30"/>
              <w:jc w:val="center"/>
              <w:rPr>
                <w:rFonts w:eastAsia="Times New Roman" w:cs="Times New Roman"/>
                <w:color w:val="000000"/>
                <w:sz w:val="18"/>
                <w:szCs w:val="18"/>
              </w:rPr>
            </w:pPr>
          </w:p>
        </w:tc>
        <w:tc>
          <w:tcPr>
            <w:tcW w:w="915" w:type="dxa"/>
            <w:vMerge/>
            <w:shd w:val="clear" w:color="auto" w:fill="auto"/>
            <w:noWrap/>
            <w:vAlign w:val="center"/>
          </w:tcPr>
          <w:p w14:paraId="334F424A" w14:textId="77777777" w:rsidR="00B66EEA" w:rsidRPr="00613C98" w:rsidRDefault="00B66EEA" w:rsidP="006300FC">
            <w:pPr>
              <w:spacing w:line="240" w:lineRule="auto"/>
              <w:jc w:val="center"/>
              <w:rPr>
                <w:rFonts w:eastAsia="Times New Roman" w:cs="Times New Roman"/>
                <w:color w:val="000000"/>
                <w:sz w:val="18"/>
                <w:szCs w:val="18"/>
              </w:rPr>
            </w:pPr>
          </w:p>
        </w:tc>
        <w:tc>
          <w:tcPr>
            <w:tcW w:w="1079" w:type="dxa"/>
            <w:shd w:val="clear" w:color="auto" w:fill="auto"/>
            <w:noWrap/>
            <w:vAlign w:val="center"/>
            <w:hideMark/>
          </w:tcPr>
          <w:p w14:paraId="02AED67F"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0.5% W</w:t>
            </w:r>
            <w:r>
              <w:rPr>
                <w:rFonts w:eastAsia="Times New Roman" w:cs="Times New Roman"/>
                <w:color w:val="000000"/>
                <w:sz w:val="18"/>
                <w:szCs w:val="18"/>
              </w:rPr>
              <w:t>MA</w:t>
            </w:r>
          </w:p>
        </w:tc>
        <w:tc>
          <w:tcPr>
            <w:tcW w:w="736" w:type="dxa"/>
            <w:shd w:val="clear" w:color="auto" w:fill="auto"/>
            <w:noWrap/>
            <w:vAlign w:val="center"/>
            <w:hideMark/>
          </w:tcPr>
          <w:p w14:paraId="08676FCD"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107.48</w:t>
            </w:r>
          </w:p>
        </w:tc>
        <w:tc>
          <w:tcPr>
            <w:tcW w:w="442" w:type="dxa"/>
            <w:shd w:val="clear" w:color="auto" w:fill="auto"/>
            <w:noWrap/>
            <w:vAlign w:val="center"/>
            <w:hideMark/>
          </w:tcPr>
          <w:p w14:paraId="0338BEA8"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0.74</w:t>
            </w:r>
          </w:p>
        </w:tc>
        <w:tc>
          <w:tcPr>
            <w:tcW w:w="524" w:type="dxa"/>
            <w:shd w:val="clear" w:color="auto" w:fill="auto"/>
            <w:noWrap/>
            <w:vAlign w:val="center"/>
            <w:hideMark/>
          </w:tcPr>
          <w:p w14:paraId="32F6D976"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94.95</w:t>
            </w:r>
          </w:p>
        </w:tc>
        <w:tc>
          <w:tcPr>
            <w:tcW w:w="508" w:type="dxa"/>
            <w:shd w:val="clear" w:color="auto" w:fill="auto"/>
            <w:noWrap/>
            <w:vAlign w:val="center"/>
            <w:hideMark/>
          </w:tcPr>
          <w:p w14:paraId="4301556B"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0.20</w:t>
            </w:r>
          </w:p>
        </w:tc>
        <w:tc>
          <w:tcPr>
            <w:tcW w:w="587" w:type="dxa"/>
            <w:shd w:val="clear" w:color="auto" w:fill="auto"/>
            <w:noWrap/>
            <w:vAlign w:val="center"/>
            <w:hideMark/>
          </w:tcPr>
          <w:p w14:paraId="2536D3BF"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91.00</w:t>
            </w:r>
          </w:p>
        </w:tc>
        <w:tc>
          <w:tcPr>
            <w:tcW w:w="504" w:type="dxa"/>
            <w:shd w:val="clear" w:color="auto" w:fill="auto"/>
            <w:noWrap/>
            <w:vAlign w:val="center"/>
            <w:hideMark/>
          </w:tcPr>
          <w:p w14:paraId="4366131D"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0.27</w:t>
            </w:r>
          </w:p>
        </w:tc>
        <w:tc>
          <w:tcPr>
            <w:tcW w:w="671" w:type="dxa"/>
            <w:shd w:val="clear" w:color="auto" w:fill="auto"/>
            <w:noWrap/>
            <w:vAlign w:val="center"/>
            <w:hideMark/>
          </w:tcPr>
          <w:p w14:paraId="3DF81960" w14:textId="77777777" w:rsidR="00B66EEA" w:rsidRPr="00613C98" w:rsidRDefault="00B66EEA" w:rsidP="006300FC">
            <w:pPr>
              <w:spacing w:line="240" w:lineRule="auto"/>
              <w:ind w:hanging="89"/>
              <w:jc w:val="center"/>
              <w:rPr>
                <w:rFonts w:eastAsia="Times New Roman" w:cs="Times New Roman"/>
                <w:color w:val="000000"/>
                <w:sz w:val="18"/>
                <w:szCs w:val="18"/>
              </w:rPr>
            </w:pPr>
            <w:r w:rsidRPr="00613C98">
              <w:rPr>
                <w:rFonts w:eastAsia="Times New Roman" w:cs="Times New Roman"/>
                <w:color w:val="000000"/>
                <w:sz w:val="18"/>
                <w:szCs w:val="18"/>
              </w:rPr>
              <w:t>88.42</w:t>
            </w:r>
          </w:p>
        </w:tc>
        <w:tc>
          <w:tcPr>
            <w:tcW w:w="587" w:type="dxa"/>
            <w:shd w:val="clear" w:color="auto" w:fill="auto"/>
            <w:noWrap/>
            <w:vAlign w:val="center"/>
            <w:hideMark/>
          </w:tcPr>
          <w:p w14:paraId="71F2498B"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0.81</w:t>
            </w:r>
          </w:p>
        </w:tc>
        <w:tc>
          <w:tcPr>
            <w:tcW w:w="671" w:type="dxa"/>
            <w:shd w:val="clear" w:color="auto" w:fill="auto"/>
            <w:noWrap/>
            <w:vAlign w:val="center"/>
            <w:hideMark/>
          </w:tcPr>
          <w:p w14:paraId="76FC593F"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78.64</w:t>
            </w:r>
          </w:p>
        </w:tc>
        <w:tc>
          <w:tcPr>
            <w:tcW w:w="505" w:type="dxa"/>
            <w:shd w:val="clear" w:color="auto" w:fill="auto"/>
            <w:noWrap/>
            <w:vAlign w:val="center"/>
            <w:hideMark/>
          </w:tcPr>
          <w:p w14:paraId="49F8BA8D" w14:textId="77777777" w:rsidR="00B66EEA" w:rsidRPr="00613C98" w:rsidRDefault="00B66EEA" w:rsidP="006300FC">
            <w:pPr>
              <w:spacing w:line="240" w:lineRule="auto"/>
              <w:ind w:hanging="74"/>
              <w:jc w:val="center"/>
              <w:rPr>
                <w:rFonts w:eastAsia="Times New Roman" w:cs="Times New Roman"/>
                <w:color w:val="000000"/>
                <w:sz w:val="18"/>
                <w:szCs w:val="18"/>
              </w:rPr>
            </w:pPr>
            <w:r w:rsidRPr="00613C98">
              <w:rPr>
                <w:rFonts w:eastAsia="Times New Roman" w:cs="Times New Roman"/>
                <w:color w:val="000000"/>
                <w:sz w:val="18"/>
                <w:szCs w:val="18"/>
              </w:rPr>
              <w:t>0.39</w:t>
            </w:r>
          </w:p>
        </w:tc>
      </w:tr>
      <w:tr w:rsidR="00B66EEA" w:rsidRPr="003C7B86" w14:paraId="2D81AD32" w14:textId="77777777" w:rsidTr="00CC5BAB">
        <w:trPr>
          <w:trHeight w:val="312"/>
        </w:trPr>
        <w:tc>
          <w:tcPr>
            <w:tcW w:w="823" w:type="dxa"/>
            <w:vMerge/>
            <w:shd w:val="clear" w:color="auto" w:fill="auto"/>
            <w:noWrap/>
            <w:vAlign w:val="center"/>
          </w:tcPr>
          <w:p w14:paraId="7C373CA3" w14:textId="77777777" w:rsidR="00B66EEA" w:rsidRPr="00613C98" w:rsidRDefault="00B66EEA" w:rsidP="006300FC">
            <w:pPr>
              <w:spacing w:line="240" w:lineRule="auto"/>
              <w:ind w:hanging="30"/>
              <w:jc w:val="center"/>
              <w:rPr>
                <w:rFonts w:eastAsia="Times New Roman" w:cs="Times New Roman"/>
                <w:color w:val="000000"/>
                <w:sz w:val="18"/>
                <w:szCs w:val="18"/>
              </w:rPr>
            </w:pPr>
          </w:p>
        </w:tc>
        <w:tc>
          <w:tcPr>
            <w:tcW w:w="915" w:type="dxa"/>
            <w:vMerge/>
            <w:shd w:val="clear" w:color="auto" w:fill="auto"/>
            <w:noWrap/>
            <w:vAlign w:val="center"/>
          </w:tcPr>
          <w:p w14:paraId="6E1E3CB6" w14:textId="77777777" w:rsidR="00B66EEA" w:rsidRPr="00613C98" w:rsidRDefault="00B66EEA" w:rsidP="006300FC">
            <w:pPr>
              <w:spacing w:line="240" w:lineRule="auto"/>
              <w:jc w:val="center"/>
              <w:rPr>
                <w:rFonts w:eastAsia="Times New Roman" w:cs="Times New Roman"/>
                <w:color w:val="000000"/>
                <w:sz w:val="18"/>
                <w:szCs w:val="18"/>
              </w:rPr>
            </w:pPr>
          </w:p>
        </w:tc>
        <w:tc>
          <w:tcPr>
            <w:tcW w:w="1079" w:type="dxa"/>
            <w:shd w:val="clear" w:color="auto" w:fill="auto"/>
            <w:noWrap/>
            <w:vAlign w:val="center"/>
            <w:hideMark/>
          </w:tcPr>
          <w:p w14:paraId="190C09EE"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0.5% A</w:t>
            </w:r>
            <w:r>
              <w:rPr>
                <w:rFonts w:eastAsia="Times New Roman" w:cs="Times New Roman"/>
                <w:color w:val="000000"/>
                <w:sz w:val="18"/>
                <w:szCs w:val="18"/>
              </w:rPr>
              <w:t>SA</w:t>
            </w:r>
          </w:p>
        </w:tc>
        <w:tc>
          <w:tcPr>
            <w:tcW w:w="736" w:type="dxa"/>
            <w:shd w:val="clear" w:color="auto" w:fill="auto"/>
            <w:noWrap/>
            <w:vAlign w:val="center"/>
            <w:hideMark/>
          </w:tcPr>
          <w:p w14:paraId="7DE5B404"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107.30</w:t>
            </w:r>
          </w:p>
        </w:tc>
        <w:tc>
          <w:tcPr>
            <w:tcW w:w="442" w:type="dxa"/>
            <w:shd w:val="clear" w:color="auto" w:fill="auto"/>
            <w:noWrap/>
            <w:vAlign w:val="center"/>
            <w:hideMark/>
          </w:tcPr>
          <w:p w14:paraId="7038055F"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0.62</w:t>
            </w:r>
          </w:p>
        </w:tc>
        <w:tc>
          <w:tcPr>
            <w:tcW w:w="524" w:type="dxa"/>
            <w:shd w:val="clear" w:color="auto" w:fill="auto"/>
            <w:noWrap/>
            <w:vAlign w:val="center"/>
            <w:hideMark/>
          </w:tcPr>
          <w:p w14:paraId="3032FA89"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94.69</w:t>
            </w:r>
          </w:p>
        </w:tc>
        <w:tc>
          <w:tcPr>
            <w:tcW w:w="508" w:type="dxa"/>
            <w:shd w:val="clear" w:color="auto" w:fill="auto"/>
            <w:noWrap/>
            <w:vAlign w:val="center"/>
            <w:hideMark/>
          </w:tcPr>
          <w:p w14:paraId="2EC21856"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0.26</w:t>
            </w:r>
          </w:p>
        </w:tc>
        <w:tc>
          <w:tcPr>
            <w:tcW w:w="587" w:type="dxa"/>
            <w:shd w:val="clear" w:color="auto" w:fill="auto"/>
            <w:noWrap/>
            <w:vAlign w:val="center"/>
            <w:hideMark/>
          </w:tcPr>
          <w:p w14:paraId="672C686B"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90.97</w:t>
            </w:r>
          </w:p>
        </w:tc>
        <w:tc>
          <w:tcPr>
            <w:tcW w:w="504" w:type="dxa"/>
            <w:shd w:val="clear" w:color="auto" w:fill="auto"/>
            <w:noWrap/>
            <w:vAlign w:val="center"/>
            <w:hideMark/>
          </w:tcPr>
          <w:p w14:paraId="2DAEAE29"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0.34</w:t>
            </w:r>
          </w:p>
        </w:tc>
        <w:tc>
          <w:tcPr>
            <w:tcW w:w="671" w:type="dxa"/>
            <w:shd w:val="clear" w:color="auto" w:fill="auto"/>
            <w:noWrap/>
            <w:vAlign w:val="center"/>
            <w:hideMark/>
          </w:tcPr>
          <w:p w14:paraId="215C13D8" w14:textId="77777777" w:rsidR="00B66EEA" w:rsidRPr="00613C98" w:rsidRDefault="00B66EEA" w:rsidP="006300FC">
            <w:pPr>
              <w:spacing w:line="240" w:lineRule="auto"/>
              <w:ind w:hanging="89"/>
              <w:jc w:val="center"/>
              <w:rPr>
                <w:rFonts w:eastAsia="Times New Roman" w:cs="Times New Roman"/>
                <w:color w:val="000000"/>
                <w:sz w:val="18"/>
                <w:szCs w:val="18"/>
              </w:rPr>
            </w:pPr>
            <w:r w:rsidRPr="00613C98">
              <w:rPr>
                <w:rFonts w:eastAsia="Times New Roman" w:cs="Times New Roman"/>
                <w:color w:val="000000"/>
                <w:sz w:val="18"/>
                <w:szCs w:val="18"/>
              </w:rPr>
              <w:t>81.35</w:t>
            </w:r>
          </w:p>
        </w:tc>
        <w:tc>
          <w:tcPr>
            <w:tcW w:w="587" w:type="dxa"/>
            <w:shd w:val="clear" w:color="auto" w:fill="auto"/>
            <w:noWrap/>
            <w:vAlign w:val="center"/>
            <w:hideMark/>
          </w:tcPr>
          <w:p w14:paraId="6471FABE"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0.43</w:t>
            </w:r>
          </w:p>
        </w:tc>
        <w:tc>
          <w:tcPr>
            <w:tcW w:w="671" w:type="dxa"/>
            <w:shd w:val="clear" w:color="auto" w:fill="auto"/>
            <w:noWrap/>
            <w:vAlign w:val="center"/>
            <w:hideMark/>
          </w:tcPr>
          <w:p w14:paraId="03AD2A7C"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76.82</w:t>
            </w:r>
          </w:p>
        </w:tc>
        <w:tc>
          <w:tcPr>
            <w:tcW w:w="505" w:type="dxa"/>
            <w:shd w:val="clear" w:color="auto" w:fill="auto"/>
            <w:noWrap/>
            <w:vAlign w:val="center"/>
            <w:hideMark/>
          </w:tcPr>
          <w:p w14:paraId="25439A42" w14:textId="77777777" w:rsidR="00B66EEA" w:rsidRPr="00613C98" w:rsidRDefault="00B66EEA" w:rsidP="006300FC">
            <w:pPr>
              <w:spacing w:line="240" w:lineRule="auto"/>
              <w:ind w:hanging="74"/>
              <w:jc w:val="center"/>
              <w:rPr>
                <w:rFonts w:eastAsia="Times New Roman" w:cs="Times New Roman"/>
                <w:color w:val="000000"/>
                <w:sz w:val="18"/>
                <w:szCs w:val="18"/>
              </w:rPr>
            </w:pPr>
            <w:r w:rsidRPr="00613C98">
              <w:rPr>
                <w:rFonts w:eastAsia="Times New Roman" w:cs="Times New Roman"/>
                <w:color w:val="000000"/>
                <w:sz w:val="18"/>
                <w:szCs w:val="18"/>
              </w:rPr>
              <w:t>1.90</w:t>
            </w:r>
          </w:p>
        </w:tc>
      </w:tr>
      <w:tr w:rsidR="00B66EEA" w:rsidRPr="003C7B86" w14:paraId="33333988" w14:textId="77777777" w:rsidTr="00CC5BAB">
        <w:trPr>
          <w:trHeight w:val="312"/>
        </w:trPr>
        <w:tc>
          <w:tcPr>
            <w:tcW w:w="823" w:type="dxa"/>
            <w:vMerge/>
            <w:shd w:val="clear" w:color="auto" w:fill="auto"/>
            <w:noWrap/>
            <w:vAlign w:val="center"/>
          </w:tcPr>
          <w:p w14:paraId="62DE1B1F" w14:textId="77777777" w:rsidR="00B66EEA" w:rsidRPr="00613C98" w:rsidRDefault="00B66EEA" w:rsidP="006300FC">
            <w:pPr>
              <w:spacing w:line="240" w:lineRule="auto"/>
              <w:ind w:hanging="30"/>
              <w:jc w:val="center"/>
              <w:rPr>
                <w:rFonts w:eastAsia="Times New Roman" w:cs="Times New Roman"/>
                <w:color w:val="000000"/>
                <w:sz w:val="18"/>
                <w:szCs w:val="18"/>
              </w:rPr>
            </w:pPr>
          </w:p>
        </w:tc>
        <w:tc>
          <w:tcPr>
            <w:tcW w:w="915" w:type="dxa"/>
            <w:vMerge/>
            <w:shd w:val="clear" w:color="auto" w:fill="auto"/>
            <w:noWrap/>
            <w:vAlign w:val="center"/>
          </w:tcPr>
          <w:p w14:paraId="7DC36ACB" w14:textId="77777777" w:rsidR="00B66EEA" w:rsidRPr="00613C98" w:rsidRDefault="00B66EEA" w:rsidP="006300FC">
            <w:pPr>
              <w:spacing w:line="240" w:lineRule="auto"/>
              <w:jc w:val="center"/>
              <w:rPr>
                <w:rFonts w:eastAsia="Times New Roman" w:cs="Times New Roman"/>
                <w:color w:val="000000"/>
                <w:sz w:val="18"/>
                <w:szCs w:val="18"/>
              </w:rPr>
            </w:pPr>
          </w:p>
        </w:tc>
        <w:tc>
          <w:tcPr>
            <w:tcW w:w="1079" w:type="dxa"/>
            <w:shd w:val="clear" w:color="auto" w:fill="auto"/>
            <w:noWrap/>
            <w:vAlign w:val="center"/>
            <w:hideMark/>
          </w:tcPr>
          <w:p w14:paraId="4CE4FB96"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20% R</w:t>
            </w:r>
            <w:r>
              <w:rPr>
                <w:rFonts w:eastAsia="Times New Roman" w:cs="Times New Roman"/>
                <w:color w:val="000000"/>
                <w:sz w:val="18"/>
                <w:szCs w:val="18"/>
              </w:rPr>
              <w:t>AP</w:t>
            </w:r>
          </w:p>
        </w:tc>
        <w:tc>
          <w:tcPr>
            <w:tcW w:w="736" w:type="dxa"/>
            <w:shd w:val="clear" w:color="auto" w:fill="auto"/>
            <w:noWrap/>
            <w:vAlign w:val="center"/>
            <w:hideMark/>
          </w:tcPr>
          <w:p w14:paraId="07947D7E"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107.02</w:t>
            </w:r>
          </w:p>
        </w:tc>
        <w:tc>
          <w:tcPr>
            <w:tcW w:w="442" w:type="dxa"/>
            <w:shd w:val="clear" w:color="auto" w:fill="auto"/>
            <w:noWrap/>
            <w:vAlign w:val="center"/>
            <w:hideMark/>
          </w:tcPr>
          <w:p w14:paraId="669EEFA3"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0.55</w:t>
            </w:r>
          </w:p>
        </w:tc>
        <w:tc>
          <w:tcPr>
            <w:tcW w:w="524" w:type="dxa"/>
            <w:shd w:val="clear" w:color="auto" w:fill="auto"/>
            <w:noWrap/>
            <w:vAlign w:val="center"/>
            <w:hideMark/>
          </w:tcPr>
          <w:p w14:paraId="7A5C2823"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95.14</w:t>
            </w:r>
          </w:p>
        </w:tc>
        <w:tc>
          <w:tcPr>
            <w:tcW w:w="508" w:type="dxa"/>
            <w:shd w:val="clear" w:color="auto" w:fill="auto"/>
            <w:noWrap/>
            <w:vAlign w:val="center"/>
            <w:hideMark/>
          </w:tcPr>
          <w:p w14:paraId="3C7CC472"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0.12</w:t>
            </w:r>
          </w:p>
        </w:tc>
        <w:tc>
          <w:tcPr>
            <w:tcW w:w="587" w:type="dxa"/>
            <w:shd w:val="clear" w:color="auto" w:fill="auto"/>
            <w:noWrap/>
            <w:vAlign w:val="center"/>
            <w:hideMark/>
          </w:tcPr>
          <w:p w14:paraId="19891B77"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91.72</w:t>
            </w:r>
          </w:p>
        </w:tc>
        <w:tc>
          <w:tcPr>
            <w:tcW w:w="504" w:type="dxa"/>
            <w:shd w:val="clear" w:color="auto" w:fill="auto"/>
            <w:noWrap/>
            <w:vAlign w:val="center"/>
            <w:hideMark/>
          </w:tcPr>
          <w:p w14:paraId="3BEF53BC"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0.80</w:t>
            </w:r>
          </w:p>
        </w:tc>
        <w:tc>
          <w:tcPr>
            <w:tcW w:w="671" w:type="dxa"/>
            <w:shd w:val="clear" w:color="auto" w:fill="auto"/>
            <w:noWrap/>
            <w:vAlign w:val="center"/>
            <w:hideMark/>
          </w:tcPr>
          <w:p w14:paraId="676C3347" w14:textId="77777777" w:rsidR="00B66EEA" w:rsidRPr="00613C98" w:rsidRDefault="00B66EEA" w:rsidP="006300FC">
            <w:pPr>
              <w:spacing w:line="240" w:lineRule="auto"/>
              <w:ind w:hanging="89"/>
              <w:jc w:val="center"/>
              <w:rPr>
                <w:rFonts w:eastAsia="Times New Roman" w:cs="Times New Roman"/>
                <w:color w:val="000000"/>
                <w:sz w:val="18"/>
                <w:szCs w:val="18"/>
              </w:rPr>
            </w:pPr>
            <w:r w:rsidRPr="00613C98">
              <w:rPr>
                <w:rFonts w:eastAsia="Times New Roman" w:cs="Times New Roman"/>
                <w:color w:val="000000"/>
                <w:sz w:val="18"/>
                <w:szCs w:val="18"/>
              </w:rPr>
              <w:t>76.68</w:t>
            </w:r>
          </w:p>
        </w:tc>
        <w:tc>
          <w:tcPr>
            <w:tcW w:w="587" w:type="dxa"/>
            <w:shd w:val="clear" w:color="auto" w:fill="auto"/>
            <w:noWrap/>
            <w:vAlign w:val="center"/>
            <w:hideMark/>
          </w:tcPr>
          <w:p w14:paraId="3CF81EC8"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0.23</w:t>
            </w:r>
          </w:p>
        </w:tc>
        <w:tc>
          <w:tcPr>
            <w:tcW w:w="671" w:type="dxa"/>
            <w:shd w:val="clear" w:color="auto" w:fill="auto"/>
            <w:noWrap/>
            <w:vAlign w:val="center"/>
            <w:hideMark/>
          </w:tcPr>
          <w:p w14:paraId="15C1BF64"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78.41</w:t>
            </w:r>
          </w:p>
        </w:tc>
        <w:tc>
          <w:tcPr>
            <w:tcW w:w="505" w:type="dxa"/>
            <w:shd w:val="clear" w:color="auto" w:fill="auto"/>
            <w:noWrap/>
            <w:vAlign w:val="center"/>
            <w:hideMark/>
          </w:tcPr>
          <w:p w14:paraId="44D825E9" w14:textId="77777777" w:rsidR="00B66EEA" w:rsidRPr="00613C98" w:rsidRDefault="00B66EEA" w:rsidP="006300FC">
            <w:pPr>
              <w:spacing w:line="240" w:lineRule="auto"/>
              <w:ind w:hanging="74"/>
              <w:jc w:val="center"/>
              <w:rPr>
                <w:rFonts w:eastAsia="Times New Roman" w:cs="Times New Roman"/>
                <w:color w:val="000000"/>
                <w:sz w:val="18"/>
                <w:szCs w:val="18"/>
              </w:rPr>
            </w:pPr>
            <w:r w:rsidRPr="00613C98">
              <w:rPr>
                <w:rFonts w:eastAsia="Times New Roman" w:cs="Times New Roman"/>
                <w:color w:val="000000"/>
                <w:sz w:val="18"/>
                <w:szCs w:val="18"/>
              </w:rPr>
              <w:t>0.56</w:t>
            </w:r>
          </w:p>
        </w:tc>
      </w:tr>
      <w:tr w:rsidR="00B66EEA" w:rsidRPr="003C7B86" w14:paraId="1C0B0117" w14:textId="77777777" w:rsidTr="00CC5BAB">
        <w:trPr>
          <w:trHeight w:val="312"/>
        </w:trPr>
        <w:tc>
          <w:tcPr>
            <w:tcW w:w="823" w:type="dxa"/>
            <w:vMerge/>
            <w:shd w:val="clear" w:color="auto" w:fill="auto"/>
            <w:noWrap/>
            <w:vAlign w:val="center"/>
          </w:tcPr>
          <w:p w14:paraId="4F32E0BC" w14:textId="77777777" w:rsidR="00B66EEA" w:rsidRPr="00613C98" w:rsidRDefault="00B66EEA" w:rsidP="006300FC">
            <w:pPr>
              <w:spacing w:line="240" w:lineRule="auto"/>
              <w:ind w:hanging="30"/>
              <w:jc w:val="center"/>
              <w:rPr>
                <w:rFonts w:eastAsia="Times New Roman" w:cs="Times New Roman"/>
                <w:color w:val="000000"/>
                <w:sz w:val="18"/>
                <w:szCs w:val="18"/>
              </w:rPr>
            </w:pPr>
          </w:p>
        </w:tc>
        <w:tc>
          <w:tcPr>
            <w:tcW w:w="915" w:type="dxa"/>
            <w:vMerge/>
            <w:shd w:val="clear" w:color="auto" w:fill="auto"/>
            <w:noWrap/>
            <w:vAlign w:val="center"/>
          </w:tcPr>
          <w:p w14:paraId="6DE46D54" w14:textId="77777777" w:rsidR="00B66EEA" w:rsidRPr="00613C98" w:rsidRDefault="00B66EEA" w:rsidP="006300FC">
            <w:pPr>
              <w:spacing w:line="240" w:lineRule="auto"/>
              <w:jc w:val="center"/>
              <w:rPr>
                <w:rFonts w:eastAsia="Times New Roman" w:cs="Times New Roman"/>
                <w:color w:val="000000"/>
                <w:sz w:val="18"/>
                <w:szCs w:val="18"/>
              </w:rPr>
            </w:pPr>
          </w:p>
        </w:tc>
        <w:tc>
          <w:tcPr>
            <w:tcW w:w="1079" w:type="dxa"/>
            <w:shd w:val="clear" w:color="auto" w:fill="auto"/>
            <w:noWrap/>
            <w:vAlign w:val="center"/>
            <w:hideMark/>
          </w:tcPr>
          <w:p w14:paraId="6F4311F8"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1.5% P</w:t>
            </w:r>
            <w:r>
              <w:rPr>
                <w:rFonts w:eastAsia="Times New Roman" w:cs="Times New Roman"/>
                <w:color w:val="000000"/>
                <w:sz w:val="18"/>
                <w:szCs w:val="18"/>
              </w:rPr>
              <w:t>PA</w:t>
            </w:r>
          </w:p>
        </w:tc>
        <w:tc>
          <w:tcPr>
            <w:tcW w:w="736" w:type="dxa"/>
            <w:shd w:val="clear" w:color="auto" w:fill="auto"/>
            <w:noWrap/>
            <w:vAlign w:val="center"/>
            <w:hideMark/>
          </w:tcPr>
          <w:p w14:paraId="7B154B01"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100.73</w:t>
            </w:r>
          </w:p>
        </w:tc>
        <w:tc>
          <w:tcPr>
            <w:tcW w:w="442" w:type="dxa"/>
            <w:shd w:val="clear" w:color="auto" w:fill="auto"/>
            <w:noWrap/>
            <w:vAlign w:val="center"/>
            <w:hideMark/>
          </w:tcPr>
          <w:p w14:paraId="7AEB6590"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0.93</w:t>
            </w:r>
          </w:p>
        </w:tc>
        <w:tc>
          <w:tcPr>
            <w:tcW w:w="524" w:type="dxa"/>
            <w:shd w:val="clear" w:color="auto" w:fill="auto"/>
            <w:noWrap/>
            <w:vAlign w:val="center"/>
            <w:hideMark/>
          </w:tcPr>
          <w:p w14:paraId="33A43D6C" w14:textId="77777777" w:rsidR="00B66EEA" w:rsidRPr="00613C98" w:rsidRDefault="00B66EEA" w:rsidP="006300FC">
            <w:pPr>
              <w:spacing w:line="240" w:lineRule="auto"/>
              <w:ind w:hanging="59"/>
              <w:jc w:val="center"/>
              <w:rPr>
                <w:rFonts w:eastAsia="Times New Roman" w:cs="Times New Roman"/>
                <w:color w:val="000000"/>
                <w:sz w:val="18"/>
                <w:szCs w:val="18"/>
              </w:rPr>
            </w:pPr>
            <w:r w:rsidRPr="00613C98">
              <w:rPr>
                <w:rFonts w:eastAsia="Times New Roman" w:cs="Times New Roman"/>
                <w:color w:val="000000"/>
                <w:sz w:val="18"/>
                <w:szCs w:val="18"/>
              </w:rPr>
              <w:t>93.20</w:t>
            </w:r>
          </w:p>
        </w:tc>
        <w:tc>
          <w:tcPr>
            <w:tcW w:w="508" w:type="dxa"/>
            <w:shd w:val="clear" w:color="auto" w:fill="auto"/>
            <w:noWrap/>
            <w:vAlign w:val="center"/>
            <w:hideMark/>
          </w:tcPr>
          <w:p w14:paraId="3ED538AB"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0.91</w:t>
            </w:r>
          </w:p>
        </w:tc>
        <w:tc>
          <w:tcPr>
            <w:tcW w:w="587" w:type="dxa"/>
            <w:shd w:val="clear" w:color="auto" w:fill="auto"/>
            <w:noWrap/>
            <w:vAlign w:val="center"/>
            <w:hideMark/>
          </w:tcPr>
          <w:p w14:paraId="14EBC932" w14:textId="77777777" w:rsidR="00B66EEA" w:rsidRPr="00613C98" w:rsidRDefault="00B66EEA" w:rsidP="006300FC">
            <w:pPr>
              <w:spacing w:line="240" w:lineRule="auto"/>
              <w:ind w:hanging="119"/>
              <w:jc w:val="center"/>
              <w:rPr>
                <w:rFonts w:eastAsia="Times New Roman" w:cs="Times New Roman"/>
                <w:color w:val="000000"/>
                <w:sz w:val="18"/>
                <w:szCs w:val="18"/>
              </w:rPr>
            </w:pPr>
            <w:r w:rsidRPr="003C7B86">
              <w:rPr>
                <w:rFonts w:eastAsia="Times New Roman" w:cs="Times New Roman"/>
                <w:color w:val="000000"/>
                <w:sz w:val="18"/>
                <w:szCs w:val="18"/>
              </w:rPr>
              <w:t>-</w:t>
            </w:r>
          </w:p>
        </w:tc>
        <w:tc>
          <w:tcPr>
            <w:tcW w:w="504" w:type="dxa"/>
            <w:shd w:val="clear" w:color="auto" w:fill="auto"/>
            <w:noWrap/>
            <w:vAlign w:val="center"/>
            <w:hideMark/>
          </w:tcPr>
          <w:p w14:paraId="34924B2C" w14:textId="77777777" w:rsidR="00B66EEA" w:rsidRPr="00613C98" w:rsidRDefault="00B66EEA" w:rsidP="006300FC">
            <w:pPr>
              <w:spacing w:line="240" w:lineRule="auto"/>
              <w:ind w:hanging="59"/>
              <w:jc w:val="center"/>
              <w:rPr>
                <w:rFonts w:eastAsia="Times New Roman" w:cs="Times New Roman"/>
                <w:color w:val="000000"/>
                <w:sz w:val="18"/>
                <w:szCs w:val="18"/>
              </w:rPr>
            </w:pPr>
            <w:r w:rsidRPr="003C7B86">
              <w:rPr>
                <w:rFonts w:eastAsia="Times New Roman" w:cs="Times New Roman"/>
                <w:color w:val="000000"/>
                <w:sz w:val="18"/>
                <w:szCs w:val="18"/>
              </w:rPr>
              <w:t>-</w:t>
            </w:r>
          </w:p>
        </w:tc>
        <w:tc>
          <w:tcPr>
            <w:tcW w:w="671" w:type="dxa"/>
            <w:shd w:val="clear" w:color="auto" w:fill="auto"/>
            <w:noWrap/>
            <w:vAlign w:val="center"/>
            <w:hideMark/>
          </w:tcPr>
          <w:p w14:paraId="6B5A9FD0" w14:textId="77777777" w:rsidR="00B66EEA" w:rsidRPr="00613C98" w:rsidRDefault="00B66EEA" w:rsidP="006300FC">
            <w:pPr>
              <w:spacing w:line="240" w:lineRule="auto"/>
              <w:ind w:hanging="89"/>
              <w:jc w:val="center"/>
              <w:rPr>
                <w:rFonts w:eastAsia="Times New Roman" w:cs="Times New Roman"/>
                <w:color w:val="000000"/>
                <w:sz w:val="18"/>
                <w:szCs w:val="18"/>
              </w:rPr>
            </w:pPr>
            <w:r w:rsidRPr="003C7B86">
              <w:rPr>
                <w:rFonts w:eastAsia="Times New Roman" w:cs="Times New Roman"/>
                <w:color w:val="000000"/>
                <w:sz w:val="18"/>
                <w:szCs w:val="18"/>
              </w:rPr>
              <w:t>-</w:t>
            </w:r>
          </w:p>
        </w:tc>
        <w:tc>
          <w:tcPr>
            <w:tcW w:w="587" w:type="dxa"/>
            <w:shd w:val="clear" w:color="auto" w:fill="auto"/>
            <w:noWrap/>
            <w:vAlign w:val="center"/>
            <w:hideMark/>
          </w:tcPr>
          <w:p w14:paraId="0EB1DDAF" w14:textId="77777777" w:rsidR="00B66EEA" w:rsidRPr="00613C98" w:rsidRDefault="00B66EEA" w:rsidP="006300FC">
            <w:pPr>
              <w:spacing w:line="240" w:lineRule="auto"/>
              <w:ind w:hanging="119"/>
              <w:jc w:val="center"/>
              <w:rPr>
                <w:rFonts w:eastAsia="Times New Roman" w:cs="Times New Roman"/>
                <w:color w:val="000000"/>
                <w:sz w:val="18"/>
                <w:szCs w:val="18"/>
              </w:rPr>
            </w:pPr>
            <w:r w:rsidRPr="003C7B86">
              <w:rPr>
                <w:rFonts w:eastAsia="Times New Roman" w:cs="Times New Roman"/>
                <w:color w:val="000000"/>
                <w:sz w:val="18"/>
                <w:szCs w:val="18"/>
              </w:rPr>
              <w:t>-</w:t>
            </w:r>
          </w:p>
        </w:tc>
        <w:tc>
          <w:tcPr>
            <w:tcW w:w="671" w:type="dxa"/>
            <w:shd w:val="clear" w:color="auto" w:fill="auto"/>
            <w:noWrap/>
            <w:vAlign w:val="center"/>
            <w:hideMark/>
          </w:tcPr>
          <w:p w14:paraId="5892446F" w14:textId="77777777" w:rsidR="00B66EEA" w:rsidRPr="00613C98" w:rsidRDefault="00B66EEA" w:rsidP="006300FC">
            <w:pPr>
              <w:spacing w:line="240" w:lineRule="auto"/>
              <w:ind w:hanging="119"/>
              <w:jc w:val="center"/>
              <w:rPr>
                <w:rFonts w:eastAsia="Times New Roman" w:cs="Times New Roman"/>
                <w:color w:val="000000"/>
                <w:sz w:val="18"/>
                <w:szCs w:val="18"/>
              </w:rPr>
            </w:pPr>
            <w:r w:rsidRPr="00613C98">
              <w:rPr>
                <w:rFonts w:eastAsia="Times New Roman" w:cs="Times New Roman"/>
                <w:color w:val="000000"/>
                <w:sz w:val="18"/>
                <w:szCs w:val="18"/>
              </w:rPr>
              <w:t>76.82</w:t>
            </w:r>
          </w:p>
        </w:tc>
        <w:tc>
          <w:tcPr>
            <w:tcW w:w="505" w:type="dxa"/>
            <w:shd w:val="clear" w:color="auto" w:fill="auto"/>
            <w:noWrap/>
            <w:vAlign w:val="center"/>
            <w:hideMark/>
          </w:tcPr>
          <w:p w14:paraId="7E58498F" w14:textId="77777777" w:rsidR="00B66EEA" w:rsidRPr="00613C98" w:rsidRDefault="00B66EEA" w:rsidP="006300FC">
            <w:pPr>
              <w:spacing w:line="240" w:lineRule="auto"/>
              <w:ind w:hanging="74"/>
              <w:jc w:val="center"/>
              <w:rPr>
                <w:rFonts w:eastAsia="Times New Roman" w:cs="Times New Roman"/>
                <w:color w:val="000000"/>
                <w:sz w:val="18"/>
                <w:szCs w:val="18"/>
              </w:rPr>
            </w:pPr>
            <w:r w:rsidRPr="00613C98">
              <w:rPr>
                <w:rFonts w:eastAsia="Times New Roman" w:cs="Times New Roman"/>
                <w:color w:val="000000"/>
                <w:sz w:val="18"/>
                <w:szCs w:val="18"/>
              </w:rPr>
              <w:t>0.30</w:t>
            </w:r>
          </w:p>
        </w:tc>
      </w:tr>
    </w:tbl>
    <w:bookmarkEnd w:id="128"/>
    <w:p w14:paraId="43AC241A" w14:textId="1C9390CA" w:rsidR="00B555D8" w:rsidRPr="000B3158" w:rsidRDefault="00CC5BAB" w:rsidP="00503FE7">
      <w:pPr>
        <w:ind w:left="-720"/>
        <w:rPr>
          <w:szCs w:val="24"/>
        </w:rPr>
      </w:pPr>
      <w:r>
        <w:t xml:space="preserve"> </w:t>
      </w:r>
    </w:p>
    <w:p w14:paraId="4D391BEF" w14:textId="04E88125" w:rsidR="00503FE7" w:rsidRPr="00917A71" w:rsidRDefault="00323A59" w:rsidP="00323A59">
      <w:pPr>
        <w:pStyle w:val="Caption"/>
        <w:jc w:val="center"/>
        <w:rPr>
          <w:b w:val="0"/>
          <w:bCs w:val="0"/>
          <w:szCs w:val="24"/>
        </w:rPr>
      </w:pPr>
      <w:bookmarkStart w:id="129" w:name="_Toc71330995"/>
      <w:r>
        <w:t xml:space="preserve">Table </w:t>
      </w:r>
      <w:fldSimple w:instr=" STYLEREF 1 \s ">
        <w:r w:rsidR="005050F0">
          <w:rPr>
            <w:noProof/>
          </w:rPr>
          <w:t>4</w:t>
        </w:r>
      </w:fldSimple>
      <w:r w:rsidR="00700639">
        <w:t>.</w:t>
      </w:r>
      <w:fldSimple w:instr=" SEQ Table \* ARABIC \s 1 ">
        <w:r w:rsidR="005050F0">
          <w:rPr>
            <w:noProof/>
          </w:rPr>
          <w:t>2</w:t>
        </w:r>
      </w:fldSimple>
      <w:r w:rsidR="00503FE7" w:rsidRPr="00917A71">
        <w:rPr>
          <w:szCs w:val="24"/>
        </w:rPr>
        <w:t xml:space="preserve"> SFE Components of the Binder Blends and Aggregate</w:t>
      </w:r>
      <w:bookmarkEnd w:id="129"/>
    </w:p>
    <w:tbl>
      <w:tblPr>
        <w:tblpPr w:leftFromText="180" w:rightFromText="180" w:vertAnchor="text" w:horzAnchor="margin" w:tblpY="138"/>
        <w:tblW w:w="8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5"/>
        <w:gridCol w:w="1158"/>
        <w:gridCol w:w="1322"/>
        <w:gridCol w:w="843"/>
        <w:gridCol w:w="767"/>
        <w:gridCol w:w="767"/>
        <w:gridCol w:w="767"/>
        <w:gridCol w:w="767"/>
        <w:gridCol w:w="820"/>
      </w:tblGrid>
      <w:tr w:rsidR="00503FE7" w:rsidRPr="0050680C" w14:paraId="25175D75" w14:textId="77777777" w:rsidTr="0050680C">
        <w:trPr>
          <w:trHeight w:val="255"/>
        </w:trPr>
        <w:tc>
          <w:tcPr>
            <w:tcW w:w="8124" w:type="dxa"/>
            <w:gridSpan w:val="9"/>
            <w:shd w:val="clear" w:color="auto" w:fill="auto"/>
            <w:noWrap/>
            <w:vAlign w:val="center"/>
          </w:tcPr>
          <w:p w14:paraId="22F17B64" w14:textId="77777777" w:rsidR="00503FE7" w:rsidRPr="0050680C" w:rsidRDefault="00503FE7" w:rsidP="006300FC">
            <w:pPr>
              <w:spacing w:line="240" w:lineRule="auto"/>
              <w:jc w:val="center"/>
              <w:rPr>
                <w:rFonts w:eastAsia="Times New Roman" w:cs="Times New Roman"/>
                <w:b/>
                <w:bCs/>
                <w:color w:val="000000"/>
                <w:sz w:val="22"/>
              </w:rPr>
            </w:pPr>
            <w:r w:rsidRPr="0050680C">
              <w:rPr>
                <w:rFonts w:eastAsia="Times New Roman" w:cs="Times New Roman"/>
                <w:b/>
                <w:bCs/>
                <w:color w:val="000000"/>
                <w:sz w:val="22"/>
              </w:rPr>
              <w:t>SFE Components of Binder Blends</w:t>
            </w:r>
          </w:p>
        </w:tc>
      </w:tr>
      <w:tr w:rsidR="00503FE7" w:rsidRPr="0050680C" w14:paraId="04714D67" w14:textId="77777777" w:rsidTr="0050680C">
        <w:trPr>
          <w:trHeight w:val="255"/>
        </w:trPr>
        <w:tc>
          <w:tcPr>
            <w:tcW w:w="945" w:type="dxa"/>
            <w:vMerge w:val="restart"/>
            <w:shd w:val="clear" w:color="auto" w:fill="auto"/>
            <w:noWrap/>
            <w:vAlign w:val="center"/>
            <w:hideMark/>
          </w:tcPr>
          <w:p w14:paraId="0C6918D7" w14:textId="77777777" w:rsidR="00503FE7" w:rsidRPr="0050680C" w:rsidRDefault="00503FE7" w:rsidP="006300FC">
            <w:pPr>
              <w:spacing w:line="240" w:lineRule="auto"/>
              <w:ind w:hanging="30"/>
              <w:jc w:val="center"/>
              <w:rPr>
                <w:rFonts w:eastAsia="Times New Roman" w:cs="Times New Roman"/>
                <w:sz w:val="22"/>
              </w:rPr>
            </w:pPr>
            <w:r w:rsidRPr="0050680C">
              <w:rPr>
                <w:rFonts w:eastAsia="Times New Roman" w:cs="Times New Roman"/>
                <w:b/>
                <w:bCs/>
                <w:color w:val="000000"/>
                <w:sz w:val="22"/>
              </w:rPr>
              <w:t>Binder Type</w:t>
            </w:r>
          </w:p>
        </w:tc>
        <w:tc>
          <w:tcPr>
            <w:tcW w:w="1125" w:type="dxa"/>
            <w:vMerge w:val="restart"/>
            <w:shd w:val="clear" w:color="auto" w:fill="auto"/>
            <w:noWrap/>
            <w:vAlign w:val="center"/>
            <w:hideMark/>
          </w:tcPr>
          <w:p w14:paraId="36EAA096" w14:textId="77777777" w:rsidR="00503FE7" w:rsidRPr="0050680C" w:rsidRDefault="00503FE7" w:rsidP="006300FC">
            <w:pPr>
              <w:spacing w:line="240" w:lineRule="auto"/>
              <w:jc w:val="center"/>
              <w:rPr>
                <w:rFonts w:eastAsia="Times New Roman" w:cs="Times New Roman"/>
                <w:sz w:val="22"/>
              </w:rPr>
            </w:pPr>
            <w:r w:rsidRPr="0050680C">
              <w:rPr>
                <w:rFonts w:eastAsia="Times New Roman" w:cs="Times New Roman"/>
                <w:b/>
                <w:bCs/>
                <w:color w:val="000000"/>
                <w:sz w:val="22"/>
              </w:rPr>
              <w:t>Aging Condition</w:t>
            </w:r>
          </w:p>
        </w:tc>
        <w:tc>
          <w:tcPr>
            <w:tcW w:w="1322" w:type="dxa"/>
            <w:vMerge w:val="restart"/>
            <w:shd w:val="clear" w:color="auto" w:fill="auto"/>
            <w:noWrap/>
            <w:vAlign w:val="center"/>
            <w:hideMark/>
          </w:tcPr>
          <w:p w14:paraId="621F61F9" w14:textId="77777777" w:rsidR="00503FE7" w:rsidRPr="0050680C" w:rsidRDefault="00503FE7" w:rsidP="006300FC">
            <w:pPr>
              <w:spacing w:line="240" w:lineRule="auto"/>
              <w:ind w:hanging="59"/>
              <w:jc w:val="center"/>
              <w:rPr>
                <w:rFonts w:eastAsia="Times New Roman" w:cs="Times New Roman"/>
                <w:sz w:val="22"/>
              </w:rPr>
            </w:pPr>
            <w:r w:rsidRPr="0050680C">
              <w:rPr>
                <w:rFonts w:eastAsia="Times New Roman" w:cs="Times New Roman"/>
                <w:b/>
                <w:bCs/>
                <w:color w:val="000000"/>
                <w:sz w:val="22"/>
              </w:rPr>
              <w:t>Additive</w:t>
            </w:r>
          </w:p>
        </w:tc>
        <w:tc>
          <w:tcPr>
            <w:tcW w:w="4731" w:type="dxa"/>
            <w:gridSpan w:val="6"/>
            <w:shd w:val="clear" w:color="auto" w:fill="auto"/>
            <w:noWrap/>
            <w:vAlign w:val="center"/>
            <w:hideMark/>
          </w:tcPr>
          <w:p w14:paraId="68FE723C" w14:textId="77777777" w:rsidR="00503FE7" w:rsidRPr="0050680C" w:rsidRDefault="00503FE7" w:rsidP="006300FC">
            <w:pPr>
              <w:spacing w:line="240" w:lineRule="auto"/>
              <w:jc w:val="center"/>
              <w:rPr>
                <w:rFonts w:eastAsia="Times New Roman" w:cs="Times New Roman"/>
                <w:b/>
                <w:bCs/>
                <w:color w:val="000000"/>
                <w:sz w:val="22"/>
              </w:rPr>
            </w:pPr>
            <w:r w:rsidRPr="0050680C">
              <w:rPr>
                <w:rFonts w:eastAsia="Times New Roman" w:cs="Times New Roman"/>
                <w:b/>
                <w:bCs/>
                <w:color w:val="000000"/>
                <w:sz w:val="22"/>
              </w:rPr>
              <w:t>SFE (mJ/m</w:t>
            </w:r>
            <w:r w:rsidRPr="0050680C">
              <w:rPr>
                <w:rFonts w:eastAsia="Times New Roman" w:cs="Times New Roman"/>
                <w:b/>
                <w:bCs/>
                <w:color w:val="000000"/>
                <w:sz w:val="22"/>
                <w:vertAlign w:val="superscript"/>
              </w:rPr>
              <w:t>2</w:t>
            </w:r>
            <w:r w:rsidRPr="0050680C">
              <w:rPr>
                <w:rFonts w:eastAsia="Times New Roman" w:cs="Times New Roman"/>
                <w:b/>
                <w:bCs/>
                <w:color w:val="000000"/>
                <w:sz w:val="22"/>
              </w:rPr>
              <w:t>)</w:t>
            </w:r>
          </w:p>
        </w:tc>
      </w:tr>
      <w:tr w:rsidR="0050680C" w:rsidRPr="0050680C" w14:paraId="38AA85A8" w14:textId="77777777" w:rsidTr="0050680C">
        <w:trPr>
          <w:trHeight w:val="282"/>
        </w:trPr>
        <w:tc>
          <w:tcPr>
            <w:tcW w:w="945" w:type="dxa"/>
            <w:vMerge/>
            <w:shd w:val="clear" w:color="auto" w:fill="auto"/>
            <w:noWrap/>
            <w:vAlign w:val="center"/>
            <w:hideMark/>
          </w:tcPr>
          <w:p w14:paraId="09B32796" w14:textId="77777777" w:rsidR="00503FE7" w:rsidRPr="0050680C" w:rsidRDefault="00503FE7" w:rsidP="006300FC">
            <w:pPr>
              <w:spacing w:line="240" w:lineRule="auto"/>
              <w:ind w:hanging="30"/>
              <w:jc w:val="center"/>
              <w:rPr>
                <w:rFonts w:eastAsia="Times New Roman" w:cs="Times New Roman"/>
                <w:b/>
                <w:bCs/>
                <w:color w:val="000000"/>
                <w:sz w:val="22"/>
              </w:rPr>
            </w:pPr>
          </w:p>
        </w:tc>
        <w:tc>
          <w:tcPr>
            <w:tcW w:w="1125" w:type="dxa"/>
            <w:vMerge/>
            <w:shd w:val="clear" w:color="auto" w:fill="auto"/>
            <w:noWrap/>
            <w:vAlign w:val="center"/>
            <w:hideMark/>
          </w:tcPr>
          <w:p w14:paraId="39025DB0" w14:textId="77777777" w:rsidR="00503FE7" w:rsidRPr="0050680C" w:rsidRDefault="00503FE7" w:rsidP="006300FC">
            <w:pPr>
              <w:spacing w:line="240" w:lineRule="auto"/>
              <w:jc w:val="center"/>
              <w:rPr>
                <w:rFonts w:eastAsia="Times New Roman" w:cs="Times New Roman"/>
                <w:b/>
                <w:bCs/>
                <w:color w:val="000000"/>
                <w:sz w:val="22"/>
              </w:rPr>
            </w:pPr>
          </w:p>
        </w:tc>
        <w:tc>
          <w:tcPr>
            <w:tcW w:w="1322" w:type="dxa"/>
            <w:vMerge/>
            <w:shd w:val="clear" w:color="auto" w:fill="auto"/>
            <w:noWrap/>
            <w:vAlign w:val="center"/>
            <w:hideMark/>
          </w:tcPr>
          <w:p w14:paraId="2AD10B9F" w14:textId="77777777" w:rsidR="00503FE7" w:rsidRPr="0050680C" w:rsidRDefault="00503FE7" w:rsidP="006300FC">
            <w:pPr>
              <w:spacing w:line="240" w:lineRule="auto"/>
              <w:ind w:hanging="59"/>
              <w:jc w:val="center"/>
              <w:rPr>
                <w:rFonts w:eastAsia="Times New Roman" w:cs="Times New Roman"/>
                <w:b/>
                <w:bCs/>
                <w:color w:val="000000"/>
                <w:sz w:val="22"/>
              </w:rPr>
            </w:pPr>
          </w:p>
        </w:tc>
        <w:tc>
          <w:tcPr>
            <w:tcW w:w="843" w:type="dxa"/>
            <w:shd w:val="clear" w:color="auto" w:fill="auto"/>
            <w:noWrap/>
            <w:vAlign w:val="center"/>
            <w:hideMark/>
          </w:tcPr>
          <w:p w14:paraId="30B78EB5" w14:textId="77777777" w:rsidR="00503FE7" w:rsidRPr="0050680C" w:rsidRDefault="00503FE7" w:rsidP="006300FC">
            <w:pPr>
              <w:spacing w:line="240" w:lineRule="auto"/>
              <w:ind w:hanging="59"/>
              <w:jc w:val="center"/>
              <w:rPr>
                <w:rFonts w:eastAsia="Times New Roman" w:cs="Times New Roman"/>
                <w:b/>
                <w:bCs/>
                <w:color w:val="000000"/>
                <w:sz w:val="22"/>
              </w:rPr>
            </w:pPr>
            <w:r w:rsidRPr="0050680C">
              <w:rPr>
                <w:rFonts w:cs="Times New Roman"/>
                <w:b/>
                <w:bCs/>
                <w:color w:val="000000"/>
                <w:sz w:val="22"/>
              </w:rPr>
              <w:t>Γ</w:t>
            </w:r>
            <w:r w:rsidRPr="0050680C">
              <w:rPr>
                <w:rFonts w:cs="Times New Roman"/>
                <w:b/>
                <w:bCs/>
                <w:color w:val="000000"/>
                <w:sz w:val="22"/>
                <w:vertAlign w:val="superscript"/>
              </w:rPr>
              <w:t>+</w:t>
            </w:r>
          </w:p>
        </w:tc>
        <w:tc>
          <w:tcPr>
            <w:tcW w:w="767" w:type="dxa"/>
            <w:shd w:val="clear" w:color="auto" w:fill="auto"/>
            <w:noWrap/>
            <w:vAlign w:val="center"/>
            <w:hideMark/>
          </w:tcPr>
          <w:p w14:paraId="0CEA7539" w14:textId="77777777" w:rsidR="00503FE7" w:rsidRPr="0050680C" w:rsidRDefault="00503FE7" w:rsidP="006300FC">
            <w:pPr>
              <w:spacing w:line="240" w:lineRule="auto"/>
              <w:ind w:hanging="59"/>
              <w:jc w:val="center"/>
              <w:rPr>
                <w:rFonts w:eastAsia="Times New Roman" w:cs="Times New Roman"/>
                <w:b/>
                <w:bCs/>
                <w:color w:val="000000"/>
                <w:sz w:val="22"/>
              </w:rPr>
            </w:pPr>
            <w:r w:rsidRPr="0050680C">
              <w:rPr>
                <w:rFonts w:cs="Times New Roman"/>
                <w:b/>
                <w:bCs/>
                <w:color w:val="000000"/>
                <w:sz w:val="22"/>
              </w:rPr>
              <w:t>Γ</w:t>
            </w:r>
            <w:r w:rsidRPr="0050680C">
              <w:rPr>
                <w:rFonts w:cs="Times New Roman"/>
                <w:b/>
                <w:bCs/>
                <w:color w:val="000000"/>
                <w:sz w:val="22"/>
                <w:vertAlign w:val="superscript"/>
              </w:rPr>
              <w:t>-</w:t>
            </w:r>
          </w:p>
        </w:tc>
        <w:tc>
          <w:tcPr>
            <w:tcW w:w="767" w:type="dxa"/>
            <w:shd w:val="clear" w:color="auto" w:fill="auto"/>
            <w:noWrap/>
            <w:vAlign w:val="center"/>
            <w:hideMark/>
          </w:tcPr>
          <w:p w14:paraId="199FB96A" w14:textId="77777777" w:rsidR="00503FE7" w:rsidRPr="0050680C" w:rsidRDefault="00503FE7" w:rsidP="006300FC">
            <w:pPr>
              <w:spacing w:line="240" w:lineRule="auto"/>
              <w:ind w:hanging="59"/>
              <w:jc w:val="center"/>
              <w:rPr>
                <w:rFonts w:eastAsia="Times New Roman" w:cs="Times New Roman"/>
                <w:b/>
                <w:bCs/>
                <w:color w:val="000000"/>
                <w:sz w:val="22"/>
              </w:rPr>
            </w:pPr>
            <w:r w:rsidRPr="0050680C">
              <w:rPr>
                <w:rFonts w:cs="Times New Roman"/>
                <w:b/>
                <w:bCs/>
                <w:color w:val="000000"/>
                <w:sz w:val="22"/>
              </w:rPr>
              <w:t>Γ</w:t>
            </w:r>
            <w:r w:rsidRPr="0050680C">
              <w:rPr>
                <w:rFonts w:cs="Times New Roman"/>
                <w:b/>
                <w:bCs/>
                <w:i/>
                <w:iCs/>
                <w:color w:val="000000"/>
                <w:sz w:val="22"/>
                <w:vertAlign w:val="superscript"/>
              </w:rPr>
              <w:t>LW</w:t>
            </w:r>
          </w:p>
        </w:tc>
        <w:tc>
          <w:tcPr>
            <w:tcW w:w="767" w:type="dxa"/>
            <w:shd w:val="clear" w:color="auto" w:fill="auto"/>
            <w:noWrap/>
            <w:vAlign w:val="center"/>
            <w:hideMark/>
          </w:tcPr>
          <w:p w14:paraId="1F98E9B5" w14:textId="77777777" w:rsidR="00503FE7" w:rsidRPr="0050680C" w:rsidRDefault="00503FE7" w:rsidP="006300FC">
            <w:pPr>
              <w:spacing w:line="240" w:lineRule="auto"/>
              <w:ind w:hanging="119"/>
              <w:jc w:val="center"/>
              <w:rPr>
                <w:rFonts w:eastAsia="Times New Roman" w:cs="Times New Roman"/>
                <w:b/>
                <w:bCs/>
                <w:color w:val="000000"/>
                <w:sz w:val="22"/>
              </w:rPr>
            </w:pPr>
            <w:r w:rsidRPr="0050680C">
              <w:rPr>
                <w:rFonts w:cs="Times New Roman"/>
                <w:b/>
                <w:bCs/>
                <w:color w:val="000000"/>
                <w:sz w:val="22"/>
              </w:rPr>
              <w:t>Γ</w:t>
            </w:r>
            <w:r w:rsidRPr="0050680C">
              <w:rPr>
                <w:rFonts w:cs="Times New Roman"/>
                <w:b/>
                <w:bCs/>
                <w:i/>
                <w:iCs/>
                <w:color w:val="000000"/>
                <w:sz w:val="22"/>
                <w:vertAlign w:val="superscript"/>
              </w:rPr>
              <w:t>AB</w:t>
            </w:r>
          </w:p>
        </w:tc>
        <w:tc>
          <w:tcPr>
            <w:tcW w:w="767" w:type="dxa"/>
            <w:shd w:val="clear" w:color="auto" w:fill="auto"/>
            <w:noWrap/>
            <w:vAlign w:val="center"/>
            <w:hideMark/>
          </w:tcPr>
          <w:p w14:paraId="484A8232" w14:textId="77777777" w:rsidR="00503FE7" w:rsidRPr="0050680C" w:rsidRDefault="00503FE7" w:rsidP="006300FC">
            <w:pPr>
              <w:spacing w:line="240" w:lineRule="auto"/>
              <w:ind w:hanging="119"/>
              <w:jc w:val="center"/>
              <w:rPr>
                <w:rFonts w:eastAsia="Times New Roman" w:cs="Times New Roman"/>
                <w:b/>
                <w:bCs/>
                <w:color w:val="000000"/>
                <w:sz w:val="22"/>
              </w:rPr>
            </w:pPr>
            <w:r w:rsidRPr="0050680C">
              <w:rPr>
                <w:rFonts w:cs="Times New Roman"/>
                <w:b/>
                <w:bCs/>
                <w:color w:val="000000"/>
                <w:sz w:val="22"/>
              </w:rPr>
              <w:t>Γ</w:t>
            </w:r>
            <w:r w:rsidRPr="0050680C">
              <w:rPr>
                <w:rFonts w:cs="Times New Roman"/>
                <w:b/>
                <w:bCs/>
                <w:i/>
                <w:iCs/>
                <w:color w:val="000000"/>
                <w:sz w:val="22"/>
                <w:vertAlign w:val="superscript"/>
              </w:rPr>
              <w:t>Total</w:t>
            </w:r>
          </w:p>
        </w:tc>
        <w:tc>
          <w:tcPr>
            <w:tcW w:w="818" w:type="dxa"/>
            <w:shd w:val="clear" w:color="auto" w:fill="auto"/>
            <w:noWrap/>
            <w:vAlign w:val="center"/>
            <w:hideMark/>
          </w:tcPr>
          <w:p w14:paraId="6D718FE7" w14:textId="77777777" w:rsidR="00503FE7" w:rsidRPr="0050680C" w:rsidRDefault="00503FE7" w:rsidP="006300FC">
            <w:pPr>
              <w:spacing w:line="240" w:lineRule="auto"/>
              <w:ind w:hanging="59"/>
              <w:jc w:val="center"/>
              <w:rPr>
                <w:rFonts w:eastAsia="Times New Roman" w:cs="Times New Roman"/>
                <w:b/>
                <w:bCs/>
                <w:color w:val="000000"/>
                <w:sz w:val="22"/>
              </w:rPr>
            </w:pPr>
            <w:r w:rsidRPr="0050680C">
              <w:rPr>
                <w:rFonts w:cs="Times New Roman"/>
                <w:b/>
                <w:bCs/>
                <w:color w:val="000000"/>
                <w:sz w:val="22"/>
              </w:rPr>
              <w:t>Γ</w:t>
            </w:r>
            <w:r w:rsidRPr="0050680C">
              <w:rPr>
                <w:rFonts w:cs="Times New Roman"/>
                <w:b/>
                <w:bCs/>
                <w:color w:val="000000"/>
                <w:sz w:val="22"/>
                <w:vertAlign w:val="superscript"/>
              </w:rPr>
              <w:t>+</w:t>
            </w:r>
            <w:r w:rsidRPr="0050680C">
              <w:rPr>
                <w:rFonts w:cs="Times New Roman"/>
                <w:b/>
                <w:bCs/>
                <w:color w:val="000000"/>
                <w:sz w:val="22"/>
              </w:rPr>
              <w:t>/Γ</w:t>
            </w:r>
            <w:r w:rsidRPr="0050680C">
              <w:rPr>
                <w:rFonts w:cs="Times New Roman"/>
                <w:b/>
                <w:bCs/>
                <w:color w:val="000000"/>
                <w:sz w:val="22"/>
                <w:vertAlign w:val="superscript"/>
              </w:rPr>
              <w:t>-</w:t>
            </w:r>
          </w:p>
        </w:tc>
      </w:tr>
      <w:tr w:rsidR="0050680C" w:rsidRPr="0050680C" w14:paraId="3F2F7C32" w14:textId="77777777" w:rsidTr="0050680C">
        <w:trPr>
          <w:trHeight w:val="255"/>
        </w:trPr>
        <w:tc>
          <w:tcPr>
            <w:tcW w:w="945" w:type="dxa"/>
            <w:vMerge w:val="restart"/>
            <w:shd w:val="clear" w:color="auto" w:fill="auto"/>
            <w:noWrap/>
            <w:vAlign w:val="center"/>
            <w:hideMark/>
          </w:tcPr>
          <w:p w14:paraId="00D657E0" w14:textId="77777777" w:rsidR="00503FE7" w:rsidRPr="0050680C" w:rsidRDefault="00503FE7" w:rsidP="006300FC">
            <w:pPr>
              <w:spacing w:line="240" w:lineRule="auto"/>
              <w:ind w:hanging="30"/>
              <w:jc w:val="center"/>
              <w:rPr>
                <w:rFonts w:eastAsia="Times New Roman" w:cs="Times New Roman"/>
                <w:color w:val="000000"/>
                <w:sz w:val="22"/>
              </w:rPr>
            </w:pPr>
            <w:r w:rsidRPr="0050680C">
              <w:rPr>
                <w:rFonts w:eastAsia="Times New Roman" w:cs="Times New Roman"/>
                <w:color w:val="000000"/>
                <w:sz w:val="22"/>
              </w:rPr>
              <w:t>PG 64-22</w:t>
            </w:r>
          </w:p>
        </w:tc>
        <w:tc>
          <w:tcPr>
            <w:tcW w:w="1125" w:type="dxa"/>
            <w:vMerge w:val="restart"/>
            <w:shd w:val="clear" w:color="auto" w:fill="auto"/>
            <w:noWrap/>
            <w:vAlign w:val="center"/>
            <w:hideMark/>
          </w:tcPr>
          <w:p w14:paraId="39F5D7AF" w14:textId="77777777" w:rsidR="00503FE7" w:rsidRPr="0050680C" w:rsidRDefault="00503FE7" w:rsidP="006300FC">
            <w:pPr>
              <w:spacing w:line="240" w:lineRule="auto"/>
              <w:jc w:val="center"/>
              <w:rPr>
                <w:rFonts w:eastAsia="Times New Roman" w:cs="Times New Roman"/>
                <w:color w:val="000000"/>
                <w:sz w:val="22"/>
              </w:rPr>
            </w:pPr>
            <w:r w:rsidRPr="0050680C">
              <w:rPr>
                <w:rFonts w:eastAsia="Times New Roman" w:cs="Times New Roman"/>
                <w:color w:val="000000"/>
                <w:sz w:val="22"/>
              </w:rPr>
              <w:t>RTFO-aging</w:t>
            </w:r>
          </w:p>
        </w:tc>
        <w:tc>
          <w:tcPr>
            <w:tcW w:w="1322" w:type="dxa"/>
            <w:shd w:val="clear" w:color="auto" w:fill="auto"/>
            <w:noWrap/>
            <w:vAlign w:val="center"/>
            <w:hideMark/>
          </w:tcPr>
          <w:p w14:paraId="27602DF7"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eastAsia="Times New Roman" w:cs="Times New Roman"/>
                <w:color w:val="000000"/>
                <w:sz w:val="22"/>
              </w:rPr>
              <w:t>None</w:t>
            </w:r>
          </w:p>
        </w:tc>
        <w:tc>
          <w:tcPr>
            <w:tcW w:w="843" w:type="dxa"/>
            <w:shd w:val="clear" w:color="auto" w:fill="auto"/>
            <w:noWrap/>
            <w:vAlign w:val="center"/>
            <w:hideMark/>
          </w:tcPr>
          <w:p w14:paraId="2FD0366C"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0.29</w:t>
            </w:r>
          </w:p>
        </w:tc>
        <w:tc>
          <w:tcPr>
            <w:tcW w:w="767" w:type="dxa"/>
            <w:shd w:val="clear" w:color="auto" w:fill="auto"/>
            <w:noWrap/>
            <w:vAlign w:val="center"/>
            <w:hideMark/>
          </w:tcPr>
          <w:p w14:paraId="61C490F8"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0.28</w:t>
            </w:r>
          </w:p>
        </w:tc>
        <w:tc>
          <w:tcPr>
            <w:tcW w:w="767" w:type="dxa"/>
            <w:shd w:val="clear" w:color="auto" w:fill="auto"/>
            <w:noWrap/>
            <w:vAlign w:val="center"/>
            <w:hideMark/>
          </w:tcPr>
          <w:p w14:paraId="4CFA5BBA"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17.78</w:t>
            </w:r>
          </w:p>
        </w:tc>
        <w:tc>
          <w:tcPr>
            <w:tcW w:w="767" w:type="dxa"/>
            <w:shd w:val="clear" w:color="auto" w:fill="auto"/>
            <w:noWrap/>
            <w:vAlign w:val="center"/>
            <w:hideMark/>
          </w:tcPr>
          <w:p w14:paraId="3B9DBC0C" w14:textId="77777777" w:rsidR="00503FE7" w:rsidRPr="0050680C" w:rsidRDefault="00503FE7" w:rsidP="006300FC">
            <w:pPr>
              <w:spacing w:line="240" w:lineRule="auto"/>
              <w:ind w:hanging="119"/>
              <w:jc w:val="center"/>
              <w:rPr>
                <w:rFonts w:eastAsia="Times New Roman" w:cs="Times New Roman"/>
                <w:color w:val="000000"/>
                <w:sz w:val="22"/>
              </w:rPr>
            </w:pPr>
            <w:r w:rsidRPr="0050680C">
              <w:rPr>
                <w:rFonts w:cs="Times New Roman"/>
                <w:color w:val="000000"/>
                <w:sz w:val="22"/>
              </w:rPr>
              <w:t>0.57</w:t>
            </w:r>
          </w:p>
        </w:tc>
        <w:tc>
          <w:tcPr>
            <w:tcW w:w="767" w:type="dxa"/>
            <w:shd w:val="clear" w:color="auto" w:fill="auto"/>
            <w:noWrap/>
            <w:vAlign w:val="center"/>
            <w:hideMark/>
          </w:tcPr>
          <w:p w14:paraId="2D43EB28" w14:textId="77777777" w:rsidR="00503FE7" w:rsidRPr="0050680C" w:rsidRDefault="00503FE7" w:rsidP="006300FC">
            <w:pPr>
              <w:spacing w:line="240" w:lineRule="auto"/>
              <w:ind w:hanging="119"/>
              <w:jc w:val="center"/>
              <w:rPr>
                <w:rFonts w:eastAsia="Times New Roman" w:cs="Times New Roman"/>
                <w:color w:val="000000"/>
                <w:sz w:val="22"/>
              </w:rPr>
            </w:pPr>
            <w:r w:rsidRPr="0050680C">
              <w:rPr>
                <w:rFonts w:cs="Times New Roman"/>
                <w:color w:val="000000"/>
                <w:sz w:val="22"/>
              </w:rPr>
              <w:t>18.35</w:t>
            </w:r>
          </w:p>
        </w:tc>
        <w:tc>
          <w:tcPr>
            <w:tcW w:w="818" w:type="dxa"/>
            <w:shd w:val="clear" w:color="auto" w:fill="auto"/>
            <w:noWrap/>
            <w:vAlign w:val="center"/>
            <w:hideMark/>
          </w:tcPr>
          <w:p w14:paraId="21A12C5C"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1.06</w:t>
            </w:r>
          </w:p>
        </w:tc>
      </w:tr>
      <w:tr w:rsidR="0050680C" w:rsidRPr="0050680C" w14:paraId="46417F71" w14:textId="77777777" w:rsidTr="0050680C">
        <w:trPr>
          <w:trHeight w:val="255"/>
        </w:trPr>
        <w:tc>
          <w:tcPr>
            <w:tcW w:w="945" w:type="dxa"/>
            <w:vMerge/>
            <w:shd w:val="clear" w:color="auto" w:fill="auto"/>
            <w:noWrap/>
            <w:vAlign w:val="center"/>
          </w:tcPr>
          <w:p w14:paraId="1BBC5B8A" w14:textId="77777777" w:rsidR="00503FE7" w:rsidRPr="0050680C" w:rsidRDefault="00503FE7" w:rsidP="006300FC">
            <w:pPr>
              <w:spacing w:line="240" w:lineRule="auto"/>
              <w:ind w:hanging="30"/>
              <w:jc w:val="center"/>
              <w:rPr>
                <w:rFonts w:eastAsia="Times New Roman" w:cs="Times New Roman"/>
                <w:color w:val="000000"/>
                <w:sz w:val="22"/>
              </w:rPr>
            </w:pPr>
          </w:p>
        </w:tc>
        <w:tc>
          <w:tcPr>
            <w:tcW w:w="1125" w:type="dxa"/>
            <w:vMerge/>
            <w:shd w:val="clear" w:color="auto" w:fill="auto"/>
            <w:noWrap/>
            <w:vAlign w:val="center"/>
          </w:tcPr>
          <w:p w14:paraId="24107AA7" w14:textId="77777777" w:rsidR="00503FE7" w:rsidRPr="0050680C" w:rsidRDefault="00503FE7" w:rsidP="006300FC">
            <w:pPr>
              <w:spacing w:line="240" w:lineRule="auto"/>
              <w:jc w:val="center"/>
              <w:rPr>
                <w:rFonts w:eastAsia="Times New Roman" w:cs="Times New Roman"/>
                <w:color w:val="000000"/>
                <w:sz w:val="22"/>
              </w:rPr>
            </w:pPr>
          </w:p>
        </w:tc>
        <w:tc>
          <w:tcPr>
            <w:tcW w:w="1322" w:type="dxa"/>
            <w:shd w:val="clear" w:color="auto" w:fill="auto"/>
            <w:noWrap/>
            <w:vAlign w:val="center"/>
            <w:hideMark/>
          </w:tcPr>
          <w:p w14:paraId="273E1104"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eastAsia="Times New Roman" w:cs="Times New Roman"/>
                <w:color w:val="000000"/>
                <w:sz w:val="22"/>
              </w:rPr>
              <w:t>0.5% WMA</w:t>
            </w:r>
          </w:p>
        </w:tc>
        <w:tc>
          <w:tcPr>
            <w:tcW w:w="843" w:type="dxa"/>
            <w:shd w:val="clear" w:color="auto" w:fill="auto"/>
            <w:noWrap/>
            <w:vAlign w:val="center"/>
            <w:hideMark/>
          </w:tcPr>
          <w:p w14:paraId="131F90B6"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0.38</w:t>
            </w:r>
          </w:p>
        </w:tc>
        <w:tc>
          <w:tcPr>
            <w:tcW w:w="767" w:type="dxa"/>
            <w:shd w:val="clear" w:color="auto" w:fill="auto"/>
            <w:noWrap/>
            <w:vAlign w:val="center"/>
            <w:hideMark/>
          </w:tcPr>
          <w:p w14:paraId="3CFF49D1"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0.31</w:t>
            </w:r>
          </w:p>
        </w:tc>
        <w:tc>
          <w:tcPr>
            <w:tcW w:w="767" w:type="dxa"/>
            <w:shd w:val="clear" w:color="auto" w:fill="auto"/>
            <w:noWrap/>
            <w:vAlign w:val="center"/>
            <w:hideMark/>
          </w:tcPr>
          <w:p w14:paraId="28BFBD81"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17.78</w:t>
            </w:r>
          </w:p>
        </w:tc>
        <w:tc>
          <w:tcPr>
            <w:tcW w:w="767" w:type="dxa"/>
            <w:shd w:val="clear" w:color="auto" w:fill="auto"/>
            <w:noWrap/>
            <w:vAlign w:val="center"/>
            <w:hideMark/>
          </w:tcPr>
          <w:p w14:paraId="5ED5CAE3" w14:textId="77777777" w:rsidR="00503FE7" w:rsidRPr="0050680C" w:rsidRDefault="00503FE7" w:rsidP="006300FC">
            <w:pPr>
              <w:spacing w:line="240" w:lineRule="auto"/>
              <w:ind w:hanging="119"/>
              <w:jc w:val="center"/>
              <w:rPr>
                <w:rFonts w:eastAsia="Times New Roman" w:cs="Times New Roman"/>
                <w:color w:val="000000"/>
                <w:sz w:val="22"/>
              </w:rPr>
            </w:pPr>
            <w:r w:rsidRPr="0050680C">
              <w:rPr>
                <w:rFonts w:cs="Times New Roman"/>
                <w:color w:val="000000"/>
                <w:sz w:val="22"/>
              </w:rPr>
              <w:t>0.69</w:t>
            </w:r>
          </w:p>
        </w:tc>
        <w:tc>
          <w:tcPr>
            <w:tcW w:w="767" w:type="dxa"/>
            <w:shd w:val="clear" w:color="auto" w:fill="auto"/>
            <w:noWrap/>
            <w:vAlign w:val="center"/>
            <w:hideMark/>
          </w:tcPr>
          <w:p w14:paraId="4AD55C2D" w14:textId="77777777" w:rsidR="00503FE7" w:rsidRPr="0050680C" w:rsidRDefault="00503FE7" w:rsidP="006300FC">
            <w:pPr>
              <w:spacing w:line="240" w:lineRule="auto"/>
              <w:ind w:hanging="119"/>
              <w:jc w:val="center"/>
              <w:rPr>
                <w:rFonts w:eastAsia="Times New Roman" w:cs="Times New Roman"/>
                <w:color w:val="000000"/>
                <w:sz w:val="22"/>
              </w:rPr>
            </w:pPr>
            <w:r w:rsidRPr="0050680C">
              <w:rPr>
                <w:rFonts w:cs="Times New Roman"/>
                <w:color w:val="000000"/>
                <w:sz w:val="22"/>
              </w:rPr>
              <w:t>18.47</w:t>
            </w:r>
          </w:p>
        </w:tc>
        <w:tc>
          <w:tcPr>
            <w:tcW w:w="818" w:type="dxa"/>
            <w:shd w:val="clear" w:color="auto" w:fill="auto"/>
            <w:noWrap/>
            <w:vAlign w:val="center"/>
            <w:hideMark/>
          </w:tcPr>
          <w:p w14:paraId="763E11E5"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1.24</w:t>
            </w:r>
          </w:p>
        </w:tc>
      </w:tr>
      <w:tr w:rsidR="0050680C" w:rsidRPr="0050680C" w14:paraId="601CABD2" w14:textId="77777777" w:rsidTr="0050680C">
        <w:trPr>
          <w:trHeight w:val="255"/>
        </w:trPr>
        <w:tc>
          <w:tcPr>
            <w:tcW w:w="945" w:type="dxa"/>
            <w:vMerge/>
            <w:shd w:val="clear" w:color="auto" w:fill="auto"/>
            <w:noWrap/>
            <w:vAlign w:val="center"/>
          </w:tcPr>
          <w:p w14:paraId="59C2F8A0" w14:textId="77777777" w:rsidR="00503FE7" w:rsidRPr="0050680C" w:rsidRDefault="00503FE7" w:rsidP="006300FC">
            <w:pPr>
              <w:spacing w:line="240" w:lineRule="auto"/>
              <w:ind w:hanging="30"/>
              <w:jc w:val="center"/>
              <w:rPr>
                <w:rFonts w:eastAsia="Times New Roman" w:cs="Times New Roman"/>
                <w:color w:val="000000"/>
                <w:sz w:val="22"/>
              </w:rPr>
            </w:pPr>
          </w:p>
        </w:tc>
        <w:tc>
          <w:tcPr>
            <w:tcW w:w="1125" w:type="dxa"/>
            <w:vMerge/>
            <w:shd w:val="clear" w:color="auto" w:fill="auto"/>
            <w:noWrap/>
            <w:vAlign w:val="center"/>
          </w:tcPr>
          <w:p w14:paraId="27C90584" w14:textId="77777777" w:rsidR="00503FE7" w:rsidRPr="0050680C" w:rsidRDefault="00503FE7" w:rsidP="006300FC">
            <w:pPr>
              <w:spacing w:line="240" w:lineRule="auto"/>
              <w:jc w:val="center"/>
              <w:rPr>
                <w:rFonts w:eastAsia="Times New Roman" w:cs="Times New Roman"/>
                <w:color w:val="000000"/>
                <w:sz w:val="22"/>
              </w:rPr>
            </w:pPr>
          </w:p>
        </w:tc>
        <w:tc>
          <w:tcPr>
            <w:tcW w:w="1322" w:type="dxa"/>
            <w:shd w:val="clear" w:color="auto" w:fill="auto"/>
            <w:noWrap/>
            <w:vAlign w:val="center"/>
            <w:hideMark/>
          </w:tcPr>
          <w:p w14:paraId="65E5684D"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eastAsia="Times New Roman" w:cs="Times New Roman"/>
                <w:color w:val="000000"/>
                <w:sz w:val="22"/>
              </w:rPr>
              <w:t>0.5% ASA</w:t>
            </w:r>
          </w:p>
        </w:tc>
        <w:tc>
          <w:tcPr>
            <w:tcW w:w="843" w:type="dxa"/>
            <w:shd w:val="clear" w:color="auto" w:fill="auto"/>
            <w:noWrap/>
            <w:vAlign w:val="center"/>
            <w:hideMark/>
          </w:tcPr>
          <w:p w14:paraId="2CDF3986"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0.36</w:t>
            </w:r>
          </w:p>
        </w:tc>
        <w:tc>
          <w:tcPr>
            <w:tcW w:w="767" w:type="dxa"/>
            <w:shd w:val="clear" w:color="auto" w:fill="auto"/>
            <w:noWrap/>
            <w:vAlign w:val="center"/>
            <w:hideMark/>
          </w:tcPr>
          <w:p w14:paraId="0AAEA492"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0.41</w:t>
            </w:r>
          </w:p>
        </w:tc>
        <w:tc>
          <w:tcPr>
            <w:tcW w:w="767" w:type="dxa"/>
            <w:shd w:val="clear" w:color="auto" w:fill="auto"/>
            <w:noWrap/>
            <w:vAlign w:val="center"/>
            <w:hideMark/>
          </w:tcPr>
          <w:p w14:paraId="68EC352D"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17.20</w:t>
            </w:r>
          </w:p>
        </w:tc>
        <w:tc>
          <w:tcPr>
            <w:tcW w:w="767" w:type="dxa"/>
            <w:shd w:val="clear" w:color="auto" w:fill="auto"/>
            <w:noWrap/>
            <w:vAlign w:val="center"/>
            <w:hideMark/>
          </w:tcPr>
          <w:p w14:paraId="48C0EBC5" w14:textId="77777777" w:rsidR="00503FE7" w:rsidRPr="0050680C" w:rsidRDefault="00503FE7" w:rsidP="006300FC">
            <w:pPr>
              <w:spacing w:line="240" w:lineRule="auto"/>
              <w:ind w:hanging="119"/>
              <w:jc w:val="center"/>
              <w:rPr>
                <w:rFonts w:eastAsia="Times New Roman" w:cs="Times New Roman"/>
                <w:color w:val="000000"/>
                <w:sz w:val="22"/>
              </w:rPr>
            </w:pPr>
            <w:r w:rsidRPr="0050680C">
              <w:rPr>
                <w:rFonts w:cs="Times New Roman"/>
                <w:color w:val="000000"/>
                <w:sz w:val="22"/>
              </w:rPr>
              <w:t>0.78</w:t>
            </w:r>
          </w:p>
        </w:tc>
        <w:tc>
          <w:tcPr>
            <w:tcW w:w="767" w:type="dxa"/>
            <w:shd w:val="clear" w:color="auto" w:fill="auto"/>
            <w:noWrap/>
            <w:vAlign w:val="center"/>
            <w:hideMark/>
          </w:tcPr>
          <w:p w14:paraId="2C21B80A" w14:textId="77777777" w:rsidR="00503FE7" w:rsidRPr="0050680C" w:rsidRDefault="00503FE7" w:rsidP="006300FC">
            <w:pPr>
              <w:spacing w:line="240" w:lineRule="auto"/>
              <w:ind w:hanging="119"/>
              <w:jc w:val="center"/>
              <w:rPr>
                <w:rFonts w:eastAsia="Times New Roman" w:cs="Times New Roman"/>
                <w:color w:val="000000"/>
                <w:sz w:val="22"/>
              </w:rPr>
            </w:pPr>
            <w:r w:rsidRPr="0050680C">
              <w:rPr>
                <w:rFonts w:cs="Times New Roman"/>
                <w:color w:val="000000"/>
                <w:sz w:val="22"/>
              </w:rPr>
              <w:t>17.98</w:t>
            </w:r>
          </w:p>
        </w:tc>
        <w:tc>
          <w:tcPr>
            <w:tcW w:w="818" w:type="dxa"/>
            <w:shd w:val="clear" w:color="auto" w:fill="auto"/>
            <w:noWrap/>
            <w:vAlign w:val="center"/>
            <w:hideMark/>
          </w:tcPr>
          <w:p w14:paraId="249E1873"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0.87</w:t>
            </w:r>
          </w:p>
        </w:tc>
      </w:tr>
      <w:tr w:rsidR="0050680C" w:rsidRPr="0050680C" w14:paraId="17FADB43" w14:textId="77777777" w:rsidTr="0050680C">
        <w:trPr>
          <w:trHeight w:val="255"/>
        </w:trPr>
        <w:tc>
          <w:tcPr>
            <w:tcW w:w="945" w:type="dxa"/>
            <w:vMerge/>
            <w:shd w:val="clear" w:color="auto" w:fill="auto"/>
            <w:noWrap/>
            <w:vAlign w:val="center"/>
          </w:tcPr>
          <w:p w14:paraId="46F89265" w14:textId="77777777" w:rsidR="00503FE7" w:rsidRPr="0050680C" w:rsidRDefault="00503FE7" w:rsidP="006300FC">
            <w:pPr>
              <w:spacing w:line="240" w:lineRule="auto"/>
              <w:ind w:hanging="30"/>
              <w:jc w:val="center"/>
              <w:rPr>
                <w:rFonts w:eastAsia="Times New Roman" w:cs="Times New Roman"/>
                <w:color w:val="000000"/>
                <w:sz w:val="22"/>
              </w:rPr>
            </w:pPr>
          </w:p>
        </w:tc>
        <w:tc>
          <w:tcPr>
            <w:tcW w:w="1125" w:type="dxa"/>
            <w:vMerge/>
            <w:shd w:val="clear" w:color="auto" w:fill="auto"/>
            <w:noWrap/>
            <w:vAlign w:val="center"/>
          </w:tcPr>
          <w:p w14:paraId="4915173D" w14:textId="77777777" w:rsidR="00503FE7" w:rsidRPr="0050680C" w:rsidRDefault="00503FE7" w:rsidP="006300FC">
            <w:pPr>
              <w:spacing w:line="240" w:lineRule="auto"/>
              <w:jc w:val="center"/>
              <w:rPr>
                <w:rFonts w:eastAsia="Times New Roman" w:cs="Times New Roman"/>
                <w:color w:val="000000"/>
                <w:sz w:val="22"/>
              </w:rPr>
            </w:pPr>
          </w:p>
        </w:tc>
        <w:tc>
          <w:tcPr>
            <w:tcW w:w="1322" w:type="dxa"/>
            <w:shd w:val="clear" w:color="auto" w:fill="auto"/>
            <w:noWrap/>
            <w:vAlign w:val="center"/>
            <w:hideMark/>
          </w:tcPr>
          <w:p w14:paraId="4929643D"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eastAsia="Times New Roman" w:cs="Times New Roman"/>
                <w:color w:val="000000"/>
                <w:sz w:val="22"/>
              </w:rPr>
              <w:t>20% RAP</w:t>
            </w:r>
          </w:p>
        </w:tc>
        <w:tc>
          <w:tcPr>
            <w:tcW w:w="843" w:type="dxa"/>
            <w:shd w:val="clear" w:color="auto" w:fill="auto"/>
            <w:noWrap/>
            <w:vAlign w:val="center"/>
            <w:hideMark/>
          </w:tcPr>
          <w:p w14:paraId="53F75346"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0.50</w:t>
            </w:r>
          </w:p>
        </w:tc>
        <w:tc>
          <w:tcPr>
            <w:tcW w:w="767" w:type="dxa"/>
            <w:shd w:val="clear" w:color="auto" w:fill="auto"/>
            <w:noWrap/>
            <w:vAlign w:val="center"/>
            <w:hideMark/>
          </w:tcPr>
          <w:p w14:paraId="52427979"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0.37</w:t>
            </w:r>
          </w:p>
        </w:tc>
        <w:tc>
          <w:tcPr>
            <w:tcW w:w="767" w:type="dxa"/>
            <w:shd w:val="clear" w:color="auto" w:fill="auto"/>
            <w:noWrap/>
            <w:vAlign w:val="center"/>
            <w:hideMark/>
          </w:tcPr>
          <w:p w14:paraId="5B3AF704"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16.53</w:t>
            </w:r>
          </w:p>
        </w:tc>
        <w:tc>
          <w:tcPr>
            <w:tcW w:w="767" w:type="dxa"/>
            <w:shd w:val="clear" w:color="auto" w:fill="auto"/>
            <w:noWrap/>
            <w:vAlign w:val="center"/>
            <w:hideMark/>
          </w:tcPr>
          <w:p w14:paraId="0023290D" w14:textId="77777777" w:rsidR="00503FE7" w:rsidRPr="0050680C" w:rsidRDefault="00503FE7" w:rsidP="006300FC">
            <w:pPr>
              <w:spacing w:line="240" w:lineRule="auto"/>
              <w:ind w:hanging="119"/>
              <w:jc w:val="center"/>
              <w:rPr>
                <w:rFonts w:eastAsia="Times New Roman" w:cs="Times New Roman"/>
                <w:color w:val="000000"/>
                <w:sz w:val="22"/>
              </w:rPr>
            </w:pPr>
            <w:r w:rsidRPr="0050680C">
              <w:rPr>
                <w:rFonts w:cs="Times New Roman"/>
                <w:color w:val="000000"/>
                <w:sz w:val="22"/>
              </w:rPr>
              <w:t>0.86</w:t>
            </w:r>
          </w:p>
        </w:tc>
        <w:tc>
          <w:tcPr>
            <w:tcW w:w="767" w:type="dxa"/>
            <w:shd w:val="clear" w:color="auto" w:fill="auto"/>
            <w:noWrap/>
            <w:vAlign w:val="center"/>
            <w:hideMark/>
          </w:tcPr>
          <w:p w14:paraId="5FEA8DF8" w14:textId="77777777" w:rsidR="00503FE7" w:rsidRPr="0050680C" w:rsidRDefault="00503FE7" w:rsidP="006300FC">
            <w:pPr>
              <w:spacing w:line="240" w:lineRule="auto"/>
              <w:ind w:hanging="119"/>
              <w:jc w:val="center"/>
              <w:rPr>
                <w:rFonts w:eastAsia="Times New Roman" w:cs="Times New Roman"/>
                <w:color w:val="000000"/>
                <w:sz w:val="22"/>
              </w:rPr>
            </w:pPr>
            <w:r w:rsidRPr="0050680C">
              <w:rPr>
                <w:rFonts w:cs="Times New Roman"/>
                <w:color w:val="000000"/>
                <w:sz w:val="22"/>
              </w:rPr>
              <w:t>17.39</w:t>
            </w:r>
          </w:p>
        </w:tc>
        <w:tc>
          <w:tcPr>
            <w:tcW w:w="818" w:type="dxa"/>
            <w:shd w:val="clear" w:color="auto" w:fill="auto"/>
            <w:noWrap/>
            <w:vAlign w:val="center"/>
            <w:hideMark/>
          </w:tcPr>
          <w:p w14:paraId="4455506A"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1.36</w:t>
            </w:r>
          </w:p>
        </w:tc>
      </w:tr>
      <w:tr w:rsidR="0050680C" w:rsidRPr="0050680C" w14:paraId="2F41864E" w14:textId="77777777" w:rsidTr="0050680C">
        <w:trPr>
          <w:trHeight w:val="255"/>
        </w:trPr>
        <w:tc>
          <w:tcPr>
            <w:tcW w:w="945" w:type="dxa"/>
            <w:vMerge/>
            <w:shd w:val="clear" w:color="auto" w:fill="auto"/>
            <w:noWrap/>
            <w:vAlign w:val="center"/>
          </w:tcPr>
          <w:p w14:paraId="0DBA4A45" w14:textId="77777777" w:rsidR="00503FE7" w:rsidRPr="0050680C" w:rsidRDefault="00503FE7" w:rsidP="006300FC">
            <w:pPr>
              <w:spacing w:line="240" w:lineRule="auto"/>
              <w:ind w:hanging="30"/>
              <w:jc w:val="center"/>
              <w:rPr>
                <w:rFonts w:eastAsia="Times New Roman" w:cs="Times New Roman"/>
                <w:color w:val="000000"/>
                <w:sz w:val="22"/>
              </w:rPr>
            </w:pPr>
          </w:p>
        </w:tc>
        <w:tc>
          <w:tcPr>
            <w:tcW w:w="1125" w:type="dxa"/>
            <w:vMerge/>
            <w:shd w:val="clear" w:color="auto" w:fill="auto"/>
            <w:noWrap/>
            <w:vAlign w:val="center"/>
          </w:tcPr>
          <w:p w14:paraId="3EC003FF" w14:textId="77777777" w:rsidR="00503FE7" w:rsidRPr="0050680C" w:rsidRDefault="00503FE7" w:rsidP="006300FC">
            <w:pPr>
              <w:spacing w:line="240" w:lineRule="auto"/>
              <w:jc w:val="center"/>
              <w:rPr>
                <w:rFonts w:eastAsia="Times New Roman" w:cs="Times New Roman"/>
                <w:color w:val="000000"/>
                <w:sz w:val="22"/>
              </w:rPr>
            </w:pPr>
          </w:p>
        </w:tc>
        <w:tc>
          <w:tcPr>
            <w:tcW w:w="1322" w:type="dxa"/>
            <w:shd w:val="clear" w:color="auto" w:fill="auto"/>
            <w:noWrap/>
            <w:vAlign w:val="center"/>
            <w:hideMark/>
          </w:tcPr>
          <w:p w14:paraId="676619B0"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eastAsia="Times New Roman" w:cs="Times New Roman"/>
                <w:color w:val="000000"/>
                <w:sz w:val="22"/>
              </w:rPr>
              <w:t>1.5% PPA</w:t>
            </w:r>
          </w:p>
        </w:tc>
        <w:tc>
          <w:tcPr>
            <w:tcW w:w="843" w:type="dxa"/>
            <w:shd w:val="clear" w:color="auto" w:fill="auto"/>
            <w:noWrap/>
            <w:vAlign w:val="center"/>
            <w:hideMark/>
          </w:tcPr>
          <w:p w14:paraId="52F45CCA"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0.60</w:t>
            </w:r>
          </w:p>
        </w:tc>
        <w:tc>
          <w:tcPr>
            <w:tcW w:w="767" w:type="dxa"/>
            <w:shd w:val="clear" w:color="auto" w:fill="auto"/>
            <w:noWrap/>
            <w:vAlign w:val="center"/>
            <w:hideMark/>
          </w:tcPr>
          <w:p w14:paraId="039881C9"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2.52</w:t>
            </w:r>
          </w:p>
        </w:tc>
        <w:tc>
          <w:tcPr>
            <w:tcW w:w="767" w:type="dxa"/>
            <w:shd w:val="clear" w:color="auto" w:fill="auto"/>
            <w:noWrap/>
            <w:vAlign w:val="center"/>
            <w:hideMark/>
          </w:tcPr>
          <w:p w14:paraId="0CB7ABAD"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14.11</w:t>
            </w:r>
          </w:p>
        </w:tc>
        <w:tc>
          <w:tcPr>
            <w:tcW w:w="767" w:type="dxa"/>
            <w:shd w:val="clear" w:color="auto" w:fill="auto"/>
            <w:noWrap/>
            <w:vAlign w:val="center"/>
            <w:hideMark/>
          </w:tcPr>
          <w:p w14:paraId="7D41D367" w14:textId="77777777" w:rsidR="00503FE7" w:rsidRPr="0050680C" w:rsidRDefault="00503FE7" w:rsidP="006300FC">
            <w:pPr>
              <w:spacing w:line="240" w:lineRule="auto"/>
              <w:ind w:hanging="119"/>
              <w:jc w:val="center"/>
              <w:rPr>
                <w:rFonts w:eastAsia="Times New Roman" w:cs="Times New Roman"/>
                <w:color w:val="000000"/>
                <w:sz w:val="22"/>
              </w:rPr>
            </w:pPr>
            <w:r w:rsidRPr="0050680C">
              <w:rPr>
                <w:rFonts w:cs="Times New Roman"/>
                <w:color w:val="000000"/>
                <w:sz w:val="22"/>
              </w:rPr>
              <w:t>2.46</w:t>
            </w:r>
          </w:p>
        </w:tc>
        <w:tc>
          <w:tcPr>
            <w:tcW w:w="767" w:type="dxa"/>
            <w:shd w:val="clear" w:color="auto" w:fill="auto"/>
            <w:noWrap/>
            <w:vAlign w:val="center"/>
          </w:tcPr>
          <w:p w14:paraId="6158022A" w14:textId="77777777" w:rsidR="00503FE7" w:rsidRPr="0050680C" w:rsidRDefault="00503FE7" w:rsidP="006300FC">
            <w:pPr>
              <w:spacing w:line="240" w:lineRule="auto"/>
              <w:ind w:hanging="119"/>
              <w:jc w:val="center"/>
              <w:rPr>
                <w:rFonts w:eastAsia="Times New Roman" w:cs="Times New Roman"/>
                <w:color w:val="000000"/>
                <w:sz w:val="22"/>
              </w:rPr>
            </w:pPr>
            <w:r w:rsidRPr="0050680C">
              <w:rPr>
                <w:rFonts w:cs="Times New Roman"/>
                <w:color w:val="000000"/>
                <w:sz w:val="22"/>
              </w:rPr>
              <w:t>16.57</w:t>
            </w:r>
          </w:p>
        </w:tc>
        <w:tc>
          <w:tcPr>
            <w:tcW w:w="818" w:type="dxa"/>
            <w:shd w:val="clear" w:color="auto" w:fill="auto"/>
            <w:noWrap/>
            <w:vAlign w:val="center"/>
          </w:tcPr>
          <w:p w14:paraId="0857E6E5"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0.24</w:t>
            </w:r>
          </w:p>
        </w:tc>
      </w:tr>
      <w:tr w:rsidR="0050680C" w:rsidRPr="0050680C" w14:paraId="0B30660A" w14:textId="77777777" w:rsidTr="0050680C">
        <w:trPr>
          <w:trHeight w:val="255"/>
        </w:trPr>
        <w:tc>
          <w:tcPr>
            <w:tcW w:w="945" w:type="dxa"/>
            <w:vMerge/>
            <w:shd w:val="clear" w:color="auto" w:fill="auto"/>
            <w:noWrap/>
            <w:vAlign w:val="center"/>
          </w:tcPr>
          <w:p w14:paraId="7FCA3121" w14:textId="77777777" w:rsidR="00503FE7" w:rsidRPr="0050680C" w:rsidRDefault="00503FE7" w:rsidP="006300FC">
            <w:pPr>
              <w:spacing w:line="240" w:lineRule="auto"/>
              <w:ind w:hanging="30"/>
              <w:jc w:val="center"/>
              <w:rPr>
                <w:rFonts w:eastAsia="Times New Roman" w:cs="Times New Roman"/>
                <w:color w:val="000000"/>
                <w:sz w:val="22"/>
              </w:rPr>
            </w:pPr>
          </w:p>
        </w:tc>
        <w:tc>
          <w:tcPr>
            <w:tcW w:w="1125" w:type="dxa"/>
            <w:vMerge w:val="restart"/>
            <w:shd w:val="clear" w:color="auto" w:fill="auto"/>
            <w:noWrap/>
            <w:vAlign w:val="center"/>
          </w:tcPr>
          <w:p w14:paraId="0ACBB42E" w14:textId="77777777" w:rsidR="00503FE7" w:rsidRPr="0050680C" w:rsidRDefault="00503FE7" w:rsidP="006300FC">
            <w:pPr>
              <w:spacing w:line="240" w:lineRule="auto"/>
              <w:jc w:val="center"/>
              <w:rPr>
                <w:rFonts w:eastAsia="Times New Roman" w:cs="Times New Roman"/>
                <w:color w:val="000000"/>
                <w:sz w:val="22"/>
              </w:rPr>
            </w:pPr>
            <w:r w:rsidRPr="0050680C">
              <w:rPr>
                <w:rFonts w:eastAsia="Times New Roman" w:cs="Times New Roman"/>
                <w:color w:val="000000"/>
                <w:sz w:val="22"/>
              </w:rPr>
              <w:t>PAV-aging</w:t>
            </w:r>
          </w:p>
        </w:tc>
        <w:tc>
          <w:tcPr>
            <w:tcW w:w="1322" w:type="dxa"/>
            <w:shd w:val="clear" w:color="auto" w:fill="auto"/>
            <w:noWrap/>
            <w:vAlign w:val="center"/>
            <w:hideMark/>
          </w:tcPr>
          <w:p w14:paraId="43CBFF7C"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eastAsia="Times New Roman" w:cs="Times New Roman"/>
                <w:color w:val="000000"/>
                <w:sz w:val="22"/>
              </w:rPr>
              <w:t>None</w:t>
            </w:r>
          </w:p>
        </w:tc>
        <w:tc>
          <w:tcPr>
            <w:tcW w:w="843" w:type="dxa"/>
            <w:shd w:val="clear" w:color="auto" w:fill="auto"/>
            <w:noWrap/>
            <w:vAlign w:val="center"/>
            <w:hideMark/>
          </w:tcPr>
          <w:p w14:paraId="0415096C"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0.30</w:t>
            </w:r>
          </w:p>
        </w:tc>
        <w:tc>
          <w:tcPr>
            <w:tcW w:w="767" w:type="dxa"/>
            <w:shd w:val="clear" w:color="auto" w:fill="auto"/>
            <w:noWrap/>
            <w:vAlign w:val="center"/>
            <w:hideMark/>
          </w:tcPr>
          <w:p w14:paraId="361731C0"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0.52</w:t>
            </w:r>
          </w:p>
        </w:tc>
        <w:tc>
          <w:tcPr>
            <w:tcW w:w="767" w:type="dxa"/>
            <w:shd w:val="clear" w:color="auto" w:fill="auto"/>
            <w:noWrap/>
            <w:vAlign w:val="center"/>
            <w:hideMark/>
          </w:tcPr>
          <w:p w14:paraId="32DC7176"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16.76</w:t>
            </w:r>
          </w:p>
        </w:tc>
        <w:tc>
          <w:tcPr>
            <w:tcW w:w="767" w:type="dxa"/>
            <w:shd w:val="clear" w:color="auto" w:fill="auto"/>
            <w:noWrap/>
            <w:vAlign w:val="center"/>
            <w:hideMark/>
          </w:tcPr>
          <w:p w14:paraId="4DF9861F" w14:textId="77777777" w:rsidR="00503FE7" w:rsidRPr="0050680C" w:rsidRDefault="00503FE7" w:rsidP="006300FC">
            <w:pPr>
              <w:spacing w:line="240" w:lineRule="auto"/>
              <w:ind w:hanging="119"/>
              <w:jc w:val="center"/>
              <w:rPr>
                <w:rFonts w:eastAsia="Times New Roman" w:cs="Times New Roman"/>
                <w:color w:val="000000"/>
                <w:sz w:val="22"/>
              </w:rPr>
            </w:pPr>
            <w:r w:rsidRPr="0050680C">
              <w:rPr>
                <w:rFonts w:cs="Times New Roman"/>
                <w:color w:val="000000"/>
                <w:sz w:val="22"/>
              </w:rPr>
              <w:t>0.79</w:t>
            </w:r>
          </w:p>
        </w:tc>
        <w:tc>
          <w:tcPr>
            <w:tcW w:w="767" w:type="dxa"/>
            <w:shd w:val="clear" w:color="auto" w:fill="auto"/>
            <w:noWrap/>
            <w:vAlign w:val="center"/>
            <w:hideMark/>
          </w:tcPr>
          <w:p w14:paraId="789B2D53" w14:textId="77777777" w:rsidR="00503FE7" w:rsidRPr="0050680C" w:rsidRDefault="00503FE7" w:rsidP="006300FC">
            <w:pPr>
              <w:spacing w:line="240" w:lineRule="auto"/>
              <w:ind w:hanging="119"/>
              <w:jc w:val="center"/>
              <w:rPr>
                <w:rFonts w:eastAsia="Times New Roman" w:cs="Times New Roman"/>
                <w:color w:val="000000"/>
                <w:sz w:val="22"/>
              </w:rPr>
            </w:pPr>
            <w:r w:rsidRPr="0050680C">
              <w:rPr>
                <w:rFonts w:cs="Times New Roman"/>
                <w:color w:val="000000"/>
                <w:sz w:val="22"/>
              </w:rPr>
              <w:t>17.55</w:t>
            </w:r>
          </w:p>
        </w:tc>
        <w:tc>
          <w:tcPr>
            <w:tcW w:w="818" w:type="dxa"/>
            <w:shd w:val="clear" w:color="auto" w:fill="auto"/>
            <w:noWrap/>
            <w:vAlign w:val="center"/>
            <w:hideMark/>
          </w:tcPr>
          <w:p w14:paraId="7426AFBA"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0.58</w:t>
            </w:r>
          </w:p>
        </w:tc>
      </w:tr>
      <w:tr w:rsidR="0050680C" w:rsidRPr="0050680C" w14:paraId="3BCCC139" w14:textId="77777777" w:rsidTr="0050680C">
        <w:trPr>
          <w:trHeight w:val="255"/>
        </w:trPr>
        <w:tc>
          <w:tcPr>
            <w:tcW w:w="945" w:type="dxa"/>
            <w:vMerge/>
            <w:shd w:val="clear" w:color="auto" w:fill="auto"/>
            <w:noWrap/>
            <w:vAlign w:val="center"/>
          </w:tcPr>
          <w:p w14:paraId="5AC73DA9" w14:textId="77777777" w:rsidR="00503FE7" w:rsidRPr="0050680C" w:rsidRDefault="00503FE7" w:rsidP="006300FC">
            <w:pPr>
              <w:spacing w:line="240" w:lineRule="auto"/>
              <w:ind w:hanging="30"/>
              <w:jc w:val="center"/>
              <w:rPr>
                <w:rFonts w:eastAsia="Times New Roman" w:cs="Times New Roman"/>
                <w:color w:val="000000"/>
                <w:sz w:val="22"/>
              </w:rPr>
            </w:pPr>
          </w:p>
        </w:tc>
        <w:tc>
          <w:tcPr>
            <w:tcW w:w="1125" w:type="dxa"/>
            <w:vMerge/>
            <w:shd w:val="clear" w:color="auto" w:fill="auto"/>
            <w:noWrap/>
            <w:vAlign w:val="center"/>
          </w:tcPr>
          <w:p w14:paraId="289566CB" w14:textId="77777777" w:rsidR="00503FE7" w:rsidRPr="0050680C" w:rsidRDefault="00503FE7" w:rsidP="006300FC">
            <w:pPr>
              <w:spacing w:line="240" w:lineRule="auto"/>
              <w:jc w:val="center"/>
              <w:rPr>
                <w:rFonts w:eastAsia="Times New Roman" w:cs="Times New Roman"/>
                <w:color w:val="000000"/>
                <w:sz w:val="22"/>
              </w:rPr>
            </w:pPr>
          </w:p>
        </w:tc>
        <w:tc>
          <w:tcPr>
            <w:tcW w:w="1322" w:type="dxa"/>
            <w:shd w:val="clear" w:color="auto" w:fill="auto"/>
            <w:noWrap/>
            <w:vAlign w:val="center"/>
            <w:hideMark/>
          </w:tcPr>
          <w:p w14:paraId="069550E4"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eastAsia="Times New Roman" w:cs="Times New Roman"/>
                <w:color w:val="000000"/>
                <w:sz w:val="22"/>
              </w:rPr>
              <w:t>0.5% WMA</w:t>
            </w:r>
          </w:p>
        </w:tc>
        <w:tc>
          <w:tcPr>
            <w:tcW w:w="843" w:type="dxa"/>
            <w:shd w:val="clear" w:color="auto" w:fill="auto"/>
            <w:noWrap/>
            <w:vAlign w:val="center"/>
            <w:hideMark/>
          </w:tcPr>
          <w:p w14:paraId="294CF7D2"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0.91</w:t>
            </w:r>
          </w:p>
        </w:tc>
        <w:tc>
          <w:tcPr>
            <w:tcW w:w="767" w:type="dxa"/>
            <w:shd w:val="clear" w:color="auto" w:fill="auto"/>
            <w:noWrap/>
            <w:vAlign w:val="center"/>
            <w:hideMark/>
          </w:tcPr>
          <w:p w14:paraId="08CC0796"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0.50</w:t>
            </w:r>
          </w:p>
        </w:tc>
        <w:tc>
          <w:tcPr>
            <w:tcW w:w="767" w:type="dxa"/>
            <w:shd w:val="clear" w:color="auto" w:fill="auto"/>
            <w:noWrap/>
            <w:vAlign w:val="center"/>
            <w:hideMark/>
          </w:tcPr>
          <w:p w14:paraId="164BC63C"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13.20</w:t>
            </w:r>
          </w:p>
        </w:tc>
        <w:tc>
          <w:tcPr>
            <w:tcW w:w="767" w:type="dxa"/>
            <w:shd w:val="clear" w:color="auto" w:fill="auto"/>
            <w:noWrap/>
            <w:vAlign w:val="center"/>
            <w:hideMark/>
          </w:tcPr>
          <w:p w14:paraId="74009CDF" w14:textId="77777777" w:rsidR="00503FE7" w:rsidRPr="0050680C" w:rsidRDefault="00503FE7" w:rsidP="006300FC">
            <w:pPr>
              <w:spacing w:line="240" w:lineRule="auto"/>
              <w:ind w:hanging="119"/>
              <w:jc w:val="center"/>
              <w:rPr>
                <w:rFonts w:eastAsia="Times New Roman" w:cs="Times New Roman"/>
                <w:color w:val="000000"/>
                <w:sz w:val="22"/>
              </w:rPr>
            </w:pPr>
            <w:r w:rsidRPr="0050680C">
              <w:rPr>
                <w:rFonts w:cs="Times New Roman"/>
                <w:color w:val="000000"/>
                <w:sz w:val="22"/>
              </w:rPr>
              <w:t>1.34</w:t>
            </w:r>
          </w:p>
        </w:tc>
        <w:tc>
          <w:tcPr>
            <w:tcW w:w="767" w:type="dxa"/>
            <w:shd w:val="clear" w:color="auto" w:fill="auto"/>
            <w:noWrap/>
            <w:vAlign w:val="center"/>
            <w:hideMark/>
          </w:tcPr>
          <w:p w14:paraId="568F163D" w14:textId="77777777" w:rsidR="00503FE7" w:rsidRPr="0050680C" w:rsidRDefault="00503FE7" w:rsidP="006300FC">
            <w:pPr>
              <w:spacing w:line="240" w:lineRule="auto"/>
              <w:ind w:hanging="119"/>
              <w:jc w:val="center"/>
              <w:rPr>
                <w:rFonts w:eastAsia="Times New Roman" w:cs="Times New Roman"/>
                <w:color w:val="000000"/>
                <w:sz w:val="22"/>
              </w:rPr>
            </w:pPr>
            <w:r w:rsidRPr="0050680C">
              <w:rPr>
                <w:rFonts w:cs="Times New Roman"/>
                <w:color w:val="000000"/>
                <w:sz w:val="22"/>
              </w:rPr>
              <w:t>14.54</w:t>
            </w:r>
          </w:p>
        </w:tc>
        <w:tc>
          <w:tcPr>
            <w:tcW w:w="818" w:type="dxa"/>
            <w:shd w:val="clear" w:color="auto" w:fill="auto"/>
            <w:noWrap/>
            <w:vAlign w:val="center"/>
            <w:hideMark/>
          </w:tcPr>
          <w:p w14:paraId="4A550C7C"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1.82</w:t>
            </w:r>
          </w:p>
        </w:tc>
      </w:tr>
      <w:tr w:rsidR="0050680C" w:rsidRPr="0050680C" w14:paraId="4325E0E4" w14:textId="77777777" w:rsidTr="0050680C">
        <w:trPr>
          <w:trHeight w:val="255"/>
        </w:trPr>
        <w:tc>
          <w:tcPr>
            <w:tcW w:w="945" w:type="dxa"/>
            <w:vMerge/>
            <w:shd w:val="clear" w:color="auto" w:fill="auto"/>
            <w:noWrap/>
            <w:vAlign w:val="center"/>
          </w:tcPr>
          <w:p w14:paraId="391D68D2" w14:textId="77777777" w:rsidR="00503FE7" w:rsidRPr="0050680C" w:rsidRDefault="00503FE7" w:rsidP="006300FC">
            <w:pPr>
              <w:spacing w:line="240" w:lineRule="auto"/>
              <w:ind w:hanging="30"/>
              <w:jc w:val="center"/>
              <w:rPr>
                <w:rFonts w:eastAsia="Times New Roman" w:cs="Times New Roman"/>
                <w:color w:val="000000"/>
                <w:sz w:val="22"/>
              </w:rPr>
            </w:pPr>
          </w:p>
        </w:tc>
        <w:tc>
          <w:tcPr>
            <w:tcW w:w="1125" w:type="dxa"/>
            <w:vMerge/>
            <w:shd w:val="clear" w:color="auto" w:fill="auto"/>
            <w:noWrap/>
            <w:vAlign w:val="center"/>
          </w:tcPr>
          <w:p w14:paraId="384B1436" w14:textId="77777777" w:rsidR="00503FE7" w:rsidRPr="0050680C" w:rsidRDefault="00503FE7" w:rsidP="006300FC">
            <w:pPr>
              <w:spacing w:line="240" w:lineRule="auto"/>
              <w:jc w:val="center"/>
              <w:rPr>
                <w:rFonts w:eastAsia="Times New Roman" w:cs="Times New Roman"/>
                <w:color w:val="000000"/>
                <w:sz w:val="22"/>
              </w:rPr>
            </w:pPr>
          </w:p>
        </w:tc>
        <w:tc>
          <w:tcPr>
            <w:tcW w:w="1322" w:type="dxa"/>
            <w:shd w:val="clear" w:color="auto" w:fill="auto"/>
            <w:noWrap/>
            <w:vAlign w:val="center"/>
            <w:hideMark/>
          </w:tcPr>
          <w:p w14:paraId="33531FE1"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eastAsia="Times New Roman" w:cs="Times New Roman"/>
                <w:color w:val="000000"/>
                <w:sz w:val="22"/>
              </w:rPr>
              <w:t>0.5% ASA</w:t>
            </w:r>
          </w:p>
        </w:tc>
        <w:tc>
          <w:tcPr>
            <w:tcW w:w="843" w:type="dxa"/>
            <w:shd w:val="clear" w:color="auto" w:fill="auto"/>
            <w:noWrap/>
            <w:vAlign w:val="center"/>
            <w:hideMark/>
          </w:tcPr>
          <w:p w14:paraId="16FAC06D"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0.44</w:t>
            </w:r>
          </w:p>
        </w:tc>
        <w:tc>
          <w:tcPr>
            <w:tcW w:w="767" w:type="dxa"/>
            <w:shd w:val="clear" w:color="auto" w:fill="auto"/>
            <w:noWrap/>
            <w:vAlign w:val="center"/>
            <w:hideMark/>
          </w:tcPr>
          <w:p w14:paraId="2CB4C63A"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0.38</w:t>
            </w:r>
          </w:p>
        </w:tc>
        <w:tc>
          <w:tcPr>
            <w:tcW w:w="767" w:type="dxa"/>
            <w:shd w:val="clear" w:color="auto" w:fill="auto"/>
            <w:noWrap/>
            <w:vAlign w:val="center"/>
            <w:hideMark/>
          </w:tcPr>
          <w:p w14:paraId="2E25747D"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16.43</w:t>
            </w:r>
          </w:p>
        </w:tc>
        <w:tc>
          <w:tcPr>
            <w:tcW w:w="767" w:type="dxa"/>
            <w:shd w:val="clear" w:color="auto" w:fill="auto"/>
            <w:noWrap/>
            <w:vAlign w:val="center"/>
            <w:hideMark/>
          </w:tcPr>
          <w:p w14:paraId="6DF2BBF2" w14:textId="77777777" w:rsidR="00503FE7" w:rsidRPr="0050680C" w:rsidRDefault="00503FE7" w:rsidP="006300FC">
            <w:pPr>
              <w:spacing w:line="240" w:lineRule="auto"/>
              <w:ind w:hanging="119"/>
              <w:jc w:val="center"/>
              <w:rPr>
                <w:rFonts w:eastAsia="Times New Roman" w:cs="Times New Roman"/>
                <w:color w:val="000000"/>
                <w:sz w:val="22"/>
              </w:rPr>
            </w:pPr>
            <w:r w:rsidRPr="0050680C">
              <w:rPr>
                <w:rFonts w:cs="Times New Roman"/>
                <w:color w:val="000000"/>
                <w:sz w:val="22"/>
              </w:rPr>
              <w:t>0.82</w:t>
            </w:r>
          </w:p>
        </w:tc>
        <w:tc>
          <w:tcPr>
            <w:tcW w:w="767" w:type="dxa"/>
            <w:shd w:val="clear" w:color="auto" w:fill="auto"/>
            <w:noWrap/>
            <w:vAlign w:val="center"/>
            <w:hideMark/>
          </w:tcPr>
          <w:p w14:paraId="14211945" w14:textId="77777777" w:rsidR="00503FE7" w:rsidRPr="0050680C" w:rsidRDefault="00503FE7" w:rsidP="006300FC">
            <w:pPr>
              <w:spacing w:line="240" w:lineRule="auto"/>
              <w:ind w:hanging="119"/>
              <w:jc w:val="center"/>
              <w:rPr>
                <w:rFonts w:eastAsia="Times New Roman" w:cs="Times New Roman"/>
                <w:color w:val="000000"/>
                <w:sz w:val="22"/>
              </w:rPr>
            </w:pPr>
            <w:r w:rsidRPr="0050680C">
              <w:rPr>
                <w:rFonts w:cs="Times New Roman"/>
                <w:color w:val="000000"/>
                <w:sz w:val="22"/>
              </w:rPr>
              <w:t>17.25</w:t>
            </w:r>
          </w:p>
        </w:tc>
        <w:tc>
          <w:tcPr>
            <w:tcW w:w="818" w:type="dxa"/>
            <w:shd w:val="clear" w:color="auto" w:fill="auto"/>
            <w:noWrap/>
            <w:vAlign w:val="center"/>
            <w:hideMark/>
          </w:tcPr>
          <w:p w14:paraId="54D32456"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1.17</w:t>
            </w:r>
          </w:p>
        </w:tc>
      </w:tr>
      <w:tr w:rsidR="0050680C" w:rsidRPr="0050680C" w14:paraId="436757BF" w14:textId="77777777" w:rsidTr="0050680C">
        <w:trPr>
          <w:trHeight w:val="255"/>
        </w:trPr>
        <w:tc>
          <w:tcPr>
            <w:tcW w:w="945" w:type="dxa"/>
            <w:vMerge/>
            <w:shd w:val="clear" w:color="auto" w:fill="auto"/>
            <w:noWrap/>
            <w:vAlign w:val="center"/>
          </w:tcPr>
          <w:p w14:paraId="1F316904" w14:textId="77777777" w:rsidR="00503FE7" w:rsidRPr="0050680C" w:rsidRDefault="00503FE7" w:rsidP="006300FC">
            <w:pPr>
              <w:spacing w:line="240" w:lineRule="auto"/>
              <w:ind w:hanging="30"/>
              <w:jc w:val="center"/>
              <w:rPr>
                <w:rFonts w:eastAsia="Times New Roman" w:cs="Times New Roman"/>
                <w:color w:val="000000"/>
                <w:sz w:val="22"/>
              </w:rPr>
            </w:pPr>
          </w:p>
        </w:tc>
        <w:tc>
          <w:tcPr>
            <w:tcW w:w="1125" w:type="dxa"/>
            <w:vMerge/>
            <w:shd w:val="clear" w:color="auto" w:fill="auto"/>
            <w:noWrap/>
            <w:vAlign w:val="center"/>
          </w:tcPr>
          <w:p w14:paraId="45967E4B" w14:textId="77777777" w:rsidR="00503FE7" w:rsidRPr="0050680C" w:rsidRDefault="00503FE7" w:rsidP="006300FC">
            <w:pPr>
              <w:spacing w:line="240" w:lineRule="auto"/>
              <w:jc w:val="center"/>
              <w:rPr>
                <w:rFonts w:eastAsia="Times New Roman" w:cs="Times New Roman"/>
                <w:color w:val="000000"/>
                <w:sz w:val="22"/>
              </w:rPr>
            </w:pPr>
          </w:p>
        </w:tc>
        <w:tc>
          <w:tcPr>
            <w:tcW w:w="1322" w:type="dxa"/>
            <w:shd w:val="clear" w:color="auto" w:fill="auto"/>
            <w:noWrap/>
            <w:vAlign w:val="center"/>
            <w:hideMark/>
          </w:tcPr>
          <w:p w14:paraId="3977D3CB"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eastAsia="Times New Roman" w:cs="Times New Roman"/>
                <w:color w:val="000000"/>
                <w:sz w:val="22"/>
              </w:rPr>
              <w:t>20% RAP</w:t>
            </w:r>
          </w:p>
        </w:tc>
        <w:tc>
          <w:tcPr>
            <w:tcW w:w="843" w:type="dxa"/>
            <w:shd w:val="clear" w:color="auto" w:fill="auto"/>
            <w:noWrap/>
            <w:vAlign w:val="center"/>
            <w:hideMark/>
          </w:tcPr>
          <w:p w14:paraId="4504F6B3"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0.12</w:t>
            </w:r>
          </w:p>
        </w:tc>
        <w:tc>
          <w:tcPr>
            <w:tcW w:w="767" w:type="dxa"/>
            <w:shd w:val="clear" w:color="auto" w:fill="auto"/>
            <w:noWrap/>
            <w:vAlign w:val="center"/>
            <w:hideMark/>
          </w:tcPr>
          <w:p w14:paraId="6A7916B4"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0.51</w:t>
            </w:r>
          </w:p>
        </w:tc>
        <w:tc>
          <w:tcPr>
            <w:tcW w:w="767" w:type="dxa"/>
            <w:shd w:val="clear" w:color="auto" w:fill="auto"/>
            <w:noWrap/>
            <w:vAlign w:val="center"/>
            <w:hideMark/>
          </w:tcPr>
          <w:p w14:paraId="4268E3E3"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18.76</w:t>
            </w:r>
          </w:p>
        </w:tc>
        <w:tc>
          <w:tcPr>
            <w:tcW w:w="767" w:type="dxa"/>
            <w:shd w:val="clear" w:color="auto" w:fill="auto"/>
            <w:noWrap/>
            <w:vAlign w:val="center"/>
            <w:hideMark/>
          </w:tcPr>
          <w:p w14:paraId="4CFB55E7" w14:textId="77777777" w:rsidR="00503FE7" w:rsidRPr="0050680C" w:rsidRDefault="00503FE7" w:rsidP="006300FC">
            <w:pPr>
              <w:spacing w:line="240" w:lineRule="auto"/>
              <w:ind w:hanging="119"/>
              <w:jc w:val="center"/>
              <w:rPr>
                <w:rFonts w:eastAsia="Times New Roman" w:cs="Times New Roman"/>
                <w:color w:val="000000"/>
                <w:sz w:val="22"/>
              </w:rPr>
            </w:pPr>
            <w:r w:rsidRPr="0050680C">
              <w:rPr>
                <w:rFonts w:cs="Times New Roman"/>
                <w:color w:val="000000"/>
                <w:sz w:val="22"/>
              </w:rPr>
              <w:t>0.50</w:t>
            </w:r>
          </w:p>
        </w:tc>
        <w:tc>
          <w:tcPr>
            <w:tcW w:w="767" w:type="dxa"/>
            <w:shd w:val="clear" w:color="auto" w:fill="auto"/>
            <w:noWrap/>
            <w:vAlign w:val="center"/>
            <w:hideMark/>
          </w:tcPr>
          <w:p w14:paraId="611B61F9" w14:textId="77777777" w:rsidR="00503FE7" w:rsidRPr="0050680C" w:rsidRDefault="00503FE7" w:rsidP="006300FC">
            <w:pPr>
              <w:spacing w:line="240" w:lineRule="auto"/>
              <w:ind w:hanging="119"/>
              <w:jc w:val="center"/>
              <w:rPr>
                <w:rFonts w:eastAsia="Times New Roman" w:cs="Times New Roman"/>
                <w:color w:val="000000"/>
                <w:sz w:val="22"/>
              </w:rPr>
            </w:pPr>
            <w:r w:rsidRPr="0050680C">
              <w:rPr>
                <w:rFonts w:cs="Times New Roman"/>
                <w:color w:val="000000"/>
                <w:sz w:val="22"/>
              </w:rPr>
              <w:t>19.26</w:t>
            </w:r>
          </w:p>
        </w:tc>
        <w:tc>
          <w:tcPr>
            <w:tcW w:w="818" w:type="dxa"/>
            <w:shd w:val="clear" w:color="auto" w:fill="auto"/>
            <w:noWrap/>
            <w:vAlign w:val="center"/>
            <w:hideMark/>
          </w:tcPr>
          <w:p w14:paraId="728A6C3D"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0.24</w:t>
            </w:r>
          </w:p>
        </w:tc>
      </w:tr>
      <w:tr w:rsidR="0050680C" w:rsidRPr="0050680C" w14:paraId="4EC87632" w14:textId="77777777" w:rsidTr="0050680C">
        <w:trPr>
          <w:trHeight w:val="255"/>
        </w:trPr>
        <w:tc>
          <w:tcPr>
            <w:tcW w:w="945" w:type="dxa"/>
            <w:vMerge/>
            <w:shd w:val="clear" w:color="auto" w:fill="auto"/>
            <w:noWrap/>
            <w:vAlign w:val="center"/>
          </w:tcPr>
          <w:p w14:paraId="6E9E1054" w14:textId="77777777" w:rsidR="00503FE7" w:rsidRPr="0050680C" w:rsidRDefault="00503FE7" w:rsidP="006300FC">
            <w:pPr>
              <w:spacing w:line="240" w:lineRule="auto"/>
              <w:ind w:hanging="30"/>
              <w:jc w:val="center"/>
              <w:rPr>
                <w:rFonts w:eastAsia="Times New Roman" w:cs="Times New Roman"/>
                <w:color w:val="000000"/>
                <w:sz w:val="22"/>
              </w:rPr>
            </w:pPr>
          </w:p>
        </w:tc>
        <w:tc>
          <w:tcPr>
            <w:tcW w:w="1125" w:type="dxa"/>
            <w:vMerge/>
            <w:shd w:val="clear" w:color="auto" w:fill="auto"/>
            <w:noWrap/>
            <w:vAlign w:val="center"/>
            <w:hideMark/>
          </w:tcPr>
          <w:p w14:paraId="40E54D78" w14:textId="77777777" w:rsidR="00503FE7" w:rsidRPr="0050680C" w:rsidRDefault="00503FE7" w:rsidP="006300FC">
            <w:pPr>
              <w:spacing w:line="240" w:lineRule="auto"/>
              <w:jc w:val="center"/>
              <w:rPr>
                <w:rFonts w:eastAsia="Times New Roman" w:cs="Times New Roman"/>
                <w:color w:val="000000"/>
                <w:sz w:val="22"/>
              </w:rPr>
            </w:pPr>
          </w:p>
        </w:tc>
        <w:tc>
          <w:tcPr>
            <w:tcW w:w="1322" w:type="dxa"/>
            <w:shd w:val="clear" w:color="auto" w:fill="auto"/>
            <w:noWrap/>
            <w:vAlign w:val="center"/>
            <w:hideMark/>
          </w:tcPr>
          <w:p w14:paraId="37D9BE40"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eastAsia="Times New Roman" w:cs="Times New Roman"/>
                <w:color w:val="000000"/>
                <w:sz w:val="22"/>
              </w:rPr>
              <w:t>1.5% PPA</w:t>
            </w:r>
          </w:p>
        </w:tc>
        <w:tc>
          <w:tcPr>
            <w:tcW w:w="843" w:type="dxa"/>
            <w:shd w:val="clear" w:color="auto" w:fill="auto"/>
            <w:noWrap/>
            <w:vAlign w:val="center"/>
            <w:hideMark/>
          </w:tcPr>
          <w:p w14:paraId="376465EE"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0.18</w:t>
            </w:r>
          </w:p>
        </w:tc>
        <w:tc>
          <w:tcPr>
            <w:tcW w:w="767" w:type="dxa"/>
            <w:shd w:val="clear" w:color="auto" w:fill="auto"/>
            <w:noWrap/>
            <w:vAlign w:val="center"/>
            <w:hideMark/>
          </w:tcPr>
          <w:p w14:paraId="21A73CA5"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2.86</w:t>
            </w:r>
          </w:p>
        </w:tc>
        <w:tc>
          <w:tcPr>
            <w:tcW w:w="767" w:type="dxa"/>
            <w:shd w:val="clear" w:color="auto" w:fill="auto"/>
            <w:noWrap/>
            <w:vAlign w:val="center"/>
            <w:hideMark/>
          </w:tcPr>
          <w:p w14:paraId="27CE4FF9"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16.44</w:t>
            </w:r>
          </w:p>
        </w:tc>
        <w:tc>
          <w:tcPr>
            <w:tcW w:w="767" w:type="dxa"/>
            <w:shd w:val="clear" w:color="auto" w:fill="auto"/>
            <w:noWrap/>
            <w:vAlign w:val="center"/>
            <w:hideMark/>
          </w:tcPr>
          <w:p w14:paraId="30DEC89E" w14:textId="77777777" w:rsidR="00503FE7" w:rsidRPr="0050680C" w:rsidRDefault="00503FE7" w:rsidP="006300FC">
            <w:pPr>
              <w:spacing w:line="240" w:lineRule="auto"/>
              <w:ind w:hanging="119"/>
              <w:jc w:val="center"/>
              <w:rPr>
                <w:rFonts w:eastAsia="Times New Roman" w:cs="Times New Roman"/>
                <w:color w:val="000000"/>
                <w:sz w:val="22"/>
              </w:rPr>
            </w:pPr>
            <w:r w:rsidRPr="0050680C">
              <w:rPr>
                <w:rFonts w:cs="Times New Roman"/>
                <w:color w:val="000000"/>
                <w:sz w:val="22"/>
              </w:rPr>
              <w:t>1.44</w:t>
            </w:r>
          </w:p>
        </w:tc>
        <w:tc>
          <w:tcPr>
            <w:tcW w:w="767" w:type="dxa"/>
            <w:shd w:val="clear" w:color="auto" w:fill="auto"/>
            <w:noWrap/>
            <w:vAlign w:val="center"/>
            <w:hideMark/>
          </w:tcPr>
          <w:p w14:paraId="6DC321F9" w14:textId="77777777" w:rsidR="00503FE7" w:rsidRPr="0050680C" w:rsidRDefault="00503FE7" w:rsidP="006300FC">
            <w:pPr>
              <w:spacing w:line="240" w:lineRule="auto"/>
              <w:ind w:hanging="119"/>
              <w:jc w:val="center"/>
              <w:rPr>
                <w:rFonts w:eastAsia="Times New Roman" w:cs="Times New Roman"/>
                <w:color w:val="000000"/>
                <w:sz w:val="22"/>
              </w:rPr>
            </w:pPr>
            <w:r w:rsidRPr="0050680C">
              <w:rPr>
                <w:rFonts w:cs="Times New Roman"/>
                <w:color w:val="000000"/>
                <w:sz w:val="22"/>
              </w:rPr>
              <w:t>17.88</w:t>
            </w:r>
          </w:p>
        </w:tc>
        <w:tc>
          <w:tcPr>
            <w:tcW w:w="818" w:type="dxa"/>
            <w:shd w:val="clear" w:color="auto" w:fill="auto"/>
            <w:noWrap/>
            <w:vAlign w:val="center"/>
            <w:hideMark/>
          </w:tcPr>
          <w:p w14:paraId="71FB3FB8"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cs="Times New Roman"/>
                <w:color w:val="000000"/>
                <w:sz w:val="22"/>
              </w:rPr>
              <w:t>0.06</w:t>
            </w:r>
          </w:p>
        </w:tc>
      </w:tr>
      <w:tr w:rsidR="00503FE7" w:rsidRPr="0050680C" w14:paraId="5BE3CBF2" w14:textId="77777777" w:rsidTr="0050680C">
        <w:trPr>
          <w:trHeight w:val="255"/>
        </w:trPr>
        <w:tc>
          <w:tcPr>
            <w:tcW w:w="8124" w:type="dxa"/>
            <w:gridSpan w:val="9"/>
            <w:shd w:val="clear" w:color="auto" w:fill="auto"/>
            <w:noWrap/>
            <w:vAlign w:val="center"/>
          </w:tcPr>
          <w:p w14:paraId="7B6B3BD8" w14:textId="77777777" w:rsidR="00503FE7" w:rsidRPr="0050680C" w:rsidRDefault="00503FE7" w:rsidP="006300FC">
            <w:pPr>
              <w:spacing w:line="240" w:lineRule="auto"/>
              <w:ind w:hanging="59"/>
              <w:jc w:val="center"/>
              <w:rPr>
                <w:rFonts w:cs="Times New Roman"/>
                <w:color w:val="000000"/>
                <w:sz w:val="22"/>
              </w:rPr>
            </w:pPr>
          </w:p>
        </w:tc>
      </w:tr>
      <w:tr w:rsidR="00503FE7" w:rsidRPr="0050680C" w14:paraId="11898170" w14:textId="77777777" w:rsidTr="0050680C">
        <w:trPr>
          <w:trHeight w:val="255"/>
        </w:trPr>
        <w:tc>
          <w:tcPr>
            <w:tcW w:w="8124" w:type="dxa"/>
            <w:gridSpan w:val="9"/>
            <w:shd w:val="clear" w:color="auto" w:fill="auto"/>
            <w:noWrap/>
            <w:vAlign w:val="center"/>
          </w:tcPr>
          <w:p w14:paraId="4D13F421" w14:textId="77777777" w:rsidR="00503FE7" w:rsidRPr="0050680C" w:rsidRDefault="00503FE7" w:rsidP="006300FC">
            <w:pPr>
              <w:spacing w:line="240" w:lineRule="auto"/>
              <w:ind w:hanging="59"/>
              <w:jc w:val="center"/>
              <w:rPr>
                <w:rFonts w:cs="Times New Roman"/>
                <w:b/>
                <w:bCs/>
                <w:color w:val="000000"/>
                <w:sz w:val="22"/>
              </w:rPr>
            </w:pPr>
            <w:r w:rsidRPr="0050680C">
              <w:rPr>
                <w:rFonts w:cs="Times New Roman"/>
                <w:b/>
                <w:bCs/>
                <w:color w:val="000000"/>
                <w:sz w:val="22"/>
              </w:rPr>
              <w:t>SFE Components of Aggregate</w:t>
            </w:r>
          </w:p>
        </w:tc>
      </w:tr>
      <w:tr w:rsidR="00503FE7" w:rsidRPr="0050680C" w14:paraId="3003AA64" w14:textId="77777777" w:rsidTr="0050680C">
        <w:trPr>
          <w:trHeight w:val="255"/>
        </w:trPr>
        <w:tc>
          <w:tcPr>
            <w:tcW w:w="3392" w:type="dxa"/>
            <w:gridSpan w:val="3"/>
            <w:vMerge w:val="restart"/>
            <w:shd w:val="clear" w:color="auto" w:fill="auto"/>
            <w:noWrap/>
            <w:vAlign w:val="center"/>
          </w:tcPr>
          <w:p w14:paraId="63376B4B" w14:textId="77777777" w:rsidR="00503FE7" w:rsidRPr="0050680C" w:rsidRDefault="00503FE7" w:rsidP="006300FC">
            <w:pPr>
              <w:spacing w:line="240" w:lineRule="auto"/>
              <w:ind w:hanging="59"/>
              <w:jc w:val="center"/>
              <w:rPr>
                <w:rFonts w:eastAsia="Times New Roman" w:cs="Times New Roman"/>
                <w:b/>
                <w:bCs/>
                <w:color w:val="000000"/>
                <w:sz w:val="22"/>
              </w:rPr>
            </w:pPr>
            <w:r w:rsidRPr="0050680C">
              <w:rPr>
                <w:rFonts w:eastAsia="Times New Roman" w:cs="Times New Roman"/>
                <w:b/>
                <w:bCs/>
                <w:color w:val="000000"/>
                <w:sz w:val="22"/>
              </w:rPr>
              <w:t>Aggregate Type</w:t>
            </w:r>
          </w:p>
        </w:tc>
        <w:tc>
          <w:tcPr>
            <w:tcW w:w="4731" w:type="dxa"/>
            <w:gridSpan w:val="6"/>
            <w:shd w:val="clear" w:color="auto" w:fill="auto"/>
            <w:noWrap/>
            <w:vAlign w:val="center"/>
          </w:tcPr>
          <w:p w14:paraId="601C12A2" w14:textId="77777777" w:rsidR="00503FE7" w:rsidRPr="0050680C" w:rsidRDefault="00503FE7" w:rsidP="006300FC">
            <w:pPr>
              <w:spacing w:line="240" w:lineRule="auto"/>
              <w:ind w:hanging="59"/>
              <w:jc w:val="center"/>
              <w:rPr>
                <w:rFonts w:cs="Times New Roman"/>
                <w:color w:val="000000"/>
                <w:sz w:val="22"/>
              </w:rPr>
            </w:pPr>
            <w:r w:rsidRPr="0050680C">
              <w:rPr>
                <w:rFonts w:eastAsia="Times New Roman" w:cs="Times New Roman"/>
                <w:b/>
                <w:bCs/>
                <w:color w:val="000000"/>
                <w:sz w:val="22"/>
              </w:rPr>
              <w:t>SFE (mJ/m</w:t>
            </w:r>
            <w:r w:rsidRPr="0050680C">
              <w:rPr>
                <w:rFonts w:eastAsia="Times New Roman" w:cs="Times New Roman"/>
                <w:b/>
                <w:bCs/>
                <w:color w:val="000000"/>
                <w:sz w:val="22"/>
                <w:vertAlign w:val="superscript"/>
              </w:rPr>
              <w:t>2</w:t>
            </w:r>
            <w:r w:rsidRPr="0050680C">
              <w:rPr>
                <w:rFonts w:eastAsia="Times New Roman" w:cs="Times New Roman"/>
                <w:b/>
                <w:bCs/>
                <w:color w:val="000000"/>
                <w:sz w:val="22"/>
              </w:rPr>
              <w:t>)</w:t>
            </w:r>
          </w:p>
        </w:tc>
      </w:tr>
      <w:tr w:rsidR="00503FE7" w:rsidRPr="0050680C" w14:paraId="7A00B254" w14:textId="77777777" w:rsidTr="0050680C">
        <w:trPr>
          <w:trHeight w:val="255"/>
        </w:trPr>
        <w:tc>
          <w:tcPr>
            <w:tcW w:w="3392" w:type="dxa"/>
            <w:gridSpan w:val="3"/>
            <w:vMerge/>
            <w:shd w:val="clear" w:color="auto" w:fill="auto"/>
            <w:noWrap/>
            <w:vAlign w:val="center"/>
          </w:tcPr>
          <w:p w14:paraId="17AC9A7E" w14:textId="77777777" w:rsidR="00503FE7" w:rsidRPr="0050680C" w:rsidRDefault="00503FE7" w:rsidP="006300FC">
            <w:pPr>
              <w:spacing w:line="240" w:lineRule="auto"/>
              <w:ind w:hanging="59"/>
              <w:jc w:val="center"/>
              <w:rPr>
                <w:rFonts w:eastAsia="Times New Roman" w:cs="Times New Roman"/>
                <w:color w:val="000000"/>
                <w:sz w:val="22"/>
              </w:rPr>
            </w:pPr>
          </w:p>
        </w:tc>
        <w:tc>
          <w:tcPr>
            <w:tcW w:w="843" w:type="dxa"/>
            <w:shd w:val="clear" w:color="auto" w:fill="auto"/>
            <w:noWrap/>
            <w:vAlign w:val="center"/>
          </w:tcPr>
          <w:p w14:paraId="53AF9748" w14:textId="77777777" w:rsidR="00503FE7" w:rsidRPr="0050680C" w:rsidRDefault="00503FE7" w:rsidP="006300FC">
            <w:pPr>
              <w:spacing w:line="240" w:lineRule="auto"/>
              <w:ind w:hanging="59"/>
              <w:jc w:val="center"/>
              <w:rPr>
                <w:rFonts w:cs="Times New Roman"/>
                <w:color w:val="000000"/>
                <w:sz w:val="22"/>
              </w:rPr>
            </w:pPr>
            <w:r w:rsidRPr="0050680C">
              <w:rPr>
                <w:rFonts w:cs="Times New Roman"/>
                <w:b/>
                <w:bCs/>
                <w:color w:val="000000"/>
                <w:sz w:val="22"/>
              </w:rPr>
              <w:t>Γ</w:t>
            </w:r>
            <w:r w:rsidRPr="0050680C">
              <w:rPr>
                <w:rFonts w:cs="Times New Roman"/>
                <w:b/>
                <w:bCs/>
                <w:color w:val="000000"/>
                <w:sz w:val="22"/>
                <w:vertAlign w:val="superscript"/>
              </w:rPr>
              <w:t>+</w:t>
            </w:r>
          </w:p>
        </w:tc>
        <w:tc>
          <w:tcPr>
            <w:tcW w:w="767" w:type="dxa"/>
            <w:shd w:val="clear" w:color="auto" w:fill="auto"/>
            <w:noWrap/>
            <w:vAlign w:val="center"/>
          </w:tcPr>
          <w:p w14:paraId="124B9840" w14:textId="77777777" w:rsidR="00503FE7" w:rsidRPr="0050680C" w:rsidRDefault="00503FE7" w:rsidP="006300FC">
            <w:pPr>
              <w:spacing w:line="240" w:lineRule="auto"/>
              <w:ind w:hanging="59"/>
              <w:jc w:val="center"/>
              <w:rPr>
                <w:rFonts w:cs="Times New Roman"/>
                <w:color w:val="000000"/>
                <w:sz w:val="22"/>
              </w:rPr>
            </w:pPr>
            <w:r w:rsidRPr="0050680C">
              <w:rPr>
                <w:rFonts w:cs="Times New Roman"/>
                <w:b/>
                <w:bCs/>
                <w:color w:val="000000"/>
                <w:sz w:val="22"/>
              </w:rPr>
              <w:t>Γ</w:t>
            </w:r>
            <w:r w:rsidRPr="0050680C">
              <w:rPr>
                <w:rFonts w:cs="Times New Roman"/>
                <w:b/>
                <w:bCs/>
                <w:color w:val="000000"/>
                <w:sz w:val="22"/>
                <w:vertAlign w:val="superscript"/>
              </w:rPr>
              <w:t>-</w:t>
            </w:r>
          </w:p>
        </w:tc>
        <w:tc>
          <w:tcPr>
            <w:tcW w:w="767" w:type="dxa"/>
            <w:shd w:val="clear" w:color="auto" w:fill="auto"/>
            <w:noWrap/>
            <w:vAlign w:val="center"/>
          </w:tcPr>
          <w:p w14:paraId="791C82B9" w14:textId="77777777" w:rsidR="00503FE7" w:rsidRPr="0050680C" w:rsidRDefault="00503FE7" w:rsidP="006300FC">
            <w:pPr>
              <w:spacing w:line="240" w:lineRule="auto"/>
              <w:ind w:hanging="59"/>
              <w:jc w:val="center"/>
              <w:rPr>
                <w:rFonts w:cs="Times New Roman"/>
                <w:color w:val="000000"/>
                <w:sz w:val="22"/>
              </w:rPr>
            </w:pPr>
            <w:r w:rsidRPr="0050680C">
              <w:rPr>
                <w:rFonts w:cs="Times New Roman"/>
                <w:b/>
                <w:bCs/>
                <w:color w:val="000000"/>
                <w:sz w:val="22"/>
              </w:rPr>
              <w:t>Γ</w:t>
            </w:r>
            <w:r w:rsidRPr="0050680C">
              <w:rPr>
                <w:rFonts w:cs="Times New Roman"/>
                <w:b/>
                <w:bCs/>
                <w:color w:val="000000"/>
                <w:sz w:val="22"/>
                <w:vertAlign w:val="superscript"/>
              </w:rPr>
              <w:t>LW</w:t>
            </w:r>
          </w:p>
        </w:tc>
        <w:tc>
          <w:tcPr>
            <w:tcW w:w="767" w:type="dxa"/>
            <w:shd w:val="clear" w:color="auto" w:fill="auto"/>
            <w:noWrap/>
            <w:vAlign w:val="center"/>
          </w:tcPr>
          <w:p w14:paraId="55CFEB3E" w14:textId="77777777" w:rsidR="00503FE7" w:rsidRPr="0050680C" w:rsidRDefault="00503FE7" w:rsidP="006300FC">
            <w:pPr>
              <w:spacing w:line="240" w:lineRule="auto"/>
              <w:ind w:hanging="119"/>
              <w:jc w:val="center"/>
              <w:rPr>
                <w:rFonts w:cs="Times New Roman"/>
                <w:color w:val="000000"/>
                <w:sz w:val="22"/>
              </w:rPr>
            </w:pPr>
            <w:r w:rsidRPr="0050680C">
              <w:rPr>
                <w:rFonts w:cs="Times New Roman"/>
                <w:b/>
                <w:bCs/>
                <w:color w:val="000000"/>
                <w:sz w:val="22"/>
              </w:rPr>
              <w:t>Γ</w:t>
            </w:r>
            <w:r w:rsidRPr="0050680C">
              <w:rPr>
                <w:rFonts w:cs="Times New Roman"/>
                <w:b/>
                <w:bCs/>
                <w:color w:val="000000"/>
                <w:sz w:val="22"/>
                <w:vertAlign w:val="superscript"/>
              </w:rPr>
              <w:t>AB</w:t>
            </w:r>
          </w:p>
        </w:tc>
        <w:tc>
          <w:tcPr>
            <w:tcW w:w="767" w:type="dxa"/>
            <w:shd w:val="clear" w:color="auto" w:fill="auto"/>
            <w:noWrap/>
            <w:vAlign w:val="center"/>
          </w:tcPr>
          <w:p w14:paraId="24808311" w14:textId="77777777" w:rsidR="00503FE7" w:rsidRPr="0050680C" w:rsidRDefault="00503FE7" w:rsidP="006300FC">
            <w:pPr>
              <w:spacing w:line="240" w:lineRule="auto"/>
              <w:ind w:hanging="119"/>
              <w:jc w:val="center"/>
              <w:rPr>
                <w:rFonts w:cs="Times New Roman"/>
                <w:color w:val="000000"/>
                <w:sz w:val="22"/>
              </w:rPr>
            </w:pPr>
            <w:r w:rsidRPr="0050680C">
              <w:rPr>
                <w:rFonts w:cs="Times New Roman"/>
                <w:b/>
                <w:bCs/>
                <w:color w:val="000000"/>
                <w:sz w:val="22"/>
              </w:rPr>
              <w:t>Γ</w:t>
            </w:r>
            <w:r w:rsidRPr="0050680C">
              <w:rPr>
                <w:rFonts w:cs="Times New Roman"/>
                <w:b/>
                <w:bCs/>
                <w:color w:val="000000"/>
                <w:sz w:val="22"/>
                <w:vertAlign w:val="superscript"/>
              </w:rPr>
              <w:t>Total</w:t>
            </w:r>
          </w:p>
        </w:tc>
        <w:tc>
          <w:tcPr>
            <w:tcW w:w="818" w:type="dxa"/>
            <w:shd w:val="clear" w:color="auto" w:fill="auto"/>
            <w:noWrap/>
            <w:vAlign w:val="center"/>
          </w:tcPr>
          <w:p w14:paraId="7130D8F9" w14:textId="77777777" w:rsidR="00503FE7" w:rsidRPr="0050680C" w:rsidRDefault="00503FE7" w:rsidP="006300FC">
            <w:pPr>
              <w:spacing w:line="240" w:lineRule="auto"/>
              <w:ind w:hanging="59"/>
              <w:jc w:val="center"/>
              <w:rPr>
                <w:rFonts w:cs="Times New Roman"/>
                <w:color w:val="000000"/>
                <w:sz w:val="22"/>
              </w:rPr>
            </w:pPr>
            <w:r w:rsidRPr="0050680C">
              <w:rPr>
                <w:rFonts w:cs="Times New Roman"/>
                <w:b/>
                <w:bCs/>
                <w:color w:val="000000"/>
                <w:sz w:val="22"/>
              </w:rPr>
              <w:t>Γ</w:t>
            </w:r>
            <w:r w:rsidRPr="0050680C">
              <w:rPr>
                <w:rFonts w:cs="Times New Roman"/>
                <w:b/>
                <w:bCs/>
                <w:color w:val="000000"/>
                <w:sz w:val="22"/>
                <w:vertAlign w:val="superscript"/>
              </w:rPr>
              <w:t>+</w:t>
            </w:r>
            <w:r w:rsidRPr="0050680C">
              <w:rPr>
                <w:rFonts w:cs="Times New Roman"/>
                <w:b/>
                <w:bCs/>
                <w:color w:val="000000"/>
                <w:sz w:val="22"/>
              </w:rPr>
              <w:t>/Γ</w:t>
            </w:r>
            <w:r w:rsidRPr="0050680C">
              <w:rPr>
                <w:rFonts w:cs="Times New Roman"/>
                <w:b/>
                <w:bCs/>
                <w:color w:val="000000"/>
                <w:sz w:val="22"/>
                <w:vertAlign w:val="superscript"/>
              </w:rPr>
              <w:t>-</w:t>
            </w:r>
          </w:p>
        </w:tc>
      </w:tr>
      <w:tr w:rsidR="00503FE7" w:rsidRPr="0050680C" w14:paraId="759C5BE7" w14:textId="77777777" w:rsidTr="0050680C">
        <w:trPr>
          <w:trHeight w:val="255"/>
        </w:trPr>
        <w:tc>
          <w:tcPr>
            <w:tcW w:w="3392" w:type="dxa"/>
            <w:gridSpan w:val="3"/>
            <w:shd w:val="clear" w:color="auto" w:fill="auto"/>
            <w:noWrap/>
            <w:vAlign w:val="center"/>
          </w:tcPr>
          <w:p w14:paraId="07C633AF" w14:textId="77777777" w:rsidR="00503FE7" w:rsidRPr="0050680C" w:rsidRDefault="00503FE7" w:rsidP="006300FC">
            <w:pPr>
              <w:spacing w:line="240" w:lineRule="auto"/>
              <w:ind w:hanging="59"/>
              <w:jc w:val="center"/>
              <w:rPr>
                <w:rFonts w:eastAsia="Times New Roman" w:cs="Times New Roman"/>
                <w:color w:val="000000"/>
                <w:sz w:val="22"/>
              </w:rPr>
            </w:pPr>
            <w:r w:rsidRPr="0050680C">
              <w:rPr>
                <w:rFonts w:eastAsia="Times New Roman" w:cs="Times New Roman"/>
                <w:color w:val="000000"/>
                <w:sz w:val="22"/>
              </w:rPr>
              <w:t>Rhyolite</w:t>
            </w:r>
          </w:p>
        </w:tc>
        <w:tc>
          <w:tcPr>
            <w:tcW w:w="843"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9B97B18" w14:textId="77777777" w:rsidR="00503FE7" w:rsidRPr="0050680C" w:rsidRDefault="00503FE7" w:rsidP="006300FC">
            <w:pPr>
              <w:spacing w:line="240" w:lineRule="auto"/>
              <w:ind w:hanging="59"/>
              <w:jc w:val="center"/>
              <w:rPr>
                <w:rFonts w:cs="Times New Roman"/>
                <w:color w:val="000000"/>
                <w:sz w:val="22"/>
              </w:rPr>
            </w:pPr>
            <w:r w:rsidRPr="0050680C">
              <w:rPr>
                <w:rFonts w:cs="Times New Roman"/>
                <w:color w:val="000000"/>
                <w:sz w:val="22"/>
              </w:rPr>
              <w:t>0.39</w:t>
            </w:r>
          </w:p>
        </w:tc>
        <w:tc>
          <w:tcPr>
            <w:tcW w:w="767" w:type="dxa"/>
            <w:tcBorders>
              <w:top w:val="single" w:sz="4" w:space="0" w:color="auto"/>
              <w:left w:val="nil"/>
              <w:bottom w:val="single" w:sz="4" w:space="0" w:color="auto"/>
              <w:right w:val="single" w:sz="4" w:space="0" w:color="auto"/>
            </w:tcBorders>
            <w:shd w:val="clear" w:color="auto" w:fill="auto"/>
            <w:noWrap/>
            <w:vAlign w:val="center"/>
          </w:tcPr>
          <w:p w14:paraId="3BB41C3D" w14:textId="77777777" w:rsidR="00503FE7" w:rsidRPr="0050680C" w:rsidRDefault="00503FE7" w:rsidP="006300FC">
            <w:pPr>
              <w:spacing w:line="240" w:lineRule="auto"/>
              <w:ind w:hanging="59"/>
              <w:jc w:val="center"/>
              <w:rPr>
                <w:rFonts w:cs="Times New Roman"/>
                <w:color w:val="000000"/>
                <w:sz w:val="22"/>
              </w:rPr>
            </w:pPr>
            <w:r w:rsidRPr="0050680C">
              <w:rPr>
                <w:rFonts w:cs="Times New Roman"/>
                <w:color w:val="000000"/>
                <w:sz w:val="22"/>
              </w:rPr>
              <w:t>336.94</w:t>
            </w:r>
          </w:p>
        </w:tc>
        <w:tc>
          <w:tcPr>
            <w:tcW w:w="767" w:type="dxa"/>
            <w:tcBorders>
              <w:top w:val="single" w:sz="4" w:space="0" w:color="auto"/>
              <w:left w:val="nil"/>
              <w:bottom w:val="single" w:sz="4" w:space="0" w:color="auto"/>
              <w:right w:val="single" w:sz="4" w:space="0" w:color="auto"/>
            </w:tcBorders>
            <w:shd w:val="clear" w:color="auto" w:fill="auto"/>
            <w:noWrap/>
            <w:vAlign w:val="center"/>
          </w:tcPr>
          <w:p w14:paraId="07AC25CF" w14:textId="77777777" w:rsidR="00503FE7" w:rsidRPr="0050680C" w:rsidRDefault="00503FE7" w:rsidP="006300FC">
            <w:pPr>
              <w:spacing w:line="240" w:lineRule="auto"/>
              <w:ind w:hanging="59"/>
              <w:jc w:val="center"/>
              <w:rPr>
                <w:rFonts w:cs="Times New Roman"/>
                <w:color w:val="000000"/>
                <w:sz w:val="22"/>
              </w:rPr>
            </w:pPr>
            <w:r w:rsidRPr="0050680C">
              <w:rPr>
                <w:rFonts w:cs="Times New Roman"/>
                <w:color w:val="000000"/>
                <w:sz w:val="22"/>
              </w:rPr>
              <w:t>52.87</w:t>
            </w:r>
          </w:p>
        </w:tc>
        <w:tc>
          <w:tcPr>
            <w:tcW w:w="767" w:type="dxa"/>
            <w:shd w:val="clear" w:color="auto" w:fill="auto"/>
            <w:noWrap/>
            <w:vAlign w:val="center"/>
          </w:tcPr>
          <w:p w14:paraId="72331AE9" w14:textId="77777777" w:rsidR="00503FE7" w:rsidRPr="0050680C" w:rsidRDefault="00503FE7" w:rsidP="006300FC">
            <w:pPr>
              <w:spacing w:line="240" w:lineRule="auto"/>
              <w:ind w:hanging="119"/>
              <w:jc w:val="center"/>
              <w:rPr>
                <w:rFonts w:cs="Times New Roman"/>
                <w:color w:val="000000"/>
                <w:sz w:val="22"/>
              </w:rPr>
            </w:pPr>
            <w:r w:rsidRPr="0050680C">
              <w:rPr>
                <w:rFonts w:cs="Times New Roman"/>
                <w:color w:val="000000"/>
                <w:sz w:val="22"/>
              </w:rPr>
              <w:t>23.04</w:t>
            </w:r>
          </w:p>
        </w:tc>
        <w:tc>
          <w:tcPr>
            <w:tcW w:w="767" w:type="dxa"/>
            <w:shd w:val="clear" w:color="auto" w:fill="auto"/>
            <w:noWrap/>
            <w:vAlign w:val="center"/>
          </w:tcPr>
          <w:p w14:paraId="2D9C5D00" w14:textId="77777777" w:rsidR="00503FE7" w:rsidRPr="0050680C" w:rsidRDefault="00503FE7" w:rsidP="006300FC">
            <w:pPr>
              <w:spacing w:line="240" w:lineRule="auto"/>
              <w:ind w:hanging="119"/>
              <w:jc w:val="center"/>
              <w:rPr>
                <w:rFonts w:cs="Times New Roman"/>
                <w:color w:val="000000"/>
                <w:sz w:val="22"/>
              </w:rPr>
            </w:pPr>
            <w:r w:rsidRPr="0050680C">
              <w:rPr>
                <w:rFonts w:cs="Times New Roman"/>
                <w:color w:val="000000"/>
                <w:sz w:val="22"/>
              </w:rPr>
              <w:t>75.91</w:t>
            </w:r>
          </w:p>
        </w:tc>
        <w:tc>
          <w:tcPr>
            <w:tcW w:w="818" w:type="dxa"/>
            <w:shd w:val="clear" w:color="auto" w:fill="auto"/>
            <w:noWrap/>
            <w:vAlign w:val="center"/>
          </w:tcPr>
          <w:p w14:paraId="62A88251" w14:textId="77777777" w:rsidR="00503FE7" w:rsidRPr="0050680C" w:rsidRDefault="00503FE7" w:rsidP="006300FC">
            <w:pPr>
              <w:spacing w:line="240" w:lineRule="auto"/>
              <w:ind w:hanging="59"/>
              <w:jc w:val="center"/>
              <w:rPr>
                <w:rFonts w:cs="Times New Roman"/>
                <w:color w:val="000000"/>
                <w:sz w:val="22"/>
              </w:rPr>
            </w:pPr>
            <w:r w:rsidRPr="0050680C">
              <w:rPr>
                <w:rFonts w:cs="Times New Roman"/>
                <w:color w:val="000000"/>
                <w:sz w:val="22"/>
              </w:rPr>
              <w:t>0.001</w:t>
            </w:r>
          </w:p>
        </w:tc>
      </w:tr>
    </w:tbl>
    <w:p w14:paraId="0A7E9E23" w14:textId="77777777" w:rsidR="00503FE7" w:rsidRPr="00917A71" w:rsidRDefault="00503FE7" w:rsidP="00503FE7"/>
    <w:p w14:paraId="3DF1D54F" w14:textId="77777777" w:rsidR="003C4D0A" w:rsidRPr="000B3158" w:rsidRDefault="003C4D0A" w:rsidP="00503FE7">
      <w:pPr>
        <w:rPr>
          <w:rFonts w:eastAsia="Times New Roman" w:cs="Times New Roman"/>
          <w:szCs w:val="24"/>
          <w:lang w:bidi="en-US"/>
        </w:rPr>
      </w:pPr>
    </w:p>
    <w:p w14:paraId="019105B4" w14:textId="77777777" w:rsidR="003C4D0A" w:rsidRPr="000B3158" w:rsidRDefault="003C4D0A" w:rsidP="00287EAB">
      <w:pPr>
        <w:ind w:firstLine="720"/>
        <w:rPr>
          <w:rFonts w:eastAsia="Times New Roman" w:cs="Times New Roman"/>
          <w:szCs w:val="24"/>
          <w:lang w:bidi="en-US"/>
        </w:rPr>
      </w:pPr>
    </w:p>
    <w:p w14:paraId="0AF439A3" w14:textId="2BCBBE5E" w:rsidR="004618B2" w:rsidRPr="00056709" w:rsidRDefault="008F2C3D" w:rsidP="00376908">
      <w:pPr>
        <w:pStyle w:val="Figurecaption"/>
        <w:spacing w:before="0" w:line="480" w:lineRule="auto"/>
        <w:jc w:val="center"/>
      </w:pPr>
      <w:bookmarkStart w:id="130" w:name="_Toc480923795"/>
      <w:bookmarkStart w:id="131" w:name="_Toc475830648"/>
      <w:r>
        <w:rPr>
          <w:noProof/>
        </w:rPr>
        <w:drawing>
          <wp:inline distT="0" distB="0" distL="0" distR="0" wp14:anchorId="02013F8F" wp14:editId="5AAE5B4B">
            <wp:extent cx="5394960" cy="3237230"/>
            <wp:effectExtent l="0" t="0" r="0" b="127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394960" cy="3237230"/>
                    </a:xfrm>
                    <a:prstGeom prst="rect">
                      <a:avLst/>
                    </a:prstGeom>
                    <a:noFill/>
                    <a:ln>
                      <a:noFill/>
                    </a:ln>
                  </pic:spPr>
                </pic:pic>
              </a:graphicData>
            </a:graphic>
          </wp:inline>
        </w:drawing>
      </w:r>
    </w:p>
    <w:p w14:paraId="6AF48019" w14:textId="2499D542" w:rsidR="008F2C3D" w:rsidRDefault="00492001" w:rsidP="00DD3B5E">
      <w:pPr>
        <w:pStyle w:val="Caption"/>
        <w:spacing w:line="480" w:lineRule="auto"/>
        <w:jc w:val="center"/>
      </w:pPr>
      <w:bookmarkStart w:id="132" w:name="_Toc71334097"/>
      <w:r>
        <w:t xml:space="preserve">Figure </w:t>
      </w:r>
      <w:fldSimple w:instr=" STYLEREF 1 \s ">
        <w:r w:rsidR="005050F0">
          <w:rPr>
            <w:noProof/>
          </w:rPr>
          <w:t>4</w:t>
        </w:r>
      </w:fldSimple>
      <w:r w:rsidR="00F87F6B">
        <w:t>.</w:t>
      </w:r>
      <w:fldSimple w:instr=" SEQ Figure \* ARABIC \s 1 ">
        <w:r w:rsidR="005050F0">
          <w:rPr>
            <w:noProof/>
          </w:rPr>
          <w:t>1</w:t>
        </w:r>
      </w:fldSimple>
      <w:r w:rsidR="004618B2" w:rsidRPr="00056709">
        <w:t xml:space="preserve"> </w:t>
      </w:r>
      <w:bookmarkEnd w:id="130"/>
      <w:bookmarkEnd w:id="131"/>
      <w:r w:rsidR="004618B2" w:rsidRPr="00056709">
        <w:t>Work-flow diagram for the present study</w:t>
      </w:r>
      <w:bookmarkEnd w:id="132"/>
    </w:p>
    <w:p w14:paraId="657A7DC5" w14:textId="439A4A68" w:rsidR="008F2C3D" w:rsidRDefault="00385AFF" w:rsidP="006C3523">
      <w:pPr>
        <w:pStyle w:val="Figurecaption"/>
        <w:spacing w:before="0" w:line="480" w:lineRule="auto"/>
        <w:ind w:hanging="720"/>
        <w:jc w:val="center"/>
      </w:pPr>
      <w:r>
        <w:rPr>
          <w:noProof/>
        </w:rPr>
        <w:drawing>
          <wp:inline distT="0" distB="0" distL="0" distR="0" wp14:anchorId="2014F80B" wp14:editId="30F039A0">
            <wp:extent cx="3911918" cy="27432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911918" cy="2743200"/>
                    </a:xfrm>
                    <a:prstGeom prst="rect">
                      <a:avLst/>
                    </a:prstGeom>
                    <a:noFill/>
                    <a:ln>
                      <a:noFill/>
                    </a:ln>
                  </pic:spPr>
                </pic:pic>
              </a:graphicData>
            </a:graphic>
          </wp:inline>
        </w:drawing>
      </w:r>
    </w:p>
    <w:p w14:paraId="13A8023F" w14:textId="021BFA7E" w:rsidR="004618B2" w:rsidRPr="00056709" w:rsidRDefault="00DD3B5E" w:rsidP="00677CFE">
      <w:pPr>
        <w:pStyle w:val="Caption"/>
        <w:spacing w:line="480" w:lineRule="auto"/>
        <w:jc w:val="center"/>
      </w:pPr>
      <w:bookmarkStart w:id="133" w:name="_Toc71334098"/>
      <w:r>
        <w:t xml:space="preserve">Figure </w:t>
      </w:r>
      <w:fldSimple w:instr=" STYLEREF 1 \s ">
        <w:r w:rsidR="005050F0">
          <w:rPr>
            <w:noProof/>
          </w:rPr>
          <w:t>4</w:t>
        </w:r>
      </w:fldSimple>
      <w:r w:rsidR="00F87F6B">
        <w:t>.</w:t>
      </w:r>
      <w:fldSimple w:instr=" SEQ Figure \* ARABIC \s 1 ">
        <w:r w:rsidR="005050F0">
          <w:rPr>
            <w:noProof/>
          </w:rPr>
          <w:t>2</w:t>
        </w:r>
      </w:fldSimple>
      <w:r w:rsidR="004618B2" w:rsidRPr="00056709">
        <w:t xml:space="preserve"> Gradation curve for the mixes</w:t>
      </w:r>
      <w:bookmarkEnd w:id="133"/>
    </w:p>
    <w:p w14:paraId="5F03FA94" w14:textId="2DEE7837" w:rsidR="00385AFF" w:rsidRDefault="00385AFF" w:rsidP="00376908">
      <w:pPr>
        <w:pStyle w:val="Figurecaption"/>
        <w:spacing w:before="0" w:line="480" w:lineRule="auto"/>
        <w:jc w:val="center"/>
      </w:pPr>
      <w:r>
        <w:rPr>
          <w:noProof/>
        </w:rPr>
        <w:drawing>
          <wp:inline distT="0" distB="0" distL="0" distR="0" wp14:anchorId="2CC0D219" wp14:editId="514A2E56">
            <wp:extent cx="3516923" cy="1828800"/>
            <wp:effectExtent l="0" t="0" r="762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3516923" cy="1828800"/>
                    </a:xfrm>
                    <a:prstGeom prst="rect">
                      <a:avLst/>
                    </a:prstGeom>
                    <a:noFill/>
                    <a:ln>
                      <a:noFill/>
                    </a:ln>
                  </pic:spPr>
                </pic:pic>
              </a:graphicData>
            </a:graphic>
          </wp:inline>
        </w:drawing>
      </w:r>
    </w:p>
    <w:p w14:paraId="3086B1C5" w14:textId="1A00DFFA" w:rsidR="006C3523" w:rsidRPr="006C3523" w:rsidRDefault="006C3523" w:rsidP="00376908">
      <w:pPr>
        <w:jc w:val="center"/>
        <w:rPr>
          <w:lang w:val="en-GB" w:eastAsia="en-GB"/>
        </w:rPr>
      </w:pPr>
      <w:r>
        <w:rPr>
          <w:lang w:val="en-GB" w:eastAsia="en-GB"/>
        </w:rPr>
        <w:t>(a)</w:t>
      </w:r>
    </w:p>
    <w:p w14:paraId="7E12A023" w14:textId="2E9D36BD" w:rsidR="00385AFF" w:rsidRDefault="00385AFF" w:rsidP="00376908">
      <w:pPr>
        <w:jc w:val="center"/>
        <w:rPr>
          <w:lang w:val="en-GB" w:eastAsia="en-GB"/>
        </w:rPr>
      </w:pPr>
      <w:r>
        <w:rPr>
          <w:noProof/>
        </w:rPr>
        <w:drawing>
          <wp:inline distT="0" distB="0" distL="0" distR="0" wp14:anchorId="79373A1B" wp14:editId="569CC2F8">
            <wp:extent cx="3516923" cy="1828800"/>
            <wp:effectExtent l="0" t="0" r="762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516923" cy="1828800"/>
                    </a:xfrm>
                    <a:prstGeom prst="rect">
                      <a:avLst/>
                    </a:prstGeom>
                    <a:noFill/>
                    <a:ln>
                      <a:noFill/>
                    </a:ln>
                  </pic:spPr>
                </pic:pic>
              </a:graphicData>
            </a:graphic>
          </wp:inline>
        </w:drawing>
      </w:r>
    </w:p>
    <w:p w14:paraId="6049BDFC" w14:textId="1E89DE3E" w:rsidR="006C3523" w:rsidRDefault="006C3523" w:rsidP="00376908">
      <w:pPr>
        <w:jc w:val="center"/>
        <w:rPr>
          <w:lang w:val="en-GB" w:eastAsia="en-GB"/>
        </w:rPr>
      </w:pPr>
      <w:r>
        <w:rPr>
          <w:lang w:val="en-GB" w:eastAsia="en-GB"/>
        </w:rPr>
        <w:t>(b)</w:t>
      </w:r>
    </w:p>
    <w:p w14:paraId="3D9F40FB" w14:textId="2A1FA294" w:rsidR="00385AFF" w:rsidRDefault="00385AFF" w:rsidP="00376908">
      <w:pPr>
        <w:jc w:val="center"/>
        <w:rPr>
          <w:lang w:val="en-GB" w:eastAsia="en-GB"/>
        </w:rPr>
      </w:pPr>
      <w:r>
        <w:rPr>
          <w:noProof/>
        </w:rPr>
        <w:drawing>
          <wp:inline distT="0" distB="0" distL="0" distR="0" wp14:anchorId="7E5C551D" wp14:editId="7AC14B88">
            <wp:extent cx="3516923" cy="1828800"/>
            <wp:effectExtent l="0" t="0" r="762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516923" cy="1828800"/>
                    </a:xfrm>
                    <a:prstGeom prst="rect">
                      <a:avLst/>
                    </a:prstGeom>
                    <a:noFill/>
                    <a:ln>
                      <a:noFill/>
                    </a:ln>
                  </pic:spPr>
                </pic:pic>
              </a:graphicData>
            </a:graphic>
          </wp:inline>
        </w:drawing>
      </w:r>
    </w:p>
    <w:p w14:paraId="1AACC822" w14:textId="413536C3" w:rsidR="006C3523" w:rsidRPr="00385AFF" w:rsidRDefault="006C3523" w:rsidP="00376908">
      <w:pPr>
        <w:jc w:val="center"/>
        <w:rPr>
          <w:lang w:val="en-GB" w:eastAsia="en-GB"/>
        </w:rPr>
      </w:pPr>
      <w:r>
        <w:rPr>
          <w:lang w:val="en-GB" w:eastAsia="en-GB"/>
        </w:rPr>
        <w:t>(c)</w:t>
      </w:r>
    </w:p>
    <w:p w14:paraId="2F6AF884" w14:textId="26B18990" w:rsidR="004618B2" w:rsidRDefault="00DD3B5E" w:rsidP="00677CFE">
      <w:pPr>
        <w:pStyle w:val="Caption"/>
        <w:spacing w:line="480" w:lineRule="auto"/>
        <w:jc w:val="center"/>
        <w:rPr>
          <w:bCs w:val="0"/>
        </w:rPr>
      </w:pPr>
      <w:bookmarkStart w:id="134" w:name="_Toc71334099"/>
      <w:r>
        <w:t xml:space="preserve">Figure </w:t>
      </w:r>
      <w:fldSimple w:instr=" STYLEREF 1 \s ">
        <w:r w:rsidR="005050F0">
          <w:rPr>
            <w:noProof/>
          </w:rPr>
          <w:t>4</w:t>
        </w:r>
      </w:fldSimple>
      <w:r w:rsidR="00F87F6B">
        <w:t>.</w:t>
      </w:r>
      <w:fldSimple w:instr=" SEQ Figure \* ARABIC \s 1 ">
        <w:r w:rsidR="005050F0">
          <w:rPr>
            <w:noProof/>
          </w:rPr>
          <w:t>3</w:t>
        </w:r>
      </w:fldSimple>
      <w:r>
        <w:t xml:space="preserve"> </w:t>
      </w:r>
      <w:r w:rsidR="004618B2" w:rsidRPr="00056709">
        <w:rPr>
          <w:color w:val="000000" w:themeColor="text1"/>
        </w:rPr>
        <w:t xml:space="preserve">The (a) </w:t>
      </w:r>
      <w:r w:rsidR="004618B2" w:rsidRPr="00056709">
        <w:rPr>
          <w:i/>
        </w:rPr>
        <w:t>S</w:t>
      </w:r>
      <w:r w:rsidR="004618B2" w:rsidRPr="00056709">
        <w:rPr>
          <w:i/>
          <w:vertAlign w:val="subscript"/>
        </w:rPr>
        <w:t>A/S</w:t>
      </w:r>
      <w:r w:rsidR="004618B2" w:rsidRPr="00056709">
        <w:t xml:space="preserve">, (b) </w:t>
      </w:r>
      <w:r w:rsidR="004618B2" w:rsidRPr="00056709">
        <w:rPr>
          <w:i/>
        </w:rPr>
        <w:t>W</w:t>
      </w:r>
      <w:r w:rsidR="004618B2" w:rsidRPr="00056709">
        <w:rPr>
          <w:i/>
          <w:vertAlign w:val="subscript"/>
        </w:rPr>
        <w:t>A/S</w:t>
      </w:r>
      <w:r w:rsidR="004618B2" w:rsidRPr="00056709">
        <w:t xml:space="preserve"> and (</w:t>
      </w:r>
      <w:r w:rsidR="004618B2" w:rsidRPr="007C1B07">
        <w:t xml:space="preserve">c) </w:t>
      </w:r>
      <w:r w:rsidR="008753B3" w:rsidRPr="005A06BA">
        <w:rPr>
          <w:i/>
          <w:iCs/>
          <w:lang w:val="en-CA"/>
        </w:rPr>
        <w:t>W</w:t>
      </w:r>
      <w:r w:rsidR="008753B3" w:rsidRPr="005A06BA">
        <w:rPr>
          <w:i/>
          <w:iCs/>
          <w:vertAlign w:val="superscript"/>
          <w:lang w:val="en-CA"/>
        </w:rPr>
        <w:t>wet</w:t>
      </w:r>
      <w:r w:rsidR="008753B3" w:rsidRPr="005A06BA">
        <w:rPr>
          <w:i/>
          <w:iCs/>
          <w:vertAlign w:val="subscript"/>
          <w:lang w:val="en-CA"/>
        </w:rPr>
        <w:t>A</w:t>
      </w:r>
      <w:r w:rsidR="008753B3">
        <w:rPr>
          <w:i/>
          <w:iCs/>
          <w:vertAlign w:val="subscript"/>
          <w:lang w:val="en-CA"/>
        </w:rPr>
        <w:t>S</w:t>
      </w:r>
      <w:r w:rsidR="008753B3" w:rsidRPr="005A06BA">
        <w:rPr>
          <w:i/>
          <w:iCs/>
          <w:vertAlign w:val="subscript"/>
          <w:lang w:val="en-CA"/>
        </w:rPr>
        <w:t>W</w:t>
      </w:r>
      <w:r w:rsidR="008753B3" w:rsidRPr="007C1B07">
        <w:t xml:space="preserve"> </w:t>
      </w:r>
      <w:r w:rsidR="004618B2" w:rsidRPr="007C1B07">
        <w:t>of RTFO</w:t>
      </w:r>
      <w:r w:rsidR="004618B2" w:rsidRPr="00056709">
        <w:t>-aged PG 64-22 binder containing different additives with rhyolite aggregate</w:t>
      </w:r>
      <w:bookmarkEnd w:id="134"/>
    </w:p>
    <w:p w14:paraId="60DBCCB2" w14:textId="6B48B60F" w:rsidR="004B7EAB" w:rsidRDefault="004B7EAB" w:rsidP="00376908">
      <w:pPr>
        <w:jc w:val="center"/>
        <w:rPr>
          <w:lang w:val="en-GB" w:eastAsia="en-GB"/>
        </w:rPr>
      </w:pPr>
    </w:p>
    <w:p w14:paraId="5F7D3EC8" w14:textId="66C95D5F" w:rsidR="004B7EAB" w:rsidRDefault="000F3D6F" w:rsidP="00376908">
      <w:pPr>
        <w:jc w:val="center"/>
        <w:rPr>
          <w:lang w:val="en-GB" w:eastAsia="en-GB"/>
        </w:rPr>
      </w:pPr>
      <w:r>
        <w:rPr>
          <w:noProof/>
        </w:rPr>
        <w:drawing>
          <wp:inline distT="0" distB="0" distL="0" distR="0" wp14:anchorId="17754E08" wp14:editId="3019C75F">
            <wp:extent cx="3516923" cy="1828800"/>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3516923" cy="1828800"/>
                    </a:xfrm>
                    <a:prstGeom prst="rect">
                      <a:avLst/>
                    </a:prstGeom>
                    <a:noFill/>
                    <a:ln>
                      <a:noFill/>
                    </a:ln>
                  </pic:spPr>
                </pic:pic>
              </a:graphicData>
            </a:graphic>
          </wp:inline>
        </w:drawing>
      </w:r>
    </w:p>
    <w:p w14:paraId="560FF42E" w14:textId="7A4C7B50" w:rsidR="000F3D6F" w:rsidRDefault="000F3D6F" w:rsidP="00376908">
      <w:pPr>
        <w:jc w:val="center"/>
        <w:rPr>
          <w:lang w:val="en-GB" w:eastAsia="en-GB"/>
        </w:rPr>
      </w:pPr>
      <w:r>
        <w:rPr>
          <w:lang w:val="en-GB" w:eastAsia="en-GB"/>
        </w:rPr>
        <w:t>(a)</w:t>
      </w:r>
    </w:p>
    <w:p w14:paraId="01229B6F" w14:textId="6323A2F9" w:rsidR="000F3D6F" w:rsidRDefault="000F3D6F" w:rsidP="00376908">
      <w:pPr>
        <w:jc w:val="center"/>
        <w:rPr>
          <w:lang w:val="en-GB" w:eastAsia="en-GB"/>
        </w:rPr>
      </w:pPr>
      <w:r>
        <w:rPr>
          <w:noProof/>
        </w:rPr>
        <w:drawing>
          <wp:inline distT="0" distB="0" distL="0" distR="0" wp14:anchorId="25D1B42E" wp14:editId="10AD84BB">
            <wp:extent cx="3516923" cy="1828800"/>
            <wp:effectExtent l="0" t="0" r="762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3516923" cy="1828800"/>
                    </a:xfrm>
                    <a:prstGeom prst="rect">
                      <a:avLst/>
                    </a:prstGeom>
                    <a:noFill/>
                    <a:ln>
                      <a:noFill/>
                    </a:ln>
                  </pic:spPr>
                </pic:pic>
              </a:graphicData>
            </a:graphic>
          </wp:inline>
        </w:drawing>
      </w:r>
    </w:p>
    <w:p w14:paraId="69301A06" w14:textId="1F919A8E" w:rsidR="000F3D6F" w:rsidRDefault="000F3D6F" w:rsidP="00376908">
      <w:pPr>
        <w:jc w:val="center"/>
        <w:rPr>
          <w:lang w:val="en-GB" w:eastAsia="en-GB"/>
        </w:rPr>
      </w:pPr>
      <w:r>
        <w:rPr>
          <w:lang w:val="en-GB" w:eastAsia="en-GB"/>
        </w:rPr>
        <w:t>(b)</w:t>
      </w:r>
    </w:p>
    <w:p w14:paraId="50A94908" w14:textId="1EDB9CCB" w:rsidR="000F3D6F" w:rsidRDefault="000F3D6F" w:rsidP="00376908">
      <w:pPr>
        <w:jc w:val="center"/>
        <w:rPr>
          <w:lang w:val="en-GB" w:eastAsia="en-GB"/>
        </w:rPr>
      </w:pPr>
      <w:r>
        <w:rPr>
          <w:noProof/>
        </w:rPr>
        <w:drawing>
          <wp:inline distT="0" distB="0" distL="0" distR="0" wp14:anchorId="6FBE90F7" wp14:editId="5001AB4B">
            <wp:extent cx="3516923" cy="1828800"/>
            <wp:effectExtent l="0" t="0" r="762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3516923" cy="1828800"/>
                    </a:xfrm>
                    <a:prstGeom prst="rect">
                      <a:avLst/>
                    </a:prstGeom>
                    <a:noFill/>
                    <a:ln>
                      <a:noFill/>
                    </a:ln>
                  </pic:spPr>
                </pic:pic>
              </a:graphicData>
            </a:graphic>
          </wp:inline>
        </w:drawing>
      </w:r>
    </w:p>
    <w:p w14:paraId="6A1AE299" w14:textId="08747AFB" w:rsidR="006117B8" w:rsidRPr="004B7EAB" w:rsidRDefault="006117B8" w:rsidP="00376908">
      <w:pPr>
        <w:jc w:val="center"/>
        <w:rPr>
          <w:lang w:val="en-GB" w:eastAsia="en-GB"/>
        </w:rPr>
      </w:pPr>
      <w:r>
        <w:rPr>
          <w:lang w:val="en-GB" w:eastAsia="en-GB"/>
        </w:rPr>
        <w:t>(c)</w:t>
      </w:r>
    </w:p>
    <w:p w14:paraId="35CC9A53" w14:textId="1CAB2DFE" w:rsidR="004618B2" w:rsidRPr="00056709" w:rsidRDefault="00DD3B5E" w:rsidP="00677CFE">
      <w:pPr>
        <w:pStyle w:val="Caption"/>
        <w:spacing w:line="480" w:lineRule="auto"/>
        <w:jc w:val="center"/>
      </w:pPr>
      <w:bookmarkStart w:id="135" w:name="_Toc71334100"/>
      <w:r>
        <w:t xml:space="preserve">Figure </w:t>
      </w:r>
      <w:fldSimple w:instr=" STYLEREF 1 \s ">
        <w:r w:rsidR="005050F0">
          <w:rPr>
            <w:noProof/>
          </w:rPr>
          <w:t>4</w:t>
        </w:r>
      </w:fldSimple>
      <w:r w:rsidR="00F87F6B">
        <w:t>.</w:t>
      </w:r>
      <w:fldSimple w:instr=" SEQ Figure \* ARABIC \s 1 ">
        <w:r w:rsidR="005050F0">
          <w:rPr>
            <w:noProof/>
          </w:rPr>
          <w:t>4</w:t>
        </w:r>
      </w:fldSimple>
      <w:r w:rsidR="004618B2" w:rsidRPr="00056709">
        <w:t xml:space="preserve"> </w:t>
      </w:r>
      <w:r w:rsidR="004618B2" w:rsidRPr="00056709">
        <w:rPr>
          <w:color w:val="000000" w:themeColor="text1"/>
        </w:rPr>
        <w:t xml:space="preserve">The (a) </w:t>
      </w:r>
      <w:r w:rsidR="004618B2" w:rsidRPr="00056709">
        <w:rPr>
          <w:i/>
        </w:rPr>
        <w:t>S</w:t>
      </w:r>
      <w:r w:rsidR="004618B2" w:rsidRPr="00056709">
        <w:rPr>
          <w:i/>
          <w:vertAlign w:val="subscript"/>
        </w:rPr>
        <w:t>A/S</w:t>
      </w:r>
      <w:r w:rsidR="004618B2" w:rsidRPr="00056709">
        <w:t xml:space="preserve">, (b) </w:t>
      </w:r>
      <w:r w:rsidR="004618B2" w:rsidRPr="00056709">
        <w:rPr>
          <w:i/>
        </w:rPr>
        <w:t>W</w:t>
      </w:r>
      <w:r w:rsidR="004618B2" w:rsidRPr="00056709">
        <w:rPr>
          <w:i/>
          <w:vertAlign w:val="subscript"/>
        </w:rPr>
        <w:t>A/S</w:t>
      </w:r>
      <w:r w:rsidR="004618B2" w:rsidRPr="00056709">
        <w:t xml:space="preserve"> and (c) </w:t>
      </w:r>
      <w:r w:rsidR="008753B3" w:rsidRPr="005A06BA">
        <w:rPr>
          <w:i/>
          <w:iCs/>
          <w:lang w:val="en-CA"/>
        </w:rPr>
        <w:t>W</w:t>
      </w:r>
      <w:r w:rsidR="008753B3" w:rsidRPr="005A06BA">
        <w:rPr>
          <w:i/>
          <w:iCs/>
          <w:vertAlign w:val="superscript"/>
          <w:lang w:val="en-CA"/>
        </w:rPr>
        <w:t>wet</w:t>
      </w:r>
      <w:r w:rsidR="008753B3" w:rsidRPr="005A06BA">
        <w:rPr>
          <w:i/>
          <w:iCs/>
          <w:vertAlign w:val="subscript"/>
          <w:lang w:val="en-CA"/>
        </w:rPr>
        <w:t>A</w:t>
      </w:r>
      <w:r w:rsidR="008753B3">
        <w:rPr>
          <w:i/>
          <w:iCs/>
          <w:vertAlign w:val="subscript"/>
          <w:lang w:val="en-CA"/>
        </w:rPr>
        <w:t>S</w:t>
      </w:r>
      <w:r w:rsidR="008753B3" w:rsidRPr="005A06BA">
        <w:rPr>
          <w:i/>
          <w:iCs/>
          <w:vertAlign w:val="subscript"/>
          <w:lang w:val="en-CA"/>
        </w:rPr>
        <w:t>W</w:t>
      </w:r>
      <w:r w:rsidR="008753B3" w:rsidRPr="00056709">
        <w:t xml:space="preserve"> </w:t>
      </w:r>
      <w:r w:rsidR="004618B2" w:rsidRPr="00056709">
        <w:t>of PAV-aged PG 64-22 binder containing different additives with rhyolite aggregate</w:t>
      </w:r>
      <w:bookmarkEnd w:id="135"/>
    </w:p>
    <w:p w14:paraId="054928BD" w14:textId="27D3637F" w:rsidR="004618B2" w:rsidRDefault="006117B8" w:rsidP="00376908">
      <w:pPr>
        <w:jc w:val="center"/>
        <w:rPr>
          <w:rFonts w:cs="Times New Roman"/>
        </w:rPr>
      </w:pPr>
      <w:r>
        <w:rPr>
          <w:noProof/>
        </w:rPr>
        <w:drawing>
          <wp:inline distT="0" distB="0" distL="0" distR="0" wp14:anchorId="7BAB24EC" wp14:editId="6BBBA79F">
            <wp:extent cx="4572000" cy="228981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4572000" cy="2289810"/>
                    </a:xfrm>
                    <a:prstGeom prst="rect">
                      <a:avLst/>
                    </a:prstGeom>
                    <a:noFill/>
                    <a:ln>
                      <a:noFill/>
                    </a:ln>
                  </pic:spPr>
                </pic:pic>
              </a:graphicData>
            </a:graphic>
          </wp:inline>
        </w:drawing>
      </w:r>
    </w:p>
    <w:p w14:paraId="739CD274" w14:textId="588B4196" w:rsidR="006117B8" w:rsidRDefault="006117B8" w:rsidP="00376908">
      <w:pPr>
        <w:jc w:val="center"/>
        <w:rPr>
          <w:rFonts w:cs="Times New Roman"/>
        </w:rPr>
      </w:pPr>
      <w:r>
        <w:rPr>
          <w:rFonts w:cs="Times New Roman"/>
        </w:rPr>
        <w:t>(a)</w:t>
      </w:r>
    </w:p>
    <w:p w14:paraId="715FFFCA" w14:textId="778104F3" w:rsidR="006117B8" w:rsidRDefault="009771C2" w:rsidP="00376908">
      <w:pPr>
        <w:jc w:val="center"/>
        <w:rPr>
          <w:rFonts w:cs="Times New Roman"/>
        </w:rPr>
      </w:pPr>
      <w:r>
        <w:rPr>
          <w:noProof/>
        </w:rPr>
        <w:drawing>
          <wp:inline distT="0" distB="0" distL="0" distR="0" wp14:anchorId="70D734DC" wp14:editId="113019C8">
            <wp:extent cx="4572000" cy="2289810"/>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572000" cy="2289810"/>
                    </a:xfrm>
                    <a:prstGeom prst="rect">
                      <a:avLst/>
                    </a:prstGeom>
                    <a:noFill/>
                    <a:ln>
                      <a:noFill/>
                    </a:ln>
                  </pic:spPr>
                </pic:pic>
              </a:graphicData>
            </a:graphic>
          </wp:inline>
        </w:drawing>
      </w:r>
    </w:p>
    <w:p w14:paraId="2BA7E8F9" w14:textId="35A7F248" w:rsidR="009771C2" w:rsidRPr="00056709" w:rsidRDefault="009771C2" w:rsidP="00376908">
      <w:pPr>
        <w:jc w:val="center"/>
        <w:rPr>
          <w:rFonts w:cs="Times New Roman"/>
        </w:rPr>
      </w:pPr>
      <w:r>
        <w:rPr>
          <w:rFonts w:cs="Times New Roman"/>
        </w:rPr>
        <w:t>(b)</w:t>
      </w:r>
    </w:p>
    <w:p w14:paraId="62AC922E" w14:textId="174C433F" w:rsidR="004618B2" w:rsidRDefault="00DD3B5E" w:rsidP="00677CFE">
      <w:pPr>
        <w:pStyle w:val="Caption"/>
        <w:spacing w:line="480" w:lineRule="auto"/>
        <w:jc w:val="center"/>
        <w:rPr>
          <w:bCs w:val="0"/>
        </w:rPr>
      </w:pPr>
      <w:bookmarkStart w:id="136" w:name="_Toc480923818"/>
      <w:bookmarkStart w:id="137" w:name="_Toc475830671"/>
      <w:bookmarkStart w:id="138" w:name="_Toc466271902"/>
      <w:bookmarkStart w:id="139" w:name="_Toc71334101"/>
      <w:r>
        <w:t xml:space="preserve">Figure </w:t>
      </w:r>
      <w:fldSimple w:instr=" STYLEREF 1 \s ">
        <w:r w:rsidR="005050F0">
          <w:rPr>
            <w:noProof/>
          </w:rPr>
          <w:t>4</w:t>
        </w:r>
      </w:fldSimple>
      <w:r w:rsidR="00F87F6B">
        <w:t>.</w:t>
      </w:r>
      <w:fldSimple w:instr=" SEQ Figure \* ARABIC \s 1 ">
        <w:r w:rsidR="005050F0">
          <w:rPr>
            <w:noProof/>
          </w:rPr>
          <w:t>5</w:t>
        </w:r>
      </w:fldSimple>
      <w:r w:rsidR="004618B2" w:rsidRPr="00056709">
        <w:t xml:space="preserve"> </w:t>
      </w:r>
      <w:bookmarkEnd w:id="136"/>
      <w:bookmarkEnd w:id="137"/>
      <w:bookmarkEnd w:id="138"/>
      <w:r w:rsidR="004618B2" w:rsidRPr="00056709">
        <w:rPr>
          <w:color w:val="000000" w:themeColor="text1"/>
        </w:rPr>
        <w:t xml:space="preserve">The </w:t>
      </w:r>
      <w:r w:rsidR="004618B2" w:rsidRPr="00056709">
        <w:rPr>
          <w:i/>
          <w:iCs/>
        </w:rPr>
        <w:t>ER</w:t>
      </w:r>
      <w:r w:rsidR="004618B2" w:rsidRPr="00056709">
        <w:rPr>
          <w:i/>
          <w:iCs/>
          <w:vertAlign w:val="subscript"/>
        </w:rPr>
        <w:t>1</w:t>
      </w:r>
      <w:r w:rsidR="004618B2" w:rsidRPr="00056709">
        <w:rPr>
          <w:i/>
          <w:iCs/>
        </w:rPr>
        <w:t xml:space="preserve"> </w:t>
      </w:r>
      <w:r w:rsidR="004618B2" w:rsidRPr="00056709">
        <w:t xml:space="preserve">and </w:t>
      </w:r>
      <w:r w:rsidR="004618B2" w:rsidRPr="00056709">
        <w:rPr>
          <w:i/>
          <w:iCs/>
        </w:rPr>
        <w:t>ER</w:t>
      </w:r>
      <w:r w:rsidR="004618B2" w:rsidRPr="00056709">
        <w:rPr>
          <w:i/>
          <w:iCs/>
          <w:vertAlign w:val="subscript"/>
        </w:rPr>
        <w:t>2</w:t>
      </w:r>
      <w:r w:rsidR="004618B2" w:rsidRPr="00056709">
        <w:t xml:space="preserve"> of (a) RTFO-aged and (b) PAV-aged PG 64-22 containing different additives with rhyolite aggregate</w:t>
      </w:r>
      <w:bookmarkEnd w:id="139"/>
    </w:p>
    <w:p w14:paraId="204EAF26" w14:textId="76DBE75E" w:rsidR="009771C2" w:rsidRDefault="009771C2" w:rsidP="00376908">
      <w:pPr>
        <w:jc w:val="center"/>
        <w:rPr>
          <w:rFonts w:cs="Times New Roman"/>
          <w:b/>
          <w:bCs/>
        </w:rPr>
      </w:pPr>
      <w:r>
        <w:rPr>
          <w:noProof/>
        </w:rPr>
        <w:drawing>
          <wp:inline distT="0" distB="0" distL="0" distR="0" wp14:anchorId="6A3E3D8D" wp14:editId="2CE5A3CC">
            <wp:extent cx="4454661" cy="2560320"/>
            <wp:effectExtent l="0" t="0" r="3175"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4454661" cy="2560320"/>
                    </a:xfrm>
                    <a:prstGeom prst="rect">
                      <a:avLst/>
                    </a:prstGeom>
                    <a:noFill/>
                    <a:ln>
                      <a:noFill/>
                    </a:ln>
                  </pic:spPr>
                </pic:pic>
              </a:graphicData>
            </a:graphic>
          </wp:inline>
        </w:drawing>
      </w:r>
    </w:p>
    <w:p w14:paraId="6D47F4D6" w14:textId="78105BE7" w:rsidR="009771C2" w:rsidRDefault="009771C2" w:rsidP="00376908">
      <w:pPr>
        <w:jc w:val="center"/>
        <w:rPr>
          <w:rFonts w:cs="Times New Roman"/>
        </w:rPr>
      </w:pPr>
      <w:r w:rsidRPr="009771C2">
        <w:rPr>
          <w:rFonts w:cs="Times New Roman"/>
        </w:rPr>
        <w:t>(a)</w:t>
      </w:r>
    </w:p>
    <w:p w14:paraId="26A2A8DA" w14:textId="08DCF6EA" w:rsidR="009771C2" w:rsidRDefault="00A214A8" w:rsidP="00376908">
      <w:pPr>
        <w:jc w:val="center"/>
        <w:rPr>
          <w:rFonts w:cs="Times New Roman"/>
        </w:rPr>
      </w:pPr>
      <w:r>
        <w:rPr>
          <w:noProof/>
        </w:rPr>
        <w:drawing>
          <wp:inline distT="0" distB="0" distL="0" distR="0" wp14:anchorId="33922407" wp14:editId="27A34AD7">
            <wp:extent cx="4572000" cy="256032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4572000" cy="2560320"/>
                    </a:xfrm>
                    <a:prstGeom prst="rect">
                      <a:avLst/>
                    </a:prstGeom>
                    <a:noFill/>
                    <a:ln>
                      <a:noFill/>
                    </a:ln>
                  </pic:spPr>
                </pic:pic>
              </a:graphicData>
            </a:graphic>
          </wp:inline>
        </w:drawing>
      </w:r>
    </w:p>
    <w:p w14:paraId="1FF93332" w14:textId="34A9A53D" w:rsidR="00A214A8" w:rsidRPr="009771C2" w:rsidRDefault="00A214A8" w:rsidP="00376908">
      <w:pPr>
        <w:jc w:val="center"/>
        <w:rPr>
          <w:rFonts w:cs="Times New Roman"/>
        </w:rPr>
      </w:pPr>
      <w:r>
        <w:rPr>
          <w:rFonts w:cs="Times New Roman"/>
        </w:rPr>
        <w:t>(b)</w:t>
      </w:r>
    </w:p>
    <w:p w14:paraId="1170DF68" w14:textId="0142FA7E" w:rsidR="004618B2" w:rsidRDefault="00C02651" w:rsidP="00677CFE">
      <w:pPr>
        <w:pStyle w:val="Caption"/>
        <w:spacing w:line="480" w:lineRule="auto"/>
        <w:jc w:val="center"/>
        <w:rPr>
          <w:bCs w:val="0"/>
          <w:lang w:val="en-CA"/>
        </w:rPr>
      </w:pPr>
      <w:bookmarkStart w:id="140" w:name="_Toc71334102"/>
      <w:r>
        <w:t xml:space="preserve">Figure </w:t>
      </w:r>
      <w:fldSimple w:instr=" STYLEREF 1 \s ">
        <w:r w:rsidR="005050F0">
          <w:rPr>
            <w:noProof/>
          </w:rPr>
          <w:t>4</w:t>
        </w:r>
      </w:fldSimple>
      <w:r w:rsidR="00F87F6B">
        <w:t>.</w:t>
      </w:r>
      <w:fldSimple w:instr=" SEQ Figure \* ARABIC \s 1 ">
        <w:r w:rsidR="005050F0">
          <w:rPr>
            <w:noProof/>
          </w:rPr>
          <w:t>6</w:t>
        </w:r>
      </w:fldSimple>
      <w:r w:rsidR="004618B2" w:rsidRPr="00056709">
        <w:t xml:space="preserve"> </w:t>
      </w:r>
      <w:r w:rsidR="004618B2" w:rsidRPr="00056709">
        <w:rPr>
          <w:lang w:val="en-CA"/>
        </w:rPr>
        <w:t>(a) Indirect tensile strength (</w:t>
      </w:r>
      <w:r w:rsidR="004618B2" w:rsidRPr="00056709">
        <w:rPr>
          <w:i/>
          <w:iCs/>
          <w:lang w:val="en-CA"/>
        </w:rPr>
        <w:t>ITS</w:t>
      </w:r>
      <w:r w:rsidR="004618B2" w:rsidRPr="00056709">
        <w:rPr>
          <w:lang w:val="en-CA"/>
        </w:rPr>
        <w:t>) and (b) tensile strength ratio (</w:t>
      </w:r>
      <w:r w:rsidR="004618B2" w:rsidRPr="00056709">
        <w:rPr>
          <w:i/>
          <w:iCs/>
          <w:lang w:val="en-CA"/>
        </w:rPr>
        <w:t>TSR</w:t>
      </w:r>
      <w:r w:rsidR="004618B2" w:rsidRPr="00056709">
        <w:rPr>
          <w:lang w:val="en-CA"/>
        </w:rPr>
        <w:t>) of the tested asphalt mixes</w:t>
      </w:r>
      <w:bookmarkEnd w:id="140"/>
    </w:p>
    <w:p w14:paraId="69B039F0" w14:textId="228A4226" w:rsidR="00A214A8" w:rsidRDefault="00A214A8" w:rsidP="00376908">
      <w:pPr>
        <w:jc w:val="center"/>
        <w:rPr>
          <w:lang w:val="en-CA" w:eastAsia="en-GB"/>
        </w:rPr>
      </w:pPr>
      <w:r>
        <w:rPr>
          <w:noProof/>
        </w:rPr>
        <w:drawing>
          <wp:inline distT="0" distB="0" distL="0" distR="0" wp14:anchorId="6B553971" wp14:editId="78A9CBBC">
            <wp:extent cx="4572000" cy="2560320"/>
            <wp:effectExtent l="0" t="0" r="0" b="0"/>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4572000" cy="2560320"/>
                    </a:xfrm>
                    <a:prstGeom prst="rect">
                      <a:avLst/>
                    </a:prstGeom>
                    <a:noFill/>
                    <a:ln>
                      <a:noFill/>
                    </a:ln>
                  </pic:spPr>
                </pic:pic>
              </a:graphicData>
            </a:graphic>
          </wp:inline>
        </w:drawing>
      </w:r>
    </w:p>
    <w:p w14:paraId="2D1870E4" w14:textId="29074372" w:rsidR="00A214A8" w:rsidRDefault="00A214A8" w:rsidP="00376908">
      <w:pPr>
        <w:jc w:val="center"/>
        <w:rPr>
          <w:lang w:val="en-CA" w:eastAsia="en-GB"/>
        </w:rPr>
      </w:pPr>
      <w:r>
        <w:rPr>
          <w:lang w:val="en-CA" w:eastAsia="en-GB"/>
        </w:rPr>
        <w:t>(a)</w:t>
      </w:r>
    </w:p>
    <w:p w14:paraId="16B33A91" w14:textId="694FA27A" w:rsidR="00A214A8" w:rsidRDefault="00A214A8" w:rsidP="00376908">
      <w:pPr>
        <w:jc w:val="center"/>
        <w:rPr>
          <w:lang w:val="en-CA" w:eastAsia="en-GB"/>
        </w:rPr>
      </w:pPr>
      <w:r>
        <w:rPr>
          <w:noProof/>
        </w:rPr>
        <w:drawing>
          <wp:inline distT="0" distB="0" distL="0" distR="0" wp14:anchorId="40947313" wp14:editId="2281B22A">
            <wp:extent cx="4572000" cy="2560320"/>
            <wp:effectExtent l="0" t="0" r="0" b="0"/>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4572000" cy="2560320"/>
                    </a:xfrm>
                    <a:prstGeom prst="rect">
                      <a:avLst/>
                    </a:prstGeom>
                    <a:noFill/>
                    <a:ln>
                      <a:noFill/>
                    </a:ln>
                  </pic:spPr>
                </pic:pic>
              </a:graphicData>
            </a:graphic>
          </wp:inline>
        </w:drawing>
      </w:r>
    </w:p>
    <w:p w14:paraId="2F18FF88" w14:textId="68B05F9A" w:rsidR="00A214A8" w:rsidRPr="00A214A8" w:rsidRDefault="00A214A8" w:rsidP="00376908">
      <w:pPr>
        <w:jc w:val="center"/>
        <w:rPr>
          <w:lang w:val="en-CA" w:eastAsia="en-GB"/>
        </w:rPr>
      </w:pPr>
      <w:r>
        <w:rPr>
          <w:lang w:val="en-CA" w:eastAsia="en-GB"/>
        </w:rPr>
        <w:t>(b)</w:t>
      </w:r>
    </w:p>
    <w:p w14:paraId="32375374" w14:textId="11C771E6" w:rsidR="004618B2" w:rsidRDefault="00C02651" w:rsidP="00677CFE">
      <w:pPr>
        <w:pStyle w:val="Caption"/>
        <w:spacing w:line="480" w:lineRule="auto"/>
        <w:jc w:val="center"/>
        <w:rPr>
          <w:bCs w:val="0"/>
          <w:lang w:val="en-CA"/>
        </w:rPr>
      </w:pPr>
      <w:bookmarkStart w:id="141" w:name="_Toc480923828"/>
      <w:bookmarkStart w:id="142" w:name="_Toc71334103"/>
      <w:r>
        <w:t xml:space="preserve">Figure </w:t>
      </w:r>
      <w:fldSimple w:instr=" STYLEREF 1 \s ">
        <w:r w:rsidR="005050F0">
          <w:rPr>
            <w:noProof/>
          </w:rPr>
          <w:t>4</w:t>
        </w:r>
      </w:fldSimple>
      <w:r w:rsidR="00F87F6B">
        <w:t>.</w:t>
      </w:r>
      <w:fldSimple w:instr=" SEQ Figure \* ARABIC \s 1 ">
        <w:r w:rsidR="005050F0">
          <w:rPr>
            <w:noProof/>
          </w:rPr>
          <w:t>7</w:t>
        </w:r>
      </w:fldSimple>
      <w:r w:rsidR="004618B2" w:rsidRPr="00056709">
        <w:t xml:space="preserve"> </w:t>
      </w:r>
      <w:bookmarkEnd w:id="141"/>
      <w:r w:rsidR="004618B2" w:rsidRPr="00056709">
        <w:rPr>
          <w:lang w:val="en-CA"/>
        </w:rPr>
        <w:t>(a) Fracture energy (</w:t>
      </w:r>
      <w:r w:rsidR="004618B2" w:rsidRPr="00056709">
        <w:rPr>
          <w:i/>
          <w:iCs/>
          <w:lang w:val="en-CA"/>
        </w:rPr>
        <w:t>G</w:t>
      </w:r>
      <w:r w:rsidR="004618B2" w:rsidRPr="00056709">
        <w:rPr>
          <w:i/>
          <w:iCs/>
          <w:vertAlign w:val="subscript"/>
          <w:lang w:val="en-CA"/>
        </w:rPr>
        <w:t>f</w:t>
      </w:r>
      <w:r w:rsidR="004618B2" w:rsidRPr="00056709">
        <w:rPr>
          <w:lang w:val="en-CA"/>
        </w:rPr>
        <w:t>) and (b) fracture energy ratio (</w:t>
      </w:r>
      <w:r w:rsidR="004618B2" w:rsidRPr="00056709">
        <w:rPr>
          <w:i/>
          <w:iCs/>
          <w:lang w:val="en-CA"/>
        </w:rPr>
        <w:t>G</w:t>
      </w:r>
      <w:r w:rsidR="004618B2" w:rsidRPr="00056709">
        <w:rPr>
          <w:i/>
          <w:iCs/>
          <w:vertAlign w:val="subscript"/>
          <w:lang w:val="en-CA"/>
        </w:rPr>
        <w:t>f</w:t>
      </w:r>
      <w:r w:rsidR="004618B2" w:rsidRPr="00056709">
        <w:rPr>
          <w:i/>
          <w:iCs/>
          <w:lang w:val="en-CA"/>
        </w:rPr>
        <w:t xml:space="preserve"> ratio</w:t>
      </w:r>
      <w:r w:rsidR="004618B2" w:rsidRPr="00056709">
        <w:rPr>
          <w:lang w:val="en-CA"/>
        </w:rPr>
        <w:t>) of tested asphalt mixes</w:t>
      </w:r>
      <w:bookmarkEnd w:id="142"/>
    </w:p>
    <w:p w14:paraId="1BE5DCED" w14:textId="73A56A65" w:rsidR="00A214A8" w:rsidRDefault="00762990" w:rsidP="00376908">
      <w:pPr>
        <w:jc w:val="center"/>
        <w:rPr>
          <w:lang w:val="en-CA" w:eastAsia="en-GB"/>
        </w:rPr>
      </w:pPr>
      <w:r>
        <w:rPr>
          <w:noProof/>
        </w:rPr>
        <w:drawing>
          <wp:inline distT="0" distB="0" distL="0" distR="0" wp14:anchorId="3AAB5BEA" wp14:editId="21A92336">
            <wp:extent cx="4572000" cy="2560320"/>
            <wp:effectExtent l="0" t="0" r="0"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4572000" cy="2560320"/>
                    </a:xfrm>
                    <a:prstGeom prst="rect">
                      <a:avLst/>
                    </a:prstGeom>
                    <a:noFill/>
                    <a:ln>
                      <a:noFill/>
                    </a:ln>
                  </pic:spPr>
                </pic:pic>
              </a:graphicData>
            </a:graphic>
          </wp:inline>
        </w:drawing>
      </w:r>
    </w:p>
    <w:p w14:paraId="2BEF8DD1" w14:textId="7B3B4334" w:rsidR="00762990" w:rsidRDefault="00762990" w:rsidP="00376908">
      <w:pPr>
        <w:jc w:val="center"/>
        <w:rPr>
          <w:lang w:val="en-CA" w:eastAsia="en-GB"/>
        </w:rPr>
      </w:pPr>
      <w:r>
        <w:rPr>
          <w:lang w:val="en-CA" w:eastAsia="en-GB"/>
        </w:rPr>
        <w:t>(a)</w:t>
      </w:r>
    </w:p>
    <w:p w14:paraId="2B8E2132" w14:textId="6DC12A0E" w:rsidR="00762990" w:rsidRDefault="00762990" w:rsidP="00376908">
      <w:pPr>
        <w:jc w:val="center"/>
        <w:rPr>
          <w:lang w:val="en-CA" w:eastAsia="en-GB"/>
        </w:rPr>
      </w:pPr>
      <w:r>
        <w:rPr>
          <w:noProof/>
        </w:rPr>
        <w:drawing>
          <wp:inline distT="0" distB="0" distL="0" distR="0" wp14:anchorId="21D80412" wp14:editId="142E40C2">
            <wp:extent cx="4572000" cy="2560320"/>
            <wp:effectExtent l="0" t="0" r="0" b="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4572000" cy="2560320"/>
                    </a:xfrm>
                    <a:prstGeom prst="rect">
                      <a:avLst/>
                    </a:prstGeom>
                    <a:noFill/>
                    <a:ln>
                      <a:noFill/>
                    </a:ln>
                  </pic:spPr>
                </pic:pic>
              </a:graphicData>
            </a:graphic>
          </wp:inline>
        </w:drawing>
      </w:r>
    </w:p>
    <w:p w14:paraId="26775093" w14:textId="0C81BC63" w:rsidR="00762990" w:rsidRPr="00A214A8" w:rsidRDefault="00762990" w:rsidP="00376908">
      <w:pPr>
        <w:jc w:val="center"/>
        <w:rPr>
          <w:lang w:val="en-CA" w:eastAsia="en-GB"/>
        </w:rPr>
      </w:pPr>
      <w:r>
        <w:rPr>
          <w:lang w:val="en-CA" w:eastAsia="en-GB"/>
        </w:rPr>
        <w:t>(b)</w:t>
      </w:r>
    </w:p>
    <w:p w14:paraId="0F89453D" w14:textId="3CBAE7D6" w:rsidR="004618B2" w:rsidRPr="00056709" w:rsidRDefault="00C02651" w:rsidP="00677CFE">
      <w:pPr>
        <w:pStyle w:val="Caption"/>
        <w:spacing w:line="480" w:lineRule="auto"/>
        <w:jc w:val="center"/>
      </w:pPr>
      <w:bookmarkStart w:id="143" w:name="_Toc71334104"/>
      <w:r>
        <w:t xml:space="preserve">Figure </w:t>
      </w:r>
      <w:fldSimple w:instr=" STYLEREF 1 \s ">
        <w:r w:rsidR="005050F0">
          <w:rPr>
            <w:noProof/>
          </w:rPr>
          <w:t>4</w:t>
        </w:r>
      </w:fldSimple>
      <w:r w:rsidR="00F87F6B">
        <w:t>.</w:t>
      </w:r>
      <w:fldSimple w:instr=" SEQ Figure \* ARABIC \s 1 ">
        <w:r w:rsidR="005050F0">
          <w:rPr>
            <w:noProof/>
          </w:rPr>
          <w:t>8</w:t>
        </w:r>
      </w:fldSimple>
      <w:r w:rsidR="004618B2" w:rsidRPr="00056709">
        <w:t xml:space="preserve"> Comparison of moisture-induced damage parameters: (a) </w:t>
      </w:r>
      <w:r w:rsidR="004618B2" w:rsidRPr="00056709">
        <w:rPr>
          <w:i/>
          <w:iCs/>
        </w:rPr>
        <w:t>TSR</w:t>
      </w:r>
      <w:r w:rsidR="004618B2" w:rsidRPr="00056709">
        <w:t xml:space="preserve"> vs. </w:t>
      </w:r>
      <w:r w:rsidR="004618B2" w:rsidRPr="00056709">
        <w:rPr>
          <w:i/>
          <w:iCs/>
        </w:rPr>
        <w:t>ER</w:t>
      </w:r>
      <w:r w:rsidR="004618B2" w:rsidRPr="00056709">
        <w:rPr>
          <w:i/>
          <w:iCs/>
          <w:vertAlign w:val="subscript"/>
        </w:rPr>
        <w:t>1</w:t>
      </w:r>
      <w:r w:rsidR="004618B2" w:rsidRPr="00056709">
        <w:t xml:space="preserve"> and (b) </w:t>
      </w:r>
      <w:r w:rsidR="004618B2" w:rsidRPr="00056709">
        <w:rPr>
          <w:i/>
          <w:iCs/>
        </w:rPr>
        <w:t>G</w:t>
      </w:r>
      <w:r w:rsidR="004618B2" w:rsidRPr="00056709">
        <w:rPr>
          <w:i/>
          <w:iCs/>
          <w:vertAlign w:val="subscript"/>
        </w:rPr>
        <w:t>f</w:t>
      </w:r>
      <w:r w:rsidR="004618B2" w:rsidRPr="00056709">
        <w:rPr>
          <w:i/>
          <w:iCs/>
        </w:rPr>
        <w:t xml:space="preserve"> ratio</w:t>
      </w:r>
      <w:r w:rsidR="004618B2" w:rsidRPr="00056709">
        <w:t xml:space="preserve"> vs. </w:t>
      </w:r>
      <w:r w:rsidR="004618B2" w:rsidRPr="00056709">
        <w:rPr>
          <w:i/>
          <w:iCs/>
        </w:rPr>
        <w:t>ER</w:t>
      </w:r>
      <w:r w:rsidR="004618B2" w:rsidRPr="00056709">
        <w:rPr>
          <w:i/>
          <w:iCs/>
          <w:vertAlign w:val="subscript"/>
        </w:rPr>
        <w:t>1</w:t>
      </w:r>
      <w:bookmarkEnd w:id="143"/>
    </w:p>
    <w:p w14:paraId="3394813D" w14:textId="36422F43" w:rsidR="003C4D0A" w:rsidRDefault="003C4D0A" w:rsidP="007B0DD3">
      <w:pPr>
        <w:rPr>
          <w:rFonts w:eastAsia="Times New Roman" w:cs="Times New Roman"/>
          <w:szCs w:val="24"/>
          <w:lang w:bidi="en-US"/>
        </w:rPr>
      </w:pPr>
    </w:p>
    <w:p w14:paraId="241BDFCE" w14:textId="77777777" w:rsidR="00C02651" w:rsidRPr="000B3158" w:rsidRDefault="00C02651" w:rsidP="007B0DD3">
      <w:pPr>
        <w:rPr>
          <w:rFonts w:eastAsia="Times New Roman" w:cs="Times New Roman"/>
          <w:szCs w:val="24"/>
          <w:lang w:bidi="en-US"/>
        </w:rPr>
      </w:pPr>
    </w:p>
    <w:p w14:paraId="175AEEC3" w14:textId="37003DAE" w:rsidR="003C4D0A" w:rsidRDefault="003C4D0A" w:rsidP="00D829B2">
      <w:pPr>
        <w:rPr>
          <w:rFonts w:eastAsia="Times New Roman" w:cs="Times New Roman"/>
          <w:szCs w:val="24"/>
          <w:lang w:bidi="en-US"/>
        </w:rPr>
      </w:pPr>
    </w:p>
    <w:p w14:paraId="1BD98215" w14:textId="77777777" w:rsidR="000B742D" w:rsidRPr="002C7331" w:rsidRDefault="000B742D" w:rsidP="000B742D">
      <w:pPr>
        <w:spacing w:line="240" w:lineRule="auto"/>
        <w:rPr>
          <w:rFonts w:ascii="Mongolian Baiti" w:hAnsi="Mongolian Baiti" w:cs="Mongolian Baiti"/>
          <w:b/>
          <w:bCs/>
        </w:rPr>
      </w:pPr>
      <w:r w:rsidRPr="002C7331">
        <w:rPr>
          <w:rFonts w:ascii="Mongolian Baiti" w:hAnsi="Mongolian Baiti" w:cs="Mongolian Baiti"/>
          <w:b/>
          <w:bCs/>
        </w:rPr>
        <w:t>CHAPTER</w:t>
      </w:r>
    </w:p>
    <w:p w14:paraId="02601EDF" w14:textId="32C641FD" w:rsidR="000B742D" w:rsidRPr="002C7331" w:rsidRDefault="001A5AE6" w:rsidP="000B742D">
      <w:pPr>
        <w:pBdr>
          <w:bottom w:val="double" w:sz="4" w:space="0" w:color="auto"/>
        </w:pBdr>
        <w:spacing w:line="240" w:lineRule="auto"/>
        <w:rPr>
          <w:rFonts w:ascii="Mongolian Baiti" w:hAnsi="Mongolian Baiti" w:cs="Mongolian Baiti"/>
          <w:b/>
          <w:bCs/>
          <w:i/>
          <w:iCs/>
          <w:sz w:val="110"/>
          <w:szCs w:val="108"/>
        </w:rPr>
      </w:pPr>
      <w:r>
        <w:rPr>
          <w:rFonts w:ascii="Mongolian Baiti" w:hAnsi="Mongolian Baiti" w:cs="Mongolian Baiti"/>
          <w:b/>
          <w:bCs/>
          <w:i/>
          <w:iCs/>
          <w:sz w:val="110"/>
          <w:szCs w:val="108"/>
        </w:rPr>
        <w:t>5</w:t>
      </w:r>
    </w:p>
    <w:p w14:paraId="465E15D7" w14:textId="6A8E2951" w:rsidR="00B555D8" w:rsidRPr="004D495D" w:rsidRDefault="001A5AE6" w:rsidP="00E44786">
      <w:pPr>
        <w:pStyle w:val="Heading1"/>
        <w:rPr>
          <w:szCs w:val="24"/>
        </w:rPr>
      </w:pPr>
      <w:bookmarkStart w:id="144" w:name="_Toc469234988"/>
      <w:bookmarkStart w:id="145" w:name="_Toc465276892"/>
      <w:bookmarkStart w:id="146" w:name="_Toc71728451"/>
      <w:r w:rsidRPr="00D82184">
        <w:t>LABORATORY CHARACTERIZATION OF MOISTURE-INDUCED DAMAGE POTENTIAL OF ASPHALT MIXES USING CONVENTIONAL AND UNCONVENTIONAL PERFORMANCE-BASED TESTS</w:t>
      </w:r>
      <w:bookmarkEnd w:id="144"/>
      <w:bookmarkEnd w:id="145"/>
      <w:r w:rsidR="000E1272">
        <w:rPr>
          <w:rStyle w:val="FootnoteReference"/>
        </w:rPr>
        <w:footnoteReference w:id="5"/>
      </w:r>
      <w:bookmarkEnd w:id="146"/>
    </w:p>
    <w:p w14:paraId="4FE8FA08" w14:textId="77777777" w:rsidR="00DD6905" w:rsidRPr="00BB5813" w:rsidRDefault="00DD6905" w:rsidP="00555D3F">
      <w:pPr>
        <w:pStyle w:val="Abstract"/>
        <w:spacing w:before="0" w:after="0" w:line="480" w:lineRule="auto"/>
        <w:ind w:left="0" w:right="562"/>
        <w:jc w:val="center"/>
        <w:rPr>
          <w:b/>
          <w:sz w:val="24"/>
          <w:lang w:val="en-US" w:eastAsia="ko-KR"/>
        </w:rPr>
      </w:pPr>
      <w:r w:rsidRPr="00BB5813">
        <w:rPr>
          <w:b/>
          <w:sz w:val="24"/>
          <w:lang w:val="en-US" w:eastAsia="ko-KR"/>
        </w:rPr>
        <w:t>ABSTRACT</w:t>
      </w:r>
    </w:p>
    <w:p w14:paraId="37CCEB2F" w14:textId="77777777" w:rsidR="00DD6905" w:rsidRPr="00BB5813" w:rsidRDefault="00DD6905" w:rsidP="00555D3F">
      <w:pPr>
        <w:pStyle w:val="Abstract"/>
        <w:spacing w:before="0" w:after="0" w:line="480" w:lineRule="auto"/>
        <w:ind w:left="0" w:right="562"/>
        <w:rPr>
          <w:sz w:val="24"/>
          <w:lang w:val="en-US" w:eastAsia="ko-KR"/>
        </w:rPr>
      </w:pPr>
      <w:r w:rsidRPr="00BB5813">
        <w:rPr>
          <w:sz w:val="24"/>
          <w:lang w:val="en-US" w:eastAsia="ko-KR"/>
        </w:rPr>
        <w:t>Moisture-induced damage is one of the major distresses responsible for premature deterioration of asphalt pavements. The stripping inflection point (</w:t>
      </w:r>
      <w:r w:rsidRPr="00BB5813">
        <w:rPr>
          <w:i/>
          <w:iCs/>
          <w:sz w:val="24"/>
          <w:lang w:val="en-US" w:eastAsia="ko-KR"/>
        </w:rPr>
        <w:t>SIP</w:t>
      </w:r>
      <w:r w:rsidRPr="00BB5813">
        <w:rPr>
          <w:sz w:val="24"/>
          <w:lang w:val="en-US" w:eastAsia="ko-KR"/>
        </w:rPr>
        <w:t>) from the Hamburg wheel tracking (HWT) test and tensile strength ratio (</w:t>
      </w:r>
      <w:r w:rsidRPr="00BB5813">
        <w:rPr>
          <w:i/>
          <w:iCs/>
          <w:sz w:val="24"/>
          <w:lang w:val="en-US" w:eastAsia="ko-KR"/>
        </w:rPr>
        <w:t>TSR</w:t>
      </w:r>
      <w:r w:rsidRPr="00BB5813">
        <w:rPr>
          <w:sz w:val="24"/>
          <w:lang w:val="en-US" w:eastAsia="ko-KR"/>
        </w:rPr>
        <w:t>) from the indirect tensile strength (ITS) test are the two most commonly used parameters by state Department of Transportation (DOT) to evaluate moisture-induced damage. However, variability in test results and poor correlations with field performance have raised concerns on the reliability of these parameters. Therefore, there is a need to identify relatively simple, reliable, and mechanistic methods for evaluating moisture-induced damage potential of asphalt mixes. In this study, new approaches for evaluating the HWT test and ITS test data were introduced and compared with the conventional data analysis procedures. Also, moisture-induced damage was evaluated using a new parameter, namely J-integral ratio (</w:t>
      </w:r>
      <w:r w:rsidRPr="00BB5813">
        <w:rPr>
          <w:i/>
          <w:iCs/>
          <w:sz w:val="24"/>
          <w:lang w:val="en-US" w:eastAsia="ko-KR"/>
        </w:rPr>
        <w:t>J</w:t>
      </w:r>
      <w:r w:rsidRPr="00BB5813">
        <w:rPr>
          <w:i/>
          <w:iCs/>
          <w:sz w:val="24"/>
          <w:vertAlign w:val="subscript"/>
          <w:lang w:val="en-US" w:eastAsia="ko-KR"/>
        </w:rPr>
        <w:t>c</w:t>
      </w:r>
      <w:r w:rsidRPr="00BB5813">
        <w:rPr>
          <w:i/>
          <w:iCs/>
          <w:sz w:val="24"/>
          <w:lang w:val="en-US" w:eastAsia="ko-KR"/>
        </w:rPr>
        <w:t xml:space="preserve"> ratio</w:t>
      </w:r>
      <w:r w:rsidRPr="00BB5813">
        <w:rPr>
          <w:sz w:val="24"/>
          <w:lang w:val="en-US" w:eastAsia="ko-KR"/>
        </w:rPr>
        <w:t>) from Louisiana semi-circular bend (LA-SCB) test. For this purpose, surface course mixes containing warm mix asphalt additive, antistripping agent, polyphosphoric acid and reclaimed asphalt pavement (RAP) were prepared and tested in the laboratory. Bond strength of the binder-aggregate system was mechanistically quantified using surface free energy (SFE) method. Also, propensity of debonding of binder from aggregate surface in presence of moisture was determined using a similar approach. Relationships between different laboratory-based parameters and the SFE parameters were determined. Different parameters ranked mixes differently based on their failure mechanisms. Based on the results from this study and the DOT practices, the stripping number (</w:t>
      </w:r>
      <w:r w:rsidRPr="00BB5813">
        <w:rPr>
          <w:i/>
          <w:iCs/>
          <w:sz w:val="24"/>
          <w:lang w:val="en-US" w:eastAsia="ko-KR"/>
        </w:rPr>
        <w:t>LC</w:t>
      </w:r>
      <w:r w:rsidRPr="00BB5813">
        <w:rPr>
          <w:i/>
          <w:iCs/>
          <w:sz w:val="24"/>
          <w:vertAlign w:val="subscript"/>
          <w:lang w:val="en-US" w:eastAsia="ko-KR"/>
        </w:rPr>
        <w:t>SN</w:t>
      </w:r>
      <w:r w:rsidRPr="00BB5813">
        <w:rPr>
          <w:sz w:val="24"/>
          <w:lang w:val="en-US" w:eastAsia="ko-KR"/>
        </w:rPr>
        <w:t>) from HWT, toughness index ratio (</w:t>
      </w:r>
      <w:r w:rsidRPr="00BB5813">
        <w:rPr>
          <w:i/>
          <w:iCs/>
          <w:sz w:val="24"/>
          <w:lang w:val="en-US" w:eastAsia="ko-KR"/>
        </w:rPr>
        <w:t>TI ratio</w:t>
      </w:r>
      <w:r w:rsidRPr="00BB5813">
        <w:rPr>
          <w:sz w:val="24"/>
          <w:lang w:val="en-US" w:eastAsia="ko-KR"/>
        </w:rPr>
        <w:t xml:space="preserve">) from ITS and </w:t>
      </w:r>
      <w:r w:rsidRPr="00BB5813">
        <w:rPr>
          <w:i/>
          <w:iCs/>
          <w:sz w:val="24"/>
          <w:lang w:val="en-US" w:eastAsia="ko-KR"/>
        </w:rPr>
        <w:t>J</w:t>
      </w:r>
      <w:r w:rsidRPr="00BB5813">
        <w:rPr>
          <w:i/>
          <w:iCs/>
          <w:sz w:val="24"/>
          <w:vertAlign w:val="subscript"/>
          <w:lang w:val="en-US" w:eastAsia="ko-KR"/>
        </w:rPr>
        <w:t>c</w:t>
      </w:r>
      <w:r w:rsidRPr="00BB5813">
        <w:rPr>
          <w:i/>
          <w:iCs/>
          <w:sz w:val="24"/>
          <w:lang w:val="en-US" w:eastAsia="ko-KR"/>
        </w:rPr>
        <w:t xml:space="preserve"> ratio</w:t>
      </w:r>
      <w:r w:rsidRPr="00BB5813">
        <w:rPr>
          <w:sz w:val="24"/>
          <w:lang w:val="en-US" w:eastAsia="ko-KR"/>
        </w:rPr>
        <w:t xml:space="preserve"> from LA-SCB test exhibited potential for evaluating moisture-induced damage during the mix design phase. </w:t>
      </w:r>
    </w:p>
    <w:p w14:paraId="50BBD24C" w14:textId="77C636BB" w:rsidR="00DD6905" w:rsidRPr="00BB5813" w:rsidRDefault="00DD6905" w:rsidP="00E57694">
      <w:pPr>
        <w:pStyle w:val="Heading2"/>
      </w:pPr>
      <w:bookmarkStart w:id="147" w:name="_Toc71728452"/>
      <w:r w:rsidRPr="00BB5813">
        <w:t>INTRODUCTION</w:t>
      </w:r>
      <w:bookmarkEnd w:id="147"/>
    </w:p>
    <w:p w14:paraId="507F9289" w14:textId="0F25321B" w:rsidR="00DD6905" w:rsidRPr="00BB5813" w:rsidRDefault="00DD6905" w:rsidP="00555D3F">
      <w:pPr>
        <w:ind w:firstLine="720"/>
        <w:rPr>
          <w:szCs w:val="24"/>
          <w:lang w:val="en-CA"/>
        </w:rPr>
      </w:pPr>
      <w:r w:rsidRPr="00BB5813">
        <w:rPr>
          <w:szCs w:val="24"/>
          <w:lang w:val="en-CA"/>
        </w:rPr>
        <w:t xml:space="preserve">Moisture-induced damage can be defined as the loss of strength and durability of asphalt mixes due to loss of bond between aggregate and binder in presence of moisture </w:t>
      </w:r>
      <w:r w:rsidRPr="00BB5813">
        <w:rPr>
          <w:szCs w:val="24"/>
          <w:lang w:val="en-CA"/>
        </w:rPr>
        <w:fldChar w:fldCharType="begin">
          <w:fldData xml:space="preserve">PEVuZE5vdGU+PENpdGU+PEF1dGhvcj5NYXNhZDwvQXV0aG9yPjxZZWFyPjIwMDY8L1llYXI+PFJl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==
</w:fldData>
        </w:fldChar>
      </w:r>
      <w:r w:rsidR="00282238">
        <w:rPr>
          <w:szCs w:val="24"/>
          <w:lang w:val="en-CA"/>
        </w:rPr>
        <w:instrText xml:space="preserve"> ADDIN EN.CITE </w:instrText>
      </w:r>
      <w:r w:rsidR="00282238">
        <w:rPr>
          <w:szCs w:val="24"/>
          <w:lang w:val="en-CA"/>
        </w:rPr>
        <w:fldChar w:fldCharType="begin">
          <w:fldData xml:space="preserve">PEVuZE5vdGU+PENpdGU+PEF1dGhvcj5NYXNhZDwvQXV0aG9yPjxZZWFyPjIwMDY8L1llYXI+PFJl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==
</w:fldData>
        </w:fldChar>
      </w:r>
      <w:r w:rsidR="00282238">
        <w:rPr>
          <w:szCs w:val="24"/>
          <w:lang w:val="en-CA"/>
        </w:rPr>
        <w:instrText xml:space="preserve"> ADDIN EN.CITE.DATA </w:instrText>
      </w:r>
      <w:r w:rsidR="00282238">
        <w:rPr>
          <w:szCs w:val="24"/>
          <w:lang w:val="en-CA"/>
        </w:rPr>
      </w:r>
      <w:r w:rsidR="00282238">
        <w:rPr>
          <w:szCs w:val="24"/>
          <w:lang w:val="en-CA"/>
        </w:rPr>
        <w:fldChar w:fldCharType="end"/>
      </w:r>
      <w:r w:rsidRPr="00BB5813">
        <w:rPr>
          <w:szCs w:val="24"/>
          <w:lang w:val="en-CA"/>
        </w:rPr>
      </w:r>
      <w:r w:rsidRPr="00BB5813">
        <w:rPr>
          <w:szCs w:val="24"/>
          <w:lang w:val="en-CA"/>
        </w:rPr>
        <w:fldChar w:fldCharType="separate"/>
      </w:r>
      <w:r w:rsidR="00282238">
        <w:rPr>
          <w:noProof/>
          <w:szCs w:val="24"/>
          <w:lang w:val="en-CA"/>
        </w:rPr>
        <w:t>(Harvey and Lu, 2005; Masad et al., 2006; Bhasin et al., 2007b)</w:t>
      </w:r>
      <w:r w:rsidRPr="00BB5813">
        <w:rPr>
          <w:szCs w:val="24"/>
          <w:lang w:val="en-CA"/>
        </w:rPr>
        <w:fldChar w:fldCharType="end"/>
      </w:r>
      <w:r w:rsidRPr="00BB5813">
        <w:rPr>
          <w:szCs w:val="24"/>
          <w:lang w:val="en-CA"/>
        </w:rPr>
        <w:t xml:space="preserve">. The effect of moisture on the performance of asphalt pavement was first recognized in the early 1930s. One of the earlier efforts to quantify moisture-induced damage was reported in the late 1960s through visual inspection </w:t>
      </w:r>
      <w:r w:rsidRPr="00BB5813">
        <w:rPr>
          <w:szCs w:val="24"/>
          <w:lang w:val="en-CA"/>
        </w:rPr>
        <w:fldChar w:fldCharType="begin"/>
      </w:r>
      <w:r w:rsidR="00282238">
        <w:rPr>
          <w:szCs w:val="24"/>
          <w:lang w:val="en-CA"/>
        </w:rPr>
        <w:instrText xml:space="preserve"> ADDIN EN.CITE &lt;EndNote&gt;&lt;Cite&gt;&lt;Author&gt;Caro&lt;/Author&gt;&lt;Year&gt;2008&lt;/Year&gt;&lt;RecNum&gt;81&lt;/RecNum&gt;&lt;DisplayText&gt;(Caro et al., 2008a; Abuawad et al., 2015)&lt;/DisplayText&gt;&lt;record&gt;&lt;rec-number&gt;81&lt;/rec-number&gt;&lt;foreign-keys&gt;&lt;key app="EN" db-id="d55vzfpwawdafteedfoxsf0lv0v0wp5va2aa" timestamp="1519484635"&gt;81&lt;/key&gt;&lt;/foreign-keys&gt;&lt;ref-type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1: Mechanisms&lt;/title&gt;&lt;secondary-title&gt;International Journal of Pavement Engineering&lt;/secondary-title&gt;&lt;/titles&gt;&lt;periodical&gt;&lt;full-title&gt;International Journal of Pavement Engineering&lt;/full-title&gt;&lt;/periodical&gt;&lt;pages&gt;81-98&lt;/pages&gt;&lt;volume&gt;9&lt;/volume&gt;&lt;number&gt;2&lt;/number&gt;&lt;dates&gt;&lt;year&gt;2008&lt;/year&gt;&lt;/dates&gt;&lt;isbn&gt;1029-8436&lt;/isbn&gt;&lt;urls&gt;&lt;/urls&gt;&lt;/record&gt;&lt;/Cite&gt;&lt;Cite&gt;&lt;Author&gt;Abuawad&lt;/Author&gt;&lt;Year&gt;2015&lt;/Year&gt;&lt;RecNum&gt;80&lt;/RecNum&gt;&lt;record&gt;&lt;rec-number&gt;80&lt;/rec-number&gt;&lt;foreign-keys&gt;&lt;key app="EN" db-id="d55vzfpwawdafteedfoxsf0lv0v0wp5va2aa" timestamp="1519483651"&gt;80&lt;/key&gt;&lt;/foreign-keys&gt;&lt;ref-type name="Journal Article"&gt;17&lt;/ref-type&gt;&lt;contributors&gt;&lt;authors&gt;&lt;author&gt;Abuawad, Ibrahim MA&lt;/author&gt;&lt;author&gt;Al-Qadi, Imad L&lt;/author&gt;&lt;author&gt;Trepanier, James S&lt;/author&gt;&lt;/authors&gt;&lt;/contributors&gt;&lt;titles&gt;&lt;title&gt;Mitigation of Moisture Damage in Asphalt Concrete: Testing Techniques and Additives/Modifiers Effectiveness&lt;/title&gt;&lt;secondary-title&gt;Construction and Building Materials&lt;/secondary-title&gt;&lt;/titles&gt;&lt;periodical&gt;&lt;full-title&gt;Construction and Building Materials&lt;/full-title&gt;&lt;/periodical&gt;&lt;pages&gt;437-443&lt;/pages&gt;&lt;volume&gt;84&lt;/volume&gt;&lt;dates&gt;&lt;year&gt;2015&lt;/year&gt;&lt;/dates&gt;&lt;isbn&gt;0950-0618&lt;/isbn&gt;&lt;urls&gt;&lt;/urls&gt;&lt;/record&gt;&lt;/Cite&gt;&lt;/EndNote&gt;</w:instrText>
      </w:r>
      <w:r w:rsidRPr="00BB5813">
        <w:rPr>
          <w:szCs w:val="24"/>
          <w:lang w:val="en-CA"/>
        </w:rPr>
        <w:fldChar w:fldCharType="separate"/>
      </w:r>
      <w:r w:rsidR="00282238">
        <w:rPr>
          <w:noProof/>
          <w:szCs w:val="24"/>
          <w:lang w:val="en-CA"/>
        </w:rPr>
        <w:t>(Caro et al., 2008a; Abuawad et al., 2015)</w:t>
      </w:r>
      <w:r w:rsidRPr="00BB5813">
        <w:rPr>
          <w:szCs w:val="24"/>
          <w:lang w:val="en-CA"/>
        </w:rPr>
        <w:fldChar w:fldCharType="end"/>
      </w:r>
      <w:r w:rsidRPr="00BB5813">
        <w:rPr>
          <w:szCs w:val="24"/>
          <w:lang w:val="en-CA"/>
        </w:rPr>
        <w:t xml:space="preserve">. The phenomenon starts with the transport of moisture into the pavement which subsequently leads to pavement deterioration due to the loss of either cohesive or adhesive bonds or both </w:t>
      </w:r>
      <w:r w:rsidRPr="00BB5813">
        <w:rPr>
          <w:szCs w:val="24"/>
          <w:lang w:val="en-CA"/>
        </w:rPr>
        <w:fldChar w:fldCharType="begin"/>
      </w:r>
      <w:r w:rsidR="00282238">
        <w:rPr>
          <w:szCs w:val="24"/>
          <w:lang w:val="en-CA"/>
        </w:rPr>
        <w:instrText xml:space="preserve"> ADDIN EN.CITE &lt;EndNote&gt;&lt;Cite&gt;&lt;Author&gt;Caro&lt;/Author&gt;&lt;Year&gt;2008&lt;/Year&gt;&lt;RecNum&gt;83&lt;/RecNum&gt;&lt;DisplayText&gt;(Wasiuddin et al., 2007c; Caro et al., 2008b)&lt;/DisplayText&gt;&lt;record&gt;&lt;rec-number&gt;83&lt;/rec-number&gt;&lt;foreign-keys&gt;&lt;key app="EN" db-id="d55vzfpwawdafteedfoxsf0lv0v0wp5va2aa" timestamp="1519492929"&gt;83&lt;/key&gt;&lt;/foreign-keys&gt;&lt;ref-type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2: Characterisation and Modelling&lt;/title&gt;&lt;secondary-title&gt;International Journal of Pavement Engineering&lt;/secondary-title&gt;&lt;/titles&gt;&lt;periodical&gt;&lt;full-title&gt;International Journal of Pavement Engineering&lt;/full-title&gt;&lt;/periodical&gt;&lt;pages&gt;99-114&lt;/pages&gt;&lt;volume&gt;9&lt;/volume&gt;&lt;number&gt;2&lt;/number&gt;&lt;dates&gt;&lt;year&gt;2008&lt;/year&gt;&lt;/dates&gt;&lt;isbn&gt;1029-8436&lt;/isbn&gt;&lt;urls&gt;&lt;/urls&gt;&lt;/record&gt;&lt;/Cite&gt;&lt;Cite&gt;&lt;Author&gt;Wasiuddin&lt;/Author&gt;&lt;Year&gt;2007&lt;/Year&gt;&lt;RecNum&gt;82&lt;/RecNum&gt;&lt;record&gt;&lt;rec-number&gt;82&lt;/rec-number&gt;&lt;foreign-keys&gt;&lt;key app="EN" db-id="d55vzfpwawdafteedfoxsf0lv0v0wp5va2aa" timestamp="1519487395"&gt;82&lt;/key&gt;&lt;/foreign-keys&gt;&lt;ref-type name="Journal Article"&gt;17&lt;/ref-type&gt;&lt;contributors&gt;&lt;authors&gt;&lt;author&gt;Wasiuddin, Nazimuddin M&lt;/author&gt;&lt;author&gt;Fogle, Chris M&lt;/author&gt;&lt;author&gt;Zaman, Musharraf M&lt;/author&gt;&lt;author&gt;O’Rear, Edgar A&lt;/author&gt;&lt;/authors&gt;&lt;/contributors&gt;&lt;titles&gt;&lt;title&gt;Effect of Antistrip Additives on Surface Free Energy Characteristics of Asphalt Binders for Moisture-Induced Damage Potential&lt;/title&gt;&lt;secondary-title&gt;Journal of Testing and Evaluation&lt;/secondary-title&gt;&lt;/titles&gt;&lt;periodical&gt;&lt;full-title&gt;Journal of Testing and Evaluation&lt;/full-title&gt;&lt;/periodical&gt;&lt;volume&gt;35&lt;/volume&gt;&lt;number&gt;1&lt;/number&gt;&lt;dates&gt;&lt;year&gt;2007&lt;/year&gt;&lt;/dates&gt;&lt;urls&gt;&lt;/urls&gt;&lt;/record&gt;&lt;/Cite&gt;&lt;/EndNote&gt;</w:instrText>
      </w:r>
      <w:r w:rsidRPr="00BB5813">
        <w:rPr>
          <w:szCs w:val="24"/>
          <w:lang w:val="en-CA"/>
        </w:rPr>
        <w:fldChar w:fldCharType="separate"/>
      </w:r>
      <w:r w:rsidR="00282238">
        <w:rPr>
          <w:noProof/>
          <w:szCs w:val="24"/>
          <w:lang w:val="en-CA"/>
        </w:rPr>
        <w:t>(Wasiuddin et al., 2007c; Caro et al., 2008b)</w:t>
      </w:r>
      <w:r w:rsidRPr="00BB5813">
        <w:rPr>
          <w:szCs w:val="24"/>
          <w:lang w:val="en-CA"/>
        </w:rPr>
        <w:fldChar w:fldCharType="end"/>
      </w:r>
      <w:r w:rsidRPr="00BB5813">
        <w:rPr>
          <w:szCs w:val="24"/>
          <w:lang w:val="en-CA"/>
        </w:rPr>
        <w:t xml:space="preserve">. Serious distresses in asphalt pavements, such as potholes, particle degradation and disintegration, bleeding, rutting, shoving, and cracking can result from the moisture-induced damage </w:t>
      </w:r>
      <w:r w:rsidRPr="00BB5813">
        <w:rPr>
          <w:szCs w:val="24"/>
          <w:lang w:val="en-CA"/>
        </w:rPr>
        <w:fldChar w:fldCharType="begin"/>
      </w:r>
      <w:r w:rsidR="00282238">
        <w:rPr>
          <w:szCs w:val="24"/>
          <w:lang w:val="en-CA"/>
        </w:rPr>
        <w:instrText xml:space="preserve"> ADDIN EN.CITE &lt;EndNote&gt;&lt;Cite&gt;&lt;Author&gt;Wasiuddin&lt;/Author&gt;&lt;Year&gt;2007&lt;/Year&gt;&lt;RecNum&gt;82&lt;/RecNum&gt;&lt;DisplayText&gt;(Wasiuddin et al., 2007c; Caro et al., 2008b)&lt;/DisplayText&gt;&lt;record&gt;&lt;rec-number&gt;82&lt;/rec-number&gt;&lt;foreign-keys&gt;&lt;key app="EN" db-id="d55vzfpwawdafteedfoxsf0lv0v0wp5va2aa" timestamp="1519487395"&gt;82&lt;/key&gt;&lt;/foreign-keys&gt;&lt;ref-type name="Journal Article"&gt;17&lt;/ref-type&gt;&lt;contributors&gt;&lt;authors&gt;&lt;author&gt;Wasiuddin, Nazimuddin M&lt;/author&gt;&lt;author&gt;Fogle, Chris M&lt;/author&gt;&lt;author&gt;Zaman, Musharraf M&lt;/author&gt;&lt;author&gt;O’Rear, Edgar A&lt;/author&gt;&lt;/authors&gt;&lt;/contributors&gt;&lt;titles&gt;&lt;title&gt;Effect of Antistrip Additives on Surface Free Energy Characteristics of Asphalt Binders for Moisture-Induced Damage Potential&lt;/title&gt;&lt;secondary-title&gt;Journal of Testing and Evaluation&lt;/secondary-title&gt;&lt;/titles&gt;&lt;periodical&gt;&lt;full-title&gt;Journal of Testing and Evaluation&lt;/full-title&gt;&lt;/periodical&gt;&lt;volume&gt;35&lt;/volume&gt;&lt;number&gt;1&lt;/number&gt;&lt;dates&gt;&lt;year&gt;2007&lt;/year&gt;&lt;/dates&gt;&lt;urls&gt;&lt;/urls&gt;&lt;/record&gt;&lt;/Cite&gt;&lt;Cite&gt;&lt;Author&gt;Caro&lt;/Author&gt;&lt;Year&gt;2008&lt;/Year&gt;&lt;RecNum&gt;83&lt;/RecNum&gt;&lt;record&gt;&lt;rec-number&gt;83&lt;/rec-number&gt;&lt;foreign-keys&gt;&lt;key app="EN" db-id="d55vzfpwawdafteedfoxsf0lv0v0wp5va2aa" timestamp="1519492929"&gt;83&lt;/key&gt;&lt;/foreign-keys&gt;&lt;ref-type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2: Characterisation and Modelling&lt;/title&gt;&lt;secondary-title&gt;International Journal of Pavement Engineering&lt;/secondary-title&gt;&lt;/titles&gt;&lt;periodical&gt;&lt;full-title&gt;International Journal of Pavement Engineering&lt;/full-title&gt;&lt;/periodical&gt;&lt;pages&gt;99-114&lt;/pages&gt;&lt;volume&gt;9&lt;/volume&gt;&lt;number&gt;2&lt;/number&gt;&lt;dates&gt;&lt;year&gt;2008&lt;/year&gt;&lt;/dates&gt;&lt;isbn&gt;1029-8436&lt;/isbn&gt;&lt;urls&gt;&lt;/urls&gt;&lt;/record&gt;&lt;/Cite&gt;&lt;/EndNote&gt;</w:instrText>
      </w:r>
      <w:r w:rsidRPr="00BB5813">
        <w:rPr>
          <w:szCs w:val="24"/>
          <w:lang w:val="en-CA"/>
        </w:rPr>
        <w:fldChar w:fldCharType="separate"/>
      </w:r>
      <w:r w:rsidR="00282238">
        <w:rPr>
          <w:noProof/>
          <w:szCs w:val="24"/>
          <w:lang w:val="en-CA"/>
        </w:rPr>
        <w:t>(Wasiuddin et al., 2007c; Caro et al., 2008b)</w:t>
      </w:r>
      <w:r w:rsidRPr="00BB5813">
        <w:rPr>
          <w:szCs w:val="24"/>
          <w:lang w:val="en-CA"/>
        </w:rPr>
        <w:fldChar w:fldCharType="end"/>
      </w:r>
      <w:r w:rsidRPr="00BB5813">
        <w:rPr>
          <w:szCs w:val="24"/>
          <w:lang w:val="en-CA"/>
        </w:rPr>
        <w:t xml:space="preserve">. Significant resources are spent annually by state and federal transportation agencies to maintain and reconstruct pavements subjected to moisture-induced damage </w:t>
      </w:r>
      <w:r w:rsidRPr="00BB5813">
        <w:rPr>
          <w:szCs w:val="24"/>
          <w:lang w:val="en-CA"/>
        </w:rPr>
        <w:fldChar w:fldCharType="begin"/>
      </w:r>
      <w:r w:rsidR="00282238">
        <w:rPr>
          <w:szCs w:val="24"/>
          <w:lang w:val="en-CA"/>
        </w:rPr>
        <w:instrText xml:space="preserve"> ADDIN EN.CITE &lt;EndNote&gt;&lt;Cite&gt;&lt;Author&gt;Caro&lt;/Author&gt;&lt;Year&gt;2008&lt;/Year&gt;&lt;RecNum&gt;81&lt;/RecNum&gt;&lt;DisplayText&gt;(Caro et al., 2008a; Abuawad et al., 2015)&lt;/DisplayText&gt;&lt;record&gt;&lt;rec-number&gt;81&lt;/rec-number&gt;&lt;foreign-keys&gt;&lt;key app="EN" db-id="d55vzfpwawdafteedfoxsf0lv0v0wp5va2aa" timestamp="1519484635"&gt;81&lt;/key&gt;&lt;/foreign-keys&gt;&lt;ref-type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1: Mechanisms&lt;/title&gt;&lt;secondary-title&gt;International Journal of Pavement Engineering&lt;/secondary-title&gt;&lt;/titles&gt;&lt;periodical&gt;&lt;full-title&gt;International Journal of Pavement Engineering&lt;/full-title&gt;&lt;/periodical&gt;&lt;pages&gt;81-98&lt;/pages&gt;&lt;volume&gt;9&lt;/volume&gt;&lt;number&gt;2&lt;/number&gt;&lt;dates&gt;&lt;year&gt;2008&lt;/year&gt;&lt;/dates&gt;&lt;isbn&gt;1029-8436&lt;/isbn&gt;&lt;urls&gt;&lt;/urls&gt;&lt;/record&gt;&lt;/Cite&gt;&lt;Cite&gt;&lt;Author&gt;Abuawad&lt;/Author&gt;&lt;Year&gt;2015&lt;/Year&gt;&lt;RecNum&gt;80&lt;/RecNum&gt;&lt;record&gt;&lt;rec-number&gt;80&lt;/rec-number&gt;&lt;foreign-keys&gt;&lt;key app="EN" db-id="d55vzfpwawdafteedfoxsf0lv0v0wp5va2aa" timestamp="1519483651"&gt;80&lt;/key&gt;&lt;/foreign-keys&gt;&lt;ref-type name="Journal Article"&gt;17&lt;/ref-type&gt;&lt;contributors&gt;&lt;authors&gt;&lt;author&gt;Abuawad, Ibrahim MA&lt;/author&gt;&lt;author&gt;Al-Qadi, Imad L&lt;/author&gt;&lt;author&gt;Trepanier, James S&lt;/author&gt;&lt;/authors&gt;&lt;/contributors&gt;&lt;titles&gt;&lt;title&gt;Mitigation of Moisture Damage in Asphalt Concrete: Testing Techniques and Additives/Modifiers Effectiveness&lt;/title&gt;&lt;secondary-title&gt;Construction and Building Materials&lt;/secondary-title&gt;&lt;/titles&gt;&lt;periodical&gt;&lt;full-title&gt;Construction and Building Materials&lt;/full-title&gt;&lt;/periodical&gt;&lt;pages&gt;437-443&lt;/pages&gt;&lt;volume&gt;84&lt;/volume&gt;&lt;dates&gt;&lt;year&gt;2015&lt;/year&gt;&lt;/dates&gt;&lt;isbn&gt;0950-0618&lt;/isbn&gt;&lt;urls&gt;&lt;/urls&gt;&lt;/record&gt;&lt;/Cite&gt;&lt;/EndNote&gt;</w:instrText>
      </w:r>
      <w:r w:rsidRPr="00BB5813">
        <w:rPr>
          <w:szCs w:val="24"/>
          <w:lang w:val="en-CA"/>
        </w:rPr>
        <w:fldChar w:fldCharType="separate"/>
      </w:r>
      <w:r w:rsidR="00282238">
        <w:rPr>
          <w:noProof/>
          <w:szCs w:val="24"/>
          <w:lang w:val="en-CA"/>
        </w:rPr>
        <w:t>(Caro et al., 2008a; Abuawad et al., 2015)</w:t>
      </w:r>
      <w:r w:rsidRPr="00BB5813">
        <w:rPr>
          <w:szCs w:val="24"/>
          <w:lang w:val="en-CA"/>
        </w:rPr>
        <w:fldChar w:fldCharType="end"/>
      </w:r>
      <w:r w:rsidRPr="00BB5813">
        <w:rPr>
          <w:szCs w:val="24"/>
          <w:lang w:val="en-CA"/>
        </w:rPr>
        <w:t xml:space="preserve">. </w:t>
      </w:r>
    </w:p>
    <w:p w14:paraId="4925854F" w14:textId="69AB2D1B" w:rsidR="00DD6905" w:rsidRPr="00BB5813" w:rsidRDefault="00DD6905" w:rsidP="00555D3F">
      <w:pPr>
        <w:ind w:firstLine="720"/>
        <w:rPr>
          <w:szCs w:val="24"/>
          <w:lang w:val="en-CA"/>
        </w:rPr>
      </w:pPr>
      <w:r w:rsidRPr="00BB5813">
        <w:rPr>
          <w:szCs w:val="24"/>
          <w:lang w:val="en-CA"/>
        </w:rPr>
        <w:t xml:space="preserve">Evaluation of moisture-induced damage is a complex problem </w:t>
      </w:r>
      <w:r w:rsidRPr="00BB5813">
        <w:rPr>
          <w:szCs w:val="24"/>
          <w:lang w:val="en-CA"/>
        </w:rPr>
        <w:fldChar w:fldCharType="begin"/>
      </w:r>
      <w:r w:rsidR="00282238">
        <w:rPr>
          <w:szCs w:val="24"/>
          <w:lang w:val="en-CA"/>
        </w:rPr>
        <w:instrText xml:space="preserve"> ADDIN EN.CITE &lt;EndNote&gt;&lt;Cite&gt;&lt;Author&gt;Wasiuddin&lt;/Author&gt;&lt;Year&gt;2007&lt;/Year&gt;&lt;RecNum&gt;82&lt;/RecNum&gt;&lt;DisplayText&gt;(Wasiuddin et al., 2007c)&lt;/DisplayText&gt;&lt;record&gt;&lt;rec-number&gt;82&lt;/rec-number&gt;&lt;foreign-keys&gt;&lt;key app="EN" db-id="d55vzfpwawdafteedfoxsf0lv0v0wp5va2aa" timestamp="1519487395"&gt;82&lt;/key&gt;&lt;/foreign-keys&gt;&lt;ref-type name="Journal Article"&gt;17&lt;/ref-type&gt;&lt;contributors&gt;&lt;authors&gt;&lt;author&gt;Wasiuddin, Nazimuddin M&lt;/author&gt;&lt;author&gt;Fogle, Chris M&lt;/author&gt;&lt;author&gt;Zaman, Musharraf M&lt;/author&gt;&lt;author&gt;O’Rear, Edgar A&lt;/author&gt;&lt;/authors&gt;&lt;/contributors&gt;&lt;titles&gt;&lt;title&gt;Effect of Antistrip Additives on Surface Free Energy Characteristics of Asphalt Binders for Moisture-Induced Damage Potential&lt;/title&gt;&lt;secondary-title&gt;Journal of Testing and Evaluation&lt;/secondary-title&gt;&lt;/titles&gt;&lt;periodical&gt;&lt;full-title&gt;Journal of Testing and Evaluation&lt;/full-title&gt;&lt;/periodical&gt;&lt;volume&gt;35&lt;/volume&gt;&lt;number&gt;1&lt;/number&gt;&lt;dates&gt;&lt;year&gt;2007&lt;/year&gt;&lt;/dates&gt;&lt;urls&gt;&lt;/urls&gt;&lt;/record&gt;&lt;/Cite&gt;&lt;/EndNote&gt;</w:instrText>
      </w:r>
      <w:r w:rsidRPr="00BB5813">
        <w:rPr>
          <w:szCs w:val="24"/>
          <w:lang w:val="en-CA"/>
        </w:rPr>
        <w:fldChar w:fldCharType="separate"/>
      </w:r>
      <w:r w:rsidR="00282238">
        <w:rPr>
          <w:noProof/>
          <w:szCs w:val="24"/>
          <w:lang w:val="en-CA"/>
        </w:rPr>
        <w:t>(Wasiuddin et al., 2007c)</w:t>
      </w:r>
      <w:r w:rsidRPr="00BB5813">
        <w:rPr>
          <w:szCs w:val="24"/>
          <w:lang w:val="en-CA"/>
        </w:rPr>
        <w:fldChar w:fldCharType="end"/>
      </w:r>
      <w:r w:rsidRPr="00BB5813">
        <w:rPr>
          <w:szCs w:val="24"/>
          <w:lang w:val="en-CA"/>
        </w:rPr>
        <w:t xml:space="preserve">. Over the past few decades, a number of empirical test methods have been developed to evaluate this phenomenon </w:t>
      </w:r>
      <w:r w:rsidRPr="00BB5813">
        <w:rPr>
          <w:szCs w:val="24"/>
          <w:lang w:val="en-CA"/>
        </w:rPr>
        <w:fldChar w:fldCharType="begin"/>
      </w:r>
      <w:r w:rsidR="00282238">
        <w:rPr>
          <w:szCs w:val="24"/>
          <w:lang w:val="en-CA"/>
        </w:rPr>
        <w:instrText xml:space="preserve"> ADDIN EN.CITE &lt;EndNote&gt;&lt;Cite&gt;&lt;Author&gt;Caro&lt;/Author&gt;&lt;Year&gt;2008&lt;/Year&gt;&lt;RecNum&gt;81&lt;/RecNum&gt;&lt;DisplayText&gt;(Caro et al., 2008a; Caro et al., 2008b)&lt;/DisplayText&gt;&lt;record&gt;&lt;rec-number&gt;81&lt;/rec-number&gt;&lt;foreign-keys&gt;&lt;key app="EN" db-id="d55vzfpwawdafteedfoxsf0lv0v0wp5va2aa" timestamp="1519484635"&gt;81&lt;/key&gt;&lt;/foreign-keys&gt;&lt;ref-type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1: Mechanisms&lt;/title&gt;&lt;secondary-title&gt;International Journal of Pavement Engineering&lt;/secondary-title&gt;&lt;/titles&gt;&lt;periodical&gt;&lt;full-title&gt;International Journal of Pavement Engineering&lt;/full-title&gt;&lt;/periodical&gt;&lt;pages&gt;81-98&lt;/pages&gt;&lt;volume&gt;9&lt;/volume&gt;&lt;number&gt;2&lt;/number&gt;&lt;dates&gt;&lt;year&gt;2008&lt;/year&gt;&lt;/dates&gt;&lt;isbn&gt;1029-8436&lt;/isbn&gt;&lt;urls&gt;&lt;/urls&gt;&lt;/record&gt;&lt;/Cite&gt;&lt;Cite&gt;&lt;Author&gt;Caro&lt;/Author&gt;&lt;Year&gt;2008&lt;/Year&gt;&lt;RecNum&gt;83&lt;/RecNum&gt;&lt;record&gt;&lt;rec-number&gt;83&lt;/rec-number&gt;&lt;foreign-keys&gt;&lt;key app="EN" db-id="d55vzfpwawdafteedfoxsf0lv0v0wp5va2aa" timestamp="1519492929"&gt;83&lt;/key&gt;&lt;/foreign-keys&gt;&lt;ref-type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2: Characterisation and Modelling&lt;/title&gt;&lt;secondary-title&gt;International Journal of Pavement Engineering&lt;/secondary-title&gt;&lt;/titles&gt;&lt;periodical&gt;&lt;full-title&gt;International Journal of Pavement Engineering&lt;/full-title&gt;&lt;/periodical&gt;&lt;pages&gt;99-114&lt;/pages&gt;&lt;volume&gt;9&lt;/volume&gt;&lt;number&gt;2&lt;/number&gt;&lt;dates&gt;&lt;year&gt;2008&lt;/year&gt;&lt;/dates&gt;&lt;isbn&gt;1029-8436&lt;/isbn&gt;&lt;urls&gt;&lt;/urls&gt;&lt;/record&gt;&lt;/Cite&gt;&lt;/EndNote&gt;</w:instrText>
      </w:r>
      <w:r w:rsidRPr="00BB5813">
        <w:rPr>
          <w:szCs w:val="24"/>
          <w:lang w:val="en-CA"/>
        </w:rPr>
        <w:fldChar w:fldCharType="separate"/>
      </w:r>
      <w:r w:rsidR="00282238">
        <w:rPr>
          <w:noProof/>
          <w:szCs w:val="24"/>
          <w:lang w:val="en-CA"/>
        </w:rPr>
        <w:t>(Caro et al., 2008a; Caro et al., 2008b)</w:t>
      </w:r>
      <w:r w:rsidRPr="00BB5813">
        <w:rPr>
          <w:szCs w:val="24"/>
          <w:lang w:val="en-CA"/>
        </w:rPr>
        <w:fldChar w:fldCharType="end"/>
      </w:r>
      <w:r w:rsidRPr="00BB5813">
        <w:rPr>
          <w:szCs w:val="24"/>
          <w:lang w:val="en-CA"/>
        </w:rPr>
        <w:t xml:space="preserve">. </w:t>
      </w:r>
      <w:r w:rsidRPr="00BB5813">
        <w:rPr>
          <w:szCs w:val="24"/>
        </w:rPr>
        <w:t xml:space="preserve">However, many of these methods exhibit poor correlations with field performance </w:t>
      </w:r>
      <w:r w:rsidRPr="00BB5813">
        <w:rPr>
          <w:szCs w:val="24"/>
        </w:rPr>
        <w:fldChar w:fldCharType="begin"/>
      </w:r>
      <w:r w:rsidR="00282238">
        <w:rPr>
          <w:szCs w:val="24"/>
        </w:rPr>
        <w:instrText xml:space="preserve"> ADDIN EN.CITE &lt;EndNote&gt;&lt;Cite&gt;&lt;Author&gt;Abuawad&lt;/Author&gt;&lt;Year&gt;2015&lt;/Year&gt;&lt;RecNum&gt;80&lt;/RecNum&gt;&lt;DisplayText&gt;(Caro et al., 2008b; Abuawad et al., 2015)&lt;/DisplayText&gt;&lt;record&gt;&lt;rec-number&gt;80&lt;/rec-number&gt;&lt;foreign-keys&gt;&lt;key app="EN" db-id="d55vzfpwawdafteedfoxsf0lv0v0wp5va2aa" timestamp="1519483651"&gt;80&lt;/key&gt;&lt;/foreign-keys&gt;&lt;ref-type name="Journal Article"&gt;17&lt;/ref-type&gt;&lt;contributors&gt;&lt;authors&gt;&lt;author&gt;Abuawad, Ibrahim MA&lt;/author&gt;&lt;author&gt;Al-Qadi, Imad L&lt;/author&gt;&lt;author&gt;Trepanier, James S&lt;/author&gt;&lt;/authors&gt;&lt;/contributors&gt;&lt;titles&gt;&lt;title&gt;Mitigation of Moisture Damage in Asphalt Concrete: Testing Techniques and Additives/Modifiers Effectiveness&lt;/title&gt;&lt;secondary-title&gt;Construction and Building Materials&lt;/secondary-title&gt;&lt;/titles&gt;&lt;periodical&gt;&lt;full-title&gt;Construction and Building Materials&lt;/full-title&gt;&lt;/periodical&gt;&lt;pages&gt;437-443&lt;/pages&gt;&lt;volume&gt;84&lt;/volume&gt;&lt;dates&gt;&lt;year&gt;2015&lt;/year&gt;&lt;/dates&gt;&lt;isbn&gt;0950-0618&lt;/isbn&gt;&lt;urls&gt;&lt;/urls&gt;&lt;/record&gt;&lt;/Cite&gt;&lt;Cite&gt;&lt;Author&gt;Caro&lt;/Author&gt;&lt;Year&gt;2008&lt;/Year&gt;&lt;RecNum&gt;83&lt;/RecNum&gt;&lt;record&gt;&lt;rec-number&gt;83&lt;/rec-number&gt;&lt;foreign-keys&gt;&lt;key app="EN" db-id="d55vzfpwawdafteedfoxsf0lv0v0wp5va2aa" timestamp="1519492929"&gt;83&lt;/key&gt;&lt;/foreign-keys&gt;&lt;ref-type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2: Characterisation and Modelling&lt;/title&gt;&lt;secondary-title&gt;International Journal of Pavement Engineering&lt;/secondary-title&gt;&lt;/titles&gt;&lt;periodical&gt;&lt;full-title&gt;International Journal of Pavement Engineering&lt;/full-title&gt;&lt;/periodical&gt;&lt;pages&gt;99-114&lt;/pages&gt;&lt;volume&gt;9&lt;/volume&gt;&lt;number&gt;2&lt;/number&gt;&lt;dates&gt;&lt;year&gt;2008&lt;/year&gt;&lt;/dates&gt;&lt;isbn&gt;1029-8436&lt;/isbn&gt;&lt;urls&gt;&lt;/urls&gt;&lt;/record&gt;&lt;/Cite&gt;&lt;/EndNote&gt;</w:instrText>
      </w:r>
      <w:r w:rsidRPr="00BB5813">
        <w:rPr>
          <w:szCs w:val="24"/>
        </w:rPr>
        <w:fldChar w:fldCharType="separate"/>
      </w:r>
      <w:r w:rsidR="00282238">
        <w:rPr>
          <w:noProof/>
          <w:szCs w:val="24"/>
        </w:rPr>
        <w:t>(Caro et al., 2008b; Abuawad et al., 2015)</w:t>
      </w:r>
      <w:r w:rsidRPr="00BB5813">
        <w:rPr>
          <w:szCs w:val="24"/>
        </w:rPr>
        <w:fldChar w:fldCharType="end"/>
      </w:r>
      <w:r w:rsidRPr="00BB5813">
        <w:rPr>
          <w:szCs w:val="24"/>
        </w:rPr>
        <w:t xml:space="preserve">. Previously, moisture-induced damage tests were classified based on the state of mix (loose or compact), mode of loading, moisture conditioning process and performance measure. </w:t>
      </w:r>
      <w:r w:rsidRPr="00BB5813">
        <w:rPr>
          <w:szCs w:val="24"/>
        </w:rPr>
        <w:fldChar w:fldCharType="begin"/>
      </w:r>
      <w:r w:rsidR="00B96C8D">
        <w:rPr>
          <w:szCs w:val="24"/>
        </w:rPr>
        <w:instrText xml:space="preserve"> ADDIN EN.CITE &lt;EndNote&gt;&lt;Cite AuthorYear="1"&gt;&lt;Author&gt;Caro&lt;/Author&gt;&lt;Year&gt;2008&lt;/Year&gt;&lt;RecNum&gt;83&lt;/RecNum&gt;&lt;DisplayText&gt;Caro et al. (2008b)&lt;/DisplayText&gt;&lt;record&gt;&lt;rec-number&gt;83&lt;/rec-number&gt;&lt;foreign-keys&gt;&lt;key app="EN" db-id="d55vzfpwawdafteedfoxsf0lv0v0wp5va2aa" timestamp="1519492929"&gt;83&lt;/key&gt;&lt;/foreign-keys&gt;&lt;ref-type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2: Characterisation and Modelling&lt;/title&gt;&lt;secondary-title&gt;International Journal of Pavement Engineering&lt;/secondary-title&gt;&lt;/titles&gt;&lt;periodical&gt;&lt;full-title&gt;International Journal of Pavement Engineering&lt;/full-title&gt;&lt;/periodical&gt;&lt;pages&gt;99-114&lt;/pages&gt;&lt;volume&gt;9&lt;/volume&gt;&lt;number&gt;2&lt;/number&gt;&lt;dates&gt;&lt;year&gt;2008&lt;/year&gt;&lt;/dates&gt;&lt;isbn&gt;1029-8436&lt;/isbn&gt;&lt;urls&gt;&lt;/urls&gt;&lt;/record&gt;&lt;/Cite&gt;&lt;/EndNote&gt;</w:instrText>
      </w:r>
      <w:r w:rsidRPr="00BB5813">
        <w:rPr>
          <w:szCs w:val="24"/>
        </w:rPr>
        <w:fldChar w:fldCharType="separate"/>
      </w:r>
      <w:r w:rsidR="00B96C8D">
        <w:rPr>
          <w:noProof/>
          <w:szCs w:val="24"/>
        </w:rPr>
        <w:t>Caro et al. (2008b)</w:t>
      </w:r>
      <w:r w:rsidRPr="00BB5813">
        <w:rPr>
          <w:szCs w:val="24"/>
        </w:rPr>
        <w:fldChar w:fldCharType="end"/>
      </w:r>
      <w:r w:rsidRPr="00BB5813">
        <w:rPr>
          <w:szCs w:val="24"/>
        </w:rPr>
        <w:t xml:space="preserve"> introduced a new classification based on the generic nature of the test methods. The classification involved the following: subjective quantification, quantification using performance index, and a parametric ratio involving dry- and moisture-conditioned specimens. Among these three methods, the use of parametric ratio between dry- and moisture-conditioned specimens from a particular test is commonly used to characterize moisture-induced damage by state DOTs. Moisture conditioning in the laboratory is an integral part of this type of testing. The purpose of laboratory moisture conditioning is to simulate the environment and moisture affecting the performance of an asphalt mix in the field.</w:t>
      </w:r>
    </w:p>
    <w:p w14:paraId="3F7804FC" w14:textId="657804BF" w:rsidR="00DD6905" w:rsidRPr="00BB5813" w:rsidRDefault="00DD6905" w:rsidP="00555D3F">
      <w:pPr>
        <w:ind w:firstLine="720"/>
        <w:rPr>
          <w:szCs w:val="24"/>
        </w:rPr>
      </w:pPr>
      <w:r w:rsidRPr="00BB5813">
        <w:rPr>
          <w:szCs w:val="24"/>
        </w:rPr>
        <w:t xml:space="preserve">A number of tests and moisture conditioning procedures have been investigated by researchers and the asphalt industry </w:t>
      </w:r>
      <w:r w:rsidRPr="00BB5813">
        <w:rPr>
          <w:szCs w:val="24"/>
        </w:rPr>
        <w:fldChar w:fldCharType="begin">
          <w:fldData xml:space="preserve">PEVuZE5vdGU+PENpdGU+PEF1dGhvcj5MaXU8L0F1dGhvcj48WWVhcj4yMDE0PC9ZZWFyPjxSZWNO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</w:fldData>
        </w:fldChar>
      </w:r>
      <w:r w:rsidR="00282238">
        <w:rPr>
          <w:szCs w:val="24"/>
        </w:rPr>
        <w:instrText xml:space="preserve"> ADDIN EN.CITE </w:instrText>
      </w:r>
      <w:r w:rsidR="00282238">
        <w:rPr>
          <w:szCs w:val="24"/>
        </w:rPr>
        <w:fldChar w:fldCharType="begin">
          <w:fldData xml:space="preserve">PEVuZE5vdGU+PENpdGU+PEF1dGhvcj5MaXU8L0F1dGhvcj48WWVhcj4yMDE0PC9ZZWFyPjxSZWNO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</w:fldData>
        </w:fldChar>
      </w:r>
      <w:r w:rsidR="00282238">
        <w:rPr>
          <w:szCs w:val="24"/>
        </w:rPr>
        <w:instrText xml:space="preserve"> ADDIN EN.CITE.DATA </w:instrText>
      </w:r>
      <w:r w:rsidR="00282238">
        <w:rPr>
          <w:szCs w:val="24"/>
        </w:rPr>
      </w:r>
      <w:r w:rsidR="00282238">
        <w:rPr>
          <w:szCs w:val="24"/>
        </w:rPr>
        <w:fldChar w:fldCharType="end"/>
      </w:r>
      <w:r w:rsidRPr="00BB5813">
        <w:rPr>
          <w:szCs w:val="24"/>
        </w:rPr>
      </w:r>
      <w:r w:rsidRPr="00BB5813">
        <w:rPr>
          <w:szCs w:val="24"/>
        </w:rPr>
        <w:fldChar w:fldCharType="separate"/>
      </w:r>
      <w:r w:rsidR="00282238">
        <w:rPr>
          <w:noProof/>
          <w:szCs w:val="24"/>
        </w:rPr>
        <w:t>(Gorkem and Sengoz, 2009; Liu et al., 2014; Tarefder and Ahmad, 2014; LaCroix et al., 2016)</w:t>
      </w:r>
      <w:r w:rsidRPr="00BB5813">
        <w:rPr>
          <w:szCs w:val="24"/>
        </w:rPr>
        <w:fldChar w:fldCharType="end"/>
      </w:r>
      <w:r w:rsidRPr="00BB5813">
        <w:rPr>
          <w:szCs w:val="24"/>
        </w:rPr>
        <w:t xml:space="preserve">. For example, </w:t>
      </w:r>
      <w:r w:rsidRPr="00BB5813">
        <w:rPr>
          <w:szCs w:val="24"/>
        </w:rPr>
        <w:fldChar w:fldCharType="begin"/>
      </w:r>
      <w:r w:rsidR="00B96C8D">
        <w:rPr>
          <w:szCs w:val="24"/>
        </w:rPr>
        <w:instrText xml:space="preserve"> ADDIN EN.CITE &lt;EndNote&gt;&lt;Cite AuthorYear="1"&gt;&lt;Author&gt;Gorkem&lt;/Author&gt;&lt;Year&gt;2009&lt;/Year&gt;&lt;RecNum&gt;84&lt;/RecNum&gt;&lt;DisplayText&gt;Gorkem and Sengoz (2009)&lt;/DisplayText&gt;&lt;record&gt;&lt;rec-number&gt;84&lt;/rec-number&gt;&lt;foreign-keys&gt;&lt;key app="EN" db-id="d55vzfpwawdafteedfoxsf0lv0v0wp5va2aa" timestamp="1519495442"&gt;84&lt;/key&gt;&lt;/foreign-keys&gt;&lt;ref-type name="Journal Article"&gt;17&lt;/ref-type&gt;&lt;contributors&gt;&lt;authors&gt;&lt;author&gt;Gorkem, Cagri&lt;/author&gt;&lt;author&gt;Sengoz, Burak&lt;/author&gt;&lt;/authors&gt;&lt;/contributors&gt;&lt;titles&gt;&lt;title&gt;Predicting Stripping and Moisture Induced Damage of Asphalt Concrete Prepared with Polymer Modified Bitumen and Hydrated Lime&lt;/title&gt;&lt;secondary-title&gt;Construction and Building Materials&lt;/secondary-title&gt;&lt;/titles&gt;&lt;periodical&gt;&lt;full-title&gt;Construction and Building Materials&lt;/full-title&gt;&lt;/periodical&gt;&lt;pages&gt;2227-2236&lt;/pages&gt;&lt;volume&gt;23&lt;/volume&gt;&lt;number&gt;6&lt;/number&gt;&lt;dates&gt;&lt;year&gt;2009&lt;/year&gt;&lt;/dates&gt;&lt;isbn&gt;0950-0618&lt;/isbn&gt;&lt;urls&gt;&lt;/urls&gt;&lt;/record&gt;&lt;/Cite&gt;&lt;/EndNote&gt;</w:instrText>
      </w:r>
      <w:r w:rsidRPr="00BB5813">
        <w:rPr>
          <w:szCs w:val="24"/>
        </w:rPr>
        <w:fldChar w:fldCharType="separate"/>
      </w:r>
      <w:r w:rsidR="00B96C8D">
        <w:rPr>
          <w:noProof/>
          <w:szCs w:val="24"/>
        </w:rPr>
        <w:t>Gorkem and Sengoz (2009)</w:t>
      </w:r>
      <w:r w:rsidRPr="00BB5813">
        <w:rPr>
          <w:szCs w:val="24"/>
        </w:rPr>
        <w:fldChar w:fldCharType="end"/>
      </w:r>
      <w:r w:rsidRPr="00BB5813">
        <w:rPr>
          <w:szCs w:val="24"/>
        </w:rPr>
        <w:t xml:space="preserve"> used t</w:t>
      </w:r>
      <w:r w:rsidRPr="00BB5813">
        <w:rPr>
          <w:rFonts w:eastAsia="Times New Roman"/>
          <w:iCs/>
          <w:szCs w:val="24"/>
        </w:rPr>
        <w:t xml:space="preserve">he Nicholson stripping test and the modified Lottman test to evaluate the effect of the addition of hydrated lime and elastomeric and plastomeric polymers on the moisture-induced damage potential of loose and compacted asphalt mixes. Analysis of microscopically captured images using a software was found to improve the estimation of degree of stripping. </w:t>
      </w:r>
      <w:r w:rsidRPr="00BB5813">
        <w:rPr>
          <w:rFonts w:eastAsia="Times New Roman"/>
          <w:iCs/>
          <w:szCs w:val="24"/>
        </w:rPr>
        <w:fldChar w:fldCharType="begin"/>
      </w:r>
      <w:r w:rsidR="00B96C8D">
        <w:rPr>
          <w:rFonts w:eastAsia="Times New Roman"/>
          <w:iCs/>
          <w:szCs w:val="24"/>
        </w:rPr>
        <w:instrText xml:space="preserve"> ADDIN EN.CITE &lt;EndNote&gt;&lt;Cite AuthorYear="1"&gt;&lt;Author&gt;Liu&lt;/Author&gt;&lt;Year&gt;2014&lt;/Year&gt;&lt;RecNum&gt;52&lt;/RecNum&gt;&lt;DisplayText&gt;Liu et al. (2014)&lt;/DisplayText&gt;&lt;record&gt;&lt;rec-number&gt;52&lt;/rec-number&gt;&lt;foreign-keys&gt;&lt;key app="EN" db-id="d55vzfpwawdafteedfoxsf0lv0v0wp5va2aa" timestamp="1514343579"&gt;52&lt;/key&gt;&lt;/foreign-keys&gt;&lt;ref-type name="Journal Article"&gt;17&lt;/ref-type&gt;&lt;contributors&gt;&lt;authors&gt;&lt;author&gt;Liu, Yawen&lt;/author&gt;&lt;author&gt;Apeagyei, Alex&lt;/author&gt;&lt;author&gt;Ahmad, Naveed&lt;/author&gt;&lt;author&gt;Grenfell, James&lt;/author&gt;&lt;author&gt;Airey, Gordon&lt;/author&gt;&lt;/authors&gt;&lt;/contributors&gt;&lt;titles&gt;&lt;title&gt;Examination of moisture sensitivity of aggregate–bitumen bonding strength using loose asphalt mixture and physico-chemical surface energy property tests&lt;/title&gt;&lt;secondary-title&gt;International Journal of Pavement Engineering&lt;/secondary-title&gt;&lt;/titles&gt;&lt;periodical&gt;&lt;full-title&gt;International Journal of Pavement Engineering&lt;/full-title&gt;&lt;/periodical&gt;&lt;pages&gt;657-670&lt;/pages&gt;&lt;volume&gt;15&lt;/volume&gt;&lt;number&gt;7&lt;/number&gt;&lt;dates&gt;&lt;year&gt;2014&lt;/year&gt;&lt;/dates&gt;&lt;isbn&gt;1029-8436&lt;/isbn&gt;&lt;urls&gt;&lt;/urls&gt;&lt;/record&gt;&lt;/Cite&gt;&lt;/EndNote&gt;</w:instrText>
      </w:r>
      <w:r w:rsidRPr="00BB5813">
        <w:rPr>
          <w:rFonts w:eastAsia="Times New Roman"/>
          <w:iCs/>
          <w:szCs w:val="24"/>
        </w:rPr>
        <w:fldChar w:fldCharType="separate"/>
      </w:r>
      <w:r w:rsidR="00B96C8D">
        <w:rPr>
          <w:rFonts w:eastAsia="Times New Roman"/>
          <w:iCs/>
          <w:noProof/>
          <w:szCs w:val="24"/>
        </w:rPr>
        <w:t>Liu et al. (2014)</w:t>
      </w:r>
      <w:r w:rsidRPr="00BB5813">
        <w:rPr>
          <w:rFonts w:eastAsia="Times New Roman"/>
          <w:iCs/>
          <w:szCs w:val="24"/>
        </w:rPr>
        <w:fldChar w:fldCharType="end"/>
      </w:r>
      <w:r w:rsidRPr="00BB5813">
        <w:rPr>
          <w:rFonts w:eastAsia="Times New Roman"/>
          <w:iCs/>
          <w:szCs w:val="24"/>
        </w:rPr>
        <w:t xml:space="preserve"> evaluated the moisture-induced damage of aggregates and binders using five empirical test methods, namely the static immersion test, rolling bottle test (RBT), boiling water test (BWT), total water immersion test, and the ultrasonic test. Among these different test methods, the BWT and the RBT were observed to be the most sensitive while the static immersion test and the ultra-sonic test were found to be the least sensitive. </w:t>
      </w:r>
      <w:r w:rsidRPr="00BB5813">
        <w:rPr>
          <w:rFonts w:eastAsia="Times New Roman"/>
          <w:szCs w:val="24"/>
        </w:rPr>
        <w:t xml:space="preserve">The moisture-induced damage potential of asphalt mixes due to two different wet conditioning methods, namely, moisture-induced sensitivity testing (MIST) and AASHTO T 283 </w:t>
      </w:r>
      <w:r w:rsidRPr="00BB5813">
        <w:rPr>
          <w:rFonts w:eastAsia="Times New Roman"/>
          <w:szCs w:val="24"/>
        </w:rPr>
        <w:fldChar w:fldCharType="begin"/>
      </w:r>
      <w:r w:rsidR="00282238">
        <w:rPr>
          <w:rFonts w:eastAsia="Times New Roman"/>
          <w:szCs w:val="24"/>
        </w:rPr>
        <w:instrText xml:space="preserve"> ADDIN EN.CITE &lt;EndNote&gt;&lt;Cite&gt;&lt;Author&gt;AASHTO&lt;/Author&gt;&lt;Year&gt;2014&lt;/Year&gt;&lt;RecNum&gt;233&lt;/RecNum&gt;&lt;DisplayText&gt;(AASHTO, 2014a)&lt;/DisplayText&gt;&lt;record&gt;&lt;rec-number&gt;233&lt;/rec-number&gt;&lt;foreign-keys&gt;&lt;key app="EN" db-id="tfx2va9ropw5p7evdr2pf5rw2vszzx9t0xzs" timestamp="1593606818"&gt;233&lt;/key&gt;&lt;/foreign-keys&gt;&lt;ref-type name="Standard"&gt;58&lt;/ref-type&gt;&lt;contributors&gt;&lt;authors&gt;&lt;author&gt;AASHTO&lt;/author&gt;&lt;/authors&gt;&lt;/contributors&gt;&lt;titles&gt;&lt;title&gt;AASHTO T 283: Standard Method of Test for Resistance of Compacted Asphalt Mixtures to Moisture-induced Damage&lt;/title&gt;&lt;/titles&gt;&lt;dates&gt;&lt;year&gt;2014&lt;/year&gt;&lt;/dates&gt;&lt;pub-location&gt;Washington, DC&lt;/pub-location&gt;&lt;publisher&gt;American Association of State Highway and Transportation Officials&lt;/publisher&gt;&lt;urls&gt;&lt;/urls&gt;&lt;/record&gt;&lt;/Cite&gt;&lt;/EndNote&gt;</w:instrText>
      </w:r>
      <w:r w:rsidRPr="00BB5813">
        <w:rPr>
          <w:rFonts w:eastAsia="Times New Roman"/>
          <w:szCs w:val="24"/>
        </w:rPr>
        <w:fldChar w:fldCharType="separate"/>
      </w:r>
      <w:r w:rsidR="00282238">
        <w:rPr>
          <w:rFonts w:eastAsia="Times New Roman"/>
          <w:noProof/>
          <w:szCs w:val="24"/>
        </w:rPr>
        <w:t>(AASHTO, 2014a)</w:t>
      </w:r>
      <w:r w:rsidRPr="00BB5813">
        <w:rPr>
          <w:rFonts w:eastAsia="Times New Roman"/>
          <w:szCs w:val="24"/>
        </w:rPr>
        <w:fldChar w:fldCharType="end"/>
      </w:r>
      <w:r w:rsidRPr="00BB5813">
        <w:rPr>
          <w:rFonts w:eastAsia="Times New Roman"/>
          <w:szCs w:val="24"/>
        </w:rPr>
        <w:t xml:space="preserve"> method was evaluated </w:t>
      </w:r>
      <w:r w:rsidRPr="00BB5813">
        <w:rPr>
          <w:rFonts w:eastAsia="Times New Roman"/>
          <w:iCs/>
          <w:szCs w:val="24"/>
        </w:rPr>
        <w:t>and t</w:t>
      </w:r>
      <w:r w:rsidRPr="00BB5813">
        <w:rPr>
          <w:rFonts w:eastAsia="Times New Roman"/>
          <w:szCs w:val="24"/>
        </w:rPr>
        <w:t>he relationship with permeability</w:t>
      </w:r>
      <w:r w:rsidRPr="00BB5813">
        <w:rPr>
          <w:rFonts w:eastAsia="Times New Roman"/>
          <w:iCs/>
          <w:szCs w:val="24"/>
        </w:rPr>
        <w:t xml:space="preserve"> was </w:t>
      </w:r>
      <w:r w:rsidRPr="00BB5813">
        <w:rPr>
          <w:rFonts w:eastAsia="Times New Roman"/>
          <w:szCs w:val="24"/>
        </w:rPr>
        <w:t>determined</w:t>
      </w:r>
      <w:r w:rsidRPr="00BB5813">
        <w:rPr>
          <w:rFonts w:eastAsia="Times New Roman"/>
          <w:iCs/>
          <w:szCs w:val="24"/>
        </w:rPr>
        <w:t xml:space="preserve"> by </w:t>
      </w:r>
      <w:r w:rsidRPr="00BB5813">
        <w:rPr>
          <w:rFonts w:eastAsia="Times New Roman"/>
          <w:iCs/>
          <w:szCs w:val="24"/>
        </w:rPr>
        <w:fldChar w:fldCharType="begin"/>
      </w:r>
      <w:r w:rsidR="00B96C8D">
        <w:rPr>
          <w:rFonts w:eastAsia="Times New Roman"/>
          <w:iCs/>
          <w:szCs w:val="24"/>
        </w:rPr>
        <w:instrText xml:space="preserve"> ADDIN EN.CITE &lt;EndNote&gt;&lt;Cite AuthorYear="1"&gt;&lt;Author&gt;Tarefder&lt;/Author&gt;&lt;Year&gt;2014&lt;/Year&gt;&lt;RecNum&gt;97&lt;/RecNum&gt;&lt;DisplayText&gt;Tarefder and Ahmad (2014)&lt;/DisplayText&gt;&lt;record&gt;&lt;rec-number&gt;97&lt;/rec-number&gt;&lt;foreign-keys&gt;&lt;key app="EN" db-id="d55vzfpwawdafteedfoxsf0lv0v0wp5va2aa" timestamp="1521262753"&gt;97&lt;/key&gt;&lt;/foreign-keys&gt;&lt;ref-type name="Journal Article"&gt;17&lt;/ref-type&gt;&lt;contributors&gt;&lt;authors&gt;&lt;author&gt;Tarefder, Rafiqul A&lt;/author&gt;&lt;author&gt;Ahmad, Mohiuddin&lt;/author&gt;&lt;/authors&gt;&lt;/contributors&gt;&lt;titles&gt;&lt;title&gt;Evaluating the relationship between permeability and moisture damage of asphalt concrete pavements&lt;/title&gt;&lt;secondary-title&gt;Journal of Materials in Civil Engineering&lt;/secondary-title&gt;&lt;/titles&gt;&lt;periodical&gt;&lt;full-title&gt;Journal of Materials in Civil Engineering&lt;/full-title&gt;&lt;/periodical&gt;&lt;pages&gt;04014172&lt;/pages&gt;&lt;volume&gt;27&lt;/volume&gt;&lt;number&gt;5&lt;/number&gt;&lt;dates&gt;&lt;year&gt;2014&lt;/year&gt;&lt;/dates&gt;&lt;isbn&gt;0899-1561&lt;/isbn&gt;&lt;urls&gt;&lt;/urls&gt;&lt;/record&gt;&lt;/Cite&gt;&lt;/EndNote&gt;</w:instrText>
      </w:r>
      <w:r w:rsidRPr="00BB5813">
        <w:rPr>
          <w:rFonts w:eastAsia="Times New Roman"/>
          <w:iCs/>
          <w:szCs w:val="24"/>
        </w:rPr>
        <w:fldChar w:fldCharType="separate"/>
      </w:r>
      <w:r w:rsidR="00B96C8D">
        <w:rPr>
          <w:rFonts w:eastAsia="Times New Roman"/>
          <w:iCs/>
          <w:noProof/>
          <w:szCs w:val="24"/>
        </w:rPr>
        <w:t>Tarefder and Ahmad (2014)</w:t>
      </w:r>
      <w:r w:rsidRPr="00BB5813">
        <w:rPr>
          <w:rFonts w:eastAsia="Times New Roman"/>
          <w:iCs/>
          <w:szCs w:val="24"/>
        </w:rPr>
        <w:fldChar w:fldCharType="end"/>
      </w:r>
      <w:r w:rsidRPr="00BB5813">
        <w:rPr>
          <w:rFonts w:eastAsia="Times New Roman"/>
          <w:iCs/>
          <w:szCs w:val="24"/>
        </w:rPr>
        <w:t>. T</w:t>
      </w:r>
      <w:r w:rsidRPr="00BB5813">
        <w:rPr>
          <w:rFonts w:eastAsia="Times New Roman"/>
          <w:szCs w:val="24"/>
        </w:rPr>
        <w:t xml:space="preserve">he indirect tensile strength (ITS) tests conducted on samples conditioned according to the AASHTO T 283 </w:t>
      </w:r>
      <w:r w:rsidRPr="00BB5813">
        <w:rPr>
          <w:rFonts w:eastAsia="Times New Roman"/>
          <w:szCs w:val="24"/>
        </w:rPr>
        <w:fldChar w:fldCharType="begin"/>
      </w:r>
      <w:r w:rsidR="00282238">
        <w:rPr>
          <w:rFonts w:eastAsia="Times New Roman"/>
          <w:szCs w:val="24"/>
        </w:rPr>
        <w:instrText xml:space="preserve"> ADDIN EN.CITE &lt;EndNote&gt;&lt;Cite&gt;&lt;Author&gt;AASHTO&lt;/Author&gt;&lt;Year&gt;2014&lt;/Year&gt;&lt;RecNum&gt;233&lt;/RecNum&gt;&lt;DisplayText&gt;(AASHTO, 2014a)&lt;/DisplayText&gt;&lt;record&gt;&lt;rec-number&gt;233&lt;/rec-number&gt;&lt;foreign-keys&gt;&lt;key app="EN" db-id="tfx2va9ropw5p7evdr2pf5rw2vszzx9t0xzs" timestamp="1593606818"&gt;233&lt;/key&gt;&lt;/foreign-keys&gt;&lt;ref-type name="Standard"&gt;58&lt;/ref-type&gt;&lt;contributors&gt;&lt;authors&gt;&lt;author&gt;AASHTO&lt;/author&gt;&lt;/authors&gt;&lt;/contributors&gt;&lt;titles&gt;&lt;title&gt;AASHTO T 283: Standard Method of Test for Resistance of Compacted Asphalt Mixtures to Moisture-induced Damage&lt;/title&gt;&lt;/titles&gt;&lt;dates&gt;&lt;year&gt;2014&lt;/year&gt;&lt;/dates&gt;&lt;pub-location&gt;Washington, DC&lt;/pub-location&gt;&lt;publisher&gt;American Association of State Highway and Transportation Officials&lt;/publisher&gt;&lt;urls&gt;&lt;/urls&gt;&lt;/record&gt;&lt;/Cite&gt;&lt;/EndNote&gt;</w:instrText>
      </w:r>
      <w:r w:rsidRPr="00BB5813">
        <w:rPr>
          <w:rFonts w:eastAsia="Times New Roman"/>
          <w:szCs w:val="24"/>
        </w:rPr>
        <w:fldChar w:fldCharType="separate"/>
      </w:r>
      <w:r w:rsidR="00282238">
        <w:rPr>
          <w:rFonts w:eastAsia="Times New Roman"/>
          <w:noProof/>
          <w:szCs w:val="24"/>
        </w:rPr>
        <w:t>(AASHTO, 2014a)</w:t>
      </w:r>
      <w:r w:rsidRPr="00BB5813">
        <w:rPr>
          <w:rFonts w:eastAsia="Times New Roman"/>
          <w:szCs w:val="24"/>
        </w:rPr>
        <w:fldChar w:fldCharType="end"/>
      </w:r>
      <w:r w:rsidRPr="00BB5813">
        <w:rPr>
          <w:rFonts w:eastAsia="Times New Roman"/>
          <w:szCs w:val="24"/>
        </w:rPr>
        <w:t xml:space="preserve"> method were found to result in reduced tensile strength ratio (</w:t>
      </w:r>
      <w:r w:rsidRPr="00BB5813">
        <w:rPr>
          <w:rFonts w:eastAsia="Times New Roman"/>
          <w:i/>
          <w:iCs/>
          <w:szCs w:val="24"/>
        </w:rPr>
        <w:t>TSR</w:t>
      </w:r>
      <w:r w:rsidRPr="00BB5813">
        <w:rPr>
          <w:rFonts w:eastAsia="Times New Roman"/>
          <w:szCs w:val="24"/>
        </w:rPr>
        <w:t xml:space="preserve">) values with an increase in permeability. However, the TSR values of samples conditioned in a MIST equipment were found to be unaffected by permeability. </w:t>
      </w:r>
      <w:r w:rsidRPr="00BB5813">
        <w:rPr>
          <w:szCs w:val="24"/>
        </w:rPr>
        <w:fldChar w:fldCharType="begin"/>
      </w:r>
      <w:r w:rsidR="00B96C8D">
        <w:rPr>
          <w:szCs w:val="24"/>
        </w:rPr>
        <w:instrText xml:space="preserve"> ADDIN EN.CITE &lt;EndNote&gt;&lt;Cite AuthorYear="1"&gt;&lt;Author&gt;Mirzababaei&lt;/Author&gt;&lt;Year&gt;2016&lt;/Year&gt;&lt;RecNum&gt;21&lt;/RecNum&gt;&lt;DisplayText&gt;Mirzababaei (2016)&lt;/DisplayText&gt;&lt;record&gt;&lt;rec-number&gt;21&lt;/rec-number&gt;&lt;foreign-keys&gt;&lt;key app="EN" db-id="d55vzfpwawdafteedfoxsf0lv0v0wp5va2aa" timestamp="1509901062"&gt;21&lt;/key&gt;&lt;/foreign-keys&gt;&lt;ref-type name="Journal Article"&gt;17&lt;/ref-type&gt;&lt;contributors&gt;&lt;authors&gt;&lt;author&gt;Mirzababaei, Peyman&lt;/author&gt;&lt;/authors&gt;&lt;/contributors&gt;&lt;titles&gt;&lt;title&gt;Effect of Zycotherm on Moisture Susceptibility of Warm Mix Asphalt Mixtures Prepared with Different Aggregate Types and Gradations&lt;/title&gt;&lt;secondary-title&gt;Construction and Building Materials&lt;/secondary-title&gt;&lt;/titles&gt;&lt;periodical&gt;&lt;full-title&gt;Construction and Building Materials&lt;/full-title&gt;&lt;/periodical&gt;&lt;pages&gt;403-412&lt;/pages&gt;&lt;volume&gt;116&lt;/volume&gt;&lt;dates&gt;&lt;year&gt;2016&lt;/year&gt;&lt;/dates&gt;&lt;isbn&gt;0950-0618&lt;/isbn&gt;&lt;urls&gt;&lt;/urls&gt;&lt;/record&gt;&lt;/Cite&gt;&lt;/EndNote&gt;</w:instrText>
      </w:r>
      <w:r w:rsidRPr="00BB5813">
        <w:rPr>
          <w:szCs w:val="24"/>
        </w:rPr>
        <w:fldChar w:fldCharType="separate"/>
      </w:r>
      <w:r w:rsidR="00B96C8D">
        <w:rPr>
          <w:noProof/>
          <w:szCs w:val="24"/>
        </w:rPr>
        <w:t>Mirzababaei (2016)</w:t>
      </w:r>
      <w:r w:rsidRPr="00BB5813">
        <w:rPr>
          <w:szCs w:val="24"/>
        </w:rPr>
        <w:fldChar w:fldCharType="end"/>
      </w:r>
      <w:r w:rsidRPr="00BB5813">
        <w:rPr>
          <w:szCs w:val="24"/>
        </w:rPr>
        <w:t xml:space="preserve"> used different conventional test methods, namely AASHTO T 283 </w:t>
      </w:r>
      <w:r w:rsidRPr="00BB5813">
        <w:rPr>
          <w:szCs w:val="24"/>
        </w:rPr>
        <w:fldChar w:fldCharType="begin"/>
      </w:r>
      <w:r w:rsidR="00282238">
        <w:rPr>
          <w:szCs w:val="24"/>
        </w:rPr>
        <w:instrText xml:space="preserve"> ADDIN EN.CITE &lt;EndNote&gt;&lt;Cite&gt;&lt;Author&gt;AASHTO&lt;/Author&gt;&lt;Year&gt;2014&lt;/Year&gt;&lt;RecNum&gt;233&lt;/RecNum&gt;&lt;DisplayText&gt;(AASHTO, 2014a)&lt;/DisplayText&gt;&lt;record&gt;&lt;rec-number&gt;233&lt;/rec-number&gt;&lt;foreign-keys&gt;&lt;key app="EN" db-id="tfx2va9ropw5p7evdr2pf5rw2vszzx9t0xzs" timestamp="1593606818"&gt;233&lt;/key&gt;&lt;/foreign-keys&gt;&lt;ref-type name="Standard"&gt;58&lt;/ref-type&gt;&lt;contributors&gt;&lt;authors&gt;&lt;author&gt;AASHTO&lt;/author&gt;&lt;/authors&gt;&lt;/contributors&gt;&lt;titles&gt;&lt;title&gt;AASHTO T 283: Standard Method of Test for Resistance of Compacted Asphalt Mixtures to Moisture-induced Damage&lt;/title&gt;&lt;/titles&gt;&lt;dates&gt;&lt;year&gt;2014&lt;/year&gt;&lt;/dates&gt;&lt;pub-location&gt;Washington, DC&lt;/pub-location&gt;&lt;publisher&gt;American Association of State Highway and Transportation Officials&lt;/publisher&gt;&lt;urls&gt;&lt;/urls&gt;&lt;/record&gt;&lt;/Cite&gt;&lt;/EndNote&gt;</w:instrText>
      </w:r>
      <w:r w:rsidRPr="00BB5813">
        <w:rPr>
          <w:szCs w:val="24"/>
        </w:rPr>
        <w:fldChar w:fldCharType="separate"/>
      </w:r>
      <w:r w:rsidR="00282238">
        <w:rPr>
          <w:noProof/>
          <w:szCs w:val="24"/>
        </w:rPr>
        <w:t>(AASHTO, 2014a)</w:t>
      </w:r>
      <w:r w:rsidRPr="00BB5813">
        <w:rPr>
          <w:szCs w:val="24"/>
        </w:rPr>
        <w:fldChar w:fldCharType="end"/>
      </w:r>
      <w:r w:rsidRPr="00BB5813">
        <w:rPr>
          <w:szCs w:val="24"/>
        </w:rPr>
        <w:t>, resilient modulus ratio (</w:t>
      </w:r>
      <w:r w:rsidRPr="00BB5813">
        <w:rPr>
          <w:i/>
          <w:iCs/>
          <w:szCs w:val="24"/>
        </w:rPr>
        <w:t>RMR</w:t>
      </w:r>
      <w:r w:rsidRPr="00BB5813">
        <w:rPr>
          <w:szCs w:val="24"/>
        </w:rPr>
        <w:t>), Marshall stability ratio (</w:t>
      </w:r>
      <w:r w:rsidRPr="00BB5813">
        <w:rPr>
          <w:i/>
          <w:iCs/>
          <w:szCs w:val="24"/>
        </w:rPr>
        <w:t>MSR</w:t>
      </w:r>
      <w:r w:rsidRPr="00BB5813">
        <w:rPr>
          <w:szCs w:val="24"/>
        </w:rPr>
        <w:t>), fracture energy ratio (</w:t>
      </w:r>
      <w:r w:rsidRPr="00BB5813">
        <w:rPr>
          <w:i/>
          <w:iCs/>
          <w:szCs w:val="24"/>
        </w:rPr>
        <w:t>FER</w:t>
      </w:r>
      <w:r w:rsidRPr="00BB5813">
        <w:rPr>
          <w:szCs w:val="24"/>
        </w:rPr>
        <w:t>) and boiling water to determine the effect of Zycotherm</w:t>
      </w:r>
      <w:r w:rsidRPr="00BB5813">
        <w:rPr>
          <w:szCs w:val="24"/>
          <w:vertAlign w:val="superscript"/>
        </w:rPr>
        <w:t>®</w:t>
      </w:r>
      <w:r w:rsidRPr="00BB5813">
        <w:rPr>
          <w:szCs w:val="24"/>
        </w:rPr>
        <w:t xml:space="preserve"> on the moisture-induced damage potential of asphalt mixes.</w:t>
      </w:r>
      <w:r w:rsidRPr="00BB5813">
        <w:rPr>
          <w:rFonts w:eastAsia="Times New Roman"/>
          <w:iCs/>
          <w:szCs w:val="24"/>
        </w:rPr>
        <w:t xml:space="preserve"> </w:t>
      </w:r>
      <w:r w:rsidRPr="00BB5813">
        <w:rPr>
          <w:rFonts w:eastAsia="Times New Roman"/>
          <w:iCs/>
          <w:szCs w:val="24"/>
        </w:rPr>
        <w:fldChar w:fldCharType="begin"/>
      </w:r>
      <w:r w:rsidR="00B96C8D">
        <w:rPr>
          <w:rFonts w:eastAsia="Times New Roman"/>
          <w:iCs/>
          <w:szCs w:val="24"/>
        </w:rPr>
        <w:instrText xml:space="preserve"> ADDIN EN.CITE &lt;EndNote&gt;&lt;Cite AuthorYear="1"&gt;&lt;Author&gt;LaCroix&lt;/Author&gt;&lt;Year&gt;2016&lt;/Year&gt;&lt;RecNum&gt;41&lt;/RecNum&gt;&lt;DisplayText&gt;LaCroix et al. (2016)&lt;/DisplayText&gt;&lt;record&gt;&lt;rec-number&gt;41&lt;/rec-number&gt;&lt;foreign-keys&gt;&lt;key app="EN" db-id="d55vzfpwawdafteedfoxsf0lv0v0wp5va2aa" timestamp="1511286613"&gt;41&lt;/key&gt;&lt;/foreign-keys&gt;&lt;ref-type name="Journal Article"&gt;17&lt;/ref-type&gt;&lt;contributors&gt;&lt;authors&gt;&lt;author&gt;LaCroix, Andrew&lt;/author&gt;&lt;author&gt;Regimand, Ali&lt;/author&gt;&lt;author&gt;James, Lawrence&lt;/author&gt;&lt;/authors&gt;&lt;/contributors&gt;&lt;titles&gt;&lt;title&gt;Proposed Approach for Evaluation of Cohesive and Adhesive Properties of Asphalt Mixtures for Determination of Moisture Sensitivity&lt;/title&gt;&lt;secondary-title&gt;Transportation Research Record: Journal of the Transportation Research Board&lt;/secondary-title&gt;&lt;/titles&gt;&lt;periodical&gt;&lt;full-title&gt;Transportation Research Record: Journal of the Transportation Research Board&lt;/full-title&gt;&lt;/periodical&gt;&lt;pages&gt;61-69&lt;/pages&gt;&lt;number&gt;2575&lt;/number&gt;&lt;dates&gt;&lt;year&gt;2016&lt;/year&gt;&lt;/dates&gt;&lt;isbn&gt;0361-1981&lt;/isbn&gt;&lt;urls&gt;&lt;/urls&gt;&lt;/record&gt;&lt;/Cite&gt;&lt;/EndNote&gt;</w:instrText>
      </w:r>
      <w:r w:rsidRPr="00BB5813">
        <w:rPr>
          <w:rFonts w:eastAsia="Times New Roman"/>
          <w:iCs/>
          <w:szCs w:val="24"/>
        </w:rPr>
        <w:fldChar w:fldCharType="separate"/>
      </w:r>
      <w:r w:rsidR="00B96C8D">
        <w:rPr>
          <w:rFonts w:eastAsia="Times New Roman"/>
          <w:iCs/>
          <w:noProof/>
          <w:szCs w:val="24"/>
        </w:rPr>
        <w:t>LaCroix et al. (2016)</w:t>
      </w:r>
      <w:r w:rsidRPr="00BB5813">
        <w:rPr>
          <w:rFonts w:eastAsia="Times New Roman"/>
          <w:iCs/>
          <w:szCs w:val="24"/>
        </w:rPr>
        <w:fldChar w:fldCharType="end"/>
      </w:r>
      <w:r w:rsidRPr="00BB5813">
        <w:rPr>
          <w:rFonts w:eastAsia="Times New Roman"/>
          <w:iCs/>
          <w:szCs w:val="24"/>
        </w:rPr>
        <w:t xml:space="preserve"> used both AASHTO T 283 </w:t>
      </w:r>
      <w:r w:rsidRPr="00BB5813">
        <w:rPr>
          <w:rFonts w:eastAsia="Times New Roman"/>
          <w:iCs/>
          <w:szCs w:val="24"/>
        </w:rPr>
        <w:fldChar w:fldCharType="begin"/>
      </w:r>
      <w:r w:rsidR="00282238">
        <w:rPr>
          <w:rFonts w:eastAsia="Times New Roman"/>
          <w:iCs/>
          <w:szCs w:val="24"/>
        </w:rPr>
        <w:instrText xml:space="preserve"> ADDIN EN.CITE &lt;EndNote&gt;&lt;Cite&gt;&lt;Author&gt;AASHTO&lt;/Author&gt;&lt;Year&gt;2014&lt;/Year&gt;&lt;RecNum&gt;233&lt;/RecNum&gt;&lt;DisplayText&gt;(AASHTO, 2014a)&lt;/DisplayText&gt;&lt;record&gt;&lt;rec-number&gt;233&lt;/rec-number&gt;&lt;foreign-keys&gt;&lt;key app="EN" db-id="tfx2va9ropw5p7evdr2pf5rw2vszzx9t0xzs" timestamp="1593606818"&gt;233&lt;/key&gt;&lt;/foreign-keys&gt;&lt;ref-type name="Standard"&gt;58&lt;/ref-type&gt;&lt;contributors&gt;&lt;authors&gt;&lt;author&gt;AASHTO&lt;/author&gt;&lt;/authors&gt;&lt;/contributors&gt;&lt;titles&gt;&lt;title&gt;AASHTO T 283: Standard Method of Test for Resistance of Compacted Asphalt Mixtures to Moisture-induced Damage&lt;/title&gt;&lt;/titles&gt;&lt;dates&gt;&lt;year&gt;2014&lt;/year&gt;&lt;/dates&gt;&lt;pub-location&gt;Washington, DC&lt;/pub-location&gt;&lt;publisher&gt;American Association of State Highway and Transportation Officials&lt;/publisher&gt;&lt;urls&gt;&lt;/urls&gt;&lt;/record&gt;&lt;/Cite&gt;&lt;/EndNote&gt;</w:instrText>
      </w:r>
      <w:r w:rsidRPr="00BB5813">
        <w:rPr>
          <w:rFonts w:eastAsia="Times New Roman"/>
          <w:iCs/>
          <w:szCs w:val="24"/>
        </w:rPr>
        <w:fldChar w:fldCharType="separate"/>
      </w:r>
      <w:r w:rsidR="00282238">
        <w:rPr>
          <w:rFonts w:eastAsia="Times New Roman"/>
          <w:iCs/>
          <w:noProof/>
          <w:szCs w:val="24"/>
        </w:rPr>
        <w:t>(AASHTO, 2014a)</w:t>
      </w:r>
      <w:r w:rsidRPr="00BB5813">
        <w:rPr>
          <w:rFonts w:eastAsia="Times New Roman"/>
          <w:iCs/>
          <w:szCs w:val="24"/>
        </w:rPr>
        <w:fldChar w:fldCharType="end"/>
      </w:r>
      <w:r w:rsidRPr="00BB5813">
        <w:rPr>
          <w:rFonts w:eastAsia="Times New Roman"/>
          <w:iCs/>
          <w:szCs w:val="24"/>
        </w:rPr>
        <w:t xml:space="preserve"> and MIST to condition their samples and tested them for moisture-induced damage. It was found that the current AASHTO T 283 </w:t>
      </w:r>
      <w:r w:rsidRPr="00BB5813">
        <w:rPr>
          <w:rFonts w:eastAsia="Times New Roman"/>
          <w:iCs/>
          <w:szCs w:val="24"/>
        </w:rPr>
        <w:fldChar w:fldCharType="begin"/>
      </w:r>
      <w:r w:rsidR="00282238">
        <w:rPr>
          <w:rFonts w:eastAsia="Times New Roman"/>
          <w:iCs/>
          <w:szCs w:val="24"/>
        </w:rPr>
        <w:instrText xml:space="preserve"> ADDIN EN.CITE &lt;EndNote&gt;&lt;Cite&gt;&lt;Author&gt;AASHTO&lt;/Author&gt;&lt;Year&gt;2014&lt;/Year&gt;&lt;RecNum&gt;233&lt;/RecNum&gt;&lt;DisplayText&gt;(AASHTO, 2014a)&lt;/DisplayText&gt;&lt;record&gt;&lt;rec-number&gt;233&lt;/rec-number&gt;&lt;foreign-keys&gt;&lt;key app="EN" db-id="tfx2va9ropw5p7evdr2pf5rw2vszzx9t0xzs" timestamp="1593606818"&gt;233&lt;/key&gt;&lt;/foreign-keys&gt;&lt;ref-type name="Standard"&gt;58&lt;/ref-type&gt;&lt;contributors&gt;&lt;authors&gt;&lt;author&gt;AASHTO&lt;/author&gt;&lt;/authors&gt;&lt;/contributors&gt;&lt;titles&gt;&lt;title&gt;AASHTO T 283: Standard Method of Test for Resistance of Compacted Asphalt Mixtures to Moisture-induced Damage&lt;/title&gt;&lt;/titles&gt;&lt;dates&gt;&lt;year&gt;2014&lt;/year&gt;&lt;/dates&gt;&lt;pub-location&gt;Washington, DC&lt;/pub-location&gt;&lt;publisher&gt;American Association of State Highway and Transportation Officials&lt;/publisher&gt;&lt;urls&gt;&lt;/urls&gt;&lt;/record&gt;&lt;/Cite&gt;&lt;/EndNote&gt;</w:instrText>
      </w:r>
      <w:r w:rsidRPr="00BB5813">
        <w:rPr>
          <w:rFonts w:eastAsia="Times New Roman"/>
          <w:iCs/>
          <w:szCs w:val="24"/>
        </w:rPr>
        <w:fldChar w:fldCharType="separate"/>
      </w:r>
      <w:r w:rsidR="00282238">
        <w:rPr>
          <w:rFonts w:eastAsia="Times New Roman"/>
          <w:iCs/>
          <w:noProof/>
          <w:szCs w:val="24"/>
        </w:rPr>
        <w:t>(AASHTO, 2014a)</w:t>
      </w:r>
      <w:r w:rsidRPr="00BB5813">
        <w:rPr>
          <w:rFonts w:eastAsia="Times New Roman"/>
          <w:iCs/>
          <w:szCs w:val="24"/>
        </w:rPr>
        <w:fldChar w:fldCharType="end"/>
      </w:r>
      <w:r w:rsidRPr="00BB5813">
        <w:rPr>
          <w:rFonts w:eastAsia="Times New Roman"/>
          <w:iCs/>
          <w:szCs w:val="24"/>
        </w:rPr>
        <w:t xml:space="preserve"> method affects the adhesive strength of the binder and the aggregate whereas the MIST only affects the cohesive strength. </w:t>
      </w:r>
      <w:r w:rsidRPr="00BB5813">
        <w:rPr>
          <w:rFonts w:eastAsia="Times New Roman"/>
          <w:iCs/>
          <w:szCs w:val="24"/>
        </w:rPr>
        <w:fldChar w:fldCharType="begin"/>
      </w:r>
      <w:r w:rsidR="00B96C8D">
        <w:rPr>
          <w:rFonts w:eastAsia="Times New Roman"/>
          <w:iCs/>
          <w:szCs w:val="24"/>
        </w:rPr>
        <w:instrText xml:space="preserve"> ADDIN EN.CITE &lt;EndNote&gt;&lt;Cite AuthorYear="1"&gt;&lt;Author&gt;Vargas-Nordcbeck&lt;/Author&gt;&lt;Year&gt;2016&lt;/Year&gt;&lt;RecNum&gt;42&lt;/RecNum&gt;&lt;DisplayText&gt;Vargas-Nordcbeck et al. (2016)&lt;/DisplayText&gt;&lt;record&gt;&lt;rec-number&gt;42&lt;/rec-number&gt;&lt;foreign-keys&gt;&lt;key app="EN" db-id="d55vzfpwawdafteedfoxsf0lv0v0wp5va2aa" timestamp="1511300558"&gt;42&lt;/key&gt;&lt;/foreign-keys&gt;&lt;ref-type name="Journal Article"&gt;17&lt;/ref-type&gt;&lt;contributors&gt;&lt;authors&gt;&lt;author&gt;Vargas-Nordcbeck, Adriana&lt;/author&gt;&lt;author&gt;Leiva-Villacorta, Fabricio&lt;/author&gt;&lt;author&gt;Aguiar-Moya, José Pablo&lt;/author&gt;&lt;author&gt;Loria-Salazar, Luis&lt;/author&gt;&lt;/authors&gt;&lt;/contributors&gt;&lt;titles&gt;&lt;title&gt;Evaluating moisture susceptibility of asphalt concrete mixtures through simple performance tests&lt;/title&gt;&lt;secondary-title&gt;Transportation Research Record: Journal of the Transportation Research Board&lt;/secondary-title&gt;&lt;/titles&gt;&lt;periodical&gt;&lt;full-title&gt;Transportation Research Record: Journal of the Transportation Research Board&lt;/full-title&gt;&lt;/periodical&gt;&lt;pages&gt;70-78&lt;/pages&gt;&lt;number&gt;2575&lt;/number&gt;&lt;dates&gt;&lt;year&gt;2016&lt;/year&gt;&lt;/dates&gt;&lt;isbn&gt;0361-1981&lt;/isbn&gt;&lt;urls&gt;&lt;/urls&gt;&lt;/record&gt;&lt;/Cite&gt;&lt;/EndNote&gt;</w:instrText>
      </w:r>
      <w:r w:rsidRPr="00BB5813">
        <w:rPr>
          <w:rFonts w:eastAsia="Times New Roman"/>
          <w:iCs/>
          <w:szCs w:val="24"/>
        </w:rPr>
        <w:fldChar w:fldCharType="separate"/>
      </w:r>
      <w:r w:rsidR="00B96C8D">
        <w:rPr>
          <w:rFonts w:eastAsia="Times New Roman"/>
          <w:iCs/>
          <w:noProof/>
          <w:szCs w:val="24"/>
        </w:rPr>
        <w:t>Vargas-Nordcbeck et al. (2016)</w:t>
      </w:r>
      <w:r w:rsidRPr="00BB5813">
        <w:rPr>
          <w:rFonts w:eastAsia="Times New Roman"/>
          <w:iCs/>
          <w:szCs w:val="24"/>
        </w:rPr>
        <w:fldChar w:fldCharType="end"/>
      </w:r>
      <w:r w:rsidRPr="00BB5813">
        <w:rPr>
          <w:rFonts w:eastAsia="Times New Roman"/>
          <w:iCs/>
          <w:szCs w:val="24"/>
        </w:rPr>
        <w:t xml:space="preserve"> used the modified Lottman ITS test procedure with different conditioning levels and found that an increase in the number of conditioning cycles was required to accurately simulate field performance. </w:t>
      </w:r>
    </w:p>
    <w:p w14:paraId="7A6416DA" w14:textId="4B9A9A24" w:rsidR="00DD6905" w:rsidRPr="00BB5813" w:rsidRDefault="00DD6905" w:rsidP="00DE6A31">
      <w:pPr>
        <w:ind w:firstLine="720"/>
        <w:rPr>
          <w:szCs w:val="24"/>
        </w:rPr>
      </w:pPr>
      <w:r w:rsidRPr="00BB5813">
        <w:rPr>
          <w:szCs w:val="24"/>
          <w:lang w:val="en-CA"/>
        </w:rPr>
        <w:t>Among all test methods, the stripping inflection point (</w:t>
      </w:r>
      <w:r w:rsidRPr="00BB5813">
        <w:rPr>
          <w:i/>
          <w:iCs/>
          <w:szCs w:val="24"/>
          <w:lang w:val="en-CA"/>
        </w:rPr>
        <w:t>SIP</w:t>
      </w:r>
      <w:r w:rsidRPr="00BB5813">
        <w:rPr>
          <w:szCs w:val="24"/>
          <w:lang w:val="en-CA"/>
        </w:rPr>
        <w:t xml:space="preserve">) from the Hamburg wheel tracking (HWT) test and </w:t>
      </w:r>
      <w:r w:rsidRPr="00BB5813">
        <w:rPr>
          <w:i/>
          <w:iCs/>
          <w:szCs w:val="24"/>
          <w:lang w:val="en-CA"/>
        </w:rPr>
        <w:t>TSR</w:t>
      </w:r>
      <w:r w:rsidRPr="00BB5813">
        <w:rPr>
          <w:szCs w:val="24"/>
          <w:lang w:val="en-CA"/>
        </w:rPr>
        <w:t xml:space="preserve"> from the ITS test are the most commonly used parameters to evaluate the moisture-induced damage </w:t>
      </w:r>
      <w:r w:rsidRPr="00BB5813">
        <w:rPr>
          <w:szCs w:val="24"/>
          <w:lang w:val="en-CA"/>
        </w:rPr>
        <w:fldChar w:fldCharType="begin"/>
      </w:r>
      <w:r w:rsidR="00282238">
        <w:rPr>
          <w:szCs w:val="24"/>
          <w:lang w:val="en-CA"/>
        </w:rPr>
        <w:instrText xml:space="preserve"> ADDIN EN.CITE &lt;EndNote&gt;&lt;Cite&gt;&lt;Author&gt;Caro&lt;/Author&gt;&lt;Year&gt;2008&lt;/Year&gt;&lt;RecNum&gt;83&lt;/RecNum&gt;&lt;DisplayText&gt;(Caro et al., 2008b; Abuawad et al., 2015)&lt;/DisplayText&gt;&lt;record&gt;&lt;rec-number&gt;83&lt;/rec-number&gt;&lt;foreign-keys&gt;&lt;key app="EN" db-id="d55vzfpwawdafteedfoxsf0lv0v0wp5va2aa" timestamp="1519492929"&gt;83&lt;/key&gt;&lt;/foreign-keys&gt;&lt;ref-type name="Journal Article"&gt;17&lt;/ref-type&gt;&lt;contributors&gt;&lt;authors&gt;&lt;author&gt;Caro, Silvia&lt;/author&gt;&lt;author&gt;Masad, E&lt;/author&gt;&lt;author&gt;Bhasin, Amit&lt;/author&gt;&lt;author&gt;Little, Dallas N&lt;/author&gt;&lt;/authors&gt;&lt;/contributors&gt;&lt;titles&gt;&lt;title&gt;Moisture Susceptibility of Asphalt Mixtures, Part 2: Characterisation and Modelling&lt;/title&gt;&lt;secondary-title&gt;International Journal of Pavement Engineering&lt;/secondary-title&gt;&lt;/titles&gt;&lt;periodical&gt;&lt;full-title&gt;International Journal of Pavement Engineering&lt;/full-title&gt;&lt;/periodical&gt;&lt;pages&gt;99-114&lt;/pages&gt;&lt;volume&gt;9&lt;/volume&gt;&lt;number&gt;2&lt;/number&gt;&lt;dates&gt;&lt;year&gt;2008&lt;/year&gt;&lt;/dates&gt;&lt;isbn&gt;1029-8436&lt;/isbn&gt;&lt;urls&gt;&lt;/urls&gt;&lt;/record&gt;&lt;/Cite&gt;&lt;Cite&gt;&lt;Author&gt;Abuawad&lt;/Author&gt;&lt;Year&gt;2015&lt;/Year&gt;&lt;RecNum&gt;80&lt;/RecNum&gt;&lt;record&gt;&lt;rec-number&gt;80&lt;/rec-number&gt;&lt;foreign-keys&gt;&lt;key app="EN" db-id="d55vzfpwawdafteedfoxsf0lv0v0wp5va2aa" timestamp="1519483651"&gt;80&lt;/key&gt;&lt;/foreign-keys&gt;&lt;ref-type name="Journal Article"&gt;17&lt;/ref-type&gt;&lt;contributors&gt;&lt;authors&gt;&lt;author&gt;Abuawad, Ibrahim MA&lt;/author&gt;&lt;author&gt;Al-Qadi, Imad L&lt;/author&gt;&lt;author&gt;Trepanier, James S&lt;/author&gt;&lt;/authors&gt;&lt;/contributors&gt;&lt;titles&gt;&lt;title&gt;Mitigation of Moisture Damage in Asphalt Concrete: Testing Techniques and Additives/Modifiers Effectiveness&lt;/title&gt;&lt;secondary-title&gt;Construction and Building Materials&lt;/secondary-title&gt;&lt;/titles&gt;&lt;periodical&gt;&lt;full-title&gt;Construction and Building Materials&lt;/full-title&gt;&lt;/periodical&gt;&lt;pages&gt;437-443&lt;/pages&gt;&lt;volume&gt;84&lt;/volume&gt;&lt;dates&gt;&lt;year&gt;2015&lt;/year&gt;&lt;/dates&gt;&lt;isbn&gt;0950-0618&lt;/isbn&gt;&lt;urls&gt;&lt;/urls&gt;&lt;/record&gt;&lt;/Cite&gt;&lt;/EndNote&gt;</w:instrText>
      </w:r>
      <w:r w:rsidRPr="00BB5813">
        <w:rPr>
          <w:szCs w:val="24"/>
          <w:lang w:val="en-CA"/>
        </w:rPr>
        <w:fldChar w:fldCharType="separate"/>
      </w:r>
      <w:r w:rsidR="00282238">
        <w:rPr>
          <w:noProof/>
          <w:szCs w:val="24"/>
          <w:lang w:val="en-CA"/>
        </w:rPr>
        <w:t>(Caro et al., 2008b; Abuawad et al., 2015)</w:t>
      </w:r>
      <w:r w:rsidRPr="00BB5813">
        <w:rPr>
          <w:szCs w:val="24"/>
          <w:lang w:val="en-CA"/>
        </w:rPr>
        <w:fldChar w:fldCharType="end"/>
      </w:r>
      <w:r w:rsidRPr="00BB5813">
        <w:rPr>
          <w:szCs w:val="24"/>
          <w:lang w:val="en-CA"/>
        </w:rPr>
        <w:t xml:space="preserve">. Conventionally, the </w:t>
      </w:r>
      <w:r w:rsidRPr="00BB5813">
        <w:rPr>
          <w:i/>
          <w:iCs/>
          <w:szCs w:val="24"/>
          <w:lang w:val="en-CA"/>
        </w:rPr>
        <w:t>SIP</w:t>
      </w:r>
      <w:r w:rsidRPr="00BB5813">
        <w:rPr>
          <w:szCs w:val="24"/>
          <w:lang w:val="en-CA"/>
        </w:rPr>
        <w:t xml:space="preserve"> and rut depth at a certain number of wheel passes are widely used as the two main HWT parameters to evaluate the moisture susceptibility and rutting resistance of asphalt mixes, respectively. However, it has been reported that the current HWT parameters are not always able to accurately evaluate asphalt mixes for moisture-induced damage </w:t>
      </w:r>
      <w:r w:rsidRPr="00BB5813">
        <w:rPr>
          <w:szCs w:val="24"/>
          <w:lang w:val="en-CA"/>
        </w:rPr>
        <w:fldChar w:fldCharType="begin"/>
      </w:r>
      <w:r w:rsidR="00282238">
        <w:rPr>
          <w:szCs w:val="24"/>
          <w:lang w:val="en-CA"/>
        </w:rPr>
        <w:instrText xml:space="preserve"> ADDIN EN.CITE &lt;EndNote&gt;&lt;Cite&gt;&lt;Author&gt;Yin&lt;/Author&gt;&lt;Year&gt;2014&lt;/Year&gt;&lt;RecNum&gt;95&lt;/RecNum&gt;&lt;DisplayText&gt;(Yin et al., 2014)&lt;/DisplayText&gt;&lt;record&gt;&lt;rec-number&gt;95&lt;/rec-number&gt;&lt;foreign-keys&gt;&lt;key app="EN" db-id="d55vzfpwawdafteedfoxsf0lv0v0wp5va2aa" timestamp="1520694429"&gt;95&lt;/key&gt;&lt;/foreign-keys&gt;&lt;ref-type name="Journal Article"&gt;17&lt;/ref-type&gt;&lt;contributors&gt;&lt;authors&gt;&lt;author&gt;Yin, Fan&lt;/author&gt;&lt;author&gt;Arambula, Edith&lt;/author&gt;&lt;author&gt;Lytton, Robert&lt;/author&gt;&lt;author&gt;Martin, Amy&lt;/author&gt;&lt;author&gt;Cucalon, Lorena&lt;/author&gt;&lt;/authors&gt;&lt;/contributors&gt;&lt;titles&gt;&lt;title&gt;Novel method for moisture susceptibility and rutting evaluation using Hamburg wheel tracking test&lt;/title&gt;&lt;secondary-title&gt;Transportation Research Record: Journal of the Transportation Research Board&lt;/secondary-title&gt;&lt;/titles&gt;&lt;periodical&gt;&lt;full-title&gt;Transportation Research Record: Journal of the Transportation Research Board&lt;/full-title&gt;&lt;/periodical&gt;&lt;pages&gt;1-7&lt;/pages&gt;&lt;number&gt;2446&lt;/number&gt;&lt;dates&gt;&lt;year&gt;2014&lt;/year&gt;&lt;/dates&gt;&lt;isbn&gt;0361-1981&lt;/isbn&gt;&lt;urls&gt;&lt;/urls&gt;&lt;/record&gt;&lt;/Cite&gt;&lt;/EndNote&gt;</w:instrText>
      </w:r>
      <w:r w:rsidRPr="00BB5813">
        <w:rPr>
          <w:szCs w:val="24"/>
          <w:lang w:val="en-CA"/>
        </w:rPr>
        <w:fldChar w:fldCharType="separate"/>
      </w:r>
      <w:r w:rsidR="00282238">
        <w:rPr>
          <w:noProof/>
          <w:szCs w:val="24"/>
          <w:lang w:val="en-CA"/>
        </w:rPr>
        <w:t>(Yin et al., 2014)</w:t>
      </w:r>
      <w:r w:rsidRPr="00BB5813">
        <w:rPr>
          <w:szCs w:val="24"/>
          <w:lang w:val="en-CA"/>
        </w:rPr>
        <w:fldChar w:fldCharType="end"/>
      </w:r>
      <w:r w:rsidRPr="00BB5813">
        <w:rPr>
          <w:szCs w:val="24"/>
          <w:lang w:val="en-CA"/>
        </w:rPr>
        <w:t>. Therefore, an improved methodology is needed to accurately characterize the stripping phase using the HWT data. In this study,</w:t>
      </w:r>
      <w:r w:rsidRPr="00BB5813">
        <w:rPr>
          <w:sz w:val="28"/>
          <w:szCs w:val="24"/>
          <w:lang w:val="en-CA"/>
        </w:rPr>
        <w:t xml:space="preserve"> </w:t>
      </w:r>
      <w:r w:rsidRPr="00BB5813">
        <w:t xml:space="preserve">a new method, known as </w:t>
      </w:r>
      <w:r w:rsidRPr="00BB5813">
        <w:rPr>
          <w:szCs w:val="24"/>
        </w:rPr>
        <w:t xml:space="preserve">Texas A &amp; M </w:t>
      </w:r>
      <w:r w:rsidR="00EF505F" w:rsidRPr="00BB5813">
        <w:rPr>
          <w:szCs w:val="24"/>
        </w:rPr>
        <w:t xml:space="preserve">University </w:t>
      </w:r>
      <w:r w:rsidRPr="00BB5813">
        <w:t xml:space="preserve">(TAMU) method, proposed by </w:t>
      </w:r>
      <w:r w:rsidRPr="00BB5813">
        <w:fldChar w:fldCharType="begin"/>
      </w:r>
      <w:r w:rsidR="00B96C8D">
        <w:instrText xml:space="preserve"> ADDIN EN.CITE &lt;EndNote&gt;&lt;Cite AuthorYear="1"&gt;&lt;Author&gt;Yin&lt;/Author&gt;&lt;Year&gt;2014&lt;/Year&gt;&lt;RecNum&gt;95&lt;/RecNum&gt;&lt;DisplayText&gt;Yin et al. (2014)&lt;/DisplayText&gt;&lt;record&gt;&lt;rec-number&gt;95&lt;/rec-number&gt;&lt;foreign-keys&gt;&lt;key app="EN" db-id="d55vzfpwawdafteedfoxsf0lv0v0wp5va2aa" timestamp="1520694429"&gt;95&lt;/key&gt;&lt;/foreign-keys&gt;&lt;ref-type name="Journal Article"&gt;17&lt;/ref-type&gt;&lt;contributors&gt;&lt;authors&gt;&lt;author&gt;Yin, Fan&lt;/author&gt;&lt;author&gt;Arambula, Edith&lt;/author&gt;&lt;author&gt;Lytton, Robert&lt;/author&gt;&lt;author&gt;Martin, Amy&lt;/author&gt;&lt;author&gt;Cucalon, Lorena&lt;/author&gt;&lt;/authors&gt;&lt;/contributors&gt;&lt;titles&gt;&lt;title&gt;Novel method for moisture susceptibility and rutting evaluation using Hamburg wheel tracking test&lt;/title&gt;&lt;secondary-title&gt;Transportation Research Record: Journal of the Transportation Research Board&lt;/secondary-title&gt;&lt;/titles&gt;&lt;periodical&gt;&lt;full-title&gt;Transportation Research Record: Journal of the Transportation Research Board&lt;/full-title&gt;&lt;/periodical&gt;&lt;pages&gt;1-7&lt;/pages&gt;&lt;number&gt;2446&lt;/number&gt;&lt;dates&gt;&lt;year&gt;2014&lt;/year&gt;&lt;/dates&gt;&lt;isbn&gt;0361-1981&lt;/isbn&gt;&lt;urls&gt;&lt;/urls&gt;&lt;/record&gt;&lt;/Cite&gt;&lt;/EndNote&gt;</w:instrText>
      </w:r>
      <w:r w:rsidRPr="00BB5813">
        <w:fldChar w:fldCharType="separate"/>
      </w:r>
      <w:r w:rsidR="00B96C8D">
        <w:rPr>
          <w:noProof/>
        </w:rPr>
        <w:t>Yin et al. (2014)</w:t>
      </w:r>
      <w:r w:rsidRPr="00BB5813">
        <w:fldChar w:fldCharType="end"/>
      </w:r>
      <w:r w:rsidRPr="00BB5813">
        <w:t xml:space="preserve">, was used for analyzing the HWT data. </w:t>
      </w:r>
      <w:r w:rsidRPr="00BB5813">
        <w:rPr>
          <w:szCs w:val="24"/>
          <w:lang w:val="en-CA"/>
        </w:rPr>
        <w:t xml:space="preserve">The </w:t>
      </w:r>
      <w:r w:rsidRPr="00BB5813">
        <w:rPr>
          <w:i/>
          <w:iCs/>
          <w:szCs w:val="24"/>
          <w:lang w:val="en-CA"/>
        </w:rPr>
        <w:t>TSR</w:t>
      </w:r>
      <w:r w:rsidRPr="00BB5813">
        <w:rPr>
          <w:szCs w:val="24"/>
          <w:lang w:val="en-CA"/>
        </w:rPr>
        <w:t xml:space="preserve"> value from ITS test is used as an indicator of moisture-induced damage. This evaluation is based on the peak load and it does not provide any information about the post peak behavior of the asphalt specimen. Generally, the peak strength relates to the initiation of crack whereas the post peak behavior corresponds to the propagation of cracks in an asphalt mix specimen. Toughness index (</w:t>
      </w:r>
      <w:r w:rsidRPr="00BB5813">
        <w:rPr>
          <w:i/>
          <w:iCs/>
          <w:szCs w:val="24"/>
          <w:lang w:val="en-CA"/>
        </w:rPr>
        <w:t>TI</w:t>
      </w:r>
      <w:r w:rsidRPr="00BB5813">
        <w:rPr>
          <w:szCs w:val="24"/>
          <w:lang w:val="en-CA"/>
        </w:rPr>
        <w:t>) from the ITS test can be used to evaluate the post</w:t>
      </w:r>
      <w:r w:rsidRPr="00BB5813">
        <w:rPr>
          <w:rStyle w:val="CommentReference"/>
        </w:rPr>
        <w:t>-</w:t>
      </w:r>
      <w:r w:rsidRPr="00BB5813">
        <w:rPr>
          <w:szCs w:val="24"/>
          <w:lang w:val="en-CA"/>
        </w:rPr>
        <w:t xml:space="preserve">peak behavior of asphalt mixes </w:t>
      </w:r>
      <w:r w:rsidRPr="00BB5813">
        <w:rPr>
          <w:szCs w:val="24"/>
          <w:lang w:val="en-CA"/>
        </w:rPr>
        <w:fldChar w:fldCharType="begin"/>
      </w:r>
      <w:r w:rsidR="00282238">
        <w:rPr>
          <w:szCs w:val="24"/>
          <w:lang w:val="en-CA"/>
        </w:rPr>
        <w:instrText xml:space="preserve"> ADDIN EN.CITE &lt;EndNote&gt;&lt;Cite&gt;&lt;Author&gt;Shu&lt;/Author&gt;&lt;Year&gt;2008&lt;/Year&gt;&lt;RecNum&gt;112&lt;/RecNum&gt;&lt;DisplayText&gt;(Shu et al., 2008; Huang et al., 2010)&lt;/DisplayText&gt;&lt;record&gt;&lt;rec-number&gt;112&lt;/rec-number&gt;&lt;foreign-keys&gt;&lt;key app="EN" db-id="d55vzfpwawdafteedfoxsf0lv0v0wp5va2aa" timestamp="1521350351"&gt;112&lt;/key&gt;&lt;/foreign-keys&gt;&lt;ref-type name="Journal Article"&gt;17&lt;/ref-type&gt;&lt;contributors&gt;&lt;authors&gt;&lt;author&gt;Shu, Xiang&lt;/author&gt;&lt;author&gt;Huang, Baoshan&lt;/author&gt;&lt;author&gt;Vukosavljevic, Dragon&lt;/author&gt;&lt;/authors&gt;&lt;/contributors&gt;&lt;titles&gt;&lt;title&gt;Laboratory evaluation of fatigue characteristics of recycled asphalt mixture&lt;/title&gt;&lt;secondary-title&gt;Construction and Building Materials&lt;/secondary-title&gt;&lt;/titles&gt;&lt;periodical&gt;&lt;full-title&gt;Construction and Building Materials&lt;/full-title&gt;&lt;/periodical&gt;&lt;pages&gt;1323-1330&lt;/pages&gt;&lt;volume&gt;22&lt;/volume&gt;&lt;number&gt;7&lt;/number&gt;&lt;dates&gt;&lt;year&gt;2008&lt;/year&gt;&lt;/dates&gt;&lt;isbn&gt;0950-0618&lt;/isbn&gt;&lt;urls&gt;&lt;/urls&gt;&lt;/record&gt;&lt;/Cite&gt;&lt;Cite&gt;&lt;Author&gt;Huang&lt;/Author&gt;&lt;Year&gt;2010&lt;/Year&gt;&lt;RecNum&gt;135&lt;/RecNum&gt;&lt;record&gt;&lt;rec-number&gt;135&lt;/rec-number&gt;&lt;foreign-keys&gt;&lt;key app="EN" db-id="d55vzfpwawdafteedfoxsf0lv0v0wp5va2aa" timestamp="1531592688"&gt;135&lt;/key&gt;&lt;/foreign-keys&gt;&lt;ref-type name="Journal Article"&gt;17&lt;/ref-type&gt;&lt;contributors&gt;&lt;authors&gt;&lt;author&gt;Huang, Baoshan&lt;/author&gt;&lt;author&gt;Shu, Xiang&lt;/author&gt;&lt;author&gt;Vukosavljevic, Dragon&lt;/author&gt;&lt;/authors&gt;&lt;/contributors&gt;&lt;titles&gt;&lt;title&gt;Laboratory investigation of cracking resistance of hot-mix asphalt field mixtures containing screened reclaimed asphalt pavement&lt;/title&gt;&lt;secondary-title&gt;Journal of Materials in Civil Engineering&lt;/secondary-title&gt;&lt;/titles&gt;&lt;periodical&gt;&lt;full-title&gt;Journal of Materials in Civil Engineering&lt;/full-title&gt;&lt;/periodical&gt;&lt;pages&gt;1535-1543&lt;/pages&gt;&lt;volume&gt;23&lt;/volume&gt;&lt;number&gt;11&lt;/number&gt;&lt;dates&gt;&lt;year&gt;2010&lt;/year&gt;&lt;/dates&gt;&lt;isbn&gt;0899-1561&lt;/isbn&gt;&lt;urls&gt;&lt;/urls&gt;&lt;/record&gt;&lt;/Cite&gt;&lt;/EndNote&gt;</w:instrText>
      </w:r>
      <w:r w:rsidRPr="00BB5813">
        <w:rPr>
          <w:szCs w:val="24"/>
          <w:lang w:val="en-CA"/>
        </w:rPr>
        <w:fldChar w:fldCharType="separate"/>
      </w:r>
      <w:r w:rsidR="00282238">
        <w:rPr>
          <w:noProof/>
          <w:szCs w:val="24"/>
          <w:lang w:val="en-CA"/>
        </w:rPr>
        <w:t>(Shu et al., 2008; Huang et al., 2010)</w:t>
      </w:r>
      <w:r w:rsidRPr="00BB5813">
        <w:rPr>
          <w:szCs w:val="24"/>
          <w:lang w:val="en-CA"/>
        </w:rPr>
        <w:fldChar w:fldCharType="end"/>
      </w:r>
      <w:r w:rsidRPr="00BB5813">
        <w:rPr>
          <w:szCs w:val="24"/>
          <w:lang w:val="en-CA"/>
        </w:rPr>
        <w:t xml:space="preserve">. Therefore, in this study, in addition to </w:t>
      </w:r>
      <w:r w:rsidRPr="00BB5813">
        <w:rPr>
          <w:i/>
          <w:iCs/>
          <w:szCs w:val="24"/>
          <w:lang w:val="en-CA"/>
        </w:rPr>
        <w:t>TSR</w:t>
      </w:r>
      <w:r w:rsidRPr="00BB5813">
        <w:rPr>
          <w:szCs w:val="24"/>
          <w:lang w:val="en-CA"/>
        </w:rPr>
        <w:t xml:space="preserve">, toughness indexes of the conditioned and unconditioned specimens were used to evaluate moisture-induced damage potential. </w:t>
      </w:r>
    </w:p>
    <w:p w14:paraId="6CCDAB32" w14:textId="53E0D556" w:rsidR="00DD6905" w:rsidRPr="00BB5813" w:rsidRDefault="00DD6905" w:rsidP="00DE6A31">
      <w:pPr>
        <w:ind w:firstLine="720"/>
      </w:pPr>
      <w:r w:rsidRPr="00BB5813">
        <w:t xml:space="preserve">The measurements of fracture, healing, and viscoelastic properties are necessary to conduct a comprehensive characterization of moisture-induced damage of asphalt mixes </w:t>
      </w:r>
      <w:r w:rsidRPr="00BB5813">
        <w:fldChar w:fldCharType="begin"/>
      </w:r>
      <w:r w:rsidR="00282238">
        <w:instrText xml:space="preserve"> ADDIN EN.CITE &lt;EndNote&gt;&lt;Cite&gt;&lt;Author&gt;Bhasin&lt;/Author&gt;&lt;Year&gt;2006&lt;/Year&gt;&lt;RecNum&gt;23&lt;/RecNum&gt;&lt;DisplayText&gt;(Bhasin et al., 2006)&lt;/DisplayText&gt;&lt;record&gt;&lt;rec-number&gt;23&lt;/rec-number&gt;&lt;foreign-keys&gt;&lt;key app="EN" db-id="d55vzfpwawdafteedfoxsf0lv0v0wp5va2aa" timestamp="1509901106"&gt;23&lt;/key&gt;&lt;/foreign-keys&gt;&lt;ref-type name="Journal Article"&gt;17&lt;/ref-type&gt;&lt;contributors&gt;&lt;authors&gt;&lt;author&gt;Bhasin, Amit&lt;/author&gt;&lt;author&gt;Masad, Eyad&lt;/author&gt;&lt;author&gt;Little, Dallas&lt;/author&gt;&lt;author&gt;Lytton, Robert&lt;/author&gt;&lt;/authors&gt;&lt;/contributors&gt;&lt;titles&gt;&lt;title&gt;Limits on Adhesive Bond Energy for Improved Resistance of Hot-Mix Asphalt to Moisture Damage&lt;/title&gt;&lt;secondary-title&gt;Transportation research record: journal of the transportation research board&lt;/secondary-title&gt;&lt;/titles&gt;&lt;periodical&gt;&lt;full-title&gt;Transportation Research Record: Journal of the Transportation Research Board&lt;/full-title&gt;&lt;/periodical&gt;&lt;pages&gt;3-13&lt;/pages&gt;&lt;number&gt;1970&lt;/number&gt;&lt;dates&gt;&lt;year&gt;2006&lt;/year&gt;&lt;/dates&gt;&lt;isbn&gt;0361-1981&lt;/isbn&gt;&lt;urls&gt;&lt;/urls&gt;&lt;/record&gt;&lt;/Cite&gt;&lt;/EndNote&gt;</w:instrText>
      </w:r>
      <w:r w:rsidRPr="00BB5813">
        <w:fldChar w:fldCharType="separate"/>
      </w:r>
      <w:r w:rsidR="00282238">
        <w:rPr>
          <w:noProof/>
        </w:rPr>
        <w:t>(Bhasin et al., 2006)</w:t>
      </w:r>
      <w:r w:rsidRPr="00BB5813">
        <w:fldChar w:fldCharType="end"/>
      </w:r>
      <w:r w:rsidRPr="00BB5813">
        <w:t xml:space="preserve">. Several previous studies have used semi-circular bend (SCB) test to characterize fatigue and low-temperature fracture resistance of asphalt mixes </w:t>
      </w:r>
      <w:r w:rsidRPr="00BB5813">
        <w:fldChar w:fldCharType="begin">
          <w:fldData xml:space="preserve">PEVuZE5vdGU+PENpdGU+PEF1dGhvcj5LaW08L0F1dGhvcj48WWVhcj4yMDEyPC9ZZWFyPjxSZWNO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==
</w:fldData>
        </w:fldChar>
      </w:r>
      <w:r w:rsidR="00282238">
        <w:instrText xml:space="preserve"> ADDIN EN.CITE </w:instrText>
      </w:r>
      <w:r w:rsidR="00282238">
        <w:fldChar w:fldCharType="begin">
          <w:fldData xml:space="preserve">PEVuZE5vdGU+PENpdGU+PEF1dGhvcj5LaW08L0F1dGhvcj48WWVhcj4yMDEyPC9ZZWFyPjxSZWNO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==
</w:fldData>
        </w:fldChar>
      </w:r>
      <w:r w:rsidR="00282238">
        <w:instrText xml:space="preserve"> ADDIN EN.CITE.DATA </w:instrText>
      </w:r>
      <w:r w:rsidR="00282238">
        <w:fldChar w:fldCharType="end"/>
      </w:r>
      <w:r w:rsidRPr="00BB5813">
        <w:fldChar w:fldCharType="separate"/>
      </w:r>
      <w:r w:rsidR="00282238">
        <w:rPr>
          <w:noProof/>
        </w:rPr>
        <w:t>(Mull et al., 2002; Wu et al., 2005; Li and Marasteanu, 2010; Kim et al., 2012; Mohammad et al., 2016; Ozer et al., 2016b; Saeidi and Aghayan, 2016)</w:t>
      </w:r>
      <w:r w:rsidRPr="00BB5813">
        <w:fldChar w:fldCharType="end"/>
      </w:r>
      <w:r w:rsidRPr="00BB5813">
        <w:t>. It has been found that the SCB test is a reliable and relatively simple test method for assessment of cracking potential of asphalt mixes. Recently, two cracking test methods using semi-circular specimens are gaining popularity. Louisiana Department of Transportation and Development (DOTD) has been using a version of the SCB test (LA-SCB), which uses the critical energy release rate or J-integral (</w:t>
      </w:r>
      <w:r w:rsidRPr="00BB5813">
        <w:rPr>
          <w:i/>
          <w:iCs/>
        </w:rPr>
        <w:t>J</w:t>
      </w:r>
      <w:r w:rsidRPr="00BB5813">
        <w:rPr>
          <w:i/>
          <w:iCs/>
          <w:vertAlign w:val="subscript"/>
        </w:rPr>
        <w:t>c</w:t>
      </w:r>
      <w:r w:rsidRPr="00BB5813">
        <w:t xml:space="preserve">) to characterize cracking potential of mixes </w:t>
      </w:r>
      <w:r w:rsidRPr="00BB5813">
        <w:fldChar w:fldCharType="begin"/>
      </w:r>
      <w:r w:rsidR="00282238">
        <w:instrText xml:space="preserve"> ADDIN EN.CITE &lt;EndNote&gt;&lt;Cite&gt;&lt;Author&gt;Cooper Jr&lt;/Author&gt;&lt;Year&gt;2016&lt;/Year&gt;&lt;RecNum&gt;37&lt;/RecNum&gt;&lt;DisplayText&gt;(Cooper Jr et al., 2016)&lt;/DisplayText&gt;&lt;record&gt;&lt;rec-number&gt;37&lt;/rec-number&gt;&lt;foreign-keys&gt;&lt;key app="EN" db-id="d55vzfpwawdafteedfoxsf0lv0v0wp5va2aa" timestamp="1510088110"&gt;37&lt;/key&gt;&lt;/foreign-keys&gt;&lt;ref-type name="Journal Article"&gt;17&lt;/ref-type&gt;&lt;contributors&gt;&lt;authors&gt;&lt;author&gt;Cooper Jr, Samuel B&lt;/author&gt;&lt;author&gt;Cooper III, Samuel B&lt;/author&gt;&lt;author&gt;Mohammad, Louay N&lt;/author&gt;&lt;author&gt;Elseifi, Mostafa A&lt;/author&gt;&lt;/authors&gt;&lt;/contributors&gt;&lt;titles&gt;&lt;title&gt;Development of a Predictive Model Based on an Artificial Neural Network for the Semicircular Bend Test&lt;/title&gt;&lt;secondary-title&gt;Transportation Research Record: Journal of the Transportation Research Board&lt;/secondary-title&gt;&lt;/titles&gt;&lt;periodical&gt;&lt;full-title&gt;Transportation Research Record: Journal of the Transportation Research Board&lt;/full-title&gt;&lt;/periodical&gt;&lt;pages&gt;83-90&lt;/pages&gt;&lt;number&gt;2576&lt;/number&gt;&lt;dates&gt;&lt;year&gt;2016&lt;/year&gt;&lt;/dates&gt;&lt;isbn&gt;0361-1981&lt;/isbn&gt;&lt;urls&gt;&lt;/urls&gt;&lt;/record&gt;&lt;/Cite&gt;&lt;/EndNote&gt;</w:instrText>
      </w:r>
      <w:r w:rsidRPr="00BB5813">
        <w:fldChar w:fldCharType="separate"/>
      </w:r>
      <w:r w:rsidR="00282238">
        <w:rPr>
          <w:noProof/>
        </w:rPr>
        <w:t>(Cooper Jr et al., 2016)</w:t>
      </w:r>
      <w:r w:rsidRPr="00BB5813">
        <w:fldChar w:fldCharType="end"/>
      </w:r>
      <w:r w:rsidRPr="00BB5813">
        <w:t>. Another version of SCB test, the Illinois SCB (IL-SCB), uses flexibility index (</w:t>
      </w:r>
      <w:r w:rsidRPr="00BB5813">
        <w:rPr>
          <w:i/>
          <w:iCs/>
        </w:rPr>
        <w:t>FI</w:t>
      </w:r>
      <w:r w:rsidRPr="00BB5813">
        <w:t xml:space="preserve">) to characterize the fracture properties of asphalt mixes </w:t>
      </w:r>
      <w:r w:rsidRPr="00BB5813">
        <w:fldChar w:fldCharType="begin"/>
      </w:r>
      <w:r w:rsidR="00282238">
        <w:instrText xml:space="preserve"> ADDIN EN.CITE &lt;EndNote&gt;&lt;Cite&gt;&lt;Author&gt;Al-Qadi&lt;/Author&gt;&lt;Year&gt;2015&lt;/Year&gt;&lt;RecNum&gt;133&lt;/RecNum&gt;&lt;DisplayText&gt;(Al-Qadi et al., 2015)&lt;/DisplayText&gt;&lt;record&gt;&lt;rec-number&gt;133&lt;/rec-number&gt;&lt;foreign-keys&gt;&lt;key app="EN" db-id="d55vzfpwawdafteedfoxsf0lv0v0wp5va2aa" timestamp="1531591834"&gt;133&lt;/key&gt;&lt;/foreign-keys&gt;&lt;ref-type name="Report"&gt;27&lt;/ref-type&gt;&lt;contributors&gt;&lt;authors&gt;&lt;author&gt;Al-Qadi, Imad L&lt;/author&gt;&lt;author&gt;Ozer, Hasan&lt;/author&gt;&lt;author&gt;Lambros, John&lt;/author&gt;&lt;author&gt;El Khatib, Ahmad&lt;/author&gt;&lt;author&gt;Singhvi, Punit&lt;/author&gt;&lt;author&gt;Khan, Tamim&lt;/author&gt;&lt;author&gt;Rivera-Perez, José&lt;/author&gt;&lt;author&gt;Doll, Berangere&lt;/author&gt;&lt;/authors&gt;&lt;/contributors&gt;&lt;titles&gt;&lt;title&gt;Testing Protocols to Ensure Performance of High Asphalt Binder Replacement Mixes Using RAP and RAS&lt;/title&gt;&lt;/titles&gt;&lt;dates&gt;&lt;year&gt;2015&lt;/year&gt;&lt;/dates&gt;&lt;publisher&gt;Illinois Center for Transportation/Illinois Department of Transportation&lt;/publisher&gt;&lt;isbn&gt;0197-9191&lt;/isbn&gt;&lt;urls&gt;&lt;/urls&gt;&lt;/record&gt;&lt;/Cite&gt;&lt;/EndNote&gt;</w:instrText>
      </w:r>
      <w:r w:rsidRPr="00BB5813">
        <w:fldChar w:fldCharType="separate"/>
      </w:r>
      <w:r w:rsidR="00282238">
        <w:rPr>
          <w:noProof/>
        </w:rPr>
        <w:t>(Al-Qadi et al., 2015)</w:t>
      </w:r>
      <w:r w:rsidRPr="00BB5813">
        <w:fldChar w:fldCharType="end"/>
      </w:r>
      <w:r w:rsidRPr="00BB5813">
        <w:t xml:space="preserve">. Several DOTs are in the process of adopting one of these SCB test methods to characterize fatigue performance during the mix design. Evaluation of fracture properties of </w:t>
      </w:r>
      <w:r w:rsidRPr="00BB5813">
        <w:rPr>
          <w:szCs w:val="24"/>
          <w:lang w:val="en-CA"/>
        </w:rPr>
        <w:t>conditioned and unconditioned</w:t>
      </w:r>
      <w:r w:rsidRPr="00BB5813">
        <w:t xml:space="preserve"> mixes through SCB test will help understand the mechanisms of moisture-induced damage. Therefore, in this study, the ratio of J-integral</w:t>
      </w:r>
      <w:r w:rsidRPr="00BB5813">
        <w:rPr>
          <w:vertAlign w:val="subscript"/>
        </w:rPr>
        <w:t xml:space="preserve"> </w:t>
      </w:r>
      <w:r w:rsidRPr="00BB5813">
        <w:t>(</w:t>
      </w:r>
      <w:r w:rsidRPr="00BB5813">
        <w:rPr>
          <w:i/>
          <w:iCs/>
        </w:rPr>
        <w:t>J</w:t>
      </w:r>
      <w:r w:rsidRPr="00BB5813">
        <w:rPr>
          <w:i/>
          <w:iCs/>
          <w:vertAlign w:val="subscript"/>
        </w:rPr>
        <w:t>c</w:t>
      </w:r>
      <w:r w:rsidRPr="00BB5813">
        <w:rPr>
          <w:i/>
          <w:iCs/>
        </w:rPr>
        <w:t xml:space="preserve"> ratio</w:t>
      </w:r>
      <w:r w:rsidRPr="00BB5813">
        <w:t>) of conditioned and unconditioned specimens from LA-SCB test was used to characterize the moisture-induced damage potential of asphalt mixes based on the fracture mechanics</w:t>
      </w:r>
      <w:r>
        <w:t>’</w:t>
      </w:r>
      <w:r w:rsidRPr="00BB5813">
        <w:t xml:space="preserve"> concept. </w:t>
      </w:r>
    </w:p>
    <w:p w14:paraId="292D7CB3" w14:textId="3372BE47" w:rsidR="00DD6905" w:rsidRDefault="00DD6905" w:rsidP="00555D3F">
      <w:pPr>
        <w:ind w:firstLine="720"/>
        <w:rPr>
          <w:szCs w:val="24"/>
        </w:rPr>
      </w:pPr>
      <w:r w:rsidRPr="00BB5813">
        <w:rPr>
          <w:szCs w:val="24"/>
        </w:rPr>
        <w:t xml:space="preserve">Recently, surface free energy (SFE) method has been used by several researchers to characterize the adhesion and debonding potential of binder-aggregate systems in presence of moisture </w:t>
      </w:r>
      <w:r w:rsidRPr="00BB5813">
        <w:rPr>
          <w:szCs w:val="24"/>
        </w:rPr>
        <w:fldChar w:fldCharType="begin">
          <w:fldData xml:space="preserve">PEVuZE5vdGU+PENpdGU+PEF1dGhvcj5IZWZlcjwvQXV0aG9yPjxZZWFyPjIwMDY8L1llYXI+PFJl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==
</w:fldData>
        </w:fldChar>
      </w:r>
      <w:r w:rsidR="00282238">
        <w:rPr>
          <w:szCs w:val="24"/>
        </w:rPr>
        <w:instrText xml:space="preserve"> ADDIN EN.CITE </w:instrText>
      </w:r>
      <w:r w:rsidR="00282238">
        <w:rPr>
          <w:szCs w:val="24"/>
        </w:rPr>
        <w:fldChar w:fldCharType="begin">
          <w:fldData xml:space="preserve">PEVuZE5vdGU+PENpdGU+PEF1dGhvcj5IZWZlcjwvQXV0aG9yPjxZZWFyPjIwMDY8L1llYXI+PFJl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==
</w:fldData>
        </w:fldChar>
      </w:r>
      <w:r w:rsidR="00282238">
        <w:rPr>
          <w:szCs w:val="24"/>
        </w:rPr>
        <w:instrText xml:space="preserve"> ADDIN EN.CITE.DATA </w:instrText>
      </w:r>
      <w:r w:rsidR="00282238">
        <w:rPr>
          <w:szCs w:val="24"/>
        </w:rPr>
      </w:r>
      <w:r w:rsidR="00282238">
        <w:rPr>
          <w:szCs w:val="24"/>
        </w:rPr>
        <w:fldChar w:fldCharType="end"/>
      </w:r>
      <w:r w:rsidRPr="00BB5813">
        <w:rPr>
          <w:szCs w:val="24"/>
        </w:rPr>
      </w:r>
      <w:r w:rsidRPr="00BB5813">
        <w:rPr>
          <w:szCs w:val="24"/>
        </w:rPr>
        <w:fldChar w:fldCharType="separate"/>
      </w:r>
      <w:r w:rsidR="00282238">
        <w:rPr>
          <w:noProof/>
          <w:szCs w:val="24"/>
        </w:rPr>
        <w:t>(Hefer et al., 2006; Bhasin, 2007; Bhasin et al., 2007a; Bhasin et al., 2007b; Wasiuddin et al., 2007c; Buddhala et al., 2011; Ghabchi et al., 2013; Kakar et al., 2016; Zhang and Luo, 2019)</w:t>
      </w:r>
      <w:r w:rsidRPr="00BB5813">
        <w:rPr>
          <w:szCs w:val="24"/>
        </w:rPr>
        <w:fldChar w:fldCharType="end"/>
      </w:r>
      <w:r w:rsidRPr="00BB5813">
        <w:rPr>
          <w:szCs w:val="24"/>
        </w:rPr>
        <w:t xml:space="preserve">. </w:t>
      </w:r>
      <w:r w:rsidRPr="00BB5813">
        <w:rPr>
          <w:szCs w:val="24"/>
        </w:rPr>
        <w:fldChar w:fldCharType="begin"/>
      </w:r>
      <w:r w:rsidR="00B96C8D">
        <w:rPr>
          <w:szCs w:val="24"/>
        </w:rPr>
        <w:instrText xml:space="preserve"> ADDIN EN.CITE &lt;EndNote&gt;&lt;Cite AuthorYear="1"&gt;&lt;Author&gt;Bhasin&lt;/Author&gt;&lt;Year&gt;2007&lt;/Year&gt;&lt;RecNum&gt;7&lt;/RecNum&gt;&lt;DisplayText&gt;Bhasin (2007)&lt;/DisplayText&gt;&lt;record&gt;&lt;rec-number&gt;7&lt;/rec-number&gt;&lt;foreign-keys&gt;&lt;key app="EN" db-id="d55vzfpwawdafteedfoxsf0lv0v0wp5va2aa" timestamp="1509900362"&gt;7&lt;/key&gt;&lt;/foreign-keys&gt;&lt;ref-type name="Thesis"&gt;32&lt;/ref-type&gt;&lt;contributors&gt;&lt;authors&gt;&lt;author&gt;Bhasin, Amit&lt;/author&gt;&lt;/authors&gt;&lt;/contributors&gt;&lt;titles&gt;&lt;title&gt;Development of Methods to Quantify Bitumen-Aggregate Adhesion and Loss of Adhesion Due to Water&lt;/title&gt;&lt;/titles&gt;&lt;dates&gt;&lt;year&gt;2007&lt;/year&gt;&lt;/dates&gt;&lt;publisher&gt;Texas A&amp;amp;M University&lt;/publisher&gt;&lt;urls&gt;&lt;/urls&gt;&lt;/record&gt;&lt;/Cite&gt;&lt;/EndNote&gt;</w:instrText>
      </w:r>
      <w:r w:rsidRPr="00BB5813">
        <w:rPr>
          <w:szCs w:val="24"/>
        </w:rPr>
        <w:fldChar w:fldCharType="separate"/>
      </w:r>
      <w:r w:rsidR="00B96C8D">
        <w:rPr>
          <w:noProof/>
          <w:szCs w:val="24"/>
        </w:rPr>
        <w:t>Bhasin (2007)</w:t>
      </w:r>
      <w:r w:rsidRPr="00BB5813">
        <w:rPr>
          <w:szCs w:val="24"/>
        </w:rPr>
        <w:fldChar w:fldCharType="end"/>
      </w:r>
      <w:r w:rsidRPr="00BB5813">
        <w:rPr>
          <w:szCs w:val="24"/>
        </w:rPr>
        <w:t xml:space="preserve"> investigated the correlation between the SFE parameters and the moisture-induced damage potential of asphalt mixes based on their field performance. It was found that the SFE parameters can be effectively used to differentiate mixes based on their sensitivity to moisture-induced damage. The SFE method was used to determine the effects of polymer modification and oxidative aging on the fracture properties and moisture-induced damage sensitivity of asphalt mixes </w:t>
      </w:r>
      <w:r w:rsidRPr="00BB5813">
        <w:rPr>
          <w:szCs w:val="24"/>
        </w:rPr>
        <w:fldChar w:fldCharType="begin"/>
      </w:r>
      <w:r w:rsidR="00282238">
        <w:rPr>
          <w:szCs w:val="24"/>
        </w:rPr>
        <w:instrText xml:space="preserve"> ADDIN EN.CITE &lt;EndNote&gt;&lt;Cite&gt;&lt;Author&gt;Bhasin&lt;/Author&gt;&lt;Year&gt;2007&lt;/Year&gt;&lt;RecNum&gt;25&lt;/RecNum&gt;&lt;DisplayText&gt;(Bhasin et al., 2007a)&lt;/DisplayText&gt;&lt;record&gt;&lt;rec-number&gt;25&lt;/rec-number&gt;&lt;foreign-keys&gt;&lt;key app="EN" db-id="d55vzfpwawdafteedfoxsf0lv0v0wp5va2aa" timestamp="1509901144"&gt;25&lt;/key&gt;&lt;/foreign-keys&gt;&lt;ref-type name="Journal Article"&gt;17&lt;/ref-type&gt;&lt;contributors&gt;&lt;authors&gt;&lt;author&gt;Bhasin, Amit&lt;/author&gt;&lt;author&gt;Howson, Jonathan&lt;/author&gt;&lt;author&gt;Masad, Eyad&lt;/author&gt;&lt;author&gt;Little, Dallas&lt;/author&gt;&lt;author&gt;Lytton, Robert&lt;/author&gt;&lt;/authors&gt;&lt;/contributors&gt;&lt;titles&gt;&lt;title&gt;Effect of Modification Processes on Bond Energy of Asphalt Binders&lt;/title&gt;&lt;secondary-title&gt;Transportation Research Record: Journal of the Transportation Research Board&lt;/secondary-title&gt;&lt;/titles&gt;&lt;periodical&gt;&lt;full-title&gt;Transportation Research Record: Journal of the Transportation Research Board&lt;/full-title&gt;&lt;/periodical&gt;&lt;pages&gt;29-37&lt;/pages&gt;&lt;number&gt;1998&lt;/number&gt;&lt;dates&gt;&lt;year&gt;2007&lt;/year&gt;&lt;/dates&gt;&lt;isbn&gt;0361-1981&lt;/isbn&gt;&lt;urls&gt;&lt;/urls&gt;&lt;/record&gt;&lt;/Cite&gt;&lt;/EndNote&gt;</w:instrText>
      </w:r>
      <w:r w:rsidRPr="00BB5813">
        <w:rPr>
          <w:szCs w:val="24"/>
        </w:rPr>
        <w:fldChar w:fldCharType="separate"/>
      </w:r>
      <w:r w:rsidR="00282238">
        <w:rPr>
          <w:noProof/>
          <w:szCs w:val="24"/>
        </w:rPr>
        <w:t>(Bhasin et al., 2007a)</w:t>
      </w:r>
      <w:r w:rsidRPr="00BB5813">
        <w:rPr>
          <w:szCs w:val="24"/>
        </w:rPr>
        <w:fldChar w:fldCharType="end"/>
      </w:r>
      <w:r w:rsidRPr="00BB5813">
        <w:rPr>
          <w:szCs w:val="24"/>
        </w:rPr>
        <w:t xml:space="preserve">. Also, several other studies have used the SFE method to evaluate the </w:t>
      </w:r>
      <w:r w:rsidRPr="00BB5813">
        <w:rPr>
          <w:szCs w:val="24"/>
          <w:lang w:val="en-CA"/>
        </w:rPr>
        <w:t xml:space="preserve">effects of different additives, such as anti-stripping agent (ASA) </w:t>
      </w:r>
      <w:r w:rsidRPr="00BB5813">
        <w:rPr>
          <w:szCs w:val="24"/>
          <w:lang w:val="en-CA"/>
        </w:rPr>
        <w:fldChar w:fldCharType="begin">
          <w:fldData xml:space="preserve">PEVuZE5vdGU+PENpdGU+PEF1dGhvcj5CdWRkaGFsYTwvQXV0aG9yPjxZZWFyPjIwMTE8L1llYXI+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</w:fldData>
        </w:fldChar>
      </w:r>
      <w:r w:rsidR="00282238">
        <w:rPr>
          <w:szCs w:val="24"/>
          <w:lang w:val="en-CA"/>
        </w:rPr>
        <w:instrText xml:space="preserve"> ADDIN EN.CITE </w:instrText>
      </w:r>
      <w:r w:rsidR="00282238">
        <w:rPr>
          <w:szCs w:val="24"/>
          <w:lang w:val="en-CA"/>
        </w:rPr>
        <w:fldChar w:fldCharType="begin">
          <w:fldData xml:space="preserve">PEVuZE5vdGU+PENpdGU+PEF1dGhvcj5CdWRkaGFsYTwvQXV0aG9yPjxZZWFyPjIwMTE8L1llYXI+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</w:fldData>
        </w:fldChar>
      </w:r>
      <w:r w:rsidR="00282238">
        <w:rPr>
          <w:szCs w:val="24"/>
          <w:lang w:val="en-CA"/>
        </w:rPr>
        <w:instrText xml:space="preserve"> ADDIN EN.CITE.DATA </w:instrText>
      </w:r>
      <w:r w:rsidR="00282238">
        <w:rPr>
          <w:szCs w:val="24"/>
          <w:lang w:val="en-CA"/>
        </w:rPr>
      </w:r>
      <w:r w:rsidR="00282238">
        <w:rPr>
          <w:szCs w:val="24"/>
          <w:lang w:val="en-CA"/>
        </w:rPr>
        <w:fldChar w:fldCharType="end"/>
      </w:r>
      <w:r w:rsidRPr="00BB5813">
        <w:rPr>
          <w:szCs w:val="24"/>
          <w:lang w:val="en-CA"/>
        </w:rPr>
      </w:r>
      <w:r w:rsidRPr="00BB5813">
        <w:rPr>
          <w:szCs w:val="24"/>
          <w:lang w:val="en-CA"/>
        </w:rPr>
        <w:fldChar w:fldCharType="separate"/>
      </w:r>
      <w:r w:rsidR="00282238">
        <w:rPr>
          <w:noProof/>
          <w:szCs w:val="24"/>
          <w:lang w:val="en-CA"/>
        </w:rPr>
        <w:t>(Hefer et al., 2006; Wasiuddin et al., 2007b; Wasiuddin et al., 2007c; Arabani et al., 2011; Buddhala et al., 2011)</w:t>
      </w:r>
      <w:r w:rsidRPr="00BB5813">
        <w:rPr>
          <w:szCs w:val="24"/>
          <w:lang w:val="en-CA"/>
        </w:rPr>
        <w:fldChar w:fldCharType="end"/>
      </w:r>
      <w:r w:rsidRPr="00BB5813">
        <w:rPr>
          <w:szCs w:val="24"/>
          <w:lang w:val="en-CA"/>
        </w:rPr>
        <w:t xml:space="preserve">, warm-mix asphalt (WMA) </w:t>
      </w:r>
      <w:r w:rsidRPr="00BB5813">
        <w:rPr>
          <w:szCs w:val="24"/>
          <w:lang w:val="en-CA"/>
        </w:rPr>
        <w:fldChar w:fldCharType="begin">
          <w:fldData xml:space="preserve">PEVuZE5vdGU+PENpdGU+PEF1dGhvcj5XYXNpdWRkaW48L0F1dGhvcj48WWVhcj4yMDA4PC9ZZWFy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</w:fldData>
        </w:fldChar>
      </w:r>
      <w:r w:rsidR="00282238">
        <w:rPr>
          <w:szCs w:val="24"/>
          <w:lang w:val="en-CA"/>
        </w:rPr>
        <w:instrText xml:space="preserve"> ADDIN EN.CITE </w:instrText>
      </w:r>
      <w:r w:rsidR="00282238">
        <w:rPr>
          <w:szCs w:val="24"/>
          <w:lang w:val="en-CA"/>
        </w:rPr>
        <w:fldChar w:fldCharType="begin">
          <w:fldData xml:space="preserve">PEVuZE5vdGU+PENpdGU+PEF1dGhvcj5XYXNpdWRkaW48L0F1dGhvcj48WWVhcj4yMDA4PC9ZZWFy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</w:fldData>
        </w:fldChar>
      </w:r>
      <w:r w:rsidR="00282238">
        <w:rPr>
          <w:szCs w:val="24"/>
          <w:lang w:val="en-CA"/>
        </w:rPr>
        <w:instrText xml:space="preserve"> ADDIN EN.CITE.DATA </w:instrText>
      </w:r>
      <w:r w:rsidR="00282238">
        <w:rPr>
          <w:szCs w:val="24"/>
          <w:lang w:val="en-CA"/>
        </w:rPr>
      </w:r>
      <w:r w:rsidR="00282238">
        <w:rPr>
          <w:szCs w:val="24"/>
          <w:lang w:val="en-CA"/>
        </w:rPr>
        <w:fldChar w:fldCharType="end"/>
      </w:r>
      <w:r w:rsidRPr="00BB5813">
        <w:rPr>
          <w:szCs w:val="24"/>
          <w:lang w:val="en-CA"/>
        </w:rPr>
      </w:r>
      <w:r w:rsidRPr="00BB5813">
        <w:rPr>
          <w:szCs w:val="24"/>
          <w:lang w:val="en-CA"/>
        </w:rPr>
        <w:fldChar w:fldCharType="separate"/>
      </w:r>
      <w:r w:rsidR="00282238">
        <w:rPr>
          <w:noProof/>
          <w:szCs w:val="24"/>
          <w:lang w:val="en-CA"/>
        </w:rPr>
        <w:t>(Wasiuddin et al., 2008; Ghabchi et al., 2013; Rani et al., 2020)</w:t>
      </w:r>
      <w:r w:rsidRPr="00BB5813">
        <w:rPr>
          <w:szCs w:val="24"/>
          <w:lang w:val="en-CA"/>
        </w:rPr>
        <w:fldChar w:fldCharType="end"/>
      </w:r>
      <w:r w:rsidRPr="00BB5813">
        <w:rPr>
          <w:szCs w:val="24"/>
          <w:lang w:val="en-CA"/>
        </w:rPr>
        <w:t xml:space="preserve"> and polyphosphoric acid (PPA) </w:t>
      </w:r>
      <w:r w:rsidRPr="00BB5813">
        <w:rPr>
          <w:szCs w:val="24"/>
          <w:lang w:val="en-CA"/>
        </w:rPr>
        <w:fldChar w:fldCharType="begin"/>
      </w:r>
      <w:r w:rsidR="00282238">
        <w:rPr>
          <w:szCs w:val="24"/>
          <w:lang w:val="en-CA"/>
        </w:rPr>
        <w:instrText xml:space="preserve"> ADDIN EN.CITE &lt;EndNote&gt;&lt;Cite&gt;&lt;Author&gt;Rani&lt;/Author&gt;&lt;Year&gt;2019&lt;/Year&gt;&lt;RecNum&gt;215&lt;/RecNum&gt;&lt;DisplayText&gt;(Rani, 2019b)&lt;/DisplayText&gt;&lt;record&gt;&lt;rec-number&gt;215&lt;/rec-number&gt;&lt;foreign-keys&gt;&lt;key app="EN" db-id="d55vzfpwawdafteedfoxsf0lv0v0wp5va2aa" timestamp="1555569757"&gt;215&lt;/key&gt;&lt;/foreign-keys&gt;&lt;ref-type name="Thesis"&gt;32&lt;/ref-type&gt;&lt;contributors&gt;&lt;authors&gt;&lt;author&gt;Rani, Shivani&lt;/author&gt;&lt;/authors&gt;&lt;/contributors&gt;&lt;titles&gt;&lt;title&gt;Characterization of Rutting in Asphalt Pavements using Laboratory Testing&lt;/title&gt;&lt;secondary-title&gt;School of Civil Engineering and Environmental Science&lt;/secondary-title&gt;&lt;/titles&gt;&lt;volume&gt;Ph.D.&lt;/volume&gt;&lt;dates&gt;&lt;year&gt;2019&lt;/year&gt;&lt;/dates&gt;&lt;publisher&gt;University of Oklahoma&lt;/publisher&gt;&lt;work-type&gt;Dissertation&lt;/work-type&gt;&lt;urls&gt;&lt;/urls&gt;&lt;/record&gt;&lt;/Cite&gt;&lt;/EndNote&gt;</w:instrText>
      </w:r>
      <w:r w:rsidRPr="00BB5813">
        <w:rPr>
          <w:szCs w:val="24"/>
          <w:lang w:val="en-CA"/>
        </w:rPr>
        <w:fldChar w:fldCharType="separate"/>
      </w:r>
      <w:r w:rsidR="00282238">
        <w:rPr>
          <w:noProof/>
          <w:szCs w:val="24"/>
          <w:lang w:val="en-CA"/>
        </w:rPr>
        <w:t>(Rani, 2019b)</w:t>
      </w:r>
      <w:r w:rsidRPr="00BB5813">
        <w:rPr>
          <w:szCs w:val="24"/>
          <w:lang w:val="en-CA"/>
        </w:rPr>
        <w:fldChar w:fldCharType="end"/>
      </w:r>
      <w:r w:rsidRPr="00BB5813">
        <w:rPr>
          <w:szCs w:val="24"/>
          <w:lang w:val="en-CA"/>
        </w:rPr>
        <w:t xml:space="preserve"> on the moisture-induced damage potential of asphalt mixes. The effect of different aggregates on the bond energy characteristics of binder-aggregate systems was evaluated by </w:t>
      </w:r>
      <w:r w:rsidRPr="00BB5813">
        <w:rPr>
          <w:szCs w:val="24"/>
          <w:lang w:val="en-CA"/>
        </w:rPr>
        <w:fldChar w:fldCharType="begin"/>
      </w:r>
      <w:r w:rsidR="00B96C8D">
        <w:rPr>
          <w:szCs w:val="24"/>
          <w:lang w:val="en-CA"/>
        </w:rPr>
        <w:instrText xml:space="preserve"> ADDIN EN.CITE &lt;EndNote&gt;&lt;Cite AuthorYear="1"&gt;&lt;Author&gt;Bhasin&lt;/Author&gt;&lt;Year&gt;2007&lt;/Year&gt;&lt;RecNum&gt;98&lt;/RecNum&gt;&lt;DisplayText&gt;Bhasin and Little (2007)&lt;/DisplayText&gt;&lt;record&gt;&lt;rec-number&gt;98&lt;/rec-number&gt;&lt;foreign-keys&gt;&lt;key app="EN" db-id="d55vzfpwawdafteedfoxsf0lv0v0wp5va2aa" timestamp="1521292298"&gt;98&lt;/key&gt;&lt;/foreign-keys&gt;&lt;ref-type name="Journal Article"&gt;17&lt;/ref-type&gt;&lt;contributors&gt;&lt;authors&gt;&lt;author&gt;Bhasin, Amit&lt;/author&gt;&lt;author&gt;Little, Dallas N&lt;/author&gt;&lt;/authors&gt;&lt;/contributors&gt;&lt;titles&gt;&lt;title&gt;Characterization of aggregate surface energy using the universal sorption device&lt;/title&gt;&lt;secondary-title&gt;Journal of Materials in Civil Engineering&lt;/secondary-title&gt;&lt;/titles&gt;&lt;periodical&gt;&lt;full-title&gt;Journal of Materials in Civil Engineering&lt;/full-title&gt;&lt;/periodical&gt;&lt;pages&gt;634-641&lt;/pages&gt;&lt;volume&gt;19&lt;/volume&gt;&lt;number&gt;8&lt;/number&gt;&lt;dates&gt;&lt;year&gt;2007&lt;/year&gt;&lt;/dates&gt;&lt;isbn&gt;0899-1561&lt;/isbn&gt;&lt;urls&gt;&lt;/urls&gt;&lt;/record&gt;&lt;/Cite&gt;&lt;/EndNote&gt;</w:instrText>
      </w:r>
      <w:r w:rsidRPr="00BB5813">
        <w:rPr>
          <w:szCs w:val="24"/>
          <w:lang w:val="en-CA"/>
        </w:rPr>
        <w:fldChar w:fldCharType="separate"/>
      </w:r>
      <w:r w:rsidR="00B96C8D">
        <w:rPr>
          <w:noProof/>
          <w:szCs w:val="24"/>
          <w:lang w:val="en-CA"/>
        </w:rPr>
        <w:t>Bhasin and Little (2007)</w:t>
      </w:r>
      <w:r w:rsidRPr="00BB5813">
        <w:rPr>
          <w:szCs w:val="24"/>
          <w:lang w:val="en-CA"/>
        </w:rPr>
        <w:fldChar w:fldCharType="end"/>
      </w:r>
      <w:r w:rsidRPr="00BB5813">
        <w:rPr>
          <w:szCs w:val="24"/>
          <w:lang w:val="en-CA"/>
        </w:rPr>
        <w:t xml:space="preserve">. Furthermore, several studies have investigated the changes in the moisture-induced damage potential of asphalt mixes due to styrene-butadiene rubber </w:t>
      </w:r>
      <w:r w:rsidRPr="00BB5813">
        <w:rPr>
          <w:szCs w:val="24"/>
          <w:lang w:val="en-CA"/>
        </w:rPr>
        <w:fldChar w:fldCharType="begin"/>
      </w:r>
      <w:r w:rsidR="00282238">
        <w:rPr>
          <w:szCs w:val="24"/>
          <w:lang w:val="en-CA"/>
        </w:rPr>
        <w:instrText xml:space="preserve"> ADDIN EN.CITE &lt;EndNote&gt;&lt;Cite&gt;&lt;Author&gt;Wasiuddin&lt;/Author&gt;&lt;Year&gt;2010&lt;/Year&gt;&lt;RecNum&gt;231&lt;/RecNum&gt;&lt;DisplayText&gt;(Wasiuddin et al., 2010)&lt;/DisplayText&gt;&lt;record&gt;&lt;rec-number&gt;231&lt;/rec-number&gt;&lt;foreign-keys&gt;&lt;key app="EN" db-id="tfx2va9ropw5p7evdr2pf5rw2vszzx9t0xzs" timestamp="1587377475"&gt;231&lt;/key&gt;&lt;/foreign-keys&gt;&lt;ref-type name="Journal Article"&gt;17&lt;/ref-type&gt;&lt;contributors&gt;&lt;authors&gt;&lt;author&gt;Wasiuddin, Nazimuddin M&lt;/author&gt;&lt;author&gt;Zaman, Musharraf M&lt;/author&gt;&lt;author&gt;O&amp;apos;Rear, Edgar A&lt;/author&gt;&lt;/authors&gt;&lt;/contributors&gt;&lt;titles&gt;&lt;title&gt;Polymeric Aggregate Treatment Using Styrene-Butadiene Rubber (SBR) for Moisture-Induced Damage Potential&lt;/title&gt;&lt;secondary-title&gt;International Journal of Pavement Research &amp;amp; Technology&lt;/secondary-title&gt;&lt;/titles&gt;&lt;periodical&gt;&lt;full-title&gt;International Journal of Pavement Research &amp;amp; Technology&lt;/full-title&gt;&lt;/periodical&gt;&lt;volume&gt;3&lt;/volume&gt;&lt;number&gt;1&lt;/number&gt;&lt;dates&gt;&lt;year&gt;2010&lt;/year&gt;&lt;/dates&gt;&lt;isbn&gt;1997-1400&lt;/isbn&gt;&lt;urls&gt;&lt;/urls&gt;&lt;/record&gt;&lt;/Cite&gt;&lt;/EndNote&gt;</w:instrText>
      </w:r>
      <w:r w:rsidRPr="00BB5813">
        <w:rPr>
          <w:szCs w:val="24"/>
          <w:lang w:val="en-CA"/>
        </w:rPr>
        <w:fldChar w:fldCharType="separate"/>
      </w:r>
      <w:r w:rsidR="00282238">
        <w:rPr>
          <w:noProof/>
          <w:szCs w:val="24"/>
          <w:lang w:val="en-CA"/>
        </w:rPr>
        <w:t>(Wasiuddin et al., 2010)</w:t>
      </w:r>
      <w:r w:rsidRPr="00BB5813">
        <w:rPr>
          <w:szCs w:val="24"/>
          <w:lang w:val="en-CA"/>
        </w:rPr>
        <w:fldChar w:fldCharType="end"/>
      </w:r>
      <w:r w:rsidRPr="00BB5813">
        <w:rPr>
          <w:szCs w:val="24"/>
          <w:lang w:val="en-CA"/>
        </w:rPr>
        <w:t xml:space="preserve">, polyethene </w:t>
      </w:r>
      <w:r w:rsidRPr="00BB5813">
        <w:rPr>
          <w:szCs w:val="24"/>
          <w:lang w:val="en-CA"/>
        </w:rPr>
        <w:fldChar w:fldCharType="begin"/>
      </w:r>
      <w:r w:rsidR="00282238">
        <w:rPr>
          <w:szCs w:val="24"/>
          <w:lang w:val="en-CA"/>
        </w:rPr>
        <w:instrText xml:space="preserve"> ADDIN EN.CITE &lt;EndNote&gt;&lt;Cite&gt;&lt;Author&gt;Arabani&lt;/Author&gt;&lt;Year&gt;2010&lt;/Year&gt;&lt;RecNum&gt;99&lt;/RecNum&gt;&lt;DisplayText&gt;(Arabani and Hamedi, 2010)&lt;/DisplayText&gt;&lt;record&gt;&lt;rec-number&gt;99&lt;/rec-number&gt;&lt;foreign-keys&gt;&lt;key app="EN" db-id="d55vzfpwawdafteedfoxsf0lv0v0wp5va2aa" timestamp="1521305351"&gt;99&lt;/key&gt;&lt;/foreign-keys&gt;&lt;ref-type name="Journal Article"&gt;17&lt;/ref-type&gt;&lt;contributors&gt;&lt;authors&gt;&lt;author&gt;Arabani, M&lt;/author&gt;&lt;author&gt;Hamedi, Gh H&lt;/author&gt;&lt;/authors&gt;&lt;/contributors&gt;&lt;titles&gt;&lt;title&gt;Using the Surface Free Energy Method to Evaluate the Effects of Polymeric Aggregate Treatment on Moisture Damage in Hot-Mix Asphalt&lt;/title&gt;&lt;secondary-title&gt;Journal of Materials in Civil Engineering&lt;/secondary-title&gt;&lt;/titles&gt;&lt;periodical&gt;&lt;full-title&gt;Journal of Materials in Civil Engineering&lt;/full-title&gt;&lt;/periodical&gt;&lt;pages&gt;802-811&lt;/pages&gt;&lt;volume&gt;23&lt;/volume&gt;&lt;number&gt;6&lt;/number&gt;&lt;dates&gt;&lt;year&gt;2010&lt;/year&gt;&lt;/dates&gt;&lt;isbn&gt;0899-1561&lt;/isbn&gt;&lt;urls&gt;&lt;/urls&gt;&lt;/record&gt;&lt;/Cite&gt;&lt;/EndNote&gt;</w:instrText>
      </w:r>
      <w:r w:rsidRPr="00BB5813">
        <w:rPr>
          <w:szCs w:val="24"/>
          <w:lang w:val="en-CA"/>
        </w:rPr>
        <w:fldChar w:fldCharType="separate"/>
      </w:r>
      <w:r w:rsidR="00282238">
        <w:rPr>
          <w:noProof/>
          <w:szCs w:val="24"/>
          <w:lang w:val="en-CA"/>
        </w:rPr>
        <w:t>(Arabani and Hamedi, 2010)</w:t>
      </w:r>
      <w:r w:rsidRPr="00BB5813">
        <w:rPr>
          <w:szCs w:val="24"/>
          <w:lang w:val="en-CA"/>
        </w:rPr>
        <w:fldChar w:fldCharType="end"/>
      </w:r>
      <w:r w:rsidRPr="00BB5813">
        <w:rPr>
          <w:szCs w:val="24"/>
          <w:lang w:val="en-CA"/>
        </w:rPr>
        <w:t xml:space="preserve"> and lime </w:t>
      </w:r>
      <w:r w:rsidRPr="00BB5813">
        <w:rPr>
          <w:szCs w:val="24"/>
          <w:lang w:val="en-CA"/>
        </w:rPr>
        <w:fldChar w:fldCharType="begin"/>
      </w:r>
      <w:r w:rsidR="00282238">
        <w:rPr>
          <w:szCs w:val="24"/>
          <w:lang w:val="en-CA"/>
        </w:rPr>
        <w:instrText xml:space="preserve"> ADDIN EN.CITE &lt;EndNote&gt;&lt;Cite&gt;&lt;Author&gt;Hesami&lt;/Author&gt;&lt;Year&gt;2013&lt;/Year&gt;&lt;RecNum&gt;158&lt;/RecNum&gt;&lt;DisplayText&gt;(Hesami et al., 2013)&lt;/DisplayText&gt;&lt;record&gt;&lt;rec-number&gt;158&lt;/rec-number&gt;&lt;foreign-keys&gt;&lt;key app="EN" db-id="d55vzfpwawdafteedfoxsf0lv0v0wp5va2aa" timestamp="1533879501"&gt;158&lt;/key&gt;&lt;/foreign-keys&gt;&lt;ref-type name="Journal Article"&gt;17&lt;/ref-type&gt;&lt;contributors&gt;&lt;authors&gt;&lt;author&gt;Hesami, Saeid&lt;/author&gt;&lt;author&gt;Roshani, Hossein&lt;/author&gt;&lt;author&gt;Hamedi, Gholam Hossein&lt;/author&gt;&lt;author&gt;Azarhoosh, Alireza&lt;/author&gt;&lt;/authors&gt;&lt;/contributors&gt;&lt;titles&gt;&lt;title&gt;Evaluate the mechanism of the effect of hydrated lime on moisture damage of warm mix asphalt&lt;/title&gt;&lt;secondary-title&gt;Construction and Building Materials&lt;/secondary-title&gt;&lt;/titles&gt;&lt;periodical&gt;&lt;full-title&gt;Construction and Building Materials&lt;/full-title&gt;&lt;/periodical&gt;&lt;pages&gt;935-941&lt;/pages&gt;&lt;volume&gt;47&lt;/volume&gt;&lt;dates&gt;&lt;year&gt;2013&lt;/year&gt;&lt;/dates&gt;&lt;isbn&gt;0950-0618&lt;/isbn&gt;&lt;urls&gt;&lt;/urls&gt;&lt;/record&gt;&lt;/Cite&gt;&lt;/EndNote&gt;</w:instrText>
      </w:r>
      <w:r w:rsidRPr="00BB5813">
        <w:rPr>
          <w:szCs w:val="24"/>
          <w:lang w:val="en-CA"/>
        </w:rPr>
        <w:fldChar w:fldCharType="separate"/>
      </w:r>
      <w:r w:rsidR="00282238">
        <w:rPr>
          <w:noProof/>
          <w:szCs w:val="24"/>
          <w:lang w:val="en-CA"/>
        </w:rPr>
        <w:t>(Hesami et al., 2013)</w:t>
      </w:r>
      <w:r w:rsidRPr="00BB5813">
        <w:rPr>
          <w:szCs w:val="24"/>
          <w:lang w:val="en-CA"/>
        </w:rPr>
        <w:fldChar w:fldCharType="end"/>
      </w:r>
      <w:r w:rsidRPr="00BB5813">
        <w:rPr>
          <w:szCs w:val="24"/>
          <w:lang w:val="en-CA"/>
        </w:rPr>
        <w:t xml:space="preserve"> coatings on aggregate surface using the SFE method. The effect of the addition of different amounts of RAP on the stripping potential of asphalt mixes was evaluated by </w:t>
      </w:r>
      <w:r w:rsidRPr="00BB5813">
        <w:rPr>
          <w:szCs w:val="24"/>
          <w:lang w:val="en-CA"/>
        </w:rPr>
        <w:fldChar w:fldCharType="begin"/>
      </w:r>
      <w:r w:rsidR="00B96C8D">
        <w:rPr>
          <w:szCs w:val="24"/>
          <w:lang w:val="en-CA"/>
        </w:rPr>
        <w:instrText xml:space="preserve"> ADDIN EN.CITE &lt;EndNote&gt;&lt;Cite AuthorYear="1"&gt;&lt;Author&gt;Ghabchi&lt;/Author&gt;&lt;Year&gt;2014&lt;/Year&gt;&lt;RecNum&gt;113&lt;/RecNum&gt;&lt;DisplayText&gt;Ghabchi et al. (2014)&lt;/DisplayText&gt;&lt;record&gt;&lt;rec-number&gt;113&lt;/rec-number&gt;&lt;foreign-keys&gt;&lt;key app="EN" db-id="d55vzfpwawdafteedfoxsf0lv0v0wp5va2aa" timestamp="1521350423"&gt;113&lt;/key&gt;&lt;/foreign-keys&gt;&lt;ref-type name="Journal Article"&gt;17&lt;/ref-type&gt;&lt;contributors&gt;&lt;authors&gt;&lt;author&gt;Ghabchi, Rouzbeh&lt;/author&gt;&lt;author&gt;Singh, Dharamveer&lt;/author&gt;&lt;author&gt;Zaman, Musharraf&lt;/author&gt;&lt;/authors&gt;&lt;/contributors&gt;&lt;titles&gt;&lt;title&gt;Evaluation of Moisture Susceptibility of Asphalt Mixes Containing RAP and Different Types of Aggregates and Asphalt Binders Using the Surface Free Energy Method&lt;/title&gt;&lt;secondary-title&gt;Construction and Building Materials&lt;/secondary-title&gt;&lt;/titles&gt;&lt;periodical&gt;&lt;full-title&gt;Construction and Building Materials&lt;/full-title&gt;&lt;/periodical&gt;&lt;pages&gt;479-489&lt;/pages&gt;&lt;volume&gt;73&lt;/volume&gt;&lt;dates&gt;&lt;year&gt;2014&lt;/year&gt;&lt;/dates&gt;&lt;isbn&gt;0950-0618&lt;/isbn&gt;&lt;urls&gt;&lt;/urls&gt;&lt;/record&gt;&lt;/Cite&gt;&lt;/EndNote&gt;</w:instrText>
      </w:r>
      <w:r w:rsidRPr="00BB5813">
        <w:rPr>
          <w:szCs w:val="24"/>
          <w:lang w:val="en-CA"/>
        </w:rPr>
        <w:fldChar w:fldCharType="separate"/>
      </w:r>
      <w:r w:rsidR="00B96C8D">
        <w:rPr>
          <w:noProof/>
          <w:szCs w:val="24"/>
          <w:lang w:val="en-CA"/>
        </w:rPr>
        <w:t>Ghabchi et al. (2014)</w:t>
      </w:r>
      <w:r w:rsidRPr="00BB5813">
        <w:rPr>
          <w:szCs w:val="24"/>
          <w:lang w:val="en-CA"/>
        </w:rPr>
        <w:fldChar w:fldCharType="end"/>
      </w:r>
      <w:r w:rsidRPr="00BB5813">
        <w:rPr>
          <w:szCs w:val="24"/>
          <w:lang w:val="en-CA"/>
        </w:rPr>
        <w:t xml:space="preserve"> using the SFE parameters. Although SFE method has its advantages as a mechanistic-based approach, state DOTs may not be in favor of incorporating this method in their specification because of the skills and time require to generate the necessary data. Therefore, suitable and easy-to-use laboratory performance-based parameters are needed to screen asphalt mixes for moisture-induced damage. In this study, moisture-induced damage potential of asphalt mixes was characterized using both SFE method and other laboratory-based tests, namely </w:t>
      </w:r>
      <w:r w:rsidRPr="00BB5813">
        <w:rPr>
          <w:szCs w:val="24"/>
        </w:rPr>
        <w:t>HWT, ITS and LA-SCB. Relationships between different laboratory-based parameters and SFE parameters were explored.</w:t>
      </w:r>
    </w:p>
    <w:p w14:paraId="470C0938" w14:textId="05008175" w:rsidR="00DD6905" w:rsidRPr="00E03975" w:rsidRDefault="00DD6905" w:rsidP="00E57694">
      <w:pPr>
        <w:pStyle w:val="Heading2"/>
      </w:pPr>
      <w:bookmarkStart w:id="148" w:name="_Toc71728453"/>
      <w:r w:rsidRPr="00E03975">
        <w:t>OBJECTIVES</w:t>
      </w:r>
      <w:bookmarkEnd w:id="148"/>
    </w:p>
    <w:p w14:paraId="33CA8FEC" w14:textId="77777777" w:rsidR="00DD6905" w:rsidRPr="00BB5813" w:rsidRDefault="00DD6905" w:rsidP="00555D3F">
      <w:pPr>
        <w:ind w:firstLine="720"/>
        <w:rPr>
          <w:szCs w:val="24"/>
          <w:lang w:val="en-CA"/>
        </w:rPr>
      </w:pPr>
      <w:r w:rsidRPr="00BB5813">
        <w:rPr>
          <w:szCs w:val="24"/>
          <w:lang w:val="en-CA"/>
        </w:rPr>
        <w:t xml:space="preserve">In the present study, effects of a WMA additive, ASA, PPA and RAP on the moisture-induced damage potentials of asphalt mixes were examined using SFE method and laboratory performance tests, namely HWT, ITS and SCB. Also, the results were compared to understand the differences in moisture-induced damage mechanisms addressed by these parameters. </w:t>
      </w:r>
      <w:r w:rsidRPr="00BB5813">
        <w:rPr>
          <w:szCs w:val="24"/>
        </w:rPr>
        <w:t>T</w:t>
      </w:r>
      <w:r w:rsidRPr="00BB5813">
        <w:rPr>
          <w:szCs w:val="24"/>
          <w:lang w:val="en-CA"/>
        </w:rPr>
        <w:t>he specific objectives of this study were:</w:t>
      </w:r>
    </w:p>
    <w:p w14:paraId="7D001DC2" w14:textId="77777777" w:rsidR="00DD6905" w:rsidRPr="00BB5813" w:rsidRDefault="00DD6905" w:rsidP="00555D3F">
      <w:pPr>
        <w:pStyle w:val="Paragraph"/>
        <w:widowControl/>
        <w:numPr>
          <w:ilvl w:val="0"/>
          <w:numId w:val="17"/>
        </w:numPr>
        <w:spacing w:before="0"/>
        <w:ind w:left="720"/>
        <w:rPr>
          <w:lang w:val="en-CA"/>
        </w:rPr>
      </w:pPr>
      <w:r w:rsidRPr="00BB5813">
        <w:rPr>
          <w:lang w:val="en-CA"/>
        </w:rPr>
        <w:t>To assess effects of WMA, ASA, PPA and RAP on the moisture-induced damage potential of asphalt mixes through the SFE method and laboratory performance tests.</w:t>
      </w:r>
    </w:p>
    <w:p w14:paraId="08829131" w14:textId="77777777" w:rsidR="00DD6905" w:rsidRPr="00BB5813" w:rsidRDefault="00DD6905" w:rsidP="00555D3F">
      <w:pPr>
        <w:pStyle w:val="Paragraph"/>
        <w:widowControl/>
        <w:numPr>
          <w:ilvl w:val="0"/>
          <w:numId w:val="17"/>
        </w:numPr>
        <w:spacing w:before="0"/>
        <w:ind w:left="720"/>
        <w:rPr>
          <w:lang w:val="en-CA"/>
        </w:rPr>
      </w:pPr>
      <w:r w:rsidRPr="00BB5813">
        <w:rPr>
          <w:lang w:val="en-CA"/>
        </w:rPr>
        <w:t>To evaluate and compare the conventional and unconventional methods for analysis of HWT, ITS and LA-SCB test results for characterizing moisture-induced damage potential of asphalt mixes. Investigating the differences in mechanisms used to address moisture-induced damage by these laboratory-based parameters.</w:t>
      </w:r>
    </w:p>
    <w:p w14:paraId="1408C611" w14:textId="77777777" w:rsidR="00DD6905" w:rsidRDefault="00DD6905" w:rsidP="00555D3F">
      <w:pPr>
        <w:pStyle w:val="Paragraph"/>
        <w:widowControl/>
        <w:numPr>
          <w:ilvl w:val="0"/>
          <w:numId w:val="17"/>
        </w:numPr>
        <w:spacing w:before="0"/>
        <w:ind w:left="720"/>
        <w:rPr>
          <w:lang w:val="en-CA"/>
        </w:rPr>
      </w:pPr>
      <w:r w:rsidRPr="00BB5813">
        <w:rPr>
          <w:lang w:val="en-CA"/>
        </w:rPr>
        <w:t>To determine relationships between different laboratory-based moisture-induced damage parameters and the SFE parameters.</w:t>
      </w:r>
    </w:p>
    <w:p w14:paraId="234EC381" w14:textId="76CE108F" w:rsidR="00DD6905" w:rsidRPr="00BB5813" w:rsidRDefault="00DD6905" w:rsidP="00E57694">
      <w:pPr>
        <w:pStyle w:val="Heading2"/>
      </w:pPr>
      <w:bookmarkStart w:id="149" w:name="_Toc71728454"/>
      <w:r w:rsidRPr="00BB5813">
        <w:t>MATERIALS AND METHODS</w:t>
      </w:r>
      <w:bookmarkEnd w:id="149"/>
    </w:p>
    <w:p w14:paraId="1FAEF24C" w14:textId="0952C054" w:rsidR="00DD6905" w:rsidRPr="00BB5813" w:rsidRDefault="00DD6905" w:rsidP="00985A4A">
      <w:pPr>
        <w:pStyle w:val="Heading3"/>
      </w:pPr>
      <w:bookmarkStart w:id="150" w:name="_Toc71728455"/>
      <w:r w:rsidRPr="00BB5813">
        <w:t>Materials</w:t>
      </w:r>
      <w:bookmarkEnd w:id="150"/>
    </w:p>
    <w:p w14:paraId="15921D90" w14:textId="77777777" w:rsidR="00DD6905" w:rsidRPr="00BB5813" w:rsidRDefault="00DD6905" w:rsidP="00555D3F">
      <w:pPr>
        <w:pStyle w:val="Heading4"/>
        <w:spacing w:before="0" w:after="0"/>
      </w:pPr>
      <w:r w:rsidRPr="00BB5813">
        <w:t>Asphalt Mixes</w:t>
      </w:r>
    </w:p>
    <w:p w14:paraId="2184C986" w14:textId="45839BC9" w:rsidR="00DD6905" w:rsidRDefault="00DD6905" w:rsidP="00555D3F">
      <w:pPr>
        <w:pStyle w:val="Paragraph"/>
        <w:spacing w:before="0"/>
      </w:pPr>
      <w:r w:rsidRPr="00BB5813">
        <w:t xml:space="preserve">Figure </w:t>
      </w:r>
      <w:r w:rsidR="004B1FFB">
        <w:t>5.</w:t>
      </w:r>
      <w:r w:rsidRPr="00BB5813">
        <w:t xml:space="preserve">1 presents the workflow diagram used in this study. As shown in Figure </w:t>
      </w:r>
      <w:r w:rsidR="004B1FFB">
        <w:t>5.</w:t>
      </w:r>
      <w:r w:rsidRPr="00BB5813">
        <w:t xml:space="preserve">1, five different mixes with a nominal maximum aggregate size (NMAS) of 12.5 mm were prepared in the laboratory following a mix design collected from a local asphalt plant. A PG 64-22 binder from a local source was used as the base binder for all mixes. Mix-1-None did not contain any additive. However, Mix-2-WMA, Mix-3-ASA and Mix-4-PPA contained 0.5% WMA additive, 0.5% ASA and 1.5% PPA (by weight of total binder), respectively. </w:t>
      </w:r>
      <w:r w:rsidRPr="00BB5813">
        <w:rPr>
          <w:bCs/>
        </w:rPr>
        <w:t xml:space="preserve">The dosages for these additives were selected in consultation with the Oklahoma DOT. An </w:t>
      </w:r>
      <w:r w:rsidRPr="00BB5813">
        <w:t xml:space="preserve">asphalt binder content of 5.2% was used to prepare Mix-1-None, Mix-2-WMA, Mix-3-ASA and Mix-4-PPA specimens (see Table </w:t>
      </w:r>
      <w:r w:rsidR="006E4A55">
        <w:t>5.</w:t>
      </w:r>
      <w:r w:rsidRPr="00BB5813">
        <w:t xml:space="preserve">1 for specifics). These mixes contained 5/8” stone chips (25%), 1/2” stone chips (15%), 3/8” screens (30%), 3/16” screens (15%) and sand (15%). All aggregates, except sand, were rhyolite aggregates and were collected from local sources. Mix-5-RAP was prepared with 20% RAP. For Mix-5-RAP, the amounts of different aggregates were adjusted to maintain the same gradation after the addition of RAP. However, a binder content of 5.5% (neat binder- 4.5%, binder from RAP- 1.0%) was used to prepare Mix-5-RAP to meet the DOT requirements. Additives were added to the binder at their mixing temperatures before mixing with the aggregates. The same mixing (163°C) and compaction (149°C) temperatures were used for all mixes, except Mix-2-WMA. Different mixing (135°C) and compaction (128°C) temperatures were used for Mix-2-WMA to account for the effect of WMA additive. All mixes were short-term aged for four hours in an oven at 135°C as per the AASHTO R 30 method </w:t>
      </w:r>
      <w:r w:rsidRPr="00BB5813">
        <w:fldChar w:fldCharType="begin"/>
      </w:r>
      <w:r w:rsidR="00282238">
        <w:instrText xml:space="preserve"> ADDIN EN.CITE &lt;EndNote&gt;&lt;Cite&gt;&lt;Author&gt;AASHTO&lt;/Author&gt;&lt;Year&gt;2015&lt;/Year&gt;&lt;RecNum&gt;234&lt;/RecNum&gt;&lt;DisplayText&gt;(AASHTO, 2015a)&lt;/DisplayText&gt;&lt;record&gt;&lt;rec-number&gt;234&lt;/rec-number&gt;&lt;foreign-keys&gt;&lt;key app="EN" db-id="tfx2va9ropw5p7evdr2pf5rw2vszzx9t0xzs" timestamp="1593607259"&gt;234&lt;/key&gt;&lt;/foreign-keys&gt;&lt;ref-type name="Standard"&gt;58&lt;/ref-type&gt;&lt;contributors&gt;&lt;authors&gt;&lt;author&gt;AASHTO&lt;/author&gt;&lt;/authors&gt;&lt;/contributors&gt;&lt;titles&gt;&lt;title&gt;AASHTO R 30: Standard practice for mixture conditioning of hot mix asphalt (HMA)&lt;/title&gt;&lt;/titles&gt;&lt;dates&gt;&lt;year&gt;2015&lt;/year&gt;&lt;/dates&gt;&lt;pub-location&gt;Washington, DC&lt;/pub-location&gt;&lt;publisher&gt;American Association of State Highway and Transportation Officials&lt;/publisher&gt;&lt;urls&gt;&lt;/urls&gt;&lt;/record&gt;&lt;/Cite&gt;&lt;/EndNote&gt;</w:instrText>
      </w:r>
      <w:r w:rsidRPr="00BB5813">
        <w:fldChar w:fldCharType="separate"/>
      </w:r>
      <w:r w:rsidR="00282238">
        <w:rPr>
          <w:noProof/>
        </w:rPr>
        <w:t>(AASHTO, 2015a)</w:t>
      </w:r>
      <w:r w:rsidRPr="00BB5813">
        <w:fldChar w:fldCharType="end"/>
      </w:r>
      <w:r w:rsidRPr="00BB5813">
        <w:t>, before compaction.</w:t>
      </w:r>
    </w:p>
    <w:p w14:paraId="25497E15" w14:textId="3ACD8544" w:rsidR="00DD6905" w:rsidRPr="00BB5813" w:rsidRDefault="00DD6905" w:rsidP="00985A4A">
      <w:pPr>
        <w:pStyle w:val="Heading3"/>
      </w:pPr>
      <w:bookmarkStart w:id="151" w:name="_Toc71728456"/>
      <w:r w:rsidRPr="00BB5813">
        <w:t>Sample Preparation</w:t>
      </w:r>
      <w:bookmarkEnd w:id="151"/>
    </w:p>
    <w:p w14:paraId="0F76BBE1" w14:textId="550F2382" w:rsidR="00DD6905" w:rsidRDefault="00DD6905" w:rsidP="00DE6A31">
      <w:pPr>
        <w:pStyle w:val="Paragraph"/>
        <w:spacing w:before="0"/>
      </w:pPr>
      <w:r w:rsidRPr="00BB5813">
        <w:t>A Superpave</w:t>
      </w:r>
      <w:r w:rsidRPr="00BB5813">
        <w:rPr>
          <w:vertAlign w:val="superscript"/>
        </w:rPr>
        <w:t>®</w:t>
      </w:r>
      <w:r w:rsidRPr="00BB5813">
        <w:t xml:space="preserve"> gyratory compactor (SGC) was used to compact samples for HWT, ITS and SCB testing following the AASHTO T 312 method </w:t>
      </w:r>
      <w:r w:rsidRPr="00BB5813">
        <w:fldChar w:fldCharType="begin"/>
      </w:r>
      <w:r w:rsidR="00282238">
        <w:instrText xml:space="preserve"> ADDIN EN.CITE &lt;EndNote&gt;&lt;Cite&gt;&lt;Author&gt;AASHTO&lt;/Author&gt;&lt;Year&gt;2015&lt;/Year&gt;&lt;RecNum&gt;235&lt;/RecNum&gt;&lt;DisplayText&gt;(AASHTO, 2015b)&lt;/DisplayText&gt;&lt;record&gt;&lt;rec-number&gt;235&lt;/rec-number&gt;&lt;foreign-keys&gt;&lt;key app="EN" db-id="tfx2va9ropw5p7evdr2pf5rw2vszzx9t0xzs" timestamp="1593607357"&gt;235&lt;/key&gt;&lt;/foreign-keys&gt;&lt;ref-type name="Standard"&gt;58&lt;/ref-type&gt;&lt;contributors&gt;&lt;authors&gt;&lt;author&gt;AASHTO&lt;/author&gt;&lt;/authors&gt;&lt;/contributors&gt;&lt;titles&gt;&lt;title&gt;AASHTO T 312: Standard method of test for preparing and determining the density of asphalt mixture specimens by means of the superpave gyratory compactor&lt;/title&gt;&lt;/titles&gt;&lt;dates&gt;&lt;year&gt;2015&lt;/year&gt;&lt;/dates&gt;&lt;pub-location&gt;Washington, DC&lt;/pub-location&gt;&lt;publisher&gt;American Association of State Highway and Transportation Officials&lt;/publisher&gt;&lt;urls&gt;&lt;/urls&gt;&lt;/record&gt;&lt;/Cite&gt;&lt;/EndNote&gt;</w:instrText>
      </w:r>
      <w:r w:rsidRPr="00BB5813">
        <w:fldChar w:fldCharType="separate"/>
      </w:r>
      <w:r w:rsidR="00282238">
        <w:rPr>
          <w:noProof/>
        </w:rPr>
        <w:t>(AASHTO, 2015b)</w:t>
      </w:r>
      <w:r w:rsidRPr="00BB5813">
        <w:fldChar w:fldCharType="end"/>
      </w:r>
      <w:r w:rsidRPr="00BB5813">
        <w:t xml:space="preserve">. Samples with 7% ± 0.5% air voids were used for performance testing. The test matrix for the asphalt mixes is presented in Table </w:t>
      </w:r>
      <w:r w:rsidR="006E4A55">
        <w:t>5.</w:t>
      </w:r>
      <w:r w:rsidRPr="00BB5813">
        <w:t xml:space="preserve">1. </w:t>
      </w:r>
    </w:p>
    <w:p w14:paraId="59126ED1" w14:textId="5759BB26" w:rsidR="00DD6905" w:rsidRPr="00BB5813" w:rsidRDefault="00DD6905" w:rsidP="00985A4A">
      <w:pPr>
        <w:pStyle w:val="Heading3"/>
      </w:pPr>
      <w:bookmarkStart w:id="152" w:name="_Toc71728457"/>
      <w:r w:rsidRPr="00BB5813">
        <w:t>Moisture Conditioning of Compacted Samples</w:t>
      </w:r>
      <w:bookmarkEnd w:id="152"/>
    </w:p>
    <w:p w14:paraId="33323E17" w14:textId="77777777" w:rsidR="00DD6905" w:rsidRPr="00BB5813" w:rsidRDefault="00DD6905" w:rsidP="00555D3F">
      <w:pPr>
        <w:pStyle w:val="Heading4"/>
        <w:spacing w:before="0" w:after="0"/>
      </w:pPr>
      <w:r w:rsidRPr="00BB5813">
        <w:t xml:space="preserve">AASHTO T 283 Method </w:t>
      </w:r>
    </w:p>
    <w:p w14:paraId="2984BCFE" w14:textId="02463056" w:rsidR="00DD6905" w:rsidRPr="00BB5813" w:rsidRDefault="00DD6905" w:rsidP="00555D3F">
      <w:pPr>
        <w:pStyle w:val="Paragraph"/>
        <w:spacing w:before="0"/>
      </w:pPr>
      <w:r w:rsidRPr="00BB5813">
        <w:t xml:space="preserve">The AASHTO T 283 test method was used for simulating moisture conditioning of laboratory compacted specimens before conducting the ITS test </w:t>
      </w:r>
      <w:r w:rsidRPr="00BB5813">
        <w:fldChar w:fldCharType="begin"/>
      </w:r>
      <w:r w:rsidR="00282238">
        <w:instrText xml:space="preserve"> ADDIN EN.CITE &lt;EndNote&gt;&lt;Cite&gt;&lt;Author&gt;AASHTO&lt;/Author&gt;&lt;Year&gt;2014&lt;/Year&gt;&lt;RecNum&gt;233&lt;/RecNum&gt;&lt;DisplayText&gt;(AASHTO, 2014a)&lt;/DisplayText&gt;&lt;record&gt;&lt;rec-number&gt;233&lt;/rec-number&gt;&lt;foreign-keys&gt;&lt;key app="EN" db-id="tfx2va9ropw5p7evdr2pf5rw2vszzx9t0xzs" timestamp="1593606818"&gt;233&lt;/key&gt;&lt;/foreign-keys&gt;&lt;ref-type name="Standard"&gt;58&lt;/ref-type&gt;&lt;contributors&gt;&lt;authors&gt;&lt;author&gt;AASHTO&lt;/author&gt;&lt;/authors&gt;&lt;/contributors&gt;&lt;titles&gt;&lt;title&gt;AASHTO T 283: Standard Method of Test for Resistance of Compacted Asphalt Mixtures to Moisture-induced Damage&lt;/title&gt;&lt;/titles&gt;&lt;dates&gt;&lt;year&gt;2014&lt;/year&gt;&lt;/dates&gt;&lt;pub-location&gt;Washington, DC&lt;/pub-location&gt;&lt;publisher&gt;American Association of State Highway and Transportation Officials&lt;/publisher&gt;&lt;urls&gt;&lt;/urls&gt;&lt;/record&gt;&lt;/Cite&gt;&lt;/EndNote&gt;</w:instrText>
      </w:r>
      <w:r w:rsidRPr="00BB5813">
        <w:fldChar w:fldCharType="separate"/>
      </w:r>
      <w:r w:rsidR="00282238">
        <w:rPr>
          <w:noProof/>
        </w:rPr>
        <w:t>(AASHTO, 2014a)</w:t>
      </w:r>
      <w:r w:rsidRPr="00BB5813">
        <w:fldChar w:fldCharType="end"/>
      </w:r>
      <w:r w:rsidRPr="00BB5813">
        <w:t>. According to this procedure, ITS samples were conditioned by saturating with water (70-80% saturation) followed by a freezing cycle (-18°C for 16 hours) and a thawing cycle (60°C water bath for 24 hours).</w:t>
      </w:r>
    </w:p>
    <w:p w14:paraId="64531E6F" w14:textId="494E7F07" w:rsidR="00DD6905" w:rsidRPr="00BB5813" w:rsidRDefault="00DD6905" w:rsidP="00731713">
      <w:pPr>
        <w:pStyle w:val="Heading4"/>
        <w:spacing w:before="0" w:after="0"/>
        <w:ind w:left="720" w:hanging="720"/>
      </w:pPr>
      <w:r w:rsidRPr="00BB5813">
        <w:t xml:space="preserve">Moisture Induced Sensitivity Test (MIST) Conditioning (ASTM D7870, </w:t>
      </w:r>
      <w:r w:rsidRPr="00BB5813">
        <w:fldChar w:fldCharType="begin"/>
      </w:r>
      <w:r w:rsidR="00B96C8D">
        <w:instrText xml:space="preserve"> ADDIN EN.CITE &lt;EndNote&gt;&lt;Cite ExcludeAuth="1"&gt;&lt;Author&gt;AASHTO&lt;/Author&gt;&lt;Year&gt;2013&lt;/Year&gt;&lt;RecNum&gt;236&lt;/RecNum&gt;&lt;DisplayText&gt;(2013)&lt;/DisplayText&gt;&lt;record&gt;&lt;rec-number&gt;236&lt;/rec-number&gt;&lt;foreign-keys&gt;&lt;key app="EN" db-id="tfx2va9ropw5p7evdr2pf5rw2vszzx9t0xzs" timestamp="1593607586"&gt;236&lt;/key&gt;&lt;/foreign-keys&gt;&lt;ref-type name="Standard"&gt;58&lt;/ref-type&gt;&lt;contributors&gt;&lt;authors&gt;&lt;author&gt;AASHTO&lt;/author&gt;&lt;/authors&gt;&lt;/contributors&gt;&lt;titles&gt;&lt;title&gt;ASTM D7870: Standard practice for moisture conditioning compacted asphalt mixture specimens by using hydrostatic pore pressure&lt;/title&gt;&lt;/titles&gt;&lt;dates&gt;&lt;year&gt;2013&lt;/year&gt;&lt;/dates&gt;&lt;pub-location&gt;West Conshohocken, PA&lt;/pub-location&gt;&lt;publisher&gt;ASTM International&lt;/publisher&gt;&lt;urls&gt;&lt;/urls&gt;&lt;/record&gt;&lt;/Cite&gt;&lt;/EndNote&gt;</w:instrText>
      </w:r>
      <w:r w:rsidRPr="00BB5813">
        <w:fldChar w:fldCharType="separate"/>
      </w:r>
      <w:r w:rsidR="00B96C8D">
        <w:rPr>
          <w:noProof/>
        </w:rPr>
        <w:t>(2013)</w:t>
      </w:r>
      <w:r w:rsidRPr="00BB5813">
        <w:fldChar w:fldCharType="end"/>
      </w:r>
      <w:r w:rsidRPr="00BB5813">
        <w:t>)</w:t>
      </w:r>
    </w:p>
    <w:p w14:paraId="63C37112" w14:textId="20B54014" w:rsidR="00DD6905" w:rsidRPr="00BB5813" w:rsidRDefault="00DD6905" w:rsidP="00555D3F">
      <w:pPr>
        <w:pStyle w:val="Paragraph"/>
        <w:spacing w:before="0"/>
      </w:pPr>
      <w:r w:rsidRPr="00BB5813">
        <w:t xml:space="preserve">As noted by </w:t>
      </w:r>
      <w:r w:rsidRPr="00BB5813">
        <w:fldChar w:fldCharType="begin"/>
      </w:r>
      <w:r w:rsidR="00B96C8D">
        <w:instrText xml:space="preserve"> ADDIN EN.CITE &lt;EndNote&gt;&lt;Cite AuthorYear="1"&gt;&lt;Author&gt;Vargas-Nordcbeck&lt;/Author&gt;&lt;Year&gt;2016&lt;/Year&gt;&lt;RecNum&gt;42&lt;/RecNum&gt;&lt;DisplayText&gt;Vargas-Nordcbeck et al. (2016)&lt;/DisplayText&gt;&lt;record&gt;&lt;rec-number&gt;42&lt;/rec-number&gt;&lt;foreign-keys&gt;&lt;key app="EN" db-id="d55vzfpwawdafteedfoxsf0lv0v0wp5va2aa" timestamp="1511300558"&gt;42&lt;/key&gt;&lt;/foreign-keys&gt;&lt;ref-type name="Journal Article"&gt;17&lt;/ref-type&gt;&lt;contributors&gt;&lt;authors&gt;&lt;author&gt;Vargas-Nordcbeck, Adriana&lt;/author&gt;&lt;author&gt;Leiva-Villacorta, Fabricio&lt;/author&gt;&lt;author&gt;Aguiar-Moya, José Pablo&lt;/author&gt;&lt;author&gt;Loria-Salazar, Luis&lt;/author&gt;&lt;/authors&gt;&lt;/contributors&gt;&lt;titles&gt;&lt;title&gt;Evaluating moisture susceptibility of asphalt concrete mixtures through simple performance tests&lt;/title&gt;&lt;secondary-title&gt;Transportation Research Record: Journal of the Transportation Research Board&lt;/secondary-title&gt;&lt;/titles&gt;&lt;periodical&gt;&lt;full-title&gt;Transportation Research Record: Journal of the Transportation Research Board&lt;/full-title&gt;&lt;/periodical&gt;&lt;pages&gt;70-78&lt;/pages&gt;&lt;number&gt;2575&lt;/number&gt;&lt;dates&gt;&lt;year&gt;2016&lt;/year&gt;&lt;/dates&gt;&lt;isbn&gt;0361-1981&lt;/isbn&gt;&lt;urls&gt;&lt;/urls&gt;&lt;/record&gt;&lt;/Cite&gt;&lt;/EndNote&gt;</w:instrText>
      </w:r>
      <w:r w:rsidRPr="00BB5813">
        <w:fldChar w:fldCharType="separate"/>
      </w:r>
      <w:r w:rsidR="00B96C8D">
        <w:rPr>
          <w:noProof/>
        </w:rPr>
        <w:t>Vargas-Nordcbeck et al. (2016)</w:t>
      </w:r>
      <w:r w:rsidRPr="00BB5813">
        <w:fldChar w:fldCharType="end"/>
      </w:r>
      <w:r w:rsidRPr="00BB5813">
        <w:t xml:space="preserve">, a single freeze-thaw cycle used in the AASHTO T 283 method </w:t>
      </w:r>
      <w:r w:rsidRPr="00BB5813">
        <w:fldChar w:fldCharType="begin"/>
      </w:r>
      <w:r w:rsidR="00282238">
        <w:instrText xml:space="preserve"> ADDIN EN.CITE &lt;EndNote&gt;&lt;Cite&gt;&lt;Author&gt;AASHTO&lt;/Author&gt;&lt;Year&gt;2014&lt;/Year&gt;&lt;RecNum&gt;233&lt;/RecNum&gt;&lt;DisplayText&gt;(AASHTO, 2014a)&lt;/DisplayText&gt;&lt;record&gt;&lt;rec-number&gt;233&lt;/rec-number&gt;&lt;foreign-keys&gt;&lt;key app="EN" db-id="tfx2va9ropw5p7evdr2pf5rw2vszzx9t0xzs" timestamp="1593606818"&gt;233&lt;/key&gt;&lt;/foreign-keys&gt;&lt;ref-type name="Standard"&gt;58&lt;/ref-type&gt;&lt;contributors&gt;&lt;authors&gt;&lt;author&gt;AASHTO&lt;/author&gt;&lt;/authors&gt;&lt;/contributors&gt;&lt;titles&gt;&lt;title&gt;AASHTO T 283: Standard Method of Test for Resistance of Compacted Asphalt Mixtures to Moisture-induced Damage&lt;/title&gt;&lt;/titles&gt;&lt;dates&gt;&lt;year&gt;2014&lt;/year&gt;&lt;/dates&gt;&lt;pub-location&gt;Washington, DC&lt;/pub-location&gt;&lt;publisher&gt;American Association of State Highway and Transportation Officials&lt;/publisher&gt;&lt;urls&gt;&lt;/urls&gt;&lt;/record&gt;&lt;/Cite&gt;&lt;/EndNote&gt;</w:instrText>
      </w:r>
      <w:r w:rsidRPr="00BB5813">
        <w:fldChar w:fldCharType="separate"/>
      </w:r>
      <w:r w:rsidR="00282238">
        <w:rPr>
          <w:noProof/>
        </w:rPr>
        <w:t>(AASHTO, 2014a)</w:t>
      </w:r>
      <w:r w:rsidRPr="00BB5813">
        <w:fldChar w:fldCharType="end"/>
      </w:r>
      <w:r w:rsidRPr="00BB5813">
        <w:t xml:space="preserve"> may not be sufficient for simulating field condition in the laboratory. According to </w:t>
      </w:r>
      <w:r w:rsidRPr="00BB5813">
        <w:fldChar w:fldCharType="begin"/>
      </w:r>
      <w:r w:rsidR="00B96C8D">
        <w:instrText xml:space="preserve"> ADDIN EN.CITE &lt;EndNote&gt;&lt;Cite AuthorYear="1"&gt;&lt;Author&gt;LaCroix&lt;/Author&gt;&lt;Year&gt;2016&lt;/Year&gt;&lt;RecNum&gt;41&lt;/RecNum&gt;&lt;DisplayText&gt;LaCroix et al. (2016)&lt;/DisplayText&gt;&lt;record&gt;&lt;rec-number&gt;41&lt;/rec-number&gt;&lt;foreign-keys&gt;&lt;key app="EN" db-id="d55vzfpwawdafteedfoxsf0lv0v0wp5va2aa" timestamp="1511286613"&gt;41&lt;/key&gt;&lt;/foreign-keys&gt;&lt;ref-type name="Journal Article"&gt;17&lt;/ref-type&gt;&lt;contributors&gt;&lt;authors&gt;&lt;author&gt;LaCroix, Andrew&lt;/author&gt;&lt;author&gt;Regimand, Ali&lt;/author&gt;&lt;author&gt;James, Lawrence&lt;/author&gt;&lt;/authors&gt;&lt;/contributors&gt;&lt;titles&gt;&lt;title&gt;Proposed Approach for Evaluation of Cohesive and Adhesive Properties of Asphalt Mixtures for Determination of Moisture Sensitivity&lt;/title&gt;&lt;secondary-title&gt;Transportation Research Record: Journal of the Transportation Research Board&lt;/secondary-title&gt;&lt;/titles&gt;&lt;periodical&gt;&lt;full-title&gt;Transportation Research Record: Journal of the Transportation Research Board&lt;/full-title&gt;&lt;/periodical&gt;&lt;pages&gt;61-69&lt;/pages&gt;&lt;number&gt;2575&lt;/number&gt;&lt;dates&gt;&lt;year&gt;2016&lt;/year&gt;&lt;/dates&gt;&lt;isbn&gt;0361-1981&lt;/isbn&gt;&lt;urls&gt;&lt;/urls&gt;&lt;/record&gt;&lt;/Cite&gt;&lt;/EndNote&gt;</w:instrText>
      </w:r>
      <w:r w:rsidRPr="00BB5813">
        <w:fldChar w:fldCharType="separate"/>
      </w:r>
      <w:r w:rsidR="00B96C8D">
        <w:rPr>
          <w:noProof/>
        </w:rPr>
        <w:t>LaCroix et al. (2016)</w:t>
      </w:r>
      <w:r w:rsidRPr="00BB5813">
        <w:fldChar w:fldCharType="end"/>
      </w:r>
      <w:r w:rsidRPr="00BB5813">
        <w:t xml:space="preserve">, the AASHTO T 283 moisture conditioning process </w:t>
      </w:r>
      <w:r w:rsidRPr="00BB5813">
        <w:fldChar w:fldCharType="begin"/>
      </w:r>
      <w:r w:rsidR="00282238">
        <w:instrText xml:space="preserve"> ADDIN EN.CITE &lt;EndNote&gt;&lt;Cite&gt;&lt;Author&gt;AASHTO&lt;/Author&gt;&lt;Year&gt;2014&lt;/Year&gt;&lt;RecNum&gt;233&lt;/RecNum&gt;&lt;DisplayText&gt;(AASHTO, 2014a)&lt;/DisplayText&gt;&lt;record&gt;&lt;rec-number&gt;233&lt;/rec-number&gt;&lt;foreign-keys&gt;&lt;key app="EN" db-id="tfx2va9ropw5p7evdr2pf5rw2vszzx9t0xzs" timestamp="1593606818"&gt;233&lt;/key&gt;&lt;/foreign-keys&gt;&lt;ref-type name="Standard"&gt;58&lt;/ref-type&gt;&lt;contributors&gt;&lt;authors&gt;&lt;author&gt;AASHTO&lt;/author&gt;&lt;/authors&gt;&lt;/contributors&gt;&lt;titles&gt;&lt;title&gt;AASHTO T 283: Standard Method of Test for Resistance of Compacted Asphalt Mixtures to Moisture-induced Damage&lt;/title&gt;&lt;/titles&gt;&lt;dates&gt;&lt;year&gt;2014&lt;/year&gt;&lt;/dates&gt;&lt;pub-location&gt;Washington, DC&lt;/pub-location&gt;&lt;publisher&gt;American Association of State Highway and Transportation Officials&lt;/publisher&gt;&lt;urls&gt;&lt;/urls&gt;&lt;/record&gt;&lt;/Cite&gt;&lt;/EndNote&gt;</w:instrText>
      </w:r>
      <w:r w:rsidRPr="00BB5813">
        <w:fldChar w:fldCharType="separate"/>
      </w:r>
      <w:r w:rsidR="00282238">
        <w:rPr>
          <w:noProof/>
        </w:rPr>
        <w:t>(AASHTO, 2014a)</w:t>
      </w:r>
      <w:r w:rsidRPr="00BB5813">
        <w:fldChar w:fldCharType="end"/>
      </w:r>
      <w:r w:rsidRPr="00BB5813">
        <w:t xml:space="preserve"> only affects the adhesive strength of the asphalt mix. However, the ASTM D7870 method </w:t>
      </w:r>
      <w:r w:rsidRPr="00BB5813">
        <w:fldChar w:fldCharType="begin"/>
      </w:r>
      <w:r w:rsidR="00282238">
        <w:instrText xml:space="preserve"> ADDIN EN.CITE &lt;EndNote&gt;&lt;Cite&gt;&lt;Author&gt;AASHTO&lt;/Author&gt;&lt;Year&gt;2013&lt;/Year&gt;&lt;RecNum&gt;236&lt;/RecNum&gt;&lt;DisplayText&gt;(AASHTO, 2013)&lt;/DisplayText&gt;&lt;record&gt;&lt;rec-number&gt;236&lt;/rec-number&gt;&lt;foreign-keys&gt;&lt;key app="EN" db-id="tfx2va9ropw5p7evdr2pf5rw2vszzx9t0xzs" timestamp="1593607586"&gt;236&lt;/key&gt;&lt;/foreign-keys&gt;&lt;ref-type name="Standard"&gt;58&lt;/ref-type&gt;&lt;contributors&gt;&lt;authors&gt;&lt;author&gt;AASHTO&lt;/author&gt;&lt;/authors&gt;&lt;/contributors&gt;&lt;titles&gt;&lt;title&gt;ASTM D7870: Standard practice for moisture conditioning compacted asphalt mixture specimens by using hydrostatic pore pressure&lt;/title&gt;&lt;/titles&gt;&lt;dates&gt;&lt;year&gt;2013&lt;/year&gt;&lt;/dates&gt;&lt;pub-location&gt;West Conshohocken, PA&lt;/pub-location&gt;&lt;publisher&gt;ASTM International&lt;/publisher&gt;&lt;urls&gt;&lt;/urls&gt;&lt;/record&gt;&lt;/Cite&gt;&lt;/EndNote&gt;</w:instrText>
      </w:r>
      <w:r w:rsidRPr="00BB5813">
        <w:fldChar w:fldCharType="separate"/>
      </w:r>
      <w:r w:rsidR="00282238">
        <w:rPr>
          <w:noProof/>
        </w:rPr>
        <w:t>(AASHTO, 2013)</w:t>
      </w:r>
      <w:r w:rsidRPr="00BB5813">
        <w:fldChar w:fldCharType="end"/>
      </w:r>
      <w:r w:rsidRPr="00BB5813">
        <w:t xml:space="preserve"> uses a moisture induced sensitivity test (MIST) for  conditioning asphalt mix specimens. This method </w:t>
      </w:r>
      <w:r w:rsidRPr="00BB5813">
        <w:rPr>
          <w:iCs/>
        </w:rPr>
        <w:t xml:space="preserve">simulates </w:t>
      </w:r>
      <w:r w:rsidRPr="00BB5813">
        <w:t xml:space="preserve">both adhesion and cohesion properties of the mix </w:t>
      </w:r>
      <w:r w:rsidRPr="00BB5813">
        <w:rPr>
          <w:iCs/>
        </w:rPr>
        <w:t xml:space="preserve">due to passing of vehicles on a wet pavement </w:t>
      </w:r>
      <w:r w:rsidRPr="00BB5813">
        <w:fldChar w:fldCharType="begin"/>
      </w:r>
      <w:r w:rsidR="00282238">
        <w:instrText xml:space="preserve"> ADDIN EN.CITE &lt;EndNote&gt;&lt;Cite&gt;&lt;Author&gt;LaCroix&lt;/Author&gt;&lt;Year&gt;2016&lt;/Year&gt;&lt;RecNum&gt;41&lt;/RecNum&gt;&lt;DisplayText&gt;(Mallick et al., 2000; LaCroix et al., 2016)&lt;/DisplayText&gt;&lt;record&gt;&lt;rec-number&gt;41&lt;/rec-number&gt;&lt;foreign-keys&gt;&lt;key app="EN" db-id="d55vzfpwawdafteedfoxsf0lv0v0wp5va2aa" timestamp="1511286613"&gt;41&lt;/key&gt;&lt;/foreign-keys&gt;&lt;ref-type name="Journal Article"&gt;17&lt;/ref-type&gt;&lt;contributors&gt;&lt;authors&gt;&lt;author&gt;LaCroix, Andrew&lt;/author&gt;&lt;author&gt;Regimand, Ali&lt;/author&gt;&lt;author&gt;James, Lawrence&lt;/author&gt;&lt;/authors&gt;&lt;/contributors&gt;&lt;titles&gt;&lt;title&gt;Proposed Approach for Evaluation of Cohesive and Adhesive Properties of Asphalt Mixtures for Determination of Moisture Sensitivity&lt;/title&gt;&lt;secondary-title&gt;Transportation Research Record: Journal of the Transportation Research Board&lt;/secondary-title&gt;&lt;/titles&gt;&lt;periodical&gt;&lt;full-title&gt;Transportation Research Record: Journal of the Transportation Research Board&lt;/full-title&gt;&lt;/periodical&gt;&lt;pages&gt;61-69&lt;/pages&gt;&lt;number&gt;2575&lt;/number&gt;&lt;dates&gt;&lt;year&gt;2016&lt;/year&gt;&lt;/dates&gt;&lt;isbn&gt;0361-1981&lt;/isbn&gt;&lt;urls&gt;&lt;/urls&gt;&lt;/record&gt;&lt;/Cite&gt;&lt;Cite&gt;&lt;Author&gt;Mallick&lt;/Author&gt;&lt;Year&gt;2000&lt;/Year&gt;&lt;RecNum&gt;186&lt;/RecNum&gt;&lt;record&gt;&lt;rec-number&gt;186&lt;/rec-number&gt;&lt;foreign-keys&gt;&lt;key app="EN" db-id="d55vzfpwawdafteedfoxsf0lv0v0wp5va2aa" timestamp="1545229220"&gt;186&lt;/key&gt;&lt;/foreign-keys&gt;&lt;ref-type name="Report"&gt;27&lt;/ref-type&gt;&lt;contributors&gt;&lt;authors&gt;&lt;author&gt;Mallick, Rajib B&lt;/author&gt;&lt;author&gt;Teto, Matthew R&lt;/author&gt;&lt;author&gt;Mogawer, Walaa S&lt;/author&gt;&lt;/authors&gt;&lt;/contributors&gt;&lt;titles&gt;&lt;title&gt;Evaluation of use of manufactured waste asphalt shingles in hot mix asphalt&lt;/title&gt;&lt;/titles&gt;&lt;dates&gt;&lt;year&gt;2000&lt;/year&gt;&lt;/dates&gt;&lt;pub-location&gt;Chelsea: University of Massachusettes&lt;/pub-location&gt;&lt;urls&gt;&lt;/urls&gt;&lt;/record&gt;&lt;/Cite&gt;&lt;/EndNote&gt;</w:instrText>
      </w:r>
      <w:r w:rsidRPr="00BB5813">
        <w:fldChar w:fldCharType="separate"/>
      </w:r>
      <w:r w:rsidR="00282238">
        <w:rPr>
          <w:noProof/>
        </w:rPr>
        <w:t>(Mallick et al., 2000; LaCroix et al., 2016)</w:t>
      </w:r>
      <w:r w:rsidRPr="00BB5813">
        <w:fldChar w:fldCharType="end"/>
      </w:r>
      <w:r w:rsidRPr="00BB5813">
        <w:t>.</w:t>
      </w:r>
      <w:r w:rsidRPr="00BB5813">
        <w:rPr>
          <w:i/>
        </w:rPr>
        <w:t xml:space="preserve"> </w:t>
      </w:r>
      <w:r w:rsidRPr="00BB5813">
        <w:t>Therefore, in this study, moisture conditioning of compacted asphalt samples was performed using the MIST method before LA-SCB testing.  In this method, the moisture-conditioning was done in two phases, namely adhesion phase and pressurization phase. In the adhesion phase, samples were submerged in water in the MIST chamber. Water temperature was then raised to 60°C and maintained for 20 hours to affect the adhesion properties of the samples. In the pressurization phase, samples were subjected to 280 kPa pressure for 3,500 cycles. The pressure was generated by inflating a bladder located in the MIST chamber using an air piston. After the pressurization phase, water was drained</w:t>
      </w:r>
      <w:r w:rsidR="0028672A">
        <w:t>,</w:t>
      </w:r>
      <w:r w:rsidRPr="00BB5813">
        <w:t xml:space="preserve"> and samples were taken out of the chamber for further testing.</w:t>
      </w:r>
    </w:p>
    <w:p w14:paraId="31C7F218" w14:textId="4A81A83D" w:rsidR="00DD6905" w:rsidRPr="00BB5813" w:rsidRDefault="00DD6905" w:rsidP="00985A4A">
      <w:pPr>
        <w:pStyle w:val="Heading3"/>
      </w:pPr>
      <w:bookmarkStart w:id="153" w:name="_Toc71728458"/>
      <w:r w:rsidRPr="00BB5813">
        <w:t>Test Methods</w:t>
      </w:r>
      <w:bookmarkEnd w:id="153"/>
    </w:p>
    <w:p w14:paraId="5E9F4EC5" w14:textId="77777777" w:rsidR="00DD6905" w:rsidRPr="00BB5813" w:rsidRDefault="00DD6905" w:rsidP="00555D3F">
      <w:pPr>
        <w:pStyle w:val="Heading4"/>
        <w:spacing w:before="0" w:after="0"/>
      </w:pPr>
      <w:r w:rsidRPr="00BB5813">
        <w:t>Hamburg Wheel Tracking (HWT) Test</w:t>
      </w:r>
    </w:p>
    <w:p w14:paraId="209DC36B" w14:textId="353C209C" w:rsidR="00DD6905" w:rsidRPr="00BB5813" w:rsidRDefault="00DD6905" w:rsidP="00555D3F">
      <w:pPr>
        <w:pStyle w:val="Paragraph"/>
        <w:spacing w:before="0"/>
      </w:pPr>
      <w:r w:rsidRPr="00BB5813">
        <w:t xml:space="preserve">The rutting and moisture-induced damage potentials of the associated mixes were evaluated using the HWT test following the AASHTO T 324 test method </w:t>
      </w:r>
      <w:r w:rsidRPr="00BB5813">
        <w:fldChar w:fldCharType="begin"/>
      </w:r>
      <w:r w:rsidR="00282238">
        <w:instrText xml:space="preserve"> ADDIN EN.CITE &lt;EndNote&gt;&lt;Cite&gt;&lt;Author&gt;AASHTO&lt;/Author&gt;&lt;Year&gt;2014&lt;/Year&gt;&lt;RecNum&gt;237&lt;/RecNum&gt;&lt;DisplayText&gt;(AASHTO, 2014b)&lt;/DisplayText&gt;&lt;record&gt;&lt;rec-number&gt;237&lt;/rec-number&gt;&lt;foreign-keys&gt;&lt;key app="EN" db-id="tfx2va9ropw5p7evdr2pf5rw2vszzx9t0xzs" timestamp="1593607870"&gt;237&lt;/key&gt;&lt;/foreign-keys&gt;&lt;ref-type name="Standard"&gt;58&lt;/ref-type&gt;&lt;contributors&gt;&lt;authors&gt;&lt;author&gt;AASHTO&lt;/author&gt;&lt;/authors&gt;&lt;/contributors&gt;&lt;titles&gt;&lt;title&gt;AASHTO T 324: Standard Method of Test for Hamburg Wheel-track Testing of Compacted Asphalt Mixtures &lt;/title&gt;&lt;/titles&gt;&lt;dates&gt;&lt;year&gt;2014&lt;/year&gt;&lt;/dates&gt;&lt;pub-location&gt;Washington, DC&lt;/pub-location&gt;&lt;publisher&gt;American Association of State Highway and Transportation Officials&lt;/publisher&gt;&lt;urls&gt;&lt;/urls&gt;&lt;/record&gt;&lt;/Cite&gt;&lt;/EndNote&gt;</w:instrText>
      </w:r>
      <w:r w:rsidRPr="00BB5813">
        <w:fldChar w:fldCharType="separate"/>
      </w:r>
      <w:r w:rsidR="00282238">
        <w:rPr>
          <w:noProof/>
        </w:rPr>
        <w:t>(AASHTO, 2014b)</w:t>
      </w:r>
      <w:r w:rsidRPr="00BB5813">
        <w:fldChar w:fldCharType="end"/>
      </w:r>
      <w:r w:rsidRPr="00BB5813">
        <w:t xml:space="preserve">. Samples with a diameter of 150 mm and a height of 60 mm were compacted using an SGC. Two sets of samples from each mix were tested to ensure repeatability. The tests were conducted by submerging asphalt mix samples in a temperature-controlled water bath at 50°C. A load of 705 N was applied on the samples using a reciprocating steel wheel with a wheel pass frequency of 52 passes/minute. Tests were conducted until the samples reached a rut depth of 20 mm or 20,000 wheel passes. The rutting and stripping potentials of the mixes were evaluated based on the conventional method by plotting rut depth vs wheel passes. For this purpose, the post compaction deformation and creep slope were determined to evaluate the rutting potential of the mixes. The rut depth at 1,000 wheel passes was used as the post-compaction point as suggested by </w:t>
      </w:r>
      <w:r w:rsidRPr="00BB5813">
        <w:fldChar w:fldCharType="begin"/>
      </w:r>
      <w:r w:rsidR="00B96C8D">
        <w:instrText xml:space="preserve"> ADDIN EN.CITE &lt;EndNote&gt;&lt;Cite AuthorYear="1"&gt;&lt;Author&gt;Yildirim&lt;/Author&gt;&lt;Year&gt;2002&lt;/Year&gt;&lt;RecNum&gt;132&lt;/RecNum&gt;&lt;DisplayText&gt;Yildirim and Kennedy (2002)&lt;/DisplayText&gt;&lt;record&gt;&lt;rec-number&gt;132&lt;/rec-number&gt;&lt;foreign-keys&gt;&lt;key app="EN" db-id="d55vzfpwawdafteedfoxsf0lv0v0wp5va2aa" timestamp="1523164056"&gt;132&lt;/key&gt;&lt;/foreign-keys&gt;&lt;ref-type name="Report"&gt;27&lt;/ref-type&gt;&lt;contributors&gt;&lt;authors&gt;&lt;author&gt;Yildirim, Yetkin&lt;/author&gt;&lt;author&gt;Kennedy, Thomas W&lt;/author&gt;&lt;/authors&gt;&lt;/contributors&gt;&lt;titles&gt;&lt;title&gt;Hamburg wheel tracking device results on plant and field cores produced mixtures&lt;/title&gt;&lt;/titles&gt;&lt;dates&gt;&lt;year&gt;2002&lt;/year&gt;&lt;/dates&gt;&lt;publisher&gt;Citeseer&lt;/publisher&gt;&lt;urls&gt;&lt;/urls&gt;&lt;/record&gt;&lt;/Cite&gt;&lt;/EndNote&gt;</w:instrText>
      </w:r>
      <w:r w:rsidRPr="00BB5813">
        <w:fldChar w:fldCharType="separate"/>
      </w:r>
      <w:r w:rsidR="00B96C8D">
        <w:rPr>
          <w:noProof/>
        </w:rPr>
        <w:t>Yildirim and Kennedy (2002)</w:t>
      </w:r>
      <w:r w:rsidRPr="00BB5813">
        <w:fldChar w:fldCharType="end"/>
      </w:r>
      <w:r w:rsidRPr="00BB5813">
        <w:t xml:space="preserve">. After post compaction point, the linear creep region of the rut curve indicates plastic flow of the samples during the HWT test. The creep potential was evaluated by determining the creep slope (i.e. rut depth per wheel pass in the creep region). The moisture-induced damage potential was assessed by determining the stripping slope and </w:t>
      </w:r>
      <w:r w:rsidRPr="00BB5813">
        <w:rPr>
          <w:i/>
          <w:iCs/>
        </w:rPr>
        <w:t>SIP</w:t>
      </w:r>
      <w:r w:rsidRPr="00BB5813">
        <w:t xml:space="preserve"> of the mixes from the HWT test results. The </w:t>
      </w:r>
      <w:r w:rsidRPr="00BB5813">
        <w:rPr>
          <w:i/>
          <w:iCs/>
        </w:rPr>
        <w:t>SIP</w:t>
      </w:r>
      <w:r w:rsidRPr="00BB5813">
        <w:t xml:space="preserve"> was considered as the inflection point where rut curve changed from the creep region to the stripping region. The stripping slope is the rate of change in rut depth in the stripping region.</w:t>
      </w:r>
    </w:p>
    <w:p w14:paraId="5F5EB044" w14:textId="09A819A9" w:rsidR="00DD6905" w:rsidRPr="00BB5813" w:rsidRDefault="00DD6905" w:rsidP="006832A1">
      <w:pPr>
        <w:pStyle w:val="Paragraph"/>
        <w:spacing w:before="0"/>
      </w:pPr>
      <w:r w:rsidRPr="00BB5813">
        <w:t xml:space="preserve">In addition to the conventional method, a new method known as TAMU method, proposed by Yin et al. </w:t>
      </w:r>
      <w:r w:rsidRPr="00BB5813">
        <w:fldChar w:fldCharType="begin"/>
      </w:r>
      <w:r w:rsidR="00282238">
        <w:instrText xml:space="preserve"> ADDIN EN.CITE &lt;EndNote&gt;&lt;Cite&gt;&lt;Author&gt;Yin&lt;/Author&gt;&lt;Year&gt;2014&lt;/Year&gt;&lt;RecNum&gt;95&lt;/RecNum&gt;&lt;DisplayText&gt;(Yin et al., 2014)&lt;/DisplayText&gt;&lt;record&gt;&lt;rec-number&gt;95&lt;/rec-number&gt;&lt;foreign-keys&gt;&lt;key app="EN" db-id="d55vzfpwawdafteedfoxsf0lv0v0wp5va2aa" timestamp="1520694429"&gt;95&lt;/key&gt;&lt;/foreign-keys&gt;&lt;ref-type name="Journal Article"&gt;17&lt;/ref-type&gt;&lt;contributors&gt;&lt;authors&gt;&lt;author&gt;Yin, Fan&lt;/author&gt;&lt;author&gt;Arambula, Edith&lt;/author&gt;&lt;author&gt;Lytton, Robert&lt;/author&gt;&lt;author&gt;Martin, Amy&lt;/author&gt;&lt;author&gt;Cucalon, Lorena&lt;/author&gt;&lt;/authors&gt;&lt;/contributors&gt;&lt;titles&gt;&lt;title&gt;Novel method for moisture susceptibility and rutting evaluation using Hamburg wheel tracking test&lt;/title&gt;&lt;secondary-title&gt;Transportation Research Record: Journal of the Transportation Research Board&lt;/secondary-title&gt;&lt;/titles&gt;&lt;periodical&gt;&lt;full-title&gt;Transportation Research Record: Journal of the Transportation Research Board&lt;/full-title&gt;&lt;/periodical&gt;&lt;pages&gt;1-7&lt;/pages&gt;&lt;number&gt;2446&lt;/number&gt;&lt;dates&gt;&lt;year&gt;2014&lt;/year&gt;&lt;/dates&gt;&lt;isbn&gt;0361-1981&lt;/isbn&gt;&lt;urls&gt;&lt;/urls&gt;&lt;/record&gt;&lt;/Cite&gt;&lt;/EndNote&gt;</w:instrText>
      </w:r>
      <w:r w:rsidRPr="00BB5813">
        <w:fldChar w:fldCharType="separate"/>
      </w:r>
      <w:r w:rsidR="00282238">
        <w:rPr>
          <w:noProof/>
        </w:rPr>
        <w:t>(Yin et al., 2014)</w:t>
      </w:r>
      <w:r w:rsidRPr="00BB5813">
        <w:fldChar w:fldCharType="end"/>
      </w:r>
      <w:r w:rsidRPr="00BB5813">
        <w:t xml:space="preserve">, was used and the results were compared with the </w:t>
      </w:r>
      <w:r w:rsidRPr="00BB5813">
        <w:rPr>
          <w:i/>
          <w:iCs/>
        </w:rPr>
        <w:t>SIP</w:t>
      </w:r>
      <w:r w:rsidRPr="00BB5813">
        <w:t xml:space="preserve"> results. According to this method, visco-plastic strain and stripping strain were separated from the rut depth. A parameter, called stripping number (</w:t>
      </w:r>
      <w:r w:rsidRPr="00BB5813">
        <w:rPr>
          <w:i/>
          <w:iCs/>
        </w:rPr>
        <w:t>LC</w:t>
      </w:r>
      <w:r w:rsidRPr="00BB5813">
        <w:rPr>
          <w:i/>
          <w:iCs/>
          <w:vertAlign w:val="subscript"/>
        </w:rPr>
        <w:t>SN</w:t>
      </w:r>
      <w:r w:rsidRPr="00BB5813">
        <w:t>), was used to determine the maximum number of load cycles an asphalt mix can resist in the HWT test before the occurrence of adhesive fracture. Also, the rut depth accumulation resulting from stripping was quantified using a parameter called stripping life (</w:t>
      </w:r>
      <w:r w:rsidRPr="00BB5813">
        <w:rPr>
          <w:i/>
          <w:iCs/>
        </w:rPr>
        <w:t>LC</w:t>
      </w:r>
      <w:r w:rsidRPr="00BB5813">
        <w:rPr>
          <w:i/>
          <w:iCs/>
          <w:vertAlign w:val="subscript"/>
        </w:rPr>
        <w:t>ST</w:t>
      </w:r>
      <w:r w:rsidRPr="00BB5813">
        <w:t xml:space="preserve">). The </w:t>
      </w:r>
      <w:r w:rsidRPr="00BB5813">
        <w:rPr>
          <w:i/>
          <w:iCs/>
        </w:rPr>
        <w:t>LC</w:t>
      </w:r>
      <w:r w:rsidRPr="00BB5813">
        <w:rPr>
          <w:i/>
          <w:iCs/>
          <w:vertAlign w:val="subscript"/>
        </w:rPr>
        <w:t>ST</w:t>
      </w:r>
      <w:r w:rsidRPr="00BB5813">
        <w:t xml:space="preserve"> was determined as the number of wheel passes required to produce a stripping strain of 12.5 mm. The visco-plastic strain increment (</w:t>
      </w:r>
      <m:oMath>
        <m:r>
          <w:rPr>
            <w:rFonts w:ascii="Cambria Math" w:hAnsi="Cambria Math"/>
          </w:rPr>
          <m:t>∆</m:t>
        </m:r>
        <m:sSubSup>
          <m:sSubSupPr>
            <m:ctrlPr>
              <w:rPr>
                <w:rFonts w:ascii="Cambria Math" w:hAnsi="Cambria Math"/>
                <w:i/>
              </w:rPr>
            </m:ctrlPr>
          </m:sSubSupPr>
          <m:e>
            <m:r>
              <w:rPr>
                <w:rFonts w:ascii="Cambria Math" w:hAnsi="Cambria Math"/>
              </w:rPr>
              <m:t>ε</m:t>
            </m:r>
          </m:e>
          <m:sub>
            <m:r>
              <w:rPr>
                <w:rFonts w:ascii="Cambria Math" w:hAnsi="Cambria Math"/>
              </w:rPr>
              <m:t>10,000</m:t>
            </m:r>
          </m:sub>
          <m:sup>
            <m:r>
              <w:rPr>
                <w:rFonts w:ascii="Cambria Math" w:hAnsi="Cambria Math"/>
              </w:rPr>
              <m:t>vp</m:t>
            </m:r>
          </m:sup>
        </m:sSubSup>
      </m:oMath>
      <w:r w:rsidRPr="00BB5813">
        <w:t xml:space="preserve">), which was defined as the slope of the visco-plastic strain at 10,000 wheel passes, was used to quantify the resistance to rutting. Further details of the procedure are given by </w:t>
      </w:r>
      <w:r w:rsidRPr="00BB5813">
        <w:fldChar w:fldCharType="begin"/>
      </w:r>
      <w:r w:rsidR="00B96C8D">
        <w:instrText xml:space="preserve"> ADDIN EN.CITE &lt;EndNote&gt;&lt;Cite AuthorYear="1"&gt;&lt;Author&gt;Yin&lt;/Author&gt;&lt;Year&gt;2014&lt;/Year&gt;&lt;RecNum&gt;95&lt;/RecNum&gt;&lt;DisplayText&gt;Yin et al. (2014)&lt;/DisplayText&gt;&lt;record&gt;&lt;rec-number&gt;95&lt;/rec-number&gt;&lt;foreign-keys&gt;&lt;key app="EN" db-id="d55vzfpwawdafteedfoxsf0lv0v0wp5va2aa" timestamp="1520694429"&gt;95&lt;/key&gt;&lt;/foreign-keys&gt;&lt;ref-type name="Journal Article"&gt;17&lt;/ref-type&gt;&lt;contributors&gt;&lt;authors&gt;&lt;author&gt;Yin, Fan&lt;/author&gt;&lt;author&gt;Arambula, Edith&lt;/author&gt;&lt;author&gt;Lytton, Robert&lt;/author&gt;&lt;author&gt;Martin, Amy&lt;/author&gt;&lt;author&gt;Cucalon, Lorena&lt;/author&gt;&lt;/authors&gt;&lt;/contributors&gt;&lt;titles&gt;&lt;title&gt;Novel method for moisture susceptibility and rutting evaluation using Hamburg wheel tracking test&lt;/title&gt;&lt;secondary-title&gt;Transportation Research Record: Journal of the Transportation Research Board&lt;/secondary-title&gt;&lt;/titles&gt;&lt;periodical&gt;&lt;full-title&gt;Transportation Research Record: Journal of the Transportation Research Board&lt;/full-title&gt;&lt;/periodical&gt;&lt;pages&gt;1-7&lt;/pages&gt;&lt;number&gt;2446&lt;/number&gt;&lt;dates&gt;&lt;year&gt;2014&lt;/year&gt;&lt;/dates&gt;&lt;isbn&gt;0361-1981&lt;/isbn&gt;&lt;urls&gt;&lt;/urls&gt;&lt;/record&gt;&lt;/Cite&gt;&lt;/EndNote&gt;</w:instrText>
      </w:r>
      <w:r w:rsidRPr="00BB5813">
        <w:fldChar w:fldCharType="separate"/>
      </w:r>
      <w:r w:rsidR="00B96C8D">
        <w:rPr>
          <w:noProof/>
        </w:rPr>
        <w:t>Yin et al. (2014)</w:t>
      </w:r>
      <w:r w:rsidRPr="00BB5813">
        <w:fldChar w:fldCharType="end"/>
      </w:r>
      <w:r w:rsidRPr="00BB5813">
        <w:t>.</w:t>
      </w:r>
    </w:p>
    <w:p w14:paraId="7C719C8C" w14:textId="77777777" w:rsidR="00DD6905" w:rsidRPr="00BB5813" w:rsidRDefault="00DD6905" w:rsidP="00555D3F">
      <w:pPr>
        <w:pStyle w:val="Heading4"/>
        <w:spacing w:before="0" w:after="0"/>
      </w:pPr>
      <w:r w:rsidRPr="00BB5813">
        <w:t>Indirect Tensile Strength (ITS) Test</w:t>
      </w:r>
    </w:p>
    <w:p w14:paraId="2D8F929C" w14:textId="4C7397B1" w:rsidR="00DD6905" w:rsidRPr="00BB5813" w:rsidRDefault="00DD6905" w:rsidP="00555D3F">
      <w:pPr>
        <w:pStyle w:val="Paragraph"/>
        <w:spacing w:before="0"/>
      </w:pPr>
      <w:r w:rsidRPr="00BB5813">
        <w:t xml:space="preserve">The TSR value of a mix was determined by conducting the indirect tensile strength (ITS) test on dry and moisture-conditioned specimens following the AASHTO T 283 test method </w:t>
      </w:r>
      <w:r w:rsidRPr="00BB5813">
        <w:fldChar w:fldCharType="begin"/>
      </w:r>
      <w:r w:rsidR="00282238">
        <w:instrText xml:space="preserve"> ADDIN EN.CITE &lt;EndNote&gt;&lt;Cite&gt;&lt;Author&gt;AASHTO&lt;/Author&gt;&lt;Year&gt;2014&lt;/Year&gt;&lt;RecNum&gt;233&lt;/RecNum&gt;&lt;DisplayText&gt;(AASHTO, 2014a)&lt;/DisplayText&gt;&lt;record&gt;&lt;rec-number&gt;233&lt;/rec-number&gt;&lt;foreign-keys&gt;&lt;key app="EN" db-id="tfx2va9ropw5p7evdr2pf5rw2vszzx9t0xzs" timestamp="1593606818"&gt;233&lt;/key&gt;&lt;/foreign-keys&gt;&lt;ref-type name="Standard"&gt;58&lt;/ref-type&gt;&lt;contributors&gt;&lt;authors&gt;&lt;author&gt;AASHTO&lt;/author&gt;&lt;/authors&gt;&lt;/contributors&gt;&lt;titles&gt;&lt;title&gt;AASHTO T 283: Standard Method of Test for Resistance of Compacted Asphalt Mixtures to Moisture-induced Damage&lt;/title&gt;&lt;/titles&gt;&lt;dates&gt;&lt;year&gt;2014&lt;/year&gt;&lt;/dates&gt;&lt;pub-location&gt;Washington, DC&lt;/pub-location&gt;&lt;publisher&gt;American Association of State Highway and Transportation Officials&lt;/publisher&gt;&lt;urls&gt;&lt;/urls&gt;&lt;/record&gt;&lt;/Cite&gt;&lt;/EndNote&gt;</w:instrText>
      </w:r>
      <w:r w:rsidRPr="00BB5813">
        <w:fldChar w:fldCharType="separate"/>
      </w:r>
      <w:r w:rsidR="00282238">
        <w:rPr>
          <w:noProof/>
        </w:rPr>
        <w:t>(AASHTO, 2014a)</w:t>
      </w:r>
      <w:r w:rsidRPr="00BB5813">
        <w:fldChar w:fldCharType="end"/>
      </w:r>
      <w:r w:rsidRPr="00BB5813">
        <w:t xml:space="preserve">. For this purpose, specimens having a diameter of 150 mm and a height of 95 mm were compacted using an SGC. As mentioned in the previous section, a single cycle of freeze-thaw conditioning following the AASHTO T 283 method </w:t>
      </w:r>
      <w:r w:rsidRPr="00BB5813">
        <w:fldChar w:fldCharType="begin"/>
      </w:r>
      <w:r w:rsidR="00282238">
        <w:instrText xml:space="preserve"> ADDIN EN.CITE &lt;EndNote&gt;&lt;Cite&gt;&lt;Author&gt;AASHTO&lt;/Author&gt;&lt;Year&gt;2014&lt;/Year&gt;&lt;RecNum&gt;233&lt;/RecNum&gt;&lt;DisplayText&gt;(AASHTO, 2014a)&lt;/DisplayText&gt;&lt;record&gt;&lt;rec-number&gt;233&lt;/rec-number&gt;&lt;foreign-keys&gt;&lt;key app="EN" db-id="tfx2va9ropw5p7evdr2pf5rw2vszzx9t0xzs" timestamp="1593606818"&gt;233&lt;/key&gt;&lt;/foreign-keys&gt;&lt;ref-type name="Standard"&gt;58&lt;/ref-type&gt;&lt;contributors&gt;&lt;authors&gt;&lt;author&gt;AASHTO&lt;/author&gt;&lt;/authors&gt;&lt;/contributors&gt;&lt;titles&gt;&lt;title&gt;AASHTO T 283: Standard Method of Test for Resistance of Compacted Asphalt Mixtures to Moisture-induced Damage&lt;/title&gt;&lt;/titles&gt;&lt;dates&gt;&lt;year&gt;2014&lt;/year&gt;&lt;/dates&gt;&lt;pub-location&gt;Washington, DC&lt;/pub-location&gt;&lt;publisher&gt;American Association of State Highway and Transportation Officials&lt;/publisher&gt;&lt;urls&gt;&lt;/urls&gt;&lt;/record&gt;&lt;/Cite&gt;&lt;/EndNote&gt;</w:instrText>
      </w:r>
      <w:r w:rsidRPr="00BB5813">
        <w:fldChar w:fldCharType="separate"/>
      </w:r>
      <w:r w:rsidR="00282238">
        <w:rPr>
          <w:noProof/>
        </w:rPr>
        <w:t>(AASHTO, 2014a)</w:t>
      </w:r>
      <w:r w:rsidRPr="00BB5813">
        <w:fldChar w:fldCharType="end"/>
      </w:r>
      <w:r w:rsidRPr="00BB5813">
        <w:t xml:space="preserve"> was used to induce the moisture damage. The </w:t>
      </w:r>
      <w:r w:rsidRPr="00BB5813">
        <w:rPr>
          <w:i/>
          <w:iCs/>
        </w:rPr>
        <w:t>TSR</w:t>
      </w:r>
      <w:r w:rsidRPr="00BB5813">
        <w:t xml:space="preserve"> value was then determined using Equation (</w:t>
      </w:r>
      <w:r w:rsidR="00600CF9">
        <w:t>5.</w:t>
      </w:r>
      <w:r w:rsidRPr="00BB5813">
        <w:t>1). Another parameter, called toughness index (</w:t>
      </w:r>
      <w:r w:rsidRPr="00BB5813">
        <w:rPr>
          <w:i/>
          <w:iCs/>
        </w:rPr>
        <w:t>TI</w:t>
      </w:r>
      <w:r w:rsidRPr="00BB5813">
        <w:t xml:space="preserve">) ratio, which is the ratio of the toughness indices of the moisture-conditioned and the dry specimen, was used as a new mechanistic parameter for quantifying moisture-induced damage potential. This approach is based on the fracture mechanics principle and accounts for the post-peak behavior of asphalt mixes, unlike TSR </w:t>
      </w:r>
      <w:r w:rsidRPr="00BB5813">
        <w:fldChar w:fldCharType="begin"/>
      </w:r>
      <w:r w:rsidR="00282238">
        <w:instrText xml:space="preserve"> ADDIN EN.CITE &lt;EndNote&gt;&lt;Cite&gt;&lt;Author&gt;Kim&lt;/Author&gt;&lt;Year&gt;2012&lt;/Year&gt;&lt;RecNum&gt;64&lt;/RecNum&gt;&lt;DisplayText&gt;(Kim et al., 2012)&lt;/DisplayText&gt;&lt;record&gt;&lt;rec-number&gt;64&lt;/rec-number&gt;&lt;foreign-keys&gt;&lt;key app="EN" db-id="d55vzfpwawdafteedfoxsf0lv0v0wp5va2aa" timestamp="1514344226"&gt;64&lt;/key&gt;&lt;/foreign-keys&gt;&lt;ref-type name="Journal Article"&gt;17&lt;/ref-type&gt;&lt;contributors&gt;&lt;authors&gt;&lt;author&gt;Kim, Minkyum&lt;/author&gt;&lt;author&gt;Mohammad, Louay&lt;/author&gt;&lt;author&gt;Elseifi, Mostafa&lt;/author&gt;&lt;/authors&gt;&lt;/contributors&gt;&lt;titles&gt;&lt;title&gt;Characterization of fracture properties of asphalt mixtures as measured by semicircular bend test and indirect tension test&lt;/title&gt;&lt;secondary-title&gt;Transportation Research Record: Journal of the Transportation Research Board&lt;/secondary-title&gt;&lt;/titles&gt;&lt;periodical&gt;&lt;full-title&gt;Transportation Research Record: Journal of the Transportation Research Board&lt;/full-title&gt;&lt;/periodical&gt;&lt;pages&gt;115-124&lt;/pages&gt;&lt;number&gt;2296&lt;/number&gt;&lt;dates&gt;&lt;year&gt;2012&lt;/year&gt;&lt;/dates&gt;&lt;isbn&gt;0361-1981&lt;/isbn&gt;&lt;urls&gt;&lt;/urls&gt;&lt;/record&gt;&lt;/Cite&gt;&lt;/EndNote&gt;</w:instrText>
      </w:r>
      <w:r w:rsidRPr="00BB5813">
        <w:fldChar w:fldCharType="separate"/>
      </w:r>
      <w:r w:rsidR="00282238">
        <w:rPr>
          <w:noProof/>
        </w:rPr>
        <w:t>(Kim et al., 2012)</w:t>
      </w:r>
      <w:r w:rsidRPr="00BB5813">
        <w:fldChar w:fldCharType="end"/>
      </w:r>
      <w:r w:rsidRPr="00BB5813">
        <w:t xml:space="preserve">. The </w:t>
      </w:r>
      <w:r w:rsidRPr="00BB5813">
        <w:rPr>
          <w:i/>
          <w:iCs/>
        </w:rPr>
        <w:t>TI</w:t>
      </w:r>
      <w:r w:rsidRPr="00BB5813">
        <w:t xml:space="preserve"> was calculated from the ITS test results using Equation (</w:t>
      </w:r>
      <w:r w:rsidR="00600CF9">
        <w:t>5.</w:t>
      </w:r>
      <w:r w:rsidRPr="00BB5813">
        <w:t>2). The</w:t>
      </w:r>
      <w:r w:rsidRPr="00BB5813">
        <w:rPr>
          <w:i/>
          <w:iCs/>
        </w:rPr>
        <w:t xml:space="preserve"> TI</w:t>
      </w:r>
      <w:r w:rsidRPr="00BB5813">
        <w:t xml:space="preserve"> value of an ideal brittle material with no post-peak load-carrying capacity is zero, whereas the </w:t>
      </w:r>
      <w:r w:rsidRPr="00BB5813">
        <w:rPr>
          <w:i/>
          <w:iCs/>
        </w:rPr>
        <w:t>TI</w:t>
      </w:r>
      <w:r w:rsidRPr="00BB5813">
        <w:t xml:space="preserve"> value should be 1 for an elastic perfectly plastic material with no loss in load-carrying capacity after peak load </w:t>
      </w:r>
      <w:r w:rsidRPr="00BB5813">
        <w:fldChar w:fldCharType="begin"/>
      </w:r>
      <w:r w:rsidR="00282238">
        <w:instrText xml:space="preserve"> ADDIN EN.CITE &lt;EndNote&gt;&lt;Cite&gt;&lt;Author&gt;Shu&lt;/Author&gt;&lt;Year&gt;2008&lt;/Year&gt;&lt;RecNum&gt;112&lt;/RecNum&gt;&lt;DisplayText&gt;(Shu et al., 2008; Huang et al., 2010)&lt;/DisplayText&gt;&lt;record&gt;&lt;rec-number&gt;112&lt;/rec-number&gt;&lt;foreign-keys&gt;&lt;key app="EN" db-id="d55vzfpwawdafteedfoxsf0lv0v0wp5va2aa" timestamp="1521350351"&gt;112&lt;/key&gt;&lt;/foreign-keys&gt;&lt;ref-type name="Journal Article"&gt;17&lt;/ref-type&gt;&lt;contributors&gt;&lt;authors&gt;&lt;author&gt;Shu, Xiang&lt;/author&gt;&lt;author&gt;Huang, Baoshan&lt;/author&gt;&lt;author&gt;Vukosavljevic, Dragon&lt;/author&gt;&lt;/authors&gt;&lt;/contributors&gt;&lt;titles&gt;&lt;title&gt;Laboratory evaluation of fatigue characteristics of recycled asphalt mixture&lt;/title&gt;&lt;secondary-title&gt;Construction and Building Materials&lt;/secondary-title&gt;&lt;/titles&gt;&lt;periodical&gt;&lt;full-title&gt;Construction and Building Materials&lt;/full-title&gt;&lt;/periodical&gt;&lt;pages&gt;1323-1330&lt;/pages&gt;&lt;volume&gt;22&lt;/volume&gt;&lt;number&gt;7&lt;/number&gt;&lt;dates&gt;&lt;year&gt;2008&lt;/year&gt;&lt;/dates&gt;&lt;isbn&gt;0950-0618&lt;/isbn&gt;&lt;urls&gt;&lt;/urls&gt;&lt;/record&gt;&lt;/Cite&gt;&lt;Cite&gt;&lt;Author&gt;Huang&lt;/Author&gt;&lt;Year&gt;2010&lt;/Year&gt;&lt;RecNum&gt;135&lt;/RecNum&gt;&lt;record&gt;&lt;rec-number&gt;135&lt;/rec-number&gt;&lt;foreign-keys&gt;&lt;key app="EN" db-id="d55vzfpwawdafteedfoxsf0lv0v0wp5va2aa" timestamp="1531592688"&gt;135&lt;/key&gt;&lt;/foreign-keys&gt;&lt;ref-type name="Journal Article"&gt;17&lt;/ref-type&gt;&lt;contributors&gt;&lt;authors&gt;&lt;author&gt;Huang, Baoshan&lt;/author&gt;&lt;author&gt;Shu, Xiang&lt;/author&gt;&lt;author&gt;Vukosavljevic, Dragon&lt;/author&gt;&lt;/authors&gt;&lt;/contributors&gt;&lt;titles&gt;&lt;title&gt;Laboratory investigation of cracking resistance of hot-mix asphalt field mixtures containing screened reclaimed asphalt pavement&lt;/title&gt;&lt;secondary-title&gt;Journal of Materials in Civil Engineering&lt;/secondary-title&gt;&lt;/titles&gt;&lt;periodical&gt;&lt;full-title&gt;Journal of Materials in Civil Engineering&lt;/full-title&gt;&lt;/periodical&gt;&lt;pages&gt;1535-1543&lt;/pages&gt;&lt;volume&gt;23&lt;/volume&gt;&lt;number&gt;11&lt;/number&gt;&lt;dates&gt;&lt;year&gt;2010&lt;/year&gt;&lt;/dates&gt;&lt;isbn&gt;0899-1561&lt;/isbn&gt;&lt;urls&gt;&lt;/urls&gt;&lt;/record&gt;&lt;/Cite&gt;&lt;/EndNote&gt;</w:instrText>
      </w:r>
      <w:r w:rsidRPr="00BB5813">
        <w:fldChar w:fldCharType="separate"/>
      </w:r>
      <w:r w:rsidR="00282238">
        <w:rPr>
          <w:noProof/>
        </w:rPr>
        <w:t>(Shu et al., 2008; Huang et al., 2010)</w:t>
      </w:r>
      <w:r w:rsidRPr="00BB5813">
        <w:fldChar w:fldCharType="end"/>
      </w:r>
      <w:r w:rsidRPr="00BB5813">
        <w:t xml:space="preserve">. Several researchers  </w:t>
      </w:r>
      <w:r w:rsidRPr="00BB5813">
        <w:fldChar w:fldCharType="begin">
          <w:fldData xml:space="preserve">PEVuZE5vdGU+PENpdGU+PEF1dGhvcj5LaW08L0F1dGhvcj48WWVhcj4yMDEyPC9ZZWFyPjxSZWNO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==
</w:fldData>
        </w:fldChar>
      </w:r>
      <w:r w:rsidR="00282238">
        <w:instrText xml:space="preserve"> ADDIN EN.CITE </w:instrText>
      </w:r>
      <w:r w:rsidR="00282238">
        <w:fldChar w:fldCharType="begin">
          <w:fldData xml:space="preserve">PEVuZE5vdGU+PENpdGU+PEF1dGhvcj5LaW08L0F1dGhvcj48WWVhcj4yMDEyPC9ZZWFyPjxSZWNO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==
</w:fldData>
        </w:fldChar>
      </w:r>
      <w:r w:rsidR="00282238">
        <w:instrText xml:space="preserve"> ADDIN EN.CITE.DATA </w:instrText>
      </w:r>
      <w:r w:rsidR="00282238">
        <w:fldChar w:fldCharType="end"/>
      </w:r>
      <w:r w:rsidRPr="00BB5813">
        <w:fldChar w:fldCharType="separate"/>
      </w:r>
      <w:r w:rsidR="00282238">
        <w:rPr>
          <w:noProof/>
        </w:rPr>
        <w:t>(Mull et al., 2002; Wu et al., 2005; Li and Marasteanu, 2010; Kim et al., 2012; Mohammad et al., 2016; Ozer et al., 2016b; Saeidi and Aghayan, 2016)</w:t>
      </w:r>
      <w:r w:rsidRPr="00BB5813">
        <w:fldChar w:fldCharType="end"/>
      </w:r>
      <w:r w:rsidRPr="00BB5813">
        <w:t xml:space="preserve"> have used a tensile strain of 3% as a terminal strain for dry specimens. In this study, the TI values were calculated up to a tensile strain of 4% as the moisture-conditioned specimens did not reach peak strength at 3% strain.</w:t>
      </w:r>
    </w:p>
    <w:p w14:paraId="3EDB4B7D" w14:textId="39D49726" w:rsidR="00DD6905" w:rsidRPr="00BB5813" w:rsidRDefault="00DD6905" w:rsidP="00555D3F">
      <w:pPr>
        <w:pStyle w:val="Paragraph"/>
        <w:spacing w:before="0"/>
        <w:ind w:firstLine="0"/>
        <w:jc w:val="center"/>
      </w:pPr>
      <m:oMath>
        <m:r>
          <w:rPr>
            <w:rFonts w:ascii="Cambria Math" w:hAnsi="Cambria Math"/>
          </w:rPr>
          <m:t>TSR=</m:t>
        </m:r>
        <m:f>
          <m:fPr>
            <m:ctrlPr>
              <w:rPr>
                <w:rFonts w:ascii="Cambria Math" w:hAnsi="Cambria Math"/>
                <w:i/>
              </w:rPr>
            </m:ctrlPr>
          </m:fPr>
          <m:num>
            <m:r>
              <w:rPr>
                <w:rFonts w:ascii="Cambria Math" w:hAnsi="Cambria Math"/>
              </w:rPr>
              <m:t>ITS of Moisture-conditioned Specimens (</m:t>
            </m:r>
            <m:sSub>
              <m:sSubPr>
                <m:ctrlPr>
                  <w:rPr>
                    <w:rFonts w:ascii="Cambria Math" w:hAnsi="Cambria Math"/>
                    <w:i/>
                  </w:rPr>
                </m:ctrlPr>
              </m:sSubPr>
              <m:e>
                <m:r>
                  <w:rPr>
                    <w:rFonts w:ascii="Cambria Math" w:hAnsi="Cambria Math"/>
                  </w:rPr>
                  <m:t>ITS</m:t>
                </m:r>
              </m:e>
              <m:sub>
                <m:r>
                  <w:rPr>
                    <w:rFonts w:ascii="Cambria Math" w:hAnsi="Cambria Math"/>
                  </w:rPr>
                  <m:t>wet</m:t>
                </m:r>
              </m:sub>
            </m:sSub>
            <m:r>
              <w:rPr>
                <w:rFonts w:ascii="Cambria Math" w:hAnsi="Cambria Math"/>
              </w:rPr>
              <m:t>)</m:t>
            </m:r>
          </m:num>
          <m:den>
            <m:r>
              <w:rPr>
                <w:rFonts w:ascii="Cambria Math" w:hAnsi="Cambria Math"/>
              </w:rPr>
              <m:t>ITS of Dry-conditioned Specimens (</m:t>
            </m:r>
            <m:sSub>
              <m:sSubPr>
                <m:ctrlPr>
                  <w:rPr>
                    <w:rFonts w:ascii="Cambria Math" w:hAnsi="Cambria Math"/>
                    <w:i/>
                  </w:rPr>
                </m:ctrlPr>
              </m:sSubPr>
              <m:e>
                <m:r>
                  <w:rPr>
                    <w:rFonts w:ascii="Cambria Math" w:hAnsi="Cambria Math"/>
                  </w:rPr>
                  <m:t>ITS</m:t>
                </m:r>
              </m:e>
              <m:sub>
                <m:r>
                  <w:rPr>
                    <w:rFonts w:ascii="Cambria Math" w:hAnsi="Cambria Math"/>
                  </w:rPr>
                  <m:t>dry</m:t>
                </m:r>
              </m:sub>
            </m:sSub>
            <m:r>
              <w:rPr>
                <w:rFonts w:ascii="Cambria Math" w:hAnsi="Cambria Math"/>
              </w:rPr>
              <m:t>)</m:t>
            </m:r>
          </m:den>
        </m:f>
      </m:oMath>
      <w:r w:rsidRPr="00BB5813">
        <w:t xml:space="preserve">          (</w:t>
      </w:r>
      <w:r w:rsidR="00AD0AD5">
        <w:t>5.</w:t>
      </w:r>
      <w:r w:rsidRPr="00BB5813">
        <w:t xml:space="preserve">1)                   </w:t>
      </w:r>
    </w:p>
    <w:p w14:paraId="7DEBD72B" w14:textId="2BB772BF" w:rsidR="00DD6905" w:rsidRPr="00BB5813" w:rsidRDefault="00DD6905" w:rsidP="00555D3F">
      <w:pPr>
        <w:pStyle w:val="Paragraph"/>
        <w:spacing w:before="0"/>
        <w:ind w:firstLine="0"/>
        <w:jc w:val="center"/>
      </w:pPr>
      <m:oMath>
        <m:r>
          <w:rPr>
            <w:rFonts w:ascii="Cambria Math" w:hAnsi="Cambria Math"/>
          </w:rPr>
          <m:t>TI=</m:t>
        </m:r>
        <m:f>
          <m:fPr>
            <m:ctrlPr>
              <w:rPr>
                <w:rFonts w:ascii="Cambria Math" w:hAnsi="Cambria Math"/>
                <w:i/>
              </w:rPr>
            </m:ctrlPr>
          </m:fPr>
          <m:num>
            <m:sSub>
              <m:sSubPr>
                <m:ctrlPr>
                  <w:rPr>
                    <w:rFonts w:ascii="Cambria Math" w:hAnsi="Cambria Math"/>
                    <w:i/>
                  </w:rPr>
                </m:ctrlPr>
              </m:sSubPr>
              <m:e>
                <m:r>
                  <w:rPr>
                    <w:rFonts w:ascii="Cambria Math" w:hAnsi="Cambria Math"/>
                  </w:rPr>
                  <m:t>A</m:t>
                </m:r>
              </m:e>
              <m:sub>
                <m:r>
                  <w:rPr>
                    <w:rFonts w:ascii="Cambria Math" w:hAnsi="Cambria Math"/>
                  </w:rPr>
                  <m:t>ε</m:t>
                </m:r>
              </m:sub>
            </m:sSub>
            <m:r>
              <w:rPr>
                <w:rFonts w:ascii="Cambria Math" w:hAnsi="Cambria Math"/>
              </w:rPr>
              <m:t>-</m:t>
            </m:r>
            <m:sSub>
              <m:sSubPr>
                <m:ctrlPr>
                  <w:rPr>
                    <w:rFonts w:ascii="Cambria Math" w:hAnsi="Cambria Math"/>
                    <w:i/>
                  </w:rPr>
                </m:ctrlPr>
              </m:sSubPr>
              <m:e>
                <m:r>
                  <w:rPr>
                    <w:rFonts w:ascii="Cambria Math" w:hAnsi="Cambria Math"/>
                  </w:rPr>
                  <m:t>A</m:t>
                </m:r>
              </m:e>
              <m:sub>
                <m:r>
                  <w:rPr>
                    <w:rFonts w:ascii="Cambria Math" w:hAnsi="Cambria Math"/>
                  </w:rPr>
                  <m:t>p</m:t>
                </m:r>
              </m:sub>
            </m:sSub>
          </m:num>
          <m:den>
            <m:r>
              <w:rPr>
                <w:rFonts w:ascii="Cambria Math" w:hAnsi="Cambria Math"/>
              </w:rPr>
              <m:t>ε-</m:t>
            </m:r>
            <m:sSub>
              <m:sSubPr>
                <m:ctrlPr>
                  <w:rPr>
                    <w:rFonts w:ascii="Cambria Math" w:hAnsi="Cambria Math"/>
                    <w:i/>
                  </w:rPr>
                </m:ctrlPr>
              </m:sSubPr>
              <m:e>
                <m:r>
                  <w:rPr>
                    <w:rFonts w:ascii="Cambria Math" w:hAnsi="Cambria Math"/>
                  </w:rPr>
                  <m:t>ε</m:t>
                </m:r>
              </m:e>
              <m:sub>
                <m:r>
                  <w:rPr>
                    <w:rFonts w:ascii="Cambria Math" w:hAnsi="Cambria Math"/>
                  </w:rPr>
                  <m:t>p</m:t>
                </m:r>
              </m:sub>
            </m:sSub>
          </m:den>
        </m:f>
      </m:oMath>
      <w:r w:rsidRPr="00BB5813">
        <w:t xml:space="preserve">                                                     </w:t>
      </w:r>
      <w:r w:rsidRPr="00BB5813">
        <w:tab/>
        <w:t xml:space="preserve">       (</w:t>
      </w:r>
      <w:r w:rsidR="00AD0AD5">
        <w:t>5.</w:t>
      </w:r>
      <w:r w:rsidRPr="00BB5813">
        <w:t>2)</w:t>
      </w:r>
    </w:p>
    <w:p w14:paraId="5BAA87E0" w14:textId="77777777" w:rsidR="00DD6905" w:rsidRPr="00BB5813" w:rsidRDefault="00DD6905" w:rsidP="00555D3F">
      <w:pPr>
        <w:pStyle w:val="Paragraph"/>
        <w:spacing w:before="0"/>
      </w:pPr>
      <w:r w:rsidRPr="00BB5813">
        <w:t xml:space="preserve">where, </w:t>
      </w:r>
    </w:p>
    <w:p w14:paraId="382B94EF" w14:textId="64F89136" w:rsidR="00DD6905" w:rsidRPr="00BB5813" w:rsidRDefault="00DD6905" w:rsidP="00555D3F">
      <w:pPr>
        <w:pStyle w:val="Paragraph"/>
        <w:spacing w:before="0"/>
        <w:ind w:left="720"/>
      </w:pPr>
      <w:r w:rsidRPr="00BB5813">
        <w:rPr>
          <w:i/>
        </w:rPr>
        <w:t>ε</w:t>
      </w:r>
      <w:r w:rsidRPr="00BB5813">
        <w:t xml:space="preserve"> = strain corresponding to 4% tensile strain</w:t>
      </w:r>
      <w:r w:rsidR="002053A3">
        <w:t>,</w:t>
      </w:r>
    </w:p>
    <w:p w14:paraId="7AFD78A0" w14:textId="081E1004" w:rsidR="00DD6905" w:rsidRPr="00BB5813" w:rsidRDefault="00DD6905" w:rsidP="00555D3F">
      <w:pPr>
        <w:pStyle w:val="Paragraph"/>
        <w:spacing w:before="0"/>
        <w:ind w:firstLine="0"/>
      </w:pPr>
      <w:r w:rsidRPr="00BB5813">
        <w:tab/>
      </w:r>
      <w:r w:rsidRPr="00BB5813">
        <w:tab/>
      </w:r>
      <w:r w:rsidRPr="00BB5813">
        <w:rPr>
          <w:i/>
        </w:rPr>
        <w:t>ε</w:t>
      </w:r>
      <w:r w:rsidRPr="00BB5813">
        <w:rPr>
          <w:i/>
          <w:vertAlign w:val="subscript"/>
        </w:rPr>
        <w:t>p</w:t>
      </w:r>
      <w:r w:rsidRPr="00BB5813">
        <w:t xml:space="preserve"> = strain corresponding to peak strength</w:t>
      </w:r>
      <w:r w:rsidR="002053A3">
        <w:t>,</w:t>
      </w:r>
    </w:p>
    <w:p w14:paraId="6909903A" w14:textId="6730E53B" w:rsidR="00DD6905" w:rsidRPr="00BB5813" w:rsidRDefault="00DD6905" w:rsidP="00555D3F">
      <w:pPr>
        <w:pStyle w:val="Paragraph"/>
        <w:spacing w:before="0"/>
        <w:ind w:left="720"/>
      </w:pPr>
      <w:r w:rsidRPr="00BB5813">
        <w:rPr>
          <w:i/>
        </w:rPr>
        <w:t>A</w:t>
      </w:r>
      <w:r w:rsidRPr="00BB5813">
        <w:rPr>
          <w:i/>
          <w:vertAlign w:val="subscript"/>
        </w:rPr>
        <w:t>ε</w:t>
      </w:r>
      <w:r w:rsidRPr="00BB5813">
        <w:rPr>
          <w:i/>
        </w:rPr>
        <w:t xml:space="preserve"> </w:t>
      </w:r>
      <w:r w:rsidRPr="00BB5813">
        <w:t>= area under normalized stress-strain curve up to 4% tensile strain (</w:t>
      </w:r>
      <w:r w:rsidRPr="00BB5813">
        <w:rPr>
          <w:i/>
        </w:rPr>
        <w:t>ε</w:t>
      </w:r>
      <w:r w:rsidRPr="00BB5813">
        <w:t>)</w:t>
      </w:r>
      <w:r w:rsidR="002053A3">
        <w:t>,</w:t>
      </w:r>
    </w:p>
    <w:p w14:paraId="2EEEF5E3" w14:textId="77777777" w:rsidR="00DD6905" w:rsidRPr="00BB5813" w:rsidRDefault="00DD6905" w:rsidP="00555D3F">
      <w:pPr>
        <w:pStyle w:val="Paragraph"/>
        <w:spacing w:before="0"/>
        <w:ind w:firstLine="0"/>
      </w:pPr>
      <w:r w:rsidRPr="00BB5813">
        <w:tab/>
      </w:r>
      <w:r w:rsidRPr="00BB5813">
        <w:tab/>
      </w:r>
      <w:r w:rsidRPr="00BB5813">
        <w:rPr>
          <w:i/>
        </w:rPr>
        <w:t>A</w:t>
      </w:r>
      <w:r w:rsidRPr="00BB5813">
        <w:rPr>
          <w:i/>
          <w:vertAlign w:val="subscript"/>
        </w:rPr>
        <w:t>p</w:t>
      </w:r>
      <w:r w:rsidRPr="00BB5813">
        <w:rPr>
          <w:i/>
        </w:rPr>
        <w:t xml:space="preserve"> </w:t>
      </w:r>
      <w:r w:rsidRPr="00BB5813">
        <w:t>= area under normalized stress-strain curve up to peak strength (</w:t>
      </w:r>
      <w:r w:rsidRPr="00BB5813">
        <w:rPr>
          <w:i/>
        </w:rPr>
        <w:t>ε</w:t>
      </w:r>
      <w:r w:rsidRPr="00BB5813">
        <w:rPr>
          <w:i/>
          <w:vertAlign w:val="subscript"/>
        </w:rPr>
        <w:t>p</w:t>
      </w:r>
      <w:r w:rsidRPr="00BB5813">
        <w:t>).</w:t>
      </w:r>
    </w:p>
    <w:p w14:paraId="7AD85B73" w14:textId="77777777" w:rsidR="00DD6905" w:rsidRPr="00BB5813" w:rsidRDefault="00DD6905" w:rsidP="00555D3F">
      <w:pPr>
        <w:pStyle w:val="Heading4"/>
        <w:spacing w:before="0" w:after="0"/>
      </w:pPr>
      <w:r w:rsidRPr="00BB5813">
        <w:t>Louisiana Semi-Circular Bend (LA-SCB) test</w:t>
      </w:r>
    </w:p>
    <w:p w14:paraId="59395325" w14:textId="37B9D4C4" w:rsidR="00DD6905" w:rsidRPr="00BB5813" w:rsidRDefault="00DD6905" w:rsidP="00555D3F">
      <w:pPr>
        <w:ind w:firstLine="720"/>
        <w:rPr>
          <w:szCs w:val="24"/>
        </w:rPr>
      </w:pPr>
      <w:r w:rsidRPr="00BB5813">
        <w:rPr>
          <w:szCs w:val="24"/>
        </w:rPr>
        <w:t>The semi-circular specimens of 150 mm in diameter, 75 mm in height, and 50 mm in thickness were prepared for conducting LA-SCB test. For this purpose, samples with a diameter of 150 mm and height of 120 mm were prepared using an SGC. The samples were then divided into two subsets. One subset was kept at 25°C while the other subset was moisture-conditioned using the MIST method mentioned in the previous section. Then the specimens were cut as per the abovementioned shapes, and notches (25.4, 31.8 and 38 mm depth) were made for LA-SCB testing. Three replicates were tested for each notch depth. The LA-SCB tests were performed at 25°C by applying a monotonically increasing load at a rate of 0.5 mm/min until failure. The results of the SCB tests were analyzed by calculating the critical energy release rate or J-integral (</w:t>
      </w:r>
      <w:r w:rsidRPr="00BB5813">
        <w:rPr>
          <w:i/>
          <w:iCs/>
          <w:szCs w:val="24"/>
        </w:rPr>
        <w:t>J</w:t>
      </w:r>
      <w:r w:rsidRPr="00BB5813">
        <w:rPr>
          <w:i/>
          <w:iCs/>
          <w:szCs w:val="24"/>
          <w:vertAlign w:val="subscript"/>
        </w:rPr>
        <w:t>c</w:t>
      </w:r>
      <w:r w:rsidRPr="00BB5813">
        <w:rPr>
          <w:szCs w:val="24"/>
        </w:rPr>
        <w:t>). The J-integral was calculated by plotting the areas under the load-deformation curves until peak loads observed for each specimen against the notch depths. The J-integral was calculated using Equation (</w:t>
      </w:r>
      <w:r w:rsidR="00AD0AD5">
        <w:t>5.</w:t>
      </w:r>
      <w:r w:rsidRPr="00BB5813">
        <w:rPr>
          <w:szCs w:val="24"/>
        </w:rPr>
        <w:t xml:space="preserve">3) in which </w:t>
      </w:r>
      <w:r w:rsidRPr="00BB5813">
        <w:rPr>
          <w:i/>
          <w:iCs/>
          <w:szCs w:val="24"/>
        </w:rPr>
        <w:t>dU/da</w:t>
      </w:r>
      <w:r w:rsidRPr="00BB5813">
        <w:rPr>
          <w:szCs w:val="24"/>
        </w:rPr>
        <w:t xml:space="preserve"> was obtained from the slope of the strain energy vs notch depth plot. The mechanistic basis of J-integral from SCB testing is discussed by </w:t>
      </w:r>
      <w:r w:rsidRPr="00BB5813">
        <w:rPr>
          <w:szCs w:val="24"/>
        </w:rPr>
        <w:fldChar w:fldCharType="begin"/>
      </w:r>
      <w:r w:rsidR="00B96C8D">
        <w:rPr>
          <w:szCs w:val="24"/>
        </w:rPr>
        <w:instrText xml:space="preserve"> ADDIN EN.CITE &lt;EndNote&gt;&lt;Cite AuthorYear="1"&gt;&lt;Author&gt;Wu&lt;/Author&gt;&lt;Year&gt;2005&lt;/Year&gt;&lt;RecNum&gt;119&lt;/RecNum&gt;&lt;DisplayText&gt;Wu et al. (2005)&lt;/DisplayText&gt;&lt;record&gt;&lt;rec-number&gt;119&lt;/rec-number&gt;&lt;foreign-keys&gt;&lt;key app="EN" db-id="d55vzfpwawdafteedfoxsf0lv0v0wp5va2aa" timestamp="1521419206"&gt;119&lt;/key&gt;&lt;/foreign-keys&gt;&lt;ref-type name="Journal Article"&gt;17&lt;/ref-type&gt;&lt;contributors&gt;&lt;authors&gt;&lt;author&gt;Wu, Zhong&lt;/author&gt;&lt;author&gt;Mohammad, Louay N&lt;/author&gt;&lt;author&gt;Wang, LB&lt;/author&gt;&lt;author&gt;Mull, Mary Ann&lt;/author&gt;&lt;/authors&gt;&lt;/contributors&gt;&lt;titles&gt;&lt;title&gt;Fracture resistance characterization of superpave mixtures using the semi-circular bending test&lt;/title&gt;&lt;secondary-title&gt;Journal of ASTM International&lt;/secondary-title&gt;&lt;/titles&gt;&lt;periodical&gt;&lt;full-title&gt;Journal of ASTM International&lt;/full-title&gt;&lt;/periodical&gt;&lt;pages&gt;1-15&lt;/pages&gt;&lt;volume&gt;2&lt;/volume&gt;&lt;number&gt;3&lt;/number&gt;&lt;dates&gt;&lt;year&gt;2005&lt;/year&gt;&lt;/dates&gt;&lt;isbn&gt;1546-962X&lt;/isbn&gt;&lt;urls&gt;&lt;/urls&gt;&lt;/record&gt;&lt;/Cite&gt;&lt;/EndNote&gt;</w:instrText>
      </w:r>
      <w:r w:rsidRPr="00BB5813">
        <w:rPr>
          <w:szCs w:val="24"/>
        </w:rPr>
        <w:fldChar w:fldCharType="separate"/>
      </w:r>
      <w:r w:rsidR="00B96C8D">
        <w:rPr>
          <w:noProof/>
          <w:szCs w:val="24"/>
        </w:rPr>
        <w:t>Wu et al. (2005)</w:t>
      </w:r>
      <w:r w:rsidRPr="00BB5813">
        <w:rPr>
          <w:szCs w:val="24"/>
        </w:rPr>
        <w:fldChar w:fldCharType="end"/>
      </w:r>
      <w:r w:rsidRPr="00BB5813">
        <w:rPr>
          <w:szCs w:val="24"/>
        </w:rPr>
        <w:t xml:space="preserve">. </w:t>
      </w:r>
    </w:p>
    <w:p w14:paraId="0737A2C3" w14:textId="6F2432B3" w:rsidR="00DD6905" w:rsidRPr="00BB5813" w:rsidRDefault="007F7885" w:rsidP="00555D3F">
      <w:pPr>
        <w:jc w:val="center"/>
      </w:pPr>
      <m:oMath>
        <m:sSub>
          <m:sSubPr>
            <m:ctrlPr>
              <w:rPr>
                <w:rFonts w:ascii="Cambria Math" w:hAnsi="Cambria Math"/>
                <w:i/>
              </w:rPr>
            </m:ctrlPr>
          </m:sSubPr>
          <m:e>
            <m:r>
              <w:rPr>
                <w:rFonts w:ascii="Cambria Math" w:hAnsi="Cambria Math"/>
              </w:rPr>
              <m:t>J</m:t>
            </m:r>
          </m:e>
          <m:sub>
            <m:r>
              <w:rPr>
                <w:rFonts w:ascii="Cambria Math" w:hAnsi="Cambria Math"/>
              </w:rPr>
              <m:t>c</m:t>
            </m:r>
          </m:sub>
        </m:sSub>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b</m:t>
            </m:r>
          </m:den>
        </m:f>
        <m:r>
          <w:rPr>
            <w:rFonts w:ascii="Cambria Math" w:hAnsi="Cambria Math"/>
          </w:rPr>
          <m:t>)</m:t>
        </m:r>
        <m:f>
          <m:fPr>
            <m:ctrlPr>
              <w:rPr>
                <w:rFonts w:ascii="Cambria Math" w:hAnsi="Cambria Math"/>
                <w:i/>
              </w:rPr>
            </m:ctrlPr>
          </m:fPr>
          <m:num>
            <m:r>
              <w:rPr>
                <w:rFonts w:ascii="Cambria Math" w:hAnsi="Cambria Math"/>
              </w:rPr>
              <m:t>dU</m:t>
            </m:r>
          </m:num>
          <m:den>
            <m:r>
              <w:rPr>
                <w:rFonts w:ascii="Cambria Math" w:hAnsi="Cambria Math"/>
              </w:rPr>
              <m:t>da</m:t>
            </m:r>
          </m:den>
        </m:f>
      </m:oMath>
      <w:r w:rsidR="00DD6905" w:rsidRPr="00BB5813">
        <w:rPr>
          <w:rFonts w:eastAsiaTheme="minorEastAsia"/>
        </w:rPr>
        <w:t xml:space="preserve">  </w:t>
      </w:r>
      <w:r w:rsidR="00DD6905" w:rsidRPr="00BB5813">
        <w:rPr>
          <w:rFonts w:eastAsiaTheme="minorEastAsia"/>
        </w:rPr>
        <w:tab/>
      </w:r>
      <w:r w:rsidR="00DD6905" w:rsidRPr="00BB5813">
        <w:rPr>
          <w:rFonts w:eastAsiaTheme="minorEastAsia"/>
        </w:rPr>
        <w:tab/>
      </w:r>
      <w:r w:rsidR="00DD6905" w:rsidRPr="00BB5813">
        <w:rPr>
          <w:rFonts w:eastAsiaTheme="minorEastAsia"/>
        </w:rPr>
        <w:tab/>
      </w:r>
      <w:r w:rsidR="00DD6905" w:rsidRPr="00BB5813">
        <w:rPr>
          <w:rFonts w:eastAsiaTheme="minorEastAsia"/>
        </w:rPr>
        <w:tab/>
      </w:r>
      <w:r w:rsidR="00DD6905" w:rsidRPr="00BB5813">
        <w:rPr>
          <w:rFonts w:eastAsiaTheme="minorEastAsia"/>
        </w:rPr>
        <w:tab/>
        <w:t>(</w:t>
      </w:r>
      <w:r w:rsidR="00AD0AD5">
        <w:t>5.</w:t>
      </w:r>
      <w:r w:rsidR="00DD6905" w:rsidRPr="00BB5813">
        <w:rPr>
          <w:rFonts w:eastAsiaTheme="minorEastAsia"/>
        </w:rPr>
        <w:t>3)</w:t>
      </w:r>
    </w:p>
    <w:p w14:paraId="7C6BD107" w14:textId="77777777" w:rsidR="00DD6905" w:rsidRPr="00BB5813" w:rsidRDefault="00DD6905" w:rsidP="00555D3F">
      <w:pPr>
        <w:ind w:firstLine="720"/>
      </w:pPr>
      <w:r w:rsidRPr="00BB5813">
        <w:t xml:space="preserve">where, </w:t>
      </w:r>
    </w:p>
    <w:p w14:paraId="4F3EF09A" w14:textId="3EAC70C5" w:rsidR="00DD6905" w:rsidRPr="00BB5813" w:rsidRDefault="00DD6905" w:rsidP="00555D3F">
      <w:pPr>
        <w:ind w:left="720" w:firstLine="720"/>
      </w:pPr>
      <w:r w:rsidRPr="00BB5813">
        <w:rPr>
          <w:i/>
        </w:rPr>
        <w:t>J</w:t>
      </w:r>
      <w:r w:rsidRPr="00BB5813">
        <w:rPr>
          <w:i/>
          <w:vertAlign w:val="subscript"/>
        </w:rPr>
        <w:t>c</w:t>
      </w:r>
      <w:r w:rsidRPr="00BB5813">
        <w:rPr>
          <w:vertAlign w:val="subscript"/>
        </w:rPr>
        <w:t xml:space="preserve"> </w:t>
      </w:r>
      <w:r w:rsidRPr="00BB5813">
        <w:t>= critical strain energy release rate</w:t>
      </w:r>
      <w:r w:rsidR="008D7BC6">
        <w:t>,</w:t>
      </w:r>
    </w:p>
    <w:p w14:paraId="3CA135E9" w14:textId="5766FDAF" w:rsidR="00DD6905" w:rsidRPr="00BB5813" w:rsidRDefault="00DD6905" w:rsidP="00555D3F">
      <w:pPr>
        <w:ind w:left="720" w:firstLine="720"/>
      </w:pPr>
      <w:r w:rsidRPr="00BB5813">
        <w:rPr>
          <w:i/>
        </w:rPr>
        <w:t>b</w:t>
      </w:r>
      <w:r w:rsidRPr="00BB5813">
        <w:t xml:space="preserve"> = width of the specimen</w:t>
      </w:r>
      <w:r w:rsidR="008D7BC6">
        <w:t>,</w:t>
      </w:r>
    </w:p>
    <w:p w14:paraId="0F9E100D" w14:textId="34A8D36F" w:rsidR="00DD6905" w:rsidRPr="00BB5813" w:rsidRDefault="00DD6905" w:rsidP="00555D3F">
      <w:pPr>
        <w:ind w:left="720" w:firstLine="720"/>
      </w:pPr>
      <w:r w:rsidRPr="00BB5813">
        <w:rPr>
          <w:i/>
        </w:rPr>
        <w:t>U =</w:t>
      </w:r>
      <w:r w:rsidRPr="00BB5813">
        <w:t xml:space="preserve"> strain energy to failure</w:t>
      </w:r>
      <w:r w:rsidR="008D7BC6">
        <w:t>,</w:t>
      </w:r>
    </w:p>
    <w:p w14:paraId="3DDA857C" w14:textId="77777777" w:rsidR="00DD6905" w:rsidRPr="00BB5813" w:rsidRDefault="00DD6905" w:rsidP="00555D3F">
      <w:pPr>
        <w:ind w:left="720" w:firstLine="720"/>
      </w:pPr>
      <w:r w:rsidRPr="00BB5813">
        <w:rPr>
          <w:i/>
        </w:rPr>
        <w:t>a</w:t>
      </w:r>
      <w:r w:rsidRPr="00BB5813">
        <w:t xml:space="preserve"> = notch depth of the specimen.</w:t>
      </w:r>
    </w:p>
    <w:p w14:paraId="033FB9D2" w14:textId="5AB9F283" w:rsidR="00DD6905" w:rsidRPr="00BB5813" w:rsidRDefault="00DD6905" w:rsidP="00555D3F">
      <w:pPr>
        <w:pStyle w:val="Paragraph"/>
        <w:spacing w:before="0"/>
      </w:pPr>
      <w:r w:rsidRPr="00BB5813">
        <w:t xml:space="preserve">The </w:t>
      </w:r>
      <w:r w:rsidRPr="00BB5813">
        <w:rPr>
          <w:i/>
          <w:iCs/>
        </w:rPr>
        <w:t>J</w:t>
      </w:r>
      <w:r w:rsidRPr="00BB5813">
        <w:rPr>
          <w:i/>
          <w:iCs/>
          <w:vertAlign w:val="subscript"/>
        </w:rPr>
        <w:t>c</w:t>
      </w:r>
      <w:r w:rsidRPr="00BB5813">
        <w:rPr>
          <w:i/>
          <w:iCs/>
        </w:rPr>
        <w:t xml:space="preserve"> ratio</w:t>
      </w:r>
      <w:r w:rsidRPr="00BB5813">
        <w:t xml:space="preserve"> was calculated by dividing the J-integral value of a MIST-conditioned by the corresponding value of the dry specimen using Equation (</w:t>
      </w:r>
      <w:r w:rsidR="00AD0AD5">
        <w:t>5.</w:t>
      </w:r>
      <w:r w:rsidRPr="00BB5813">
        <w:t>4).</w:t>
      </w:r>
    </w:p>
    <w:p w14:paraId="28A24BF7" w14:textId="2A99849A" w:rsidR="00DD6905" w:rsidRPr="00BB5813" w:rsidRDefault="00DD6905" w:rsidP="00555D3F">
      <w:pPr>
        <w:pStyle w:val="Paragraph"/>
        <w:spacing w:before="0"/>
        <w:ind w:firstLine="0"/>
        <w:jc w:val="center"/>
      </w:pPr>
      <w:r w:rsidRPr="00BB5813">
        <w:rPr>
          <w:i/>
        </w:rPr>
        <w:t>J</w:t>
      </w:r>
      <w:r w:rsidRPr="00BB5813">
        <w:rPr>
          <w:i/>
          <w:vertAlign w:val="subscript"/>
        </w:rPr>
        <w:t>c</w:t>
      </w:r>
      <w:r w:rsidRPr="00BB5813">
        <w:rPr>
          <w:i/>
        </w:rPr>
        <w:t xml:space="preserve"> ratio</w:t>
      </w:r>
      <w:r w:rsidRPr="00BB5813">
        <w:t xml:space="preserve"> = </w:t>
      </w:r>
      <m:oMath>
        <m:f>
          <m:fPr>
            <m:ctrlPr>
              <w:rPr>
                <w:rFonts w:ascii="Cambria Math" w:hAnsi="Cambria Math"/>
                <w:i/>
              </w:rPr>
            </m:ctrlPr>
          </m:fPr>
          <m:num>
            <m:sSub>
              <m:sSubPr>
                <m:ctrlPr>
                  <w:rPr>
                    <w:rFonts w:ascii="Cambria Math" w:hAnsi="Cambria Math"/>
                    <w:i/>
                  </w:rPr>
                </m:ctrlPr>
              </m:sSubPr>
              <m:e>
                <m:r>
                  <w:rPr>
                    <w:rFonts w:ascii="Cambria Math" w:hAnsi="Cambria Math"/>
                  </w:rPr>
                  <m:t>J</m:t>
                </m:r>
              </m:e>
              <m:sub>
                <m:r>
                  <w:rPr>
                    <w:rFonts w:ascii="Cambria Math" w:hAnsi="Cambria Math"/>
                  </w:rPr>
                  <m:t>c</m:t>
                </m:r>
              </m:sub>
            </m:sSub>
            <m:r>
              <w:rPr>
                <w:rFonts w:ascii="Cambria Math" w:hAnsi="Cambria Math"/>
              </w:rPr>
              <m:t xml:space="preserve"> of MIST-conditioned Specimens (</m:t>
            </m:r>
            <m:sSub>
              <m:sSubPr>
                <m:ctrlPr>
                  <w:rPr>
                    <w:rFonts w:ascii="Cambria Math" w:hAnsi="Cambria Math"/>
                    <w:i/>
                  </w:rPr>
                </m:ctrlPr>
              </m:sSubPr>
              <m:e>
                <m:r>
                  <w:rPr>
                    <w:rFonts w:ascii="Cambria Math" w:hAnsi="Cambria Math"/>
                  </w:rPr>
                  <m:t>J</m:t>
                </m:r>
              </m:e>
              <m:sub>
                <m:r>
                  <w:rPr>
                    <w:rFonts w:ascii="Cambria Math" w:hAnsi="Cambria Math"/>
                  </w:rPr>
                  <m:t>c-Mist</m:t>
                </m:r>
              </m:sub>
            </m:sSub>
            <m:r>
              <w:rPr>
                <w:rFonts w:ascii="Cambria Math" w:hAnsi="Cambria Math"/>
              </w:rPr>
              <m:t>)</m:t>
            </m:r>
          </m:num>
          <m:den>
            <m:sSub>
              <m:sSubPr>
                <m:ctrlPr>
                  <w:rPr>
                    <w:rFonts w:ascii="Cambria Math" w:hAnsi="Cambria Math"/>
                    <w:i/>
                  </w:rPr>
                </m:ctrlPr>
              </m:sSubPr>
              <m:e>
                <m:r>
                  <w:rPr>
                    <w:rFonts w:ascii="Cambria Math" w:hAnsi="Cambria Math"/>
                  </w:rPr>
                  <m:t>J</m:t>
                </m:r>
              </m:e>
              <m:sub>
                <m:r>
                  <w:rPr>
                    <w:rFonts w:ascii="Cambria Math" w:hAnsi="Cambria Math"/>
                  </w:rPr>
                  <m:t xml:space="preserve">c  </m:t>
                </m:r>
              </m:sub>
            </m:sSub>
            <m:r>
              <w:rPr>
                <w:rFonts w:ascii="Cambria Math" w:hAnsi="Cambria Math"/>
              </w:rPr>
              <m:t>of Dry-conditioned Specimens (</m:t>
            </m:r>
            <m:sSub>
              <m:sSubPr>
                <m:ctrlPr>
                  <w:rPr>
                    <w:rFonts w:ascii="Cambria Math" w:hAnsi="Cambria Math"/>
                    <w:i/>
                  </w:rPr>
                </m:ctrlPr>
              </m:sSubPr>
              <m:e>
                <m:r>
                  <w:rPr>
                    <w:rFonts w:ascii="Cambria Math" w:hAnsi="Cambria Math"/>
                  </w:rPr>
                  <m:t>J</m:t>
                </m:r>
              </m:e>
              <m:sub>
                <m:r>
                  <w:rPr>
                    <w:rFonts w:ascii="Cambria Math" w:hAnsi="Cambria Math"/>
                  </w:rPr>
                  <m:t>c-dry</m:t>
                </m:r>
              </m:sub>
            </m:sSub>
            <m:r>
              <w:rPr>
                <w:rFonts w:ascii="Cambria Math" w:hAnsi="Cambria Math"/>
              </w:rPr>
              <m:t>)</m:t>
            </m:r>
          </m:den>
        </m:f>
      </m:oMath>
      <w:r w:rsidRPr="00BB5813">
        <w:t xml:space="preserve">               (</w:t>
      </w:r>
      <w:r w:rsidR="00AD0AD5">
        <w:t>5.</w:t>
      </w:r>
      <w:r w:rsidRPr="00BB5813">
        <w:t>4)</w:t>
      </w:r>
    </w:p>
    <w:p w14:paraId="0E029F6F" w14:textId="3F692B38" w:rsidR="00DD6905" w:rsidRPr="00BB5813" w:rsidRDefault="00DD6905" w:rsidP="00E57694">
      <w:pPr>
        <w:pStyle w:val="Heading2"/>
      </w:pPr>
      <w:bookmarkStart w:id="154" w:name="_Toc71728459"/>
      <w:r w:rsidRPr="00BB5813">
        <w:t>RESULTS AND DISCUSSIONS</w:t>
      </w:r>
      <w:bookmarkEnd w:id="154"/>
    </w:p>
    <w:p w14:paraId="15AB1F3F" w14:textId="0D304A43" w:rsidR="00DD6905" w:rsidRPr="00BB5813" w:rsidRDefault="00DD6905" w:rsidP="00985A4A">
      <w:pPr>
        <w:pStyle w:val="Heading3"/>
      </w:pPr>
      <w:bookmarkStart w:id="155" w:name="_Toc71728460"/>
      <w:r w:rsidRPr="00BB5813">
        <w:t>HWT Results</w:t>
      </w:r>
      <w:bookmarkEnd w:id="155"/>
    </w:p>
    <w:p w14:paraId="60DA7705" w14:textId="77777777" w:rsidR="00DD6905" w:rsidRPr="00BB5813" w:rsidRDefault="00DD6905" w:rsidP="00555D3F">
      <w:pPr>
        <w:pStyle w:val="Heading4"/>
        <w:spacing w:before="0" w:after="0"/>
      </w:pPr>
      <w:r w:rsidRPr="00BB5813">
        <w:t>Conventional method</w:t>
      </w:r>
    </w:p>
    <w:p w14:paraId="3814F16E" w14:textId="58EF2620" w:rsidR="00DD6905" w:rsidRPr="00BB5813" w:rsidRDefault="00DD6905" w:rsidP="00555D3F">
      <w:pPr>
        <w:pStyle w:val="Paragraph"/>
        <w:spacing w:before="0"/>
      </w:pPr>
      <w:r w:rsidRPr="00BB5813">
        <w:t xml:space="preserve">Figure </w:t>
      </w:r>
      <w:r w:rsidR="004B1FFB">
        <w:t>5.</w:t>
      </w:r>
      <w:r w:rsidRPr="00BB5813">
        <w:t xml:space="preserve">2 presents the rut depths vs. number of wheel passes obtained from HWT tests for all five mixes. The rut depths in Figure </w:t>
      </w:r>
      <w:r w:rsidR="004B1FFB">
        <w:t>5.</w:t>
      </w:r>
      <w:r w:rsidRPr="00BB5813">
        <w:t xml:space="preserve">2 represent the average of two sets of samples. Table </w:t>
      </w:r>
      <w:r w:rsidR="006E4A55">
        <w:t>5.</w:t>
      </w:r>
      <w:r w:rsidRPr="00BB5813">
        <w:t xml:space="preserve">2 presents the rutting parameters for all mixes determined by the conventional method. From Figure </w:t>
      </w:r>
      <w:r w:rsidR="004B1FFB">
        <w:t>5.</w:t>
      </w:r>
      <w:r w:rsidRPr="00BB5813">
        <w:t xml:space="preserve">2, the rut depths at 10,000 and 20,000 wheel passes for Mix-1-None (control mix) were 2.8 and 14.9 mm, respectively. A </w:t>
      </w:r>
      <w:r w:rsidRPr="00BB5813">
        <w:rPr>
          <w:i/>
          <w:iCs/>
        </w:rPr>
        <w:t>SIP</w:t>
      </w:r>
      <w:r w:rsidRPr="00BB5813">
        <w:t xml:space="preserve"> was observed at 11,500 wheel passes for Mix-1-None, indicating a potential for moisture-induced damage. The creep and stripping slope for Mix-1-None occurred at 4,120 and 880 passes/mm, respectively. </w:t>
      </w:r>
    </w:p>
    <w:p w14:paraId="167ED10B" w14:textId="324E17F9" w:rsidR="00DD6905" w:rsidRPr="00BB5813" w:rsidRDefault="00DD6905" w:rsidP="00555D3F">
      <w:pPr>
        <w:pStyle w:val="Paragraph"/>
        <w:spacing w:before="0"/>
      </w:pPr>
      <w:r w:rsidRPr="00BB5813">
        <w:t xml:space="preserve">The effect of WMA additive was observed by comparing the rutting parameters of Mix-1-None and Mix-2-WMA. From Figure </w:t>
      </w:r>
      <w:r w:rsidR="004B1FFB">
        <w:t>5.</w:t>
      </w:r>
      <w:r w:rsidRPr="00BB5813">
        <w:t xml:space="preserve">2, the rut limit (20 mm) of Mix-2-WMA was reached around 13,000 passes. At 10,000 passes, Mix-2-WMA exhibited a rut depth of 11.5 mm which was higher than that of Mix-1-None (2.81 mm) at the same number of wheel passes. Also, the number of wheel passes required for 1 mm deformation at the creep and the stripping phases were lower for Mix-2-WMA than Mix-1-None. Therefore, it can be concluded that the mix containing WMA is expected to exhibit a higher rutting and moisture-induced damage than the control mix. These findings were consistent with the results reported by previous studies </w:t>
      </w:r>
      <w:r w:rsidRPr="00BB5813">
        <w:fldChar w:fldCharType="begin"/>
      </w:r>
      <w:r w:rsidR="00282238">
        <w:instrText xml:space="preserve"> ADDIN EN.CITE &lt;EndNote&gt;&lt;Cite&gt;&lt;Author&gt;Prowell&lt;/Author&gt;&lt;Year&gt;2007&lt;/Year&gt;&lt;RecNum&gt;107&lt;/RecNum&gt;&lt;DisplayText&gt;(Prowell et al., 2007; Ghabchi et al., 2013)&lt;/DisplayText&gt;&lt;record&gt;&lt;rec-number&gt;107&lt;/rec-number&gt;&lt;foreign-keys&gt;&lt;key app="EN" db-id="d55vzfpwawdafteedfoxsf0lv0v0wp5va2aa" timestamp="1521323077"&gt;107&lt;/key&gt;&lt;/foreign-keys&gt;&lt;ref-type name="Journal Article"&gt;17&lt;/ref-type&gt;&lt;contributors&gt;&lt;authors&gt;&lt;author&gt;Prowell, Brian&lt;/author&gt;&lt;author&gt;Hurley, Graham&lt;/author&gt;&lt;author&gt;Crews, Everett&lt;/author&gt;&lt;/authors&gt;&lt;/contributors&gt;&lt;titles&gt;&lt;title&gt;Field performance of warm-mix asphalt at national center for asphalt technology test track&lt;/title&gt;&lt;secondary-title&gt;Transportation Research Record: Journal of the Transportation Research Board&lt;/secondary-title&gt;&lt;/titles&gt;&lt;periodical&gt;&lt;full-title&gt;Transportation Research Record: Journal of the Transportation Research Board&lt;/full-title&gt;&lt;/periodical&gt;&lt;pages&gt;96-102&lt;/pages&gt;&lt;number&gt;1998&lt;/number&gt;&lt;dates&gt;&lt;year&gt;2007&lt;/year&gt;&lt;/dates&gt;&lt;isbn&gt;0361-1981&lt;/isbn&gt;&lt;urls&gt;&lt;/urls&gt;&lt;/record&gt;&lt;/Cite&gt;&lt;Cite&gt;&lt;Author&gt;Ghabchi&lt;/Author&gt;&lt;Year&gt;2013&lt;/Year&gt;&lt;RecNum&gt;33&lt;/RecNum&gt;&lt;record&gt;&lt;rec-number&gt;33&lt;/rec-number&gt;&lt;foreign-keys&gt;&lt;key app="EN" db-id="d55vzfpwawdafteedfoxsf0lv0v0wp5va2aa" timestamp="1509901289"&gt;33&lt;/key&gt;&lt;/foreign-keys&gt;&lt;ref-type name="Journal Article"&gt;17&lt;/ref-type&gt;&lt;contributors&gt;&lt;authors&gt;&lt;author&gt;Ghabchi, Rouzbeh&lt;/author&gt;&lt;author&gt;Singh, Dharamveer&lt;/author&gt;&lt;author&gt;Zaman, Musharraf&lt;/author&gt;&lt;author&gt;Tian, Qingyan&lt;/author&gt;&lt;/authors&gt;&lt;/contributors&gt;&lt;titles&gt;&lt;title&gt;Mechanistic Evaluation of the Effect of WMA Additives on Wettability and Moisture Susceptibility Properties of Asphalt Mixes&lt;/title&gt;&lt;secondary-title&gt;Journal of Testing and Evaluation&lt;/secondary-title&gt;&lt;/titles&gt;&lt;periodical&gt;&lt;full-title&gt;Journal of Testing and Evaluation&lt;/full-title&gt;&lt;/periodical&gt;&lt;pages&gt;933-942&lt;/pages&gt;&lt;volume&gt;41&lt;/volume&gt;&lt;number&gt;6&lt;/number&gt;&lt;dates&gt;&lt;year&gt;2013&lt;/year&gt;&lt;/dates&gt;&lt;isbn&gt;0090-3973&lt;/isbn&gt;&lt;urls&gt;&lt;/urls&gt;&lt;/record&gt;&lt;/Cite&gt;&lt;/EndNote&gt;</w:instrText>
      </w:r>
      <w:r w:rsidRPr="00BB5813">
        <w:fldChar w:fldCharType="separate"/>
      </w:r>
      <w:r w:rsidR="00282238">
        <w:rPr>
          <w:noProof/>
        </w:rPr>
        <w:t>(Prowell et al., 2007; Ghabchi et al., 2013)</w:t>
      </w:r>
      <w:r w:rsidRPr="00BB5813">
        <w:fldChar w:fldCharType="end"/>
      </w:r>
      <w:r w:rsidRPr="00BB5813">
        <w:t xml:space="preserve">. </w:t>
      </w:r>
    </w:p>
    <w:p w14:paraId="1A2662CC" w14:textId="2FF9E7E1" w:rsidR="00DD6905" w:rsidRPr="00BB5813" w:rsidRDefault="00DD6905" w:rsidP="006832A1">
      <w:pPr>
        <w:pStyle w:val="Paragraph"/>
        <w:spacing w:before="0"/>
      </w:pPr>
      <w:r w:rsidRPr="00BB5813">
        <w:t xml:space="preserve">The rut depths for the mix containing ASA (Mix-3-ASA) were lower than those measured for the control mix (Mix-1-None), indicating an improvement in rutting resistance. For example, the rut depth after 10,000 and 20,000 wheel passes for Mix-3-ASA were 2.4 mm and 9.8 mm, respectively. The addition of ASA reduced the creep slope as well. Furthermore, the stripping inflection point for Mix-3-ASA occurred at 13,700 loading cycle, the highest among all mixes. Therefore, </w:t>
      </w:r>
      <w:r w:rsidR="00E13E48">
        <w:t xml:space="preserve">the </w:t>
      </w:r>
      <w:r w:rsidRPr="00BB5813">
        <w:t xml:space="preserve">addition of ASA is expected to reduce the moisture-induced damage potential of mixes, which is consistent with the findings of the previous studies </w:t>
      </w:r>
      <w:r w:rsidRPr="00BB5813">
        <w:fldChar w:fldCharType="begin">
          <w:fldData xml:space="preserve">PEVuZE5vdGU+PENpdGU+PEF1dGhvcj5XYXNpdWRkaW48L0F1dGhvcj48WWVhcj4yMDA3PC9ZZWFy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</w:fldData>
        </w:fldChar>
      </w:r>
      <w:r w:rsidR="00282238">
        <w:instrText xml:space="preserve"> ADDIN EN.CITE </w:instrText>
      </w:r>
      <w:r w:rsidR="00282238">
        <w:fldChar w:fldCharType="begin">
          <w:fldData xml:space="preserve">PEVuZE5vdGU+PENpdGU+PEF1dGhvcj5XYXNpdWRkaW48L0F1dGhvcj48WWVhcj4yMDA3PC9ZZWFy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</w:fldData>
        </w:fldChar>
      </w:r>
      <w:r w:rsidR="00282238">
        <w:instrText xml:space="preserve"> ADDIN EN.CITE.DATA </w:instrText>
      </w:r>
      <w:r w:rsidR="00282238">
        <w:fldChar w:fldCharType="end"/>
      </w:r>
      <w:r w:rsidRPr="00BB5813">
        <w:fldChar w:fldCharType="separate"/>
      </w:r>
      <w:r w:rsidR="00282238">
        <w:rPr>
          <w:noProof/>
        </w:rPr>
        <w:t>(Wasiuddin et al., 2007c; Arabani and Hamedi, 2014; Abuawad et al., 2015)</w:t>
      </w:r>
      <w:r w:rsidRPr="00BB5813">
        <w:fldChar w:fldCharType="end"/>
      </w:r>
      <w:r w:rsidRPr="00BB5813">
        <w:t xml:space="preserve">. </w:t>
      </w:r>
    </w:p>
    <w:p w14:paraId="4DA8F0BE" w14:textId="210AA741" w:rsidR="00DD6905" w:rsidRPr="00BB5813" w:rsidRDefault="00DD6905" w:rsidP="00555D3F">
      <w:pPr>
        <w:pStyle w:val="Paragraph"/>
        <w:spacing w:before="0"/>
      </w:pPr>
      <w:r w:rsidRPr="00BB5813">
        <w:t xml:space="preserve">The effect of the addition of PPA on moisture-induced damage and rutting potential of asphalt mix (Mix-4-PPA) can be observed from Figure </w:t>
      </w:r>
      <w:r w:rsidR="004B1FFB">
        <w:t>5.</w:t>
      </w:r>
      <w:r w:rsidRPr="00BB5813">
        <w:t xml:space="preserve">2 and Table </w:t>
      </w:r>
      <w:r w:rsidR="004B1FFB">
        <w:t>5.</w:t>
      </w:r>
      <w:r w:rsidRPr="00BB5813">
        <w:t xml:space="preserve">2. The addition of PPA made the mix more susceptible to moisture-induced damage and rutting. The </w:t>
      </w:r>
      <w:r w:rsidRPr="00BB5813">
        <w:rPr>
          <w:i/>
          <w:iCs/>
        </w:rPr>
        <w:t>SIP</w:t>
      </w:r>
      <w:r w:rsidRPr="00BB5813">
        <w:t xml:space="preserve"> for Mix-4-PPA occurred at 5,500 loading cycles with a stripping slope of 850 passes/mm. However, the post- compaction deformation for Mix-4-PPA was lower than the control mix indicating a higher rutting resistance at the initial stage. With an increase in wheel passes, the Mix-4-PPA specimens were damaged due to moisture and exhibited higher rut depths than the control mix. A similar increase in rutting and moisture-induced damage potential with a PPA-modified binder was reported in previous studies </w:t>
      </w:r>
      <w:r w:rsidRPr="00BB5813">
        <w:fldChar w:fldCharType="begin">
          <w:fldData xml:space="preserve">PEVuZE5vdGU+PENpdGU+PEF1dGhvcj5GZWU8L0F1dGhvcj48WWVhcj4yMDEwPC9ZZWFyPjxSZWNO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</w:fldData>
        </w:fldChar>
      </w:r>
      <w:r w:rsidR="00282238">
        <w:instrText xml:space="preserve"> ADDIN EN.CITE </w:instrText>
      </w:r>
      <w:r w:rsidR="00282238">
        <w:fldChar w:fldCharType="begin">
          <w:fldData xml:space="preserve">PEVuZE5vdGU+PENpdGU+PEF1dGhvcj5GZWU8L0F1dGhvcj48WWVhcj4yMDEwPC9ZZWFyPjxSZWNO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</w:fldData>
        </w:fldChar>
      </w:r>
      <w:r w:rsidR="00282238">
        <w:instrText xml:space="preserve"> ADDIN EN.CITE.DATA </w:instrText>
      </w:r>
      <w:r w:rsidR="00282238">
        <w:fldChar w:fldCharType="end"/>
      </w:r>
      <w:r w:rsidRPr="00BB5813">
        <w:fldChar w:fldCharType="separate"/>
      </w:r>
      <w:r w:rsidR="00282238">
        <w:rPr>
          <w:noProof/>
        </w:rPr>
        <w:t>(Orange et al., 2004; Fee et al., 2010; Al-Qadi et al., 2014)</w:t>
      </w:r>
      <w:r w:rsidRPr="00BB5813">
        <w:fldChar w:fldCharType="end"/>
      </w:r>
      <w:r w:rsidRPr="00BB5813">
        <w:t xml:space="preserve">. The mix containing 20% RAP (Mix-5-RAP) exhibited a higher moisture susceptibility than the control mix. The Mix-5-RAP specimens exhibited a stripping inflection point at a lower number of wheel passes (around 9,000 passes) than the control mix. However, the stripping slope was similar to that of the control mix. </w:t>
      </w:r>
    </w:p>
    <w:p w14:paraId="6064909C" w14:textId="77777777" w:rsidR="00DD6905" w:rsidRPr="00BB5813" w:rsidRDefault="00DD6905" w:rsidP="00555D3F">
      <w:pPr>
        <w:pStyle w:val="Heading4"/>
        <w:spacing w:before="0" w:after="0"/>
      </w:pPr>
      <w:r w:rsidRPr="00BB5813">
        <w:t xml:space="preserve">TAMU method </w:t>
      </w:r>
    </w:p>
    <w:p w14:paraId="0D0C87F7" w14:textId="4D69BFF9" w:rsidR="00DD6905" w:rsidRPr="00BB5813" w:rsidRDefault="00DD6905" w:rsidP="00555D3F">
      <w:pPr>
        <w:pStyle w:val="Paragraph"/>
        <w:spacing w:before="0"/>
      </w:pPr>
      <w:r w:rsidRPr="00BB5813">
        <w:fldChar w:fldCharType="begin"/>
      </w:r>
      <w:r w:rsidR="00B96C8D">
        <w:instrText xml:space="preserve"> ADDIN EN.CITE &lt;EndNote&gt;&lt;Cite AuthorYear="1"&gt;&lt;Author&gt;Yin&lt;/Author&gt;&lt;Year&gt;2014&lt;/Year&gt;&lt;RecNum&gt;95&lt;/RecNum&gt;&lt;DisplayText&gt;Yin et al. (2014)&lt;/DisplayText&gt;&lt;record&gt;&lt;rec-number&gt;95&lt;/rec-number&gt;&lt;foreign-keys&gt;&lt;key app="EN" db-id="d55vzfpwawdafteedfoxsf0lv0v0wp5va2aa" timestamp="1520694429"&gt;95&lt;/key&gt;&lt;/foreign-keys&gt;&lt;ref-type name="Journal Article"&gt;17&lt;/ref-type&gt;&lt;contributors&gt;&lt;authors&gt;&lt;author&gt;Yin, Fan&lt;/author&gt;&lt;author&gt;Arambula, Edith&lt;/author&gt;&lt;author&gt;Lytton, Robert&lt;/author&gt;&lt;author&gt;Martin, Amy&lt;/author&gt;&lt;author&gt;Cucalon, Lorena&lt;/author&gt;&lt;/authors&gt;&lt;/contributors&gt;&lt;titles&gt;&lt;title&gt;Novel method for moisture susceptibility and rutting evaluation using Hamburg wheel tracking test&lt;/title&gt;&lt;secondary-title&gt;Transportation Research Record: Journal of the Transportation Research Board&lt;/secondary-title&gt;&lt;/titles&gt;&lt;periodical&gt;&lt;full-title&gt;Transportation Research Record: Journal of the Transportation Research Board&lt;/full-title&gt;&lt;/periodical&gt;&lt;pages&gt;1-7&lt;/pages&gt;&lt;number&gt;2446&lt;/number&gt;&lt;dates&gt;&lt;year&gt;2014&lt;/year&gt;&lt;/dates&gt;&lt;isbn&gt;0361-1981&lt;/isbn&gt;&lt;urls&gt;&lt;/urls&gt;&lt;/record&gt;&lt;/Cite&gt;&lt;/EndNote&gt;</w:instrText>
      </w:r>
      <w:r w:rsidRPr="00BB5813">
        <w:fldChar w:fldCharType="separate"/>
      </w:r>
      <w:r w:rsidR="00B96C8D">
        <w:rPr>
          <w:noProof/>
        </w:rPr>
        <w:t>Yin et al. (2014)</w:t>
      </w:r>
      <w:r w:rsidRPr="00BB5813">
        <w:fldChar w:fldCharType="end"/>
      </w:r>
      <w:r w:rsidRPr="00BB5813">
        <w:t xml:space="preserve"> proposed two parameters, namely </w:t>
      </w:r>
      <w:r w:rsidRPr="00BB5813">
        <w:rPr>
          <w:i/>
          <w:iCs/>
        </w:rPr>
        <w:t>LC</w:t>
      </w:r>
      <w:r w:rsidRPr="00BB5813">
        <w:rPr>
          <w:i/>
          <w:iCs/>
          <w:vertAlign w:val="subscript"/>
        </w:rPr>
        <w:t>SN</w:t>
      </w:r>
      <w:r w:rsidRPr="00BB5813">
        <w:t xml:space="preserve"> and </w:t>
      </w:r>
      <w:r w:rsidRPr="00BB5813">
        <w:rPr>
          <w:i/>
          <w:iCs/>
        </w:rPr>
        <w:t>LC</w:t>
      </w:r>
      <w:r w:rsidRPr="00BB5813">
        <w:rPr>
          <w:i/>
          <w:iCs/>
          <w:vertAlign w:val="subscript"/>
        </w:rPr>
        <w:t>ST</w:t>
      </w:r>
      <w:r w:rsidRPr="00BB5813">
        <w:t xml:space="preserve"> for evaluating moisture-induced damage potential of asphalt mixes. Mixes with higher </w:t>
      </w:r>
      <w:r w:rsidRPr="00BB5813">
        <w:rPr>
          <w:i/>
          <w:iCs/>
        </w:rPr>
        <w:t>LC</w:t>
      </w:r>
      <w:r w:rsidRPr="00BB5813">
        <w:rPr>
          <w:i/>
          <w:iCs/>
          <w:vertAlign w:val="subscript"/>
        </w:rPr>
        <w:t>SN</w:t>
      </w:r>
      <w:r w:rsidRPr="00BB5813">
        <w:t xml:space="preserve"> values are expected to be less susceptible to moisture-induced damage than those having lower </w:t>
      </w:r>
      <w:r w:rsidRPr="00BB5813">
        <w:rPr>
          <w:i/>
          <w:iCs/>
        </w:rPr>
        <w:t>LC</w:t>
      </w:r>
      <w:r w:rsidRPr="00BB5813">
        <w:rPr>
          <w:i/>
          <w:iCs/>
          <w:vertAlign w:val="subscript"/>
        </w:rPr>
        <w:t>SN</w:t>
      </w:r>
      <w:r w:rsidRPr="00BB5813">
        <w:t xml:space="preserve"> values. Table </w:t>
      </w:r>
      <w:r w:rsidR="006E4A55">
        <w:t>5.</w:t>
      </w:r>
      <w:r w:rsidRPr="00BB5813">
        <w:t xml:space="preserve">2 presents the </w:t>
      </w:r>
      <w:r w:rsidRPr="00BB5813">
        <w:rPr>
          <w:i/>
          <w:iCs/>
        </w:rPr>
        <w:t>LC</w:t>
      </w:r>
      <w:r w:rsidRPr="00BB5813">
        <w:rPr>
          <w:i/>
          <w:iCs/>
          <w:vertAlign w:val="subscript"/>
        </w:rPr>
        <w:t>SN</w:t>
      </w:r>
      <w:r w:rsidRPr="00BB5813">
        <w:rPr>
          <w:i/>
        </w:rPr>
        <w:t xml:space="preserve"> </w:t>
      </w:r>
      <w:r w:rsidRPr="00BB5813">
        <w:t xml:space="preserve">values for the tested mixes. Based on Table </w:t>
      </w:r>
      <w:r w:rsidR="006E4A55">
        <w:t>5.</w:t>
      </w:r>
      <w:r w:rsidRPr="00BB5813">
        <w:t xml:space="preserve">2, among all mixes, Mix-4-PPA exhibited the lowest </w:t>
      </w:r>
      <w:r w:rsidRPr="00BB5813">
        <w:rPr>
          <w:i/>
          <w:iCs/>
        </w:rPr>
        <w:t>LC</w:t>
      </w:r>
      <w:r w:rsidRPr="00BB5813">
        <w:rPr>
          <w:i/>
          <w:iCs/>
          <w:vertAlign w:val="subscript"/>
        </w:rPr>
        <w:t>SN</w:t>
      </w:r>
      <w:r w:rsidRPr="00BB5813">
        <w:rPr>
          <w:i/>
        </w:rPr>
        <w:t xml:space="preserve"> </w:t>
      </w:r>
      <w:r w:rsidRPr="00BB5813">
        <w:t xml:space="preserve">value (131 passes) indicating a higher potential for moisture-induced damage. On the other hand, the mix containing ASA exhibited the highest </w:t>
      </w:r>
      <w:r w:rsidRPr="00BB5813">
        <w:rPr>
          <w:i/>
          <w:iCs/>
        </w:rPr>
        <w:t>LC</w:t>
      </w:r>
      <w:r w:rsidRPr="00BB5813">
        <w:rPr>
          <w:i/>
          <w:iCs/>
          <w:vertAlign w:val="subscript"/>
        </w:rPr>
        <w:t>SN</w:t>
      </w:r>
      <w:r w:rsidRPr="00BB5813">
        <w:t xml:space="preserve"> (3,312 passes) compared to the control mix (1,228 passes).</w:t>
      </w:r>
    </w:p>
    <w:p w14:paraId="34C8D9A9" w14:textId="3071D06F" w:rsidR="00DD6905" w:rsidRPr="00BB5813" w:rsidRDefault="00DD6905" w:rsidP="00555D3F">
      <w:pPr>
        <w:pStyle w:val="Paragraph"/>
        <w:spacing w:before="0"/>
      </w:pPr>
      <w:r w:rsidRPr="00BB5813">
        <w:t xml:space="preserve">According to </w:t>
      </w:r>
      <w:r w:rsidRPr="00BB5813">
        <w:fldChar w:fldCharType="begin"/>
      </w:r>
      <w:r w:rsidR="00B96C8D">
        <w:instrText xml:space="preserve"> ADDIN EN.CITE &lt;EndNote&gt;&lt;Cite AuthorYear="1"&gt;&lt;Author&gt;Yin&lt;/Author&gt;&lt;Year&gt;2014&lt;/Year&gt;&lt;RecNum&gt;95&lt;/RecNum&gt;&lt;DisplayText&gt;Yin et al. (2014)&lt;/DisplayText&gt;&lt;record&gt;&lt;rec-number&gt;95&lt;/rec-number&gt;&lt;foreign-keys&gt;&lt;key app="EN" db-id="d55vzfpwawdafteedfoxsf0lv0v0wp5va2aa" timestamp="1520694429"&gt;95&lt;/key&gt;&lt;/foreign-keys&gt;&lt;ref-type name="Journal Article"&gt;17&lt;/ref-type&gt;&lt;contributors&gt;&lt;authors&gt;&lt;author&gt;Yin, Fan&lt;/author&gt;&lt;author&gt;Arambula, Edith&lt;/author&gt;&lt;author&gt;Lytton, Robert&lt;/author&gt;&lt;author&gt;Martin, Amy&lt;/author&gt;&lt;author&gt;Cucalon, Lorena&lt;/author&gt;&lt;/authors&gt;&lt;/contributors&gt;&lt;titles&gt;&lt;title&gt;Novel method for moisture susceptibility and rutting evaluation using Hamburg wheel tracking test&lt;/title&gt;&lt;secondary-title&gt;Transportation Research Record: Journal of the Transportation Research Board&lt;/secondary-title&gt;&lt;/titles&gt;&lt;periodical&gt;&lt;full-title&gt;Transportation Research Record: Journal of the Transportation Research Board&lt;/full-title&gt;&lt;/periodical&gt;&lt;pages&gt;1-7&lt;/pages&gt;&lt;number&gt;2446&lt;/number&gt;&lt;dates&gt;&lt;year&gt;2014&lt;/year&gt;&lt;/dates&gt;&lt;isbn&gt;0361-1981&lt;/isbn&gt;&lt;urls&gt;&lt;/urls&gt;&lt;/record&gt;&lt;/Cite&gt;&lt;/EndNote&gt;</w:instrText>
      </w:r>
      <w:r w:rsidRPr="00BB5813">
        <w:fldChar w:fldCharType="separate"/>
      </w:r>
      <w:r w:rsidR="00B96C8D">
        <w:rPr>
          <w:noProof/>
        </w:rPr>
        <w:t>Yin et al. (2014)</w:t>
      </w:r>
      <w:r w:rsidRPr="00BB5813">
        <w:fldChar w:fldCharType="end"/>
      </w:r>
      <w:r w:rsidRPr="00BB5813">
        <w:t xml:space="preserve">, </w:t>
      </w:r>
      <w:r w:rsidRPr="00BB5813">
        <w:rPr>
          <w:i/>
          <w:iCs/>
        </w:rPr>
        <w:t>LC</w:t>
      </w:r>
      <w:r w:rsidRPr="00BB5813">
        <w:rPr>
          <w:i/>
          <w:iCs/>
          <w:vertAlign w:val="subscript"/>
        </w:rPr>
        <w:t>ST</w:t>
      </w:r>
      <w:r w:rsidRPr="00BB5813">
        <w:t xml:space="preserve"> value represents the moisture-induced damage potential of a mix after it passes the stripping number (</w:t>
      </w:r>
      <w:r w:rsidRPr="00BB5813">
        <w:rPr>
          <w:i/>
          <w:iCs/>
        </w:rPr>
        <w:t>LC</w:t>
      </w:r>
      <w:r w:rsidRPr="00BB5813">
        <w:rPr>
          <w:i/>
          <w:iCs/>
          <w:vertAlign w:val="subscript"/>
        </w:rPr>
        <w:t>SN</w:t>
      </w:r>
      <w:r w:rsidRPr="00BB5813">
        <w:t>)</w:t>
      </w:r>
      <w:r w:rsidRPr="00BB5813">
        <w:rPr>
          <w:rStyle w:val="CommentReference"/>
        </w:rPr>
        <w:t>.</w:t>
      </w:r>
      <w:r w:rsidRPr="00BB5813">
        <w:t xml:space="preserve"> From Table </w:t>
      </w:r>
      <w:r w:rsidR="006E4A55">
        <w:t>5.</w:t>
      </w:r>
      <w:r w:rsidRPr="00BB5813">
        <w:t xml:space="preserve">2, the </w:t>
      </w:r>
      <w:r w:rsidRPr="00BB5813">
        <w:rPr>
          <w:i/>
          <w:iCs/>
        </w:rPr>
        <w:t>LC</w:t>
      </w:r>
      <w:r w:rsidRPr="00BB5813">
        <w:rPr>
          <w:i/>
          <w:iCs/>
          <w:vertAlign w:val="subscript"/>
        </w:rPr>
        <w:t>ST</w:t>
      </w:r>
      <w:r w:rsidRPr="00BB5813">
        <w:t xml:space="preserve"> values for Mix-1-None, Mix-2-WMA, Mix-3-ASA, Mix-4-PPA and Mix-5-RAP were 18,019, 10,482, 18,402, 17,203 and 16,160, respectively. Based on the </w:t>
      </w:r>
      <w:r w:rsidRPr="00BB5813">
        <w:rPr>
          <w:i/>
          <w:iCs/>
        </w:rPr>
        <w:t>LC</w:t>
      </w:r>
      <w:r w:rsidRPr="00BB5813">
        <w:rPr>
          <w:i/>
          <w:iCs/>
          <w:vertAlign w:val="subscript"/>
        </w:rPr>
        <w:t>ST</w:t>
      </w:r>
      <w:r w:rsidRPr="00BB5813">
        <w:t xml:space="preserve"> values, the control (Mix-1-None) and the mix containing ASA (Mix-3-ASA) exhibited a higher resistance to moisture-induced damage than the one containing WMA additive (Mix-2-WMA). Also, the mix containing PPA-modified binder and RAP exhibited a lower </w:t>
      </w:r>
      <w:r w:rsidRPr="00BB5813">
        <w:rPr>
          <w:i/>
          <w:iCs/>
        </w:rPr>
        <w:t>LC</w:t>
      </w:r>
      <w:r w:rsidRPr="00BB5813">
        <w:rPr>
          <w:i/>
          <w:iCs/>
          <w:vertAlign w:val="subscript"/>
        </w:rPr>
        <w:t>ST</w:t>
      </w:r>
      <w:r w:rsidRPr="00BB5813">
        <w:t xml:space="preserve"> value compared to that of the control mix.</w:t>
      </w:r>
    </w:p>
    <w:p w14:paraId="1852F473" w14:textId="31735550" w:rsidR="00DD6905" w:rsidRDefault="00DD6905" w:rsidP="00555D3F">
      <w:pPr>
        <w:pStyle w:val="Paragraph"/>
        <w:spacing w:before="0"/>
      </w:pPr>
      <w:r w:rsidRPr="00BB5813">
        <w:t xml:space="preserve">A higher value of </w:t>
      </w:r>
      <m:oMath>
        <m:r>
          <w:rPr>
            <w:rFonts w:ascii="Cambria Math" w:hAnsi="Cambria Math"/>
          </w:rPr>
          <m:t>∆</m:t>
        </m:r>
        <m:sSubSup>
          <m:sSubSupPr>
            <m:ctrlPr>
              <w:rPr>
                <w:rFonts w:ascii="Cambria Math" w:hAnsi="Cambria Math"/>
                <w:i/>
              </w:rPr>
            </m:ctrlPr>
          </m:sSubSupPr>
          <m:e>
            <m:r>
              <w:rPr>
                <w:rFonts w:ascii="Cambria Math" w:hAnsi="Cambria Math"/>
              </w:rPr>
              <m:t>ε</m:t>
            </m:r>
          </m:e>
          <m:sub>
            <m:r>
              <w:rPr>
                <w:rFonts w:ascii="Cambria Math" w:hAnsi="Cambria Math"/>
              </w:rPr>
              <m:t>10,000</m:t>
            </m:r>
          </m:sub>
          <m:sup>
            <m:r>
              <w:rPr>
                <w:rFonts w:ascii="Cambria Math" w:hAnsi="Cambria Math"/>
              </w:rPr>
              <m:t>vp</m:t>
            </m:r>
          </m:sup>
        </m:sSubSup>
      </m:oMath>
      <w:r w:rsidRPr="00BB5813">
        <w:t xml:space="preserve"> for a mix represents a better rutting resistance than that with a lower </w:t>
      </w:r>
      <m:oMath>
        <m:r>
          <w:rPr>
            <w:rFonts w:ascii="Cambria Math" w:hAnsi="Cambria Math"/>
          </w:rPr>
          <m:t>∆</m:t>
        </m:r>
        <m:sSubSup>
          <m:sSubSupPr>
            <m:ctrlPr>
              <w:rPr>
                <w:rFonts w:ascii="Cambria Math" w:hAnsi="Cambria Math"/>
                <w:i/>
              </w:rPr>
            </m:ctrlPr>
          </m:sSubSupPr>
          <m:e>
            <m:r>
              <w:rPr>
                <w:rFonts w:ascii="Cambria Math" w:hAnsi="Cambria Math"/>
              </w:rPr>
              <m:t>ε</m:t>
            </m:r>
          </m:e>
          <m:sub>
            <m:r>
              <w:rPr>
                <w:rFonts w:ascii="Cambria Math" w:hAnsi="Cambria Math"/>
              </w:rPr>
              <m:t>10,000</m:t>
            </m:r>
          </m:sub>
          <m:sup>
            <m:r>
              <w:rPr>
                <w:rFonts w:ascii="Cambria Math" w:hAnsi="Cambria Math"/>
              </w:rPr>
              <m:t>vp</m:t>
            </m:r>
          </m:sup>
        </m:sSubSup>
      </m:oMath>
      <w:r w:rsidRPr="00BB5813">
        <w:t xml:space="preserve">value. Based on Table </w:t>
      </w:r>
      <w:r w:rsidR="006E4A55">
        <w:t>5.</w:t>
      </w:r>
      <w:r w:rsidRPr="00BB5813">
        <w:t xml:space="preserve">2, the mix containing ASA (Mix-3-ASA) exhibited a higher </w:t>
      </w:r>
      <m:oMath>
        <m:r>
          <w:rPr>
            <w:rFonts w:ascii="Cambria Math" w:hAnsi="Cambria Math"/>
          </w:rPr>
          <m:t>∆</m:t>
        </m:r>
        <m:sSubSup>
          <m:sSubSupPr>
            <m:ctrlPr>
              <w:rPr>
                <w:rFonts w:ascii="Cambria Math" w:hAnsi="Cambria Math"/>
                <w:i/>
              </w:rPr>
            </m:ctrlPr>
          </m:sSubSupPr>
          <m:e>
            <m:r>
              <w:rPr>
                <w:rFonts w:ascii="Cambria Math" w:hAnsi="Cambria Math"/>
              </w:rPr>
              <m:t>ε</m:t>
            </m:r>
          </m:e>
          <m:sub>
            <m:r>
              <w:rPr>
                <w:rFonts w:ascii="Cambria Math" w:hAnsi="Cambria Math"/>
              </w:rPr>
              <m:t>10,000</m:t>
            </m:r>
          </m:sub>
          <m:sup>
            <m:r>
              <w:rPr>
                <w:rFonts w:ascii="Cambria Math" w:hAnsi="Cambria Math"/>
              </w:rPr>
              <m:t>vp</m:t>
            </m:r>
          </m:sup>
        </m:sSubSup>
      </m:oMath>
      <w:r w:rsidRPr="00BB5813">
        <w:t>value than other mixes and is expected to have the highest rutting resistance among all mixes. The lowest rutting resistance was observed in the mix containing PPA-modified binder (Mix-4-PPA). Also, Mix-2-WMA exhibited a lower resistance to rutting than the control mix.</w:t>
      </w:r>
    </w:p>
    <w:p w14:paraId="4BCF7E1A" w14:textId="24226661" w:rsidR="00DD6905" w:rsidRPr="00186547" w:rsidRDefault="00DD6905" w:rsidP="00985A4A">
      <w:pPr>
        <w:pStyle w:val="Heading3"/>
      </w:pPr>
      <w:bookmarkStart w:id="156" w:name="_Toc71728461"/>
      <w:r w:rsidRPr="00186547">
        <w:t>Indirect Tensile Strength (ITS) Test</w:t>
      </w:r>
      <w:bookmarkEnd w:id="156"/>
    </w:p>
    <w:p w14:paraId="72258176" w14:textId="77777777" w:rsidR="00DD6905" w:rsidRPr="00186547" w:rsidRDefault="00DD6905" w:rsidP="00555D3F">
      <w:pPr>
        <w:pStyle w:val="Heading4"/>
        <w:spacing w:before="0" w:after="0"/>
      </w:pPr>
      <w:r w:rsidRPr="00186547">
        <w:t>Tensile strength ratio (TSR)</w:t>
      </w:r>
    </w:p>
    <w:p w14:paraId="23E479CA" w14:textId="3C5591EB" w:rsidR="00DD6905" w:rsidRDefault="00DD6905" w:rsidP="00555D3F">
      <w:pPr>
        <w:ind w:firstLine="720"/>
        <w:rPr>
          <w:szCs w:val="24"/>
          <w:lang w:val="en-CA"/>
        </w:rPr>
      </w:pPr>
      <w:r w:rsidRPr="00BB5813">
        <w:rPr>
          <w:szCs w:val="24"/>
          <w:lang w:val="en-CA"/>
        </w:rPr>
        <w:t xml:space="preserve">The indirect tensile strength (ITS) values of the dry and moisture-conditioned specimens and </w:t>
      </w:r>
      <w:r w:rsidRPr="00BB5813">
        <w:rPr>
          <w:i/>
          <w:iCs/>
          <w:szCs w:val="24"/>
          <w:lang w:val="en-CA"/>
        </w:rPr>
        <w:t>TSR</w:t>
      </w:r>
      <w:r w:rsidRPr="00BB5813">
        <w:rPr>
          <w:szCs w:val="24"/>
          <w:lang w:val="en-CA"/>
        </w:rPr>
        <w:t xml:space="preserve"> values of all five mixes are presented in Figure </w:t>
      </w:r>
      <w:r w:rsidR="004B1FFB">
        <w:t>5.</w:t>
      </w:r>
      <w:r w:rsidRPr="00BB5813">
        <w:rPr>
          <w:szCs w:val="24"/>
          <w:lang w:val="en-CA"/>
        </w:rPr>
        <w:t xml:space="preserve">3(a). The ITS value presented in Figure </w:t>
      </w:r>
      <w:r w:rsidR="004B1FFB">
        <w:t>5.</w:t>
      </w:r>
      <w:r w:rsidRPr="00BB5813">
        <w:rPr>
          <w:szCs w:val="24"/>
          <w:lang w:val="en-CA"/>
        </w:rPr>
        <w:t xml:space="preserve">3(a) is the average of three replicates. From Figure </w:t>
      </w:r>
      <w:r w:rsidR="004B1FFB">
        <w:t>5.</w:t>
      </w:r>
      <w:r w:rsidRPr="00BB5813">
        <w:rPr>
          <w:szCs w:val="24"/>
          <w:lang w:val="en-CA"/>
        </w:rPr>
        <w:t>3(a), ITS values of the dry-conditioned (</w:t>
      </w:r>
      <w:r w:rsidRPr="00BB5813">
        <w:rPr>
          <w:i/>
          <w:iCs/>
          <w:szCs w:val="24"/>
          <w:lang w:val="en-CA"/>
        </w:rPr>
        <w:t>ITS</w:t>
      </w:r>
      <w:r w:rsidRPr="00BB5813">
        <w:rPr>
          <w:i/>
          <w:iCs/>
          <w:szCs w:val="24"/>
          <w:vertAlign w:val="subscript"/>
          <w:lang w:val="en-CA"/>
        </w:rPr>
        <w:t>dry</w:t>
      </w:r>
      <w:r w:rsidRPr="00BB5813">
        <w:rPr>
          <w:szCs w:val="24"/>
          <w:lang w:val="en-CA"/>
        </w:rPr>
        <w:t xml:space="preserve">) specimens for Mix-1-None, Mix-2-WMA and Mix-3-ASA were 638 kPa, 599 kPa and 621 kPa, respectively. Therefore, the addition of WMA additive and ASA reduced the </w:t>
      </w:r>
      <w:r w:rsidRPr="00BB5813">
        <w:rPr>
          <w:i/>
          <w:iCs/>
          <w:szCs w:val="24"/>
          <w:lang w:val="en-CA"/>
        </w:rPr>
        <w:t>ITS</w:t>
      </w:r>
      <w:r w:rsidRPr="00BB5813">
        <w:rPr>
          <w:i/>
          <w:iCs/>
          <w:szCs w:val="24"/>
          <w:vertAlign w:val="subscript"/>
          <w:lang w:val="en-CA"/>
        </w:rPr>
        <w:t>dry</w:t>
      </w:r>
      <w:r w:rsidRPr="00BB5813">
        <w:rPr>
          <w:szCs w:val="24"/>
          <w:lang w:val="en-CA"/>
        </w:rPr>
        <w:t xml:space="preserve"> by approximately 6% and 3%, respectively. However, the </w:t>
      </w:r>
      <w:r w:rsidRPr="00BB5813">
        <w:rPr>
          <w:i/>
          <w:iCs/>
          <w:szCs w:val="24"/>
          <w:lang w:val="en-CA"/>
        </w:rPr>
        <w:t>ITS</w:t>
      </w:r>
      <w:r w:rsidRPr="00BB5813">
        <w:rPr>
          <w:i/>
          <w:iCs/>
          <w:szCs w:val="24"/>
          <w:vertAlign w:val="subscript"/>
          <w:lang w:val="en-CA"/>
        </w:rPr>
        <w:t>wet</w:t>
      </w:r>
      <w:r w:rsidRPr="00BB5813">
        <w:rPr>
          <w:szCs w:val="24"/>
          <w:lang w:val="en-CA"/>
        </w:rPr>
        <w:t xml:space="preserve"> value increased with the addition of WMA additive and ASA by approximately 19% and 32%, respectively, compared to the control mix. As a result, the </w:t>
      </w:r>
      <w:r w:rsidRPr="00BB5813">
        <w:rPr>
          <w:i/>
          <w:iCs/>
          <w:szCs w:val="24"/>
          <w:lang w:val="en-CA"/>
        </w:rPr>
        <w:t>TSR</w:t>
      </w:r>
      <w:r w:rsidRPr="00BB5813">
        <w:rPr>
          <w:szCs w:val="24"/>
          <w:lang w:val="en-CA"/>
        </w:rPr>
        <w:t xml:space="preserve"> value increased from 0.73 (Mix-1-None) to 0.93 for Mix-2-WMA. Also, approximately no reduction in tensile strength (TSR= 0.99) was observed with the addition of ASA (Figure </w:t>
      </w:r>
      <w:r w:rsidR="004B1FFB">
        <w:t>5.</w:t>
      </w:r>
      <w:r w:rsidRPr="00BB5813">
        <w:rPr>
          <w:szCs w:val="24"/>
          <w:lang w:val="en-CA"/>
        </w:rPr>
        <w:t xml:space="preserve">3(a)). Similar increase in </w:t>
      </w:r>
      <w:r w:rsidRPr="00BB5813">
        <w:rPr>
          <w:i/>
          <w:iCs/>
          <w:szCs w:val="24"/>
          <w:lang w:val="en-CA"/>
        </w:rPr>
        <w:t>TSR</w:t>
      </w:r>
      <w:r w:rsidRPr="00BB5813">
        <w:rPr>
          <w:szCs w:val="24"/>
          <w:lang w:val="en-CA"/>
        </w:rPr>
        <w:t xml:space="preserve"> as well as reduction in moisture susceptibility with the addition of ASA was reported by </w:t>
      </w:r>
      <w:r w:rsidRPr="00BB5813">
        <w:rPr>
          <w:szCs w:val="24"/>
          <w:lang w:val="en-CA"/>
        </w:rPr>
        <w:fldChar w:fldCharType="begin"/>
      </w:r>
      <w:r w:rsidR="00B96C8D">
        <w:rPr>
          <w:szCs w:val="24"/>
          <w:lang w:val="en-CA"/>
        </w:rPr>
        <w:instrText xml:space="preserve"> ADDIN EN.CITE &lt;EndNote&gt;&lt;Cite AuthorYear="1"&gt;&lt;Author&gt;LaCroix&lt;/Author&gt;&lt;Year&gt;2016&lt;/Year&gt;&lt;RecNum&gt;41&lt;/RecNum&gt;&lt;DisplayText&gt;LaCroix et al. (2016)&lt;/DisplayText&gt;&lt;record&gt;&lt;rec-number&gt;41&lt;/rec-number&gt;&lt;foreign-keys&gt;&lt;key app="EN" db-id="d55vzfpwawdafteedfoxsf0lv0v0wp5va2aa" timestamp="1511286613"&gt;41&lt;/key&gt;&lt;/foreign-keys&gt;&lt;ref-type name="Journal Article"&gt;17&lt;/ref-type&gt;&lt;contributors&gt;&lt;authors&gt;&lt;author&gt;LaCroix, Andrew&lt;/author&gt;&lt;author&gt;Regimand, Ali&lt;/author&gt;&lt;author&gt;James, Lawrence&lt;/author&gt;&lt;/authors&gt;&lt;/contributors&gt;&lt;titles&gt;&lt;title&gt;Proposed Approach for Evaluation of Cohesive and Adhesive Properties of Asphalt Mixtures for Determination of Moisture Sensitivity&lt;/title&gt;&lt;secondary-title&gt;Transportation Research Record: Journal of the Transportation Research Board&lt;/secondary-title&gt;&lt;/titles&gt;&lt;periodical&gt;&lt;full-title&gt;Transportation Research Record: Journal of the Transportation Research Board&lt;/full-title&gt;&lt;/periodical&gt;&lt;pages&gt;61-69&lt;/pages&gt;&lt;number&gt;2575&lt;/number&gt;&lt;dates&gt;&lt;year&gt;2016&lt;/year&gt;&lt;/dates&gt;&lt;isbn&gt;0361-1981&lt;/isbn&gt;&lt;urls&gt;&lt;/urls&gt;&lt;/record&gt;&lt;/Cite&gt;&lt;/EndNote&gt;</w:instrText>
      </w:r>
      <w:r w:rsidRPr="00BB5813">
        <w:rPr>
          <w:szCs w:val="24"/>
          <w:lang w:val="en-CA"/>
        </w:rPr>
        <w:fldChar w:fldCharType="separate"/>
      </w:r>
      <w:r w:rsidR="00B96C8D">
        <w:rPr>
          <w:noProof/>
          <w:szCs w:val="24"/>
          <w:lang w:val="en-CA"/>
        </w:rPr>
        <w:t>LaCroix et al. (2016)</w:t>
      </w:r>
      <w:r w:rsidRPr="00BB5813">
        <w:rPr>
          <w:szCs w:val="24"/>
          <w:lang w:val="en-CA"/>
        </w:rPr>
        <w:fldChar w:fldCharType="end"/>
      </w:r>
      <w:r w:rsidRPr="00BB5813">
        <w:rPr>
          <w:szCs w:val="24"/>
          <w:lang w:val="en-CA"/>
        </w:rPr>
        <w:t xml:space="preserve">. The </w:t>
      </w:r>
      <w:r w:rsidRPr="00BB5813">
        <w:rPr>
          <w:i/>
          <w:iCs/>
          <w:szCs w:val="24"/>
          <w:lang w:val="en-CA"/>
        </w:rPr>
        <w:t>ITS</w:t>
      </w:r>
      <w:r w:rsidRPr="00BB5813">
        <w:rPr>
          <w:i/>
          <w:iCs/>
          <w:szCs w:val="24"/>
          <w:vertAlign w:val="subscript"/>
          <w:lang w:val="en-CA"/>
        </w:rPr>
        <w:t>dry</w:t>
      </w:r>
      <w:r w:rsidRPr="00BB5813">
        <w:rPr>
          <w:szCs w:val="24"/>
          <w:lang w:val="en-CA"/>
        </w:rPr>
        <w:t xml:space="preserve"> and </w:t>
      </w:r>
      <w:r w:rsidRPr="00BB5813">
        <w:rPr>
          <w:i/>
          <w:iCs/>
          <w:szCs w:val="24"/>
          <w:lang w:val="en-CA"/>
        </w:rPr>
        <w:t>ITS</w:t>
      </w:r>
      <w:r w:rsidRPr="00BB5813">
        <w:rPr>
          <w:i/>
          <w:iCs/>
          <w:szCs w:val="24"/>
          <w:vertAlign w:val="subscript"/>
          <w:lang w:val="en-CA"/>
        </w:rPr>
        <w:t>wet</w:t>
      </w:r>
      <w:r w:rsidRPr="00BB5813">
        <w:rPr>
          <w:szCs w:val="24"/>
          <w:lang w:val="en-CA"/>
        </w:rPr>
        <w:t xml:space="preserve"> values of Mix-4-PPA were 878 kPa and 639 kPa, respectively, whereas the same for the control mix were 638 kPa and 463 kPa, respectively. Also, significantly higher </w:t>
      </w:r>
      <w:r w:rsidRPr="00BB5813">
        <w:rPr>
          <w:i/>
          <w:iCs/>
          <w:szCs w:val="24"/>
          <w:lang w:val="en-CA"/>
        </w:rPr>
        <w:t>ITS</w:t>
      </w:r>
      <w:r w:rsidRPr="00BB5813">
        <w:rPr>
          <w:i/>
          <w:iCs/>
          <w:szCs w:val="24"/>
          <w:vertAlign w:val="subscript"/>
          <w:lang w:val="en-CA"/>
        </w:rPr>
        <w:t>dry</w:t>
      </w:r>
      <w:r w:rsidRPr="00BB5813">
        <w:rPr>
          <w:szCs w:val="24"/>
          <w:lang w:val="en-CA"/>
        </w:rPr>
        <w:t xml:space="preserve"> and </w:t>
      </w:r>
      <w:r w:rsidRPr="00BB5813">
        <w:rPr>
          <w:i/>
          <w:iCs/>
          <w:szCs w:val="24"/>
          <w:lang w:val="en-CA"/>
        </w:rPr>
        <w:t>ITS</w:t>
      </w:r>
      <w:r w:rsidRPr="00BB5813">
        <w:rPr>
          <w:i/>
          <w:iCs/>
          <w:szCs w:val="24"/>
          <w:vertAlign w:val="subscript"/>
          <w:lang w:val="en-CA"/>
        </w:rPr>
        <w:t>wet</w:t>
      </w:r>
      <w:r w:rsidRPr="00BB5813">
        <w:rPr>
          <w:szCs w:val="24"/>
          <w:lang w:val="en-CA"/>
        </w:rPr>
        <w:t xml:space="preserve"> values were observed for Mix-5-RAP compared to control mix. Therefore, an increase in the tensile strength of a mix is expected with the addition of PPA and RAP. Although the incorporation of PPA in the mix increased both the </w:t>
      </w:r>
      <w:r w:rsidRPr="00BB5813">
        <w:rPr>
          <w:i/>
          <w:iCs/>
          <w:szCs w:val="24"/>
          <w:lang w:val="en-CA"/>
        </w:rPr>
        <w:t>ITS</w:t>
      </w:r>
      <w:r w:rsidRPr="00BB5813">
        <w:rPr>
          <w:i/>
          <w:iCs/>
          <w:szCs w:val="24"/>
          <w:vertAlign w:val="subscript"/>
          <w:lang w:val="en-CA"/>
        </w:rPr>
        <w:t>dry</w:t>
      </w:r>
      <w:r w:rsidRPr="00BB5813">
        <w:rPr>
          <w:szCs w:val="24"/>
          <w:lang w:val="en-CA"/>
        </w:rPr>
        <w:t xml:space="preserve"> and </w:t>
      </w:r>
      <w:r w:rsidRPr="00BB5813">
        <w:rPr>
          <w:i/>
          <w:iCs/>
          <w:szCs w:val="24"/>
          <w:lang w:val="en-CA"/>
        </w:rPr>
        <w:t>ITS</w:t>
      </w:r>
      <w:r w:rsidRPr="00BB5813">
        <w:rPr>
          <w:i/>
          <w:iCs/>
          <w:szCs w:val="24"/>
          <w:vertAlign w:val="subscript"/>
          <w:lang w:val="en-CA"/>
        </w:rPr>
        <w:t>wet</w:t>
      </w:r>
      <w:r w:rsidRPr="00BB5813">
        <w:rPr>
          <w:szCs w:val="24"/>
          <w:lang w:val="en-CA"/>
        </w:rPr>
        <w:t xml:space="preserve">, the </w:t>
      </w:r>
      <w:r w:rsidRPr="00BB5813">
        <w:rPr>
          <w:i/>
          <w:iCs/>
          <w:szCs w:val="24"/>
          <w:lang w:val="en-CA"/>
        </w:rPr>
        <w:t>TSR</w:t>
      </w:r>
      <w:r w:rsidRPr="00BB5813">
        <w:rPr>
          <w:szCs w:val="24"/>
          <w:lang w:val="en-CA"/>
        </w:rPr>
        <w:t xml:space="preserve"> value (0.73) did not satisfy the specification requirement (</w:t>
      </w:r>
      <w:r w:rsidRPr="00BB5813">
        <w:rPr>
          <w:i/>
          <w:iCs/>
          <w:szCs w:val="24"/>
          <w:lang w:val="en-CA"/>
        </w:rPr>
        <w:t>TSR</w:t>
      </w:r>
      <w:r w:rsidRPr="00BB5813">
        <w:rPr>
          <w:szCs w:val="24"/>
          <w:lang w:val="en-CA"/>
        </w:rPr>
        <w:t xml:space="preserve">&lt;0.80). Therefore, a higher moisture susceptibility is expected for PPA-modified mix. A similar trend of increasing moisture susceptibility with the addition of PPA was reported by several studies </w:t>
      </w:r>
      <w:r w:rsidRPr="00BB5813">
        <w:rPr>
          <w:szCs w:val="24"/>
          <w:lang w:val="en-CA"/>
        </w:rPr>
        <w:fldChar w:fldCharType="begin">
          <w:fldData xml:space="preserve">PEVuZE5vdGU+PENpdGU+PEF1dGhvcj5BYnVhd2FkPC9BdXRob3I+PFllYXI+MjAxNTwvWWVhcj48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</w:fldData>
        </w:fldChar>
      </w:r>
      <w:r w:rsidR="00282238">
        <w:rPr>
          <w:szCs w:val="24"/>
          <w:lang w:val="en-CA"/>
        </w:rPr>
        <w:instrText xml:space="preserve"> ADDIN EN.CITE </w:instrText>
      </w:r>
      <w:r w:rsidR="00282238">
        <w:rPr>
          <w:szCs w:val="24"/>
          <w:lang w:val="en-CA"/>
        </w:rPr>
        <w:fldChar w:fldCharType="begin">
          <w:fldData xml:space="preserve">PEVuZE5vdGU+PENpdGU+PEF1dGhvcj5BYnVhd2FkPC9BdXRob3I+PFllYXI+MjAxNTwvWWVhcj48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</w:fldData>
        </w:fldChar>
      </w:r>
      <w:r w:rsidR="00282238">
        <w:rPr>
          <w:szCs w:val="24"/>
          <w:lang w:val="en-CA"/>
        </w:rPr>
        <w:instrText xml:space="preserve"> ADDIN EN.CITE.DATA </w:instrText>
      </w:r>
      <w:r w:rsidR="00282238">
        <w:rPr>
          <w:szCs w:val="24"/>
          <w:lang w:val="en-CA"/>
        </w:rPr>
      </w:r>
      <w:r w:rsidR="00282238">
        <w:rPr>
          <w:szCs w:val="24"/>
          <w:lang w:val="en-CA"/>
        </w:rPr>
        <w:fldChar w:fldCharType="end"/>
      </w:r>
      <w:r w:rsidRPr="00BB5813">
        <w:rPr>
          <w:szCs w:val="24"/>
          <w:lang w:val="en-CA"/>
        </w:rPr>
      </w:r>
      <w:r w:rsidRPr="00BB5813">
        <w:rPr>
          <w:szCs w:val="24"/>
          <w:lang w:val="en-CA"/>
        </w:rPr>
        <w:fldChar w:fldCharType="separate"/>
      </w:r>
      <w:r w:rsidR="00282238">
        <w:rPr>
          <w:noProof/>
          <w:szCs w:val="24"/>
          <w:lang w:val="en-CA"/>
        </w:rPr>
        <w:t>(Orange et al., 2004; Fee et al., 2010; Abuawad et al., 2015)</w:t>
      </w:r>
      <w:r w:rsidRPr="00BB5813">
        <w:rPr>
          <w:szCs w:val="24"/>
          <w:lang w:val="en-CA"/>
        </w:rPr>
        <w:fldChar w:fldCharType="end"/>
      </w:r>
      <w:r w:rsidRPr="00BB5813">
        <w:rPr>
          <w:szCs w:val="24"/>
          <w:lang w:val="en-CA"/>
        </w:rPr>
        <w:t xml:space="preserve">. From Figure </w:t>
      </w:r>
      <w:r w:rsidR="004755E6">
        <w:t>5.</w:t>
      </w:r>
      <w:r w:rsidRPr="00BB5813">
        <w:rPr>
          <w:szCs w:val="24"/>
          <w:lang w:val="en-CA"/>
        </w:rPr>
        <w:t xml:space="preserve">3(a), the incorporation of RAP in the mix resulted in a </w:t>
      </w:r>
      <w:r w:rsidRPr="00BB5813">
        <w:rPr>
          <w:i/>
          <w:iCs/>
          <w:szCs w:val="24"/>
          <w:lang w:val="en-CA"/>
        </w:rPr>
        <w:t>TSR</w:t>
      </w:r>
      <w:r w:rsidRPr="00BB5813">
        <w:rPr>
          <w:szCs w:val="24"/>
          <w:lang w:val="en-CA"/>
        </w:rPr>
        <w:t xml:space="preserve"> value less than 0.80, indicating a reduction in the resistance to moisture-induced damage. </w:t>
      </w:r>
    </w:p>
    <w:p w14:paraId="0003C38F" w14:textId="77777777" w:rsidR="00DD6905" w:rsidRPr="00F11623" w:rsidRDefault="00DD6905" w:rsidP="00555D3F">
      <w:pPr>
        <w:pStyle w:val="Heading4"/>
        <w:spacing w:before="0" w:after="0"/>
      </w:pPr>
      <w:r w:rsidRPr="00F11623">
        <w:t>Toughness Index (TI) Ratio</w:t>
      </w:r>
    </w:p>
    <w:p w14:paraId="2B72005E" w14:textId="17FF8EAB" w:rsidR="00DD6905" w:rsidRPr="00BB5813" w:rsidRDefault="00DD6905" w:rsidP="00555D3F">
      <w:pPr>
        <w:ind w:firstLine="720"/>
        <w:rPr>
          <w:szCs w:val="24"/>
          <w:lang w:val="en-CA"/>
        </w:rPr>
      </w:pPr>
      <w:r w:rsidRPr="00BB5813">
        <w:rPr>
          <w:szCs w:val="24"/>
          <w:lang w:val="en-CA"/>
        </w:rPr>
        <w:t xml:space="preserve">Figure </w:t>
      </w:r>
      <w:r w:rsidR="004755E6">
        <w:t>5.</w:t>
      </w:r>
      <w:r w:rsidRPr="00BB5813">
        <w:rPr>
          <w:szCs w:val="24"/>
          <w:lang w:val="en-CA"/>
        </w:rPr>
        <w:t>3(b) presents the average TI values of asphalt mixes under dry (</w:t>
      </w:r>
      <w:r w:rsidRPr="00BB5813">
        <w:rPr>
          <w:i/>
          <w:iCs/>
          <w:szCs w:val="24"/>
          <w:lang w:val="en-CA"/>
        </w:rPr>
        <w:t>TI</w:t>
      </w:r>
      <w:r w:rsidRPr="00BB5813">
        <w:rPr>
          <w:i/>
          <w:iCs/>
          <w:szCs w:val="24"/>
          <w:vertAlign w:val="subscript"/>
          <w:lang w:val="en-CA"/>
        </w:rPr>
        <w:t>dry</w:t>
      </w:r>
      <w:r w:rsidRPr="00BB5813">
        <w:rPr>
          <w:szCs w:val="24"/>
          <w:lang w:val="en-CA"/>
        </w:rPr>
        <w:t>) and moisture conditioning (</w:t>
      </w:r>
      <w:r w:rsidRPr="00BB5813">
        <w:rPr>
          <w:i/>
          <w:iCs/>
          <w:szCs w:val="24"/>
          <w:lang w:val="en-CA"/>
        </w:rPr>
        <w:t>TI</w:t>
      </w:r>
      <w:r w:rsidRPr="00BB5813">
        <w:rPr>
          <w:i/>
          <w:iCs/>
          <w:szCs w:val="24"/>
          <w:vertAlign w:val="subscript"/>
          <w:lang w:val="en-CA"/>
        </w:rPr>
        <w:t>wet</w:t>
      </w:r>
      <w:r w:rsidRPr="00BB5813">
        <w:rPr>
          <w:szCs w:val="24"/>
          <w:lang w:val="en-CA"/>
        </w:rPr>
        <w:t xml:space="preserve">) states. The moisture-conditioned specimens exhibited an increase in their plastic behavior compared to dry specimens for all mixes. For example, the </w:t>
      </w:r>
      <w:r w:rsidRPr="00BB5813">
        <w:rPr>
          <w:i/>
          <w:iCs/>
          <w:szCs w:val="24"/>
          <w:lang w:val="en-CA"/>
        </w:rPr>
        <w:t>TI</w:t>
      </w:r>
      <w:r w:rsidRPr="00BB5813">
        <w:rPr>
          <w:i/>
          <w:iCs/>
          <w:szCs w:val="24"/>
          <w:vertAlign w:val="subscript"/>
          <w:lang w:val="en-CA"/>
        </w:rPr>
        <w:t>dry</w:t>
      </w:r>
      <w:r w:rsidRPr="00BB5813">
        <w:rPr>
          <w:szCs w:val="24"/>
          <w:lang w:val="en-CA"/>
        </w:rPr>
        <w:t xml:space="preserve"> value for the control mix was 0.78 which increased to 0.98 after moisture conditioning. In dry conditions, the addition of WMA additive to the mix (Mix-2-WMA) resulted in an increase in plastic behavior. However, additions of ASA, PPA and RAP caused reductions in the </w:t>
      </w:r>
      <w:r w:rsidRPr="00BB5813">
        <w:rPr>
          <w:i/>
          <w:iCs/>
          <w:szCs w:val="24"/>
          <w:lang w:val="en-CA"/>
        </w:rPr>
        <w:t>TI</w:t>
      </w:r>
      <w:r w:rsidRPr="00BB5813">
        <w:rPr>
          <w:szCs w:val="24"/>
          <w:lang w:val="en-CA"/>
        </w:rPr>
        <w:t xml:space="preserve"> value indicating reductions in plastic behavior of mixes. A reduction in the </w:t>
      </w:r>
      <w:r w:rsidRPr="00BB5813">
        <w:rPr>
          <w:i/>
          <w:iCs/>
          <w:szCs w:val="24"/>
          <w:lang w:val="en-CA"/>
        </w:rPr>
        <w:t>TI</w:t>
      </w:r>
      <w:r w:rsidRPr="00BB5813">
        <w:rPr>
          <w:szCs w:val="24"/>
          <w:lang w:val="en-CA"/>
        </w:rPr>
        <w:t xml:space="preserve"> value with the addition of RAP was reported by several researchers </w:t>
      </w:r>
      <w:r w:rsidRPr="00BB5813">
        <w:rPr>
          <w:szCs w:val="24"/>
          <w:lang w:val="en-CA"/>
        </w:rPr>
        <w:fldChar w:fldCharType="begin"/>
      </w:r>
      <w:r w:rsidR="00282238">
        <w:rPr>
          <w:szCs w:val="24"/>
          <w:lang w:val="en-CA"/>
        </w:rPr>
        <w:instrText xml:space="preserve"> ADDIN EN.CITE &lt;EndNote&gt;&lt;Cite&gt;&lt;Author&gt;Shu&lt;/Author&gt;&lt;Year&gt;2008&lt;/Year&gt;&lt;RecNum&gt;112&lt;/RecNum&gt;&lt;DisplayText&gt;(Shu et al., 2008; Huang et al., 2010)&lt;/DisplayText&gt;&lt;record&gt;&lt;rec-number&gt;112&lt;/rec-number&gt;&lt;foreign-keys&gt;&lt;key app="EN" db-id="d55vzfpwawdafteedfoxsf0lv0v0wp5va2aa" timestamp="1521350351"&gt;112&lt;/key&gt;&lt;/foreign-keys&gt;&lt;ref-type name="Journal Article"&gt;17&lt;/ref-type&gt;&lt;contributors&gt;&lt;authors&gt;&lt;author&gt;Shu, Xiang&lt;/author&gt;&lt;author&gt;Huang, Baoshan&lt;/author&gt;&lt;author&gt;Vukosavljevic, Dragon&lt;/author&gt;&lt;/authors&gt;&lt;/contributors&gt;&lt;titles&gt;&lt;title&gt;Laboratory evaluation of fatigue characteristics of recycled asphalt mixture&lt;/title&gt;&lt;secondary-title&gt;Construction and Building Materials&lt;/secondary-title&gt;&lt;/titles&gt;&lt;periodical&gt;&lt;full-title&gt;Construction and Building Materials&lt;/full-title&gt;&lt;/periodical&gt;&lt;pages&gt;1323-1330&lt;/pages&gt;&lt;volume&gt;22&lt;/volume&gt;&lt;number&gt;7&lt;/number&gt;&lt;dates&gt;&lt;year&gt;2008&lt;/year&gt;&lt;/dates&gt;&lt;isbn&gt;0950-0618&lt;/isbn&gt;&lt;urls&gt;&lt;/urls&gt;&lt;/record&gt;&lt;/Cite&gt;&lt;Cite&gt;&lt;Author&gt;Huang&lt;/Author&gt;&lt;Year&gt;2010&lt;/Year&gt;&lt;RecNum&gt;135&lt;/RecNum&gt;&lt;record&gt;&lt;rec-number&gt;135&lt;/rec-number&gt;&lt;foreign-keys&gt;&lt;key app="EN" db-id="d55vzfpwawdafteedfoxsf0lv0v0wp5va2aa" timestamp="1531592688"&gt;135&lt;/key&gt;&lt;/foreign-keys&gt;&lt;ref-type name="Journal Article"&gt;17&lt;/ref-type&gt;&lt;contributors&gt;&lt;authors&gt;&lt;author&gt;Huang, Baoshan&lt;/author&gt;&lt;author&gt;Shu, Xiang&lt;/author&gt;&lt;author&gt;Vukosavljevic, Dragon&lt;/author&gt;&lt;/authors&gt;&lt;/contributors&gt;&lt;titles&gt;&lt;title&gt;Laboratory investigation of cracking resistance of hot-mix asphalt field mixtures containing screened reclaimed asphalt pavement&lt;/title&gt;&lt;secondary-title&gt;Journal of Materials in Civil Engineering&lt;/secondary-title&gt;&lt;/titles&gt;&lt;periodical&gt;&lt;full-title&gt;Journal of Materials in Civil Engineering&lt;/full-title&gt;&lt;/periodical&gt;&lt;pages&gt;1535-1543&lt;/pages&gt;&lt;volume&gt;23&lt;/volume&gt;&lt;number&gt;11&lt;/number&gt;&lt;dates&gt;&lt;year&gt;2010&lt;/year&gt;&lt;/dates&gt;&lt;isbn&gt;0899-1561&lt;/isbn&gt;&lt;urls&gt;&lt;/urls&gt;&lt;/record&gt;&lt;/Cite&gt;&lt;/EndNote&gt;</w:instrText>
      </w:r>
      <w:r w:rsidRPr="00BB5813">
        <w:rPr>
          <w:szCs w:val="24"/>
          <w:lang w:val="en-CA"/>
        </w:rPr>
        <w:fldChar w:fldCharType="separate"/>
      </w:r>
      <w:r w:rsidR="00282238">
        <w:rPr>
          <w:noProof/>
          <w:szCs w:val="24"/>
          <w:lang w:val="en-CA"/>
        </w:rPr>
        <w:t>(Shu et al., 2008; Huang et al., 2010)</w:t>
      </w:r>
      <w:r w:rsidRPr="00BB5813">
        <w:rPr>
          <w:szCs w:val="24"/>
          <w:lang w:val="en-CA"/>
        </w:rPr>
        <w:fldChar w:fldCharType="end"/>
      </w:r>
      <w:r w:rsidRPr="00BB5813">
        <w:rPr>
          <w:szCs w:val="24"/>
          <w:lang w:val="en-CA"/>
        </w:rPr>
        <w:t xml:space="preserve">. The mix with PPA (Mix-4-PPA) exhibited the highest reduction (approximately 20%) in the </w:t>
      </w:r>
      <w:r w:rsidRPr="00BB5813">
        <w:rPr>
          <w:i/>
          <w:iCs/>
          <w:szCs w:val="24"/>
          <w:lang w:val="en-CA"/>
        </w:rPr>
        <w:t>TI</w:t>
      </w:r>
      <w:r w:rsidRPr="00BB5813">
        <w:rPr>
          <w:szCs w:val="24"/>
          <w:lang w:val="en-CA"/>
        </w:rPr>
        <w:t xml:space="preserve"> value than the control mix. No significant effect on the </w:t>
      </w:r>
      <w:r w:rsidRPr="00BB5813">
        <w:rPr>
          <w:i/>
          <w:iCs/>
          <w:szCs w:val="24"/>
          <w:lang w:val="en-CA"/>
        </w:rPr>
        <w:t>TI</w:t>
      </w:r>
      <w:r w:rsidRPr="00BB5813">
        <w:rPr>
          <w:i/>
          <w:iCs/>
          <w:szCs w:val="24"/>
          <w:vertAlign w:val="subscript"/>
          <w:lang w:val="en-CA"/>
        </w:rPr>
        <w:t>wet</w:t>
      </w:r>
      <w:r w:rsidRPr="00BB5813">
        <w:rPr>
          <w:szCs w:val="24"/>
          <w:lang w:val="en-CA"/>
        </w:rPr>
        <w:t xml:space="preserve"> value was observed for Mix-2-WMA and Mix-3-ASA. However, the addition of PPA and RAP exhibited approximately 7 and 11% reduction on the </w:t>
      </w:r>
      <w:r w:rsidRPr="00BB5813">
        <w:rPr>
          <w:i/>
          <w:iCs/>
          <w:szCs w:val="24"/>
          <w:lang w:val="en-CA"/>
        </w:rPr>
        <w:t>TI</w:t>
      </w:r>
      <w:r w:rsidRPr="00BB5813">
        <w:rPr>
          <w:i/>
          <w:iCs/>
          <w:szCs w:val="24"/>
          <w:vertAlign w:val="subscript"/>
          <w:lang w:val="en-CA"/>
        </w:rPr>
        <w:t>wet</w:t>
      </w:r>
      <w:r w:rsidRPr="00BB5813">
        <w:rPr>
          <w:szCs w:val="24"/>
          <w:lang w:val="en-CA"/>
        </w:rPr>
        <w:t xml:space="preserve"> value, respectively. Based on the </w:t>
      </w:r>
      <w:r w:rsidRPr="00BB5813">
        <w:rPr>
          <w:i/>
          <w:iCs/>
          <w:szCs w:val="24"/>
          <w:lang w:val="en-CA"/>
        </w:rPr>
        <w:t xml:space="preserve">TI ratio </w:t>
      </w:r>
      <w:r w:rsidRPr="00BB5813">
        <w:rPr>
          <w:szCs w:val="24"/>
          <w:lang w:val="en-CA"/>
        </w:rPr>
        <w:t>(</w:t>
      </w:r>
      <w:r w:rsidRPr="00BB5813">
        <w:rPr>
          <w:i/>
          <w:iCs/>
          <w:szCs w:val="24"/>
          <w:lang w:val="en-CA"/>
        </w:rPr>
        <w:t>TI</w:t>
      </w:r>
      <w:r w:rsidRPr="00BB5813">
        <w:rPr>
          <w:i/>
          <w:iCs/>
          <w:szCs w:val="24"/>
          <w:vertAlign w:val="subscript"/>
          <w:lang w:val="en-CA"/>
        </w:rPr>
        <w:t>wet</w:t>
      </w:r>
      <w:r w:rsidRPr="00BB5813">
        <w:rPr>
          <w:i/>
          <w:iCs/>
          <w:szCs w:val="24"/>
          <w:lang w:val="en-CA"/>
        </w:rPr>
        <w:t>/TI</w:t>
      </w:r>
      <w:r w:rsidRPr="00BB5813">
        <w:rPr>
          <w:i/>
          <w:iCs/>
          <w:szCs w:val="24"/>
          <w:vertAlign w:val="subscript"/>
          <w:lang w:val="en-CA"/>
        </w:rPr>
        <w:t>dry</w:t>
      </w:r>
      <w:r w:rsidRPr="00BB5813">
        <w:rPr>
          <w:szCs w:val="24"/>
          <w:lang w:val="en-CA"/>
        </w:rPr>
        <w:t xml:space="preserve">) (Figure </w:t>
      </w:r>
      <w:r w:rsidR="004755E6">
        <w:t>5.</w:t>
      </w:r>
      <w:r w:rsidRPr="00BB5813">
        <w:rPr>
          <w:szCs w:val="24"/>
          <w:lang w:val="en-CA"/>
        </w:rPr>
        <w:t xml:space="preserve">3(b)), it was evident that the changes in the </w:t>
      </w:r>
      <w:r w:rsidRPr="00BB5813">
        <w:rPr>
          <w:i/>
          <w:iCs/>
          <w:szCs w:val="24"/>
          <w:lang w:val="en-CA"/>
        </w:rPr>
        <w:t>TI</w:t>
      </w:r>
      <w:r w:rsidRPr="00BB5813">
        <w:rPr>
          <w:szCs w:val="24"/>
          <w:lang w:val="en-CA"/>
        </w:rPr>
        <w:t xml:space="preserve"> values for Mix-3-ASA and Mix-4-PPA were higher than that in Mix-1-None, Mix-2-WMA and Mix-5-RAP. As an increase in the </w:t>
      </w:r>
      <w:r w:rsidRPr="00BB5813">
        <w:rPr>
          <w:i/>
          <w:iCs/>
          <w:szCs w:val="24"/>
          <w:lang w:val="en-CA"/>
        </w:rPr>
        <w:t>TI</w:t>
      </w:r>
      <w:r w:rsidRPr="00BB5813">
        <w:rPr>
          <w:szCs w:val="24"/>
          <w:lang w:val="en-CA"/>
        </w:rPr>
        <w:t xml:space="preserve"> value indicates an increase in plastic behavior, mixes with high </w:t>
      </w:r>
      <w:r w:rsidRPr="00BB5813">
        <w:rPr>
          <w:i/>
          <w:iCs/>
          <w:szCs w:val="24"/>
          <w:lang w:val="en-CA"/>
        </w:rPr>
        <w:t>TI ratios</w:t>
      </w:r>
      <w:r w:rsidRPr="00BB5813">
        <w:rPr>
          <w:szCs w:val="24"/>
          <w:lang w:val="en-CA"/>
        </w:rPr>
        <w:t xml:space="preserve"> are expected to perform worse after the initiation of crack. Therefore, Mix-4-PPA is expected to exhibit the lowest resistance to moisture-induced damage compared to other mixes.</w:t>
      </w:r>
    </w:p>
    <w:p w14:paraId="3A33F9B1" w14:textId="2E1A93AD" w:rsidR="00DD6905" w:rsidRPr="00F11623" w:rsidRDefault="00DD6905" w:rsidP="00985A4A">
      <w:pPr>
        <w:pStyle w:val="Heading3"/>
      </w:pPr>
      <w:bookmarkStart w:id="157" w:name="_Toc71728462"/>
      <w:r w:rsidRPr="00F11623">
        <w:t>Louisiana Semi-Circular Bend (LA-SCB) Test</w:t>
      </w:r>
      <w:bookmarkEnd w:id="157"/>
    </w:p>
    <w:p w14:paraId="76FECB52" w14:textId="4C78F749" w:rsidR="00DD6905" w:rsidRPr="00BB5813" w:rsidRDefault="00DD6905" w:rsidP="00555D3F">
      <w:pPr>
        <w:ind w:firstLine="720"/>
        <w:rPr>
          <w:szCs w:val="24"/>
          <w:lang w:val="en-CA"/>
        </w:rPr>
      </w:pPr>
      <w:r w:rsidRPr="00BB5813">
        <w:rPr>
          <w:szCs w:val="24"/>
          <w:lang w:val="en-CA"/>
        </w:rPr>
        <w:t>The LA-SCB tests were used to characterize the fracture properties of asphalt mixes by determining their J-integral (</w:t>
      </w:r>
      <w:r w:rsidRPr="00BB5813">
        <w:rPr>
          <w:i/>
          <w:iCs/>
          <w:szCs w:val="24"/>
          <w:lang w:val="en-CA"/>
        </w:rPr>
        <w:t>J</w:t>
      </w:r>
      <w:r w:rsidRPr="00BB5813">
        <w:rPr>
          <w:i/>
          <w:iCs/>
          <w:szCs w:val="24"/>
          <w:vertAlign w:val="subscript"/>
          <w:lang w:val="en-CA"/>
        </w:rPr>
        <w:t>c</w:t>
      </w:r>
      <w:r w:rsidRPr="00BB5813">
        <w:rPr>
          <w:szCs w:val="24"/>
          <w:lang w:val="en-CA"/>
        </w:rPr>
        <w:t>) values. The J-integral values of the dry (</w:t>
      </w:r>
      <w:r w:rsidRPr="00BB5813">
        <w:rPr>
          <w:i/>
          <w:iCs/>
          <w:szCs w:val="24"/>
          <w:lang w:val="en-CA"/>
        </w:rPr>
        <w:t>J</w:t>
      </w:r>
      <w:r w:rsidRPr="00BB5813">
        <w:rPr>
          <w:i/>
          <w:iCs/>
          <w:szCs w:val="24"/>
          <w:vertAlign w:val="subscript"/>
          <w:lang w:val="en-CA"/>
        </w:rPr>
        <w:t>c-dry</w:t>
      </w:r>
      <w:r w:rsidRPr="00BB5813">
        <w:rPr>
          <w:szCs w:val="24"/>
          <w:lang w:val="en-CA"/>
        </w:rPr>
        <w:t>) and MIST-conditioned (</w:t>
      </w:r>
      <w:r w:rsidRPr="00BB5813">
        <w:rPr>
          <w:i/>
          <w:iCs/>
          <w:szCs w:val="24"/>
          <w:lang w:val="en-CA"/>
        </w:rPr>
        <w:t>J</w:t>
      </w:r>
      <w:r w:rsidRPr="00BB5813">
        <w:rPr>
          <w:i/>
          <w:iCs/>
          <w:szCs w:val="24"/>
          <w:vertAlign w:val="subscript"/>
          <w:lang w:val="en-CA"/>
        </w:rPr>
        <w:t>c-MIST</w:t>
      </w:r>
      <w:r w:rsidRPr="00BB5813">
        <w:rPr>
          <w:szCs w:val="24"/>
          <w:lang w:val="en-CA"/>
        </w:rPr>
        <w:t xml:space="preserve">) specimens for all mixes are presented in Figure </w:t>
      </w:r>
      <w:r w:rsidR="004755E6">
        <w:t>5.</w:t>
      </w:r>
      <w:r w:rsidRPr="00BB5813">
        <w:rPr>
          <w:szCs w:val="24"/>
          <w:lang w:val="en-CA"/>
        </w:rPr>
        <w:t xml:space="preserve">4. For this purpose, three replicates were tested at each notch depths. The average of the three specimens was used to calculate </w:t>
      </w:r>
      <w:r w:rsidRPr="00BB5813">
        <w:rPr>
          <w:i/>
          <w:iCs/>
          <w:szCs w:val="24"/>
          <w:lang w:val="en-CA"/>
        </w:rPr>
        <w:t>J</w:t>
      </w:r>
      <w:r w:rsidRPr="00BB5813">
        <w:rPr>
          <w:i/>
          <w:iCs/>
          <w:szCs w:val="24"/>
          <w:vertAlign w:val="subscript"/>
          <w:lang w:val="en-CA"/>
        </w:rPr>
        <w:t>c</w:t>
      </w:r>
      <w:r w:rsidRPr="00BB5813">
        <w:rPr>
          <w:szCs w:val="24"/>
          <w:lang w:val="en-CA"/>
        </w:rPr>
        <w:t xml:space="preserve"> at each condition. From Figure </w:t>
      </w:r>
      <w:r w:rsidR="004755E6">
        <w:t>5.</w:t>
      </w:r>
      <w:r w:rsidRPr="00BB5813">
        <w:rPr>
          <w:szCs w:val="24"/>
          <w:lang w:val="en-CA"/>
        </w:rPr>
        <w:t xml:space="preserve">4, the addition of ASA reduced the fracture resistance in dry-condition specimens. However, no significant change in fracture resistance occurred for Mix-2-WMA and Mix-4-PPA under dry condition. Among all mixes, specimens with RAP (Mix-5-RAP) exhibited the highest </w:t>
      </w:r>
      <w:r w:rsidRPr="00BB5813">
        <w:rPr>
          <w:i/>
          <w:iCs/>
          <w:szCs w:val="24"/>
          <w:lang w:val="en-CA"/>
        </w:rPr>
        <w:t>J</w:t>
      </w:r>
      <w:r w:rsidRPr="00BB5813">
        <w:rPr>
          <w:i/>
          <w:iCs/>
          <w:szCs w:val="24"/>
          <w:vertAlign w:val="subscript"/>
          <w:lang w:val="en-CA"/>
        </w:rPr>
        <w:t>c</w:t>
      </w:r>
      <w:r w:rsidRPr="00BB5813">
        <w:rPr>
          <w:szCs w:val="24"/>
          <w:lang w:val="en-CA"/>
        </w:rPr>
        <w:t xml:space="preserve"> value at both dry and MIST conditioning. A higher amount of binder (5.5%) present in Mix-5-RAP might </w:t>
      </w:r>
      <w:r w:rsidRPr="00EF505F">
        <w:rPr>
          <w:szCs w:val="24"/>
          <w:lang w:val="en-CA"/>
        </w:rPr>
        <w:t xml:space="preserve">be responsible for the increased </w:t>
      </w:r>
      <w:r w:rsidRPr="00EF505F">
        <w:rPr>
          <w:i/>
          <w:iCs/>
          <w:szCs w:val="24"/>
          <w:lang w:val="en-CA"/>
        </w:rPr>
        <w:t>J</w:t>
      </w:r>
      <w:r w:rsidRPr="00EF505F">
        <w:rPr>
          <w:i/>
          <w:iCs/>
          <w:szCs w:val="24"/>
          <w:vertAlign w:val="subscript"/>
          <w:lang w:val="en-CA"/>
        </w:rPr>
        <w:t>c</w:t>
      </w:r>
      <w:r w:rsidRPr="00EF505F">
        <w:rPr>
          <w:szCs w:val="24"/>
          <w:lang w:val="en-CA"/>
        </w:rPr>
        <w:t xml:space="preserve"> value. However, the </w:t>
      </w:r>
      <w:r w:rsidRPr="00EF505F">
        <w:rPr>
          <w:i/>
          <w:iCs/>
          <w:szCs w:val="24"/>
          <w:lang w:val="en-CA"/>
        </w:rPr>
        <w:t>J</w:t>
      </w:r>
      <w:r w:rsidRPr="00EF505F">
        <w:rPr>
          <w:i/>
          <w:iCs/>
          <w:szCs w:val="24"/>
          <w:vertAlign w:val="subscript"/>
          <w:lang w:val="en-CA"/>
        </w:rPr>
        <w:t>c-MIST</w:t>
      </w:r>
      <w:r w:rsidRPr="00EF505F">
        <w:rPr>
          <w:szCs w:val="24"/>
          <w:lang w:val="en-CA"/>
        </w:rPr>
        <w:t xml:space="preserve"> values varied significantly from the </w:t>
      </w:r>
      <w:r w:rsidRPr="00EF505F">
        <w:rPr>
          <w:i/>
          <w:iCs/>
          <w:szCs w:val="24"/>
          <w:lang w:val="en-CA"/>
        </w:rPr>
        <w:t>J</w:t>
      </w:r>
      <w:r w:rsidRPr="00EF505F">
        <w:rPr>
          <w:i/>
          <w:iCs/>
          <w:szCs w:val="24"/>
          <w:vertAlign w:val="subscript"/>
          <w:lang w:val="en-CA"/>
        </w:rPr>
        <w:t>c-Dry</w:t>
      </w:r>
      <w:r w:rsidRPr="00EF505F">
        <w:rPr>
          <w:szCs w:val="24"/>
          <w:lang w:val="en-CA"/>
        </w:rPr>
        <w:t xml:space="preserve"> values for all mixes. The </w:t>
      </w:r>
      <w:r w:rsidRPr="00EF505F">
        <w:rPr>
          <w:i/>
          <w:iCs/>
          <w:szCs w:val="24"/>
          <w:lang w:val="en-CA"/>
        </w:rPr>
        <w:t>J</w:t>
      </w:r>
      <w:r w:rsidRPr="00EF505F">
        <w:rPr>
          <w:i/>
          <w:iCs/>
          <w:szCs w:val="24"/>
          <w:vertAlign w:val="subscript"/>
          <w:lang w:val="en-CA"/>
        </w:rPr>
        <w:t>c</w:t>
      </w:r>
      <w:r w:rsidRPr="00EF505F">
        <w:rPr>
          <w:i/>
          <w:iCs/>
          <w:szCs w:val="24"/>
          <w:lang w:val="en-CA"/>
        </w:rPr>
        <w:t xml:space="preserve"> ratio</w:t>
      </w:r>
      <w:r w:rsidRPr="00EF505F">
        <w:rPr>
          <w:szCs w:val="24"/>
          <w:lang w:val="en-CA"/>
        </w:rPr>
        <w:t xml:space="preserve"> of Mix-1-None through Mix-5-RAP were found to be 0.60, 0.92, 1.07, 0.61 and 0.74, respectively. </w:t>
      </w:r>
      <w:r w:rsidR="00C46EC3" w:rsidRPr="00EF505F">
        <w:rPr>
          <w:szCs w:val="24"/>
          <w:lang w:val="en-CA"/>
        </w:rPr>
        <w:t xml:space="preserve">The </w:t>
      </w:r>
      <w:r w:rsidR="005F716D" w:rsidRPr="00EF505F">
        <w:rPr>
          <w:i/>
          <w:iCs/>
          <w:szCs w:val="24"/>
          <w:lang w:val="en-CA"/>
        </w:rPr>
        <w:t>J</w:t>
      </w:r>
      <w:r w:rsidR="005F716D" w:rsidRPr="00EF505F">
        <w:rPr>
          <w:i/>
          <w:iCs/>
          <w:szCs w:val="24"/>
          <w:vertAlign w:val="subscript"/>
          <w:lang w:val="en-CA"/>
        </w:rPr>
        <w:t>c</w:t>
      </w:r>
      <w:r w:rsidR="005F716D" w:rsidRPr="00EF505F">
        <w:rPr>
          <w:i/>
          <w:iCs/>
          <w:szCs w:val="24"/>
          <w:lang w:val="en-CA"/>
        </w:rPr>
        <w:t xml:space="preserve"> ratio</w:t>
      </w:r>
      <w:r w:rsidR="005F716D" w:rsidRPr="00EF505F">
        <w:rPr>
          <w:szCs w:val="24"/>
          <w:lang w:val="en-CA"/>
        </w:rPr>
        <w:t xml:space="preserve"> </w:t>
      </w:r>
      <w:r w:rsidR="00B35C67" w:rsidRPr="00EF505F">
        <w:rPr>
          <w:szCs w:val="24"/>
          <w:lang w:val="en-CA"/>
        </w:rPr>
        <w:t xml:space="preserve">of 1.07 (higher than 1.00) for Mix-3-ASA </w:t>
      </w:r>
      <w:r w:rsidR="0042277F" w:rsidRPr="00EF505F">
        <w:rPr>
          <w:szCs w:val="24"/>
          <w:lang w:val="en-CA"/>
        </w:rPr>
        <w:t>may be due to the softening of binder during MIST condition</w:t>
      </w:r>
      <w:r w:rsidR="00915B56" w:rsidRPr="00EF505F">
        <w:rPr>
          <w:szCs w:val="24"/>
          <w:lang w:val="en-CA"/>
        </w:rPr>
        <w:t>ing</w:t>
      </w:r>
      <w:r w:rsidR="0042277F" w:rsidRPr="00EF505F">
        <w:rPr>
          <w:szCs w:val="24"/>
          <w:lang w:val="en-CA"/>
        </w:rPr>
        <w:t xml:space="preserve">. </w:t>
      </w:r>
      <w:r w:rsidRPr="00EF505F">
        <w:rPr>
          <w:szCs w:val="24"/>
          <w:lang w:val="en-CA"/>
        </w:rPr>
        <w:t xml:space="preserve">Based on the </w:t>
      </w:r>
      <w:r w:rsidRPr="00EF505F">
        <w:rPr>
          <w:i/>
          <w:iCs/>
          <w:szCs w:val="24"/>
          <w:lang w:val="en-CA"/>
        </w:rPr>
        <w:t>J</w:t>
      </w:r>
      <w:r w:rsidRPr="00EF505F">
        <w:rPr>
          <w:i/>
          <w:iCs/>
          <w:szCs w:val="24"/>
          <w:vertAlign w:val="subscript"/>
          <w:lang w:val="en-CA"/>
        </w:rPr>
        <w:t>c</w:t>
      </w:r>
      <w:r w:rsidRPr="00EF505F">
        <w:rPr>
          <w:i/>
          <w:iCs/>
          <w:szCs w:val="24"/>
          <w:lang w:val="en-CA"/>
        </w:rPr>
        <w:t xml:space="preserve"> ratio,</w:t>
      </w:r>
      <w:r w:rsidRPr="00EF505F">
        <w:rPr>
          <w:szCs w:val="24"/>
          <w:lang w:val="en-CA"/>
        </w:rPr>
        <w:t xml:space="preserve"> significant</w:t>
      </w:r>
      <w:r w:rsidRPr="00BB5813">
        <w:rPr>
          <w:szCs w:val="24"/>
          <w:lang w:val="en-CA"/>
        </w:rPr>
        <w:t xml:space="preserve"> reduction in moisture susceptibility is expected for mixes with WMA additive, ASA and RAP. However, the mix with PPA exhibited similar moisture-induced damage potential as the control mix. </w:t>
      </w:r>
    </w:p>
    <w:p w14:paraId="33194A8A" w14:textId="4864A9C7" w:rsidR="00DD6905" w:rsidRPr="00F11623" w:rsidRDefault="00DD6905" w:rsidP="00985A4A">
      <w:pPr>
        <w:pStyle w:val="Heading3"/>
      </w:pPr>
      <w:bookmarkStart w:id="158" w:name="_Toc71728463"/>
      <w:r w:rsidRPr="00F11623">
        <w:t>Surface Free Energy Method</w:t>
      </w:r>
      <w:bookmarkEnd w:id="158"/>
    </w:p>
    <w:p w14:paraId="6C4D5A9C" w14:textId="5E80C8D5" w:rsidR="00DD6905" w:rsidRPr="00BB5813" w:rsidRDefault="00DD6905" w:rsidP="00555D3F">
      <w:pPr>
        <w:ind w:firstLine="720"/>
        <w:rPr>
          <w:szCs w:val="24"/>
        </w:rPr>
      </w:pPr>
      <w:r w:rsidRPr="00BB5813">
        <w:rPr>
          <w:szCs w:val="24"/>
        </w:rPr>
        <w:t>The moisture-induced damage potential of asphalt mixes with different additives were evaluated using the SFE parameters. According to the SFE method, the adhesion between binder and aggregate is a function of the surface free energies of both these materials. The total SFE (</w:t>
      </w:r>
      <m:oMath>
        <m:sSup>
          <m:sSupPr>
            <m:ctrlPr>
              <w:rPr>
                <w:rFonts w:ascii="Cambria Math" w:hAnsi="Cambria Math"/>
                <w:i/>
                <w:iCs/>
                <w:szCs w:val="24"/>
                <w:lang w:val="en-GB" w:eastAsia="en-GB"/>
              </w:rPr>
            </m:ctrlPr>
          </m:sSupPr>
          <m:e>
            <m:r>
              <m:rPr>
                <m:sty m:val="p"/>
              </m:rPr>
              <w:rPr>
                <w:rFonts w:ascii="Cambria Math" w:hAnsi="Cambria Math"/>
                <w:szCs w:val="24"/>
              </w:rPr>
              <m:t>Γ</m:t>
            </m:r>
          </m:e>
          <m:sup>
            <m:r>
              <w:rPr>
                <w:rFonts w:ascii="Cambria Math" w:hAnsi="Cambria Math"/>
                <w:szCs w:val="24"/>
              </w:rPr>
              <m:t>Total</m:t>
            </m:r>
          </m:sup>
        </m:sSup>
        <m:r>
          <w:rPr>
            <w:rFonts w:ascii="Cambria Math" w:hAnsi="Cambria Math"/>
            <w:szCs w:val="24"/>
            <w:lang w:val="en-GB" w:eastAsia="en-GB"/>
          </w:rPr>
          <m:t>)</m:t>
        </m:r>
      </m:oMath>
      <w:r w:rsidRPr="00BB5813">
        <w:rPr>
          <w:szCs w:val="24"/>
        </w:rPr>
        <w:t xml:space="preserve"> of a material consists of a non-polar Lifshitz-van der Waals component (</w:t>
      </w:r>
      <m:oMath>
        <m:sSup>
          <m:sSupPr>
            <m:ctrlPr>
              <w:rPr>
                <w:rFonts w:ascii="Cambria Math" w:hAnsi="Cambria Math"/>
                <w:i/>
                <w:iCs/>
                <w:szCs w:val="24"/>
                <w:lang w:val="en-GB" w:eastAsia="en-GB"/>
              </w:rPr>
            </m:ctrlPr>
          </m:sSupPr>
          <m:e>
            <m:r>
              <m:rPr>
                <m:sty m:val="p"/>
              </m:rPr>
              <w:rPr>
                <w:rFonts w:ascii="Cambria Math" w:hAnsi="Cambria Math"/>
                <w:szCs w:val="24"/>
              </w:rPr>
              <m:t>Γ</m:t>
            </m:r>
          </m:e>
          <m:sup>
            <m:r>
              <w:rPr>
                <w:rFonts w:ascii="Cambria Math" w:hAnsi="Cambria Math"/>
                <w:szCs w:val="24"/>
              </w:rPr>
              <m:t>LW</m:t>
            </m:r>
          </m:sup>
        </m:sSup>
        <m:r>
          <w:rPr>
            <w:rFonts w:ascii="Cambria Math" w:hAnsi="Cambria Math"/>
            <w:szCs w:val="24"/>
            <w:lang w:val="en-GB" w:eastAsia="en-GB"/>
          </w:rPr>
          <m:t>)</m:t>
        </m:r>
      </m:oMath>
      <w:r w:rsidRPr="00BB5813">
        <w:rPr>
          <w:szCs w:val="24"/>
        </w:rPr>
        <w:t xml:space="preserve"> and a polar acid-base component (</w:t>
      </w:r>
      <m:oMath>
        <m:sSup>
          <m:sSupPr>
            <m:ctrlPr>
              <w:rPr>
                <w:rFonts w:ascii="Cambria Math" w:hAnsi="Cambria Math"/>
                <w:i/>
                <w:iCs/>
                <w:szCs w:val="24"/>
                <w:lang w:val="en-GB" w:eastAsia="en-GB"/>
              </w:rPr>
            </m:ctrlPr>
          </m:sSupPr>
          <m:e>
            <m:r>
              <m:rPr>
                <m:sty m:val="p"/>
              </m:rPr>
              <w:rPr>
                <w:rFonts w:ascii="Cambria Math" w:hAnsi="Cambria Math"/>
                <w:szCs w:val="24"/>
              </w:rPr>
              <m:t>Γ</m:t>
            </m:r>
          </m:e>
          <m:sup>
            <m:r>
              <w:rPr>
                <w:rFonts w:ascii="Cambria Math" w:hAnsi="Cambria Math"/>
                <w:szCs w:val="24"/>
              </w:rPr>
              <m:t>AB</m:t>
            </m:r>
          </m:sup>
        </m:sSup>
      </m:oMath>
      <w:r w:rsidRPr="00BB5813">
        <w:rPr>
          <w:szCs w:val="24"/>
        </w:rPr>
        <w:t xml:space="preserve">). </w:t>
      </w:r>
      <w:r w:rsidRPr="00BB5813">
        <w:rPr>
          <w:szCs w:val="24"/>
        </w:rPr>
        <w:fldChar w:fldCharType="begin"/>
      </w:r>
      <w:r w:rsidR="00B96C8D">
        <w:rPr>
          <w:szCs w:val="24"/>
        </w:rPr>
        <w:instrText xml:space="preserve"> ADDIN EN.CITE &lt;EndNote&gt;&lt;Cite AuthorYear="1"&gt;&lt;Author&gt;Van Oss&lt;/Author&gt;&lt;Year&gt;1988&lt;/Year&gt;&lt;RecNum&gt;31&lt;/RecNum&gt;&lt;DisplayText&gt;Van Oss et al. (1988)&lt;/DisplayText&gt;&lt;record&gt;&lt;rec-number&gt;31&lt;/rec-number&gt;&lt;foreign-keys&gt;&lt;key app="EN" db-id="d55vzfpwawdafteedfoxsf0lv0v0wp5va2aa" timestamp="1509901250"&gt;31&lt;/key&gt;&lt;/foreign-keys&gt;&lt;ref-type name="Journal Article"&gt;17&lt;/ref-type&gt;&lt;contributors&gt;&lt;authors&gt;&lt;author&gt;Van Oss, Carel J&lt;/author&gt;&lt;author&gt;Chaudhury, Manoj K&lt;/author&gt;&lt;author&gt;Good, Robert J&lt;/author&gt;&lt;/authors&gt;&lt;/contributors&gt;&lt;titles&gt;&lt;title&gt;Interfacial Lifshitz-Van Der Waals and Polar Interactions in Macroscopic Systems&lt;/title&gt;&lt;secondary-title&gt;Chemical Reviews&lt;/secondary-title&gt;&lt;/titles&gt;&lt;periodical&gt;&lt;full-title&gt;Chemical Reviews&lt;/full-title&gt;&lt;/periodical&gt;&lt;pages&gt;927-941&lt;/pages&gt;&lt;volume&gt;88&lt;/volume&gt;&lt;number&gt;6&lt;/number&gt;&lt;dates&gt;&lt;year&gt;1988&lt;/year&gt;&lt;/dates&gt;&lt;isbn&gt;0009-2665&lt;/isbn&gt;&lt;urls&gt;&lt;/urls&gt;&lt;/record&gt;&lt;/Cite&gt;&lt;/EndNote&gt;</w:instrText>
      </w:r>
      <w:r w:rsidRPr="00BB5813">
        <w:rPr>
          <w:szCs w:val="24"/>
        </w:rPr>
        <w:fldChar w:fldCharType="separate"/>
      </w:r>
      <w:r w:rsidR="00B96C8D">
        <w:rPr>
          <w:noProof/>
          <w:szCs w:val="24"/>
        </w:rPr>
        <w:t>Van Oss et al. (1988)</w:t>
      </w:r>
      <w:r w:rsidRPr="00BB5813">
        <w:rPr>
          <w:szCs w:val="24"/>
        </w:rPr>
        <w:fldChar w:fldCharType="end"/>
      </w:r>
      <w:r w:rsidRPr="00BB5813">
        <w:rPr>
          <w:szCs w:val="24"/>
        </w:rPr>
        <w:t xml:space="preserve"> further divided the polar acid-base component into a monopolar acidic component (</w:t>
      </w:r>
      <m:oMath>
        <m:sSup>
          <m:sSupPr>
            <m:ctrlPr>
              <w:rPr>
                <w:rFonts w:ascii="Cambria Math" w:hAnsi="Cambria Math"/>
                <w:i/>
                <w:iCs/>
                <w:szCs w:val="24"/>
                <w:lang w:val="en-GB" w:eastAsia="en-GB"/>
              </w:rPr>
            </m:ctrlPr>
          </m:sSupPr>
          <m:e>
            <m:r>
              <m:rPr>
                <m:sty m:val="p"/>
              </m:rPr>
              <w:rPr>
                <w:rFonts w:ascii="Cambria Math" w:hAnsi="Cambria Math"/>
                <w:szCs w:val="24"/>
              </w:rPr>
              <m:t>Γ</m:t>
            </m:r>
          </m:e>
          <m:sup>
            <m:r>
              <w:rPr>
                <w:rFonts w:ascii="Cambria Math" w:hAnsi="Cambria Math"/>
                <w:szCs w:val="24"/>
              </w:rPr>
              <m:t>+</m:t>
            </m:r>
          </m:sup>
        </m:sSup>
        <m:r>
          <w:rPr>
            <w:rFonts w:ascii="Cambria Math" w:hAnsi="Cambria Math"/>
            <w:szCs w:val="24"/>
            <w:lang w:val="en-GB" w:eastAsia="en-GB"/>
          </w:rPr>
          <m:t>)</m:t>
        </m:r>
      </m:oMath>
      <w:r w:rsidRPr="00BB5813">
        <w:rPr>
          <w:szCs w:val="24"/>
        </w:rPr>
        <w:t xml:space="preserve"> and a monopolar basic component (</w:t>
      </w:r>
      <m:oMath>
        <m:sSup>
          <m:sSupPr>
            <m:ctrlPr>
              <w:rPr>
                <w:rFonts w:ascii="Cambria Math" w:hAnsi="Cambria Math"/>
                <w:i/>
                <w:iCs/>
                <w:szCs w:val="24"/>
                <w:lang w:val="en-GB" w:eastAsia="en-GB"/>
              </w:rPr>
            </m:ctrlPr>
          </m:sSupPr>
          <m:e>
            <m:r>
              <m:rPr>
                <m:sty m:val="p"/>
              </m:rPr>
              <w:rPr>
                <w:rFonts w:ascii="Cambria Math" w:hAnsi="Cambria Math"/>
                <w:szCs w:val="24"/>
              </w:rPr>
              <m:t>Γ</m:t>
            </m:r>
          </m:e>
          <m:sup>
            <m:r>
              <w:rPr>
                <w:rFonts w:ascii="Cambria Math" w:hAnsi="Cambria Math"/>
                <w:szCs w:val="24"/>
              </w:rPr>
              <m:t>-</m:t>
            </m:r>
          </m:sup>
        </m:sSup>
        <m:r>
          <w:rPr>
            <w:rFonts w:ascii="Cambria Math" w:hAnsi="Cambria Math"/>
            <w:szCs w:val="24"/>
            <w:lang w:val="en-GB" w:eastAsia="en-GB"/>
          </w:rPr>
          <m:t>)</m:t>
        </m:r>
      </m:oMath>
      <w:r w:rsidRPr="00BB5813">
        <w:rPr>
          <w:szCs w:val="24"/>
          <w:lang w:val="en-GB" w:eastAsia="en-GB"/>
        </w:rPr>
        <w:t xml:space="preserve"> using Equation (</w:t>
      </w:r>
      <w:r w:rsidR="00AD0AD5">
        <w:t>5.</w:t>
      </w:r>
      <w:r w:rsidRPr="00BB5813">
        <w:rPr>
          <w:szCs w:val="24"/>
          <w:lang w:val="en-GB" w:eastAsia="en-GB"/>
        </w:rPr>
        <w:t>5).</w:t>
      </w:r>
    </w:p>
    <w:p w14:paraId="6E9A01A3" w14:textId="0DA578C3" w:rsidR="00DD6905" w:rsidRPr="00BB5813" w:rsidRDefault="007F7885" w:rsidP="00555D3F">
      <w:pPr>
        <w:jc w:val="center"/>
        <w:rPr>
          <w:iCs/>
          <w:szCs w:val="24"/>
        </w:rPr>
      </w:pPr>
      <m:oMath>
        <m:sSup>
          <m:sSupPr>
            <m:ctrlPr>
              <w:rPr>
                <w:rFonts w:ascii="Cambria Math" w:hAnsi="Cambria Math"/>
                <w:i/>
                <w:iCs/>
                <w:szCs w:val="24"/>
                <w:lang w:val="en-GB" w:eastAsia="en-GB"/>
              </w:rPr>
            </m:ctrlPr>
          </m:sSupPr>
          <m:e>
            <m:r>
              <m:rPr>
                <m:sty m:val="p"/>
              </m:rPr>
              <w:rPr>
                <w:rFonts w:ascii="Cambria Math" w:hAnsi="Cambria Math"/>
                <w:szCs w:val="24"/>
              </w:rPr>
              <m:t>Γ</m:t>
            </m:r>
          </m:e>
          <m:sup>
            <m:r>
              <w:rPr>
                <w:rFonts w:ascii="Cambria Math" w:hAnsi="Cambria Math"/>
                <w:szCs w:val="24"/>
              </w:rPr>
              <m:t>Total</m:t>
            </m:r>
          </m:sup>
        </m:sSup>
        <m:r>
          <w:rPr>
            <w:rFonts w:ascii="Cambria Math" w:hAnsi="Cambria Math"/>
            <w:szCs w:val="24"/>
          </w:rPr>
          <m:t>=</m:t>
        </m:r>
        <m:sSup>
          <m:sSupPr>
            <m:ctrlPr>
              <w:rPr>
                <w:rFonts w:ascii="Cambria Math" w:hAnsi="Cambria Math"/>
                <w:i/>
                <w:iCs/>
                <w:szCs w:val="24"/>
                <w:lang w:val="en-GB" w:eastAsia="en-GB"/>
              </w:rPr>
            </m:ctrlPr>
          </m:sSupPr>
          <m:e>
            <m:r>
              <m:rPr>
                <m:sty m:val="p"/>
              </m:rPr>
              <w:rPr>
                <w:rFonts w:ascii="Cambria Math" w:hAnsi="Cambria Math"/>
                <w:szCs w:val="24"/>
              </w:rPr>
              <m:t>Γ</m:t>
            </m:r>
          </m:e>
          <m:sup>
            <m:r>
              <w:rPr>
                <w:rFonts w:ascii="Cambria Math" w:hAnsi="Cambria Math"/>
                <w:szCs w:val="24"/>
              </w:rPr>
              <m:t>LW</m:t>
            </m:r>
          </m:sup>
        </m:sSup>
        <m:r>
          <w:rPr>
            <w:rFonts w:ascii="Cambria Math" w:hAnsi="Cambria Math"/>
            <w:szCs w:val="24"/>
          </w:rPr>
          <m:t>+</m:t>
        </m:r>
        <m:sSup>
          <m:sSupPr>
            <m:ctrlPr>
              <w:rPr>
                <w:rFonts w:ascii="Cambria Math" w:hAnsi="Cambria Math"/>
                <w:i/>
                <w:iCs/>
                <w:szCs w:val="24"/>
                <w:lang w:val="en-GB" w:eastAsia="en-GB"/>
              </w:rPr>
            </m:ctrlPr>
          </m:sSupPr>
          <m:e>
            <m:r>
              <m:rPr>
                <m:sty m:val="p"/>
              </m:rPr>
              <w:rPr>
                <w:rFonts w:ascii="Cambria Math" w:hAnsi="Cambria Math"/>
                <w:szCs w:val="24"/>
              </w:rPr>
              <m:t>Γ</m:t>
            </m:r>
          </m:e>
          <m:sup>
            <m:r>
              <w:rPr>
                <w:rFonts w:ascii="Cambria Math" w:hAnsi="Cambria Math"/>
                <w:szCs w:val="24"/>
              </w:rPr>
              <m:t>AB</m:t>
            </m:r>
          </m:sup>
        </m:sSup>
        <m:r>
          <w:rPr>
            <w:rFonts w:ascii="Cambria Math" w:hAnsi="Cambria Math"/>
            <w:szCs w:val="24"/>
            <w:lang w:val="en-GB" w:eastAsia="en-GB"/>
          </w:rPr>
          <m:t>=</m:t>
        </m:r>
        <m:sSup>
          <m:sSupPr>
            <m:ctrlPr>
              <w:rPr>
                <w:rFonts w:ascii="Cambria Math" w:hAnsi="Cambria Math"/>
                <w:i/>
                <w:iCs/>
                <w:szCs w:val="24"/>
                <w:lang w:val="en-GB" w:eastAsia="en-GB"/>
              </w:rPr>
            </m:ctrlPr>
          </m:sSupPr>
          <m:e>
            <m:r>
              <m:rPr>
                <m:sty m:val="p"/>
              </m:rPr>
              <w:rPr>
                <w:rFonts w:ascii="Cambria Math" w:hAnsi="Cambria Math"/>
                <w:szCs w:val="24"/>
              </w:rPr>
              <m:t>Γ</m:t>
            </m:r>
          </m:e>
          <m:sup>
            <m:r>
              <w:rPr>
                <w:rFonts w:ascii="Cambria Math" w:hAnsi="Cambria Math"/>
                <w:szCs w:val="24"/>
              </w:rPr>
              <m:t>LW</m:t>
            </m:r>
          </m:sup>
        </m:sSup>
        <m:r>
          <w:rPr>
            <w:rFonts w:ascii="Cambria Math" w:hAnsi="Cambria Math"/>
            <w:szCs w:val="24"/>
            <w:lang w:val="en-GB" w:eastAsia="en-GB"/>
          </w:rPr>
          <m:t>+</m:t>
        </m:r>
        <m:r>
          <w:rPr>
            <w:rFonts w:ascii="Cambria Math" w:hAnsi="Cambria Math"/>
            <w:szCs w:val="24"/>
          </w:rPr>
          <m:t>2</m:t>
        </m:r>
        <m:rad>
          <m:radPr>
            <m:degHide m:val="1"/>
            <m:ctrlPr>
              <w:rPr>
                <w:rFonts w:ascii="Cambria Math" w:hAnsi="Cambria Math"/>
                <w:i/>
                <w:szCs w:val="24"/>
              </w:rPr>
            </m:ctrlPr>
          </m:radPr>
          <m:deg/>
          <m:e>
            <m:r>
              <w:rPr>
                <w:rFonts w:ascii="Cambria Math" w:hAnsi="Cambria Math"/>
                <w:szCs w:val="24"/>
              </w:rPr>
              <m:t>(</m:t>
            </m:r>
            <m:sSup>
              <m:sSupPr>
                <m:ctrlPr>
                  <w:rPr>
                    <w:rFonts w:ascii="Cambria Math" w:hAnsi="Cambria Math"/>
                    <w:i/>
                    <w:iCs/>
                    <w:szCs w:val="24"/>
                    <w:lang w:val="en-GB" w:eastAsia="en-GB"/>
                  </w:rPr>
                </m:ctrlPr>
              </m:sSupPr>
              <m:e>
                <m:r>
                  <m:rPr>
                    <m:sty m:val="p"/>
                  </m:rPr>
                  <w:rPr>
                    <w:rFonts w:ascii="Cambria Math" w:hAnsi="Cambria Math"/>
                    <w:szCs w:val="24"/>
                  </w:rPr>
                  <m:t>Γ</m:t>
                </m:r>
              </m:e>
              <m:sup>
                <m:r>
                  <w:rPr>
                    <w:rFonts w:ascii="Cambria Math" w:hAnsi="Cambria Math"/>
                    <w:szCs w:val="24"/>
                  </w:rPr>
                  <m:t>+</m:t>
                </m:r>
              </m:sup>
            </m:sSup>
            <m:sSup>
              <m:sSupPr>
                <m:ctrlPr>
                  <w:rPr>
                    <w:rFonts w:ascii="Cambria Math" w:hAnsi="Cambria Math"/>
                    <w:i/>
                    <w:iCs/>
                    <w:szCs w:val="24"/>
                    <w:lang w:val="en-GB" w:eastAsia="en-GB"/>
                  </w:rPr>
                </m:ctrlPr>
              </m:sSupPr>
              <m:e>
                <m:r>
                  <m:rPr>
                    <m:sty m:val="p"/>
                  </m:rPr>
                  <w:rPr>
                    <w:rFonts w:ascii="Cambria Math" w:hAnsi="Cambria Math"/>
                    <w:szCs w:val="24"/>
                  </w:rPr>
                  <m:t>Γ</m:t>
                </m:r>
              </m:e>
              <m:sup>
                <m:r>
                  <w:rPr>
                    <w:rFonts w:ascii="Cambria Math" w:hAnsi="Cambria Math"/>
                    <w:szCs w:val="24"/>
                  </w:rPr>
                  <m:t>-</m:t>
                </m:r>
              </m:sup>
            </m:sSup>
            <m:r>
              <w:rPr>
                <w:rFonts w:ascii="Cambria Math" w:hAnsi="Cambria Math"/>
                <w:szCs w:val="24"/>
                <w:lang w:val="en-GB" w:eastAsia="en-GB"/>
              </w:rPr>
              <m:t>)</m:t>
            </m:r>
          </m:e>
        </m:rad>
      </m:oMath>
      <w:r w:rsidR="00DD6905" w:rsidRPr="00BB5813">
        <w:rPr>
          <w:iCs/>
          <w:szCs w:val="24"/>
        </w:rPr>
        <w:t xml:space="preserve">                     (</w:t>
      </w:r>
      <w:r w:rsidR="00AD0AD5">
        <w:t>5.</w:t>
      </w:r>
      <w:r w:rsidR="00DD6905" w:rsidRPr="00BB5813">
        <w:rPr>
          <w:iCs/>
          <w:szCs w:val="24"/>
        </w:rPr>
        <w:t>5)</w:t>
      </w:r>
    </w:p>
    <w:p w14:paraId="253DCADE" w14:textId="4E9E5F53" w:rsidR="00DD6905" w:rsidRPr="00BB5813" w:rsidRDefault="00DD6905" w:rsidP="00555D3F">
      <w:pPr>
        <w:ind w:firstLine="720"/>
        <w:rPr>
          <w:szCs w:val="24"/>
        </w:rPr>
      </w:pPr>
      <w:r w:rsidRPr="00BB5813">
        <w:rPr>
          <w:szCs w:val="24"/>
        </w:rPr>
        <w:t xml:space="preserve">The surface free energy components of the binder blends and aggregates used in the asphalt mixes were determined in a previous study </w:t>
      </w:r>
      <w:r w:rsidRPr="00BB5813">
        <w:rPr>
          <w:szCs w:val="24"/>
        </w:rPr>
        <w:fldChar w:fldCharType="begin"/>
      </w:r>
      <w:r w:rsidR="00282238">
        <w:rPr>
          <w:szCs w:val="24"/>
        </w:rPr>
        <w:instrText xml:space="preserve"> ADDIN EN.CITE &lt;EndNote&gt;&lt;Cite&gt;&lt;Author&gt;Ali&lt;/Author&gt;&lt;Year&gt;2020&lt;/Year&gt;&lt;RecNum&gt;232&lt;/RecNum&gt;&lt;DisplayText&gt;(Ali et al., 2020)&lt;/DisplayText&gt;&lt;record&gt;&lt;rec-number&gt;232&lt;/rec-number&gt;&lt;foreign-keys&gt;&lt;key app="EN" db-id="tfx2va9ropw5p7evdr2pf5rw2vszzx9t0xzs" timestamp="1593111175"&gt;232&lt;/key&gt;&lt;/foreign-keys&gt;&lt;ref-type name="Journal Article"&gt;17&lt;/ref-type&gt;&lt;contributors&gt;&lt;authors&gt;&lt;author&gt;Ali, Syed Ashik&lt;/author&gt;&lt;author&gt;Zaman, Musharraf&lt;/author&gt;&lt;author&gt;Ghabchi, Rouzbeh&lt;/author&gt;&lt;author&gt;Rahman, Mohammad Ashiqur&lt;/author&gt;&lt;author&gt;Ghos, Sagar&lt;/author&gt;&lt;author&gt;Rani, Shivani&lt;/author&gt;&lt;/authors&gt;&lt;/contributors&gt;&lt;titles&gt;&lt;title&gt;Effect of Additives and Aging on Moisture-induced Damage Potential of Asphalt Mixes using Surface Free Energy and Laboratory-based Performance Tests&lt;/title&gt;&lt;secondary-title&gt;Int. J. of Pave. Eng.&lt;/secondary-title&gt;&lt;/titles&gt;&lt;periodical&gt;&lt;full-title&gt;Int. J. of Pave. Eng.&lt;/full-title&gt;&lt;/periodical&gt;&lt;pages&gt;1-12&lt;/pages&gt;&lt;dates&gt;&lt;year&gt;2020&lt;/year&gt;&lt;/dates&gt;&lt;isbn&gt;1029-8436&lt;/isbn&gt;&lt;urls&gt;&lt;/urls&gt;&lt;/record&gt;&lt;/Cite&gt;&lt;/EndNote&gt;</w:instrText>
      </w:r>
      <w:r w:rsidRPr="00BB5813">
        <w:rPr>
          <w:szCs w:val="24"/>
        </w:rPr>
        <w:fldChar w:fldCharType="separate"/>
      </w:r>
      <w:r w:rsidR="00282238">
        <w:rPr>
          <w:noProof/>
          <w:szCs w:val="24"/>
        </w:rPr>
        <w:t>(Ali et al., 2020)</w:t>
      </w:r>
      <w:r w:rsidRPr="00BB5813">
        <w:rPr>
          <w:szCs w:val="24"/>
        </w:rPr>
        <w:fldChar w:fldCharType="end"/>
      </w:r>
      <w:r w:rsidRPr="00BB5813">
        <w:rPr>
          <w:szCs w:val="24"/>
        </w:rPr>
        <w:t xml:space="preserve"> conducted by the authors. Therefore, only brief descriptions of the test methods and results are presented in the following section. </w:t>
      </w:r>
    </w:p>
    <w:p w14:paraId="4E9C7BD7" w14:textId="3E779F4E" w:rsidR="00DD6905" w:rsidRPr="00BB5813" w:rsidRDefault="00DD6905" w:rsidP="00555D3F">
      <w:pPr>
        <w:ind w:firstLine="720"/>
        <w:rPr>
          <w:szCs w:val="24"/>
        </w:rPr>
      </w:pPr>
      <w:r w:rsidRPr="00BB5813">
        <w:rPr>
          <w:szCs w:val="24"/>
        </w:rPr>
        <w:t>The surface free energy components of the PG 64-22 binder with different additives were determined using the dynamic Wilhelmy plate (DWP) test. For this purpose, WMA additive (0.5% by weight of neat binder), ASA (0.5% by weight of neat binder), PPA (1.5% by weight of neat binder) and RAP (20% by weight of total binder) were blended with the PG 64-22 binder. Binder blends were prepared using a high shear mixer operating at a speed of 1,000 rpm for 45 minutes at 155°C temperature.</w:t>
      </w:r>
      <w:r w:rsidRPr="00BB5813">
        <w:rPr>
          <w:sz w:val="28"/>
          <w:szCs w:val="28"/>
        </w:rPr>
        <w:t xml:space="preserve"> </w:t>
      </w:r>
      <w:r w:rsidRPr="00BB5813">
        <w:rPr>
          <w:szCs w:val="24"/>
        </w:rPr>
        <w:t xml:space="preserve">The contact angles of the binder blends with five probe liquids of known SFE components, namely water, </w:t>
      </w:r>
      <w:r w:rsidR="00441E92" w:rsidRPr="00BB5813">
        <w:rPr>
          <w:szCs w:val="24"/>
        </w:rPr>
        <w:t>glycer</w:t>
      </w:r>
      <w:r w:rsidR="00B5178C">
        <w:rPr>
          <w:szCs w:val="24"/>
        </w:rPr>
        <w:t>ol</w:t>
      </w:r>
      <w:r w:rsidRPr="00BB5813">
        <w:rPr>
          <w:szCs w:val="24"/>
        </w:rPr>
        <w:t xml:space="preserve">, formamide, diiodomethane and ethylene glycol were measured. The SFE components of the binder blends were calculated from the contact angle of the binder-probe liquid interface and SFE components of the probe liquids. The detail of the DWP test method and the SFE components of the binder blends are reported in a previous study </w:t>
      </w:r>
      <w:r w:rsidRPr="00BB5813">
        <w:rPr>
          <w:szCs w:val="24"/>
        </w:rPr>
        <w:fldChar w:fldCharType="begin"/>
      </w:r>
      <w:r w:rsidR="00282238">
        <w:rPr>
          <w:szCs w:val="24"/>
        </w:rPr>
        <w:instrText xml:space="preserve"> ADDIN EN.CITE &lt;EndNote&gt;&lt;Cite&gt;&lt;Author&gt;Ali&lt;/Author&gt;&lt;Year&gt;2020&lt;/Year&gt;&lt;RecNum&gt;232&lt;/RecNum&gt;&lt;DisplayText&gt;(Ali et al., 2020)&lt;/DisplayText&gt;&lt;record&gt;&lt;rec-number&gt;232&lt;/rec-number&gt;&lt;foreign-keys&gt;&lt;key app="EN" db-id="tfx2va9ropw5p7evdr2pf5rw2vszzx9t0xzs" timestamp="1593111175"&gt;232&lt;/key&gt;&lt;/foreign-keys&gt;&lt;ref-type name="Journal Article"&gt;17&lt;/ref-type&gt;&lt;contributors&gt;&lt;authors&gt;&lt;author&gt;Ali, Syed Ashik&lt;/author&gt;&lt;author&gt;Zaman, Musharraf&lt;/author&gt;&lt;author&gt;Ghabchi, Rouzbeh&lt;/author&gt;&lt;author&gt;Rahman, Mohammad Ashiqur&lt;/author&gt;&lt;author&gt;Ghos, Sagar&lt;/author&gt;&lt;author&gt;Rani, Shivani&lt;/author&gt;&lt;/authors&gt;&lt;/contributors&gt;&lt;titles&gt;&lt;title&gt;Effect of Additives and Aging on Moisture-induced Damage Potential of Asphalt Mixes using Surface Free Energy and Laboratory-based Performance Tests&lt;/title&gt;&lt;secondary-title&gt;Int. J. of Pave. Eng.&lt;/secondary-title&gt;&lt;/titles&gt;&lt;periodical&gt;&lt;full-title&gt;Int. J. of Pave. Eng.&lt;/full-title&gt;&lt;/periodical&gt;&lt;pages&gt;1-12&lt;/pages&gt;&lt;dates&gt;&lt;year&gt;2020&lt;/year&gt;&lt;/dates&gt;&lt;isbn&gt;1029-8436&lt;/isbn&gt;&lt;urls&gt;&lt;/urls&gt;&lt;/record&gt;&lt;/Cite&gt;&lt;/EndNote&gt;</w:instrText>
      </w:r>
      <w:r w:rsidRPr="00BB5813">
        <w:rPr>
          <w:szCs w:val="24"/>
        </w:rPr>
        <w:fldChar w:fldCharType="separate"/>
      </w:r>
      <w:r w:rsidR="00282238">
        <w:rPr>
          <w:noProof/>
          <w:szCs w:val="24"/>
        </w:rPr>
        <w:t>(Ali et al., 2020)</w:t>
      </w:r>
      <w:r w:rsidRPr="00BB5813">
        <w:rPr>
          <w:szCs w:val="24"/>
        </w:rPr>
        <w:fldChar w:fldCharType="end"/>
      </w:r>
      <w:r w:rsidRPr="00BB5813">
        <w:rPr>
          <w:szCs w:val="24"/>
        </w:rPr>
        <w:t>.</w:t>
      </w:r>
    </w:p>
    <w:p w14:paraId="6447D519" w14:textId="48C00AC8" w:rsidR="00DD6905" w:rsidRPr="00BB5813" w:rsidRDefault="00DD6905" w:rsidP="00555D3F">
      <w:pPr>
        <w:ind w:firstLine="720"/>
        <w:rPr>
          <w:szCs w:val="24"/>
        </w:rPr>
      </w:pPr>
      <w:r w:rsidRPr="00BB5813">
        <w:rPr>
          <w:szCs w:val="24"/>
        </w:rPr>
        <w:t xml:space="preserve">The universal sorption device (USD) test was used to determine the vapor sorption isotherms as well as the SFE components of the aggregate used in mixes. For convenience of this study, the effect of sand was assumed insignificant on the calculation of SFE energy parameters as it consisted only 15% of the total aggregate. The USD test was </w:t>
      </w:r>
      <w:r w:rsidRPr="00EF505F">
        <w:rPr>
          <w:szCs w:val="24"/>
        </w:rPr>
        <w:t>conducted with three probe vapors, namely water, methyl propyl ketone (MPK), and toluene. The temperature of the test was kept constant at 25°C. The a</w:t>
      </w:r>
      <w:r w:rsidR="00F93D5F" w:rsidRPr="00EF505F">
        <w:rPr>
          <w:szCs w:val="24"/>
        </w:rPr>
        <w:t>d</w:t>
      </w:r>
      <w:r w:rsidRPr="00EF505F">
        <w:rPr>
          <w:szCs w:val="24"/>
        </w:rPr>
        <w:t>sorption isotherms were determined by varying the relative pressure from 0.05 to 1.00. The a</w:t>
      </w:r>
      <w:r w:rsidR="00F93D5F" w:rsidRPr="00EF505F">
        <w:rPr>
          <w:szCs w:val="24"/>
        </w:rPr>
        <w:t>d</w:t>
      </w:r>
      <w:r w:rsidRPr="00EF505F">
        <w:rPr>
          <w:szCs w:val="24"/>
        </w:rPr>
        <w:t>sorption isotherms obtained from the USD test were then used to calculate the equilibrium spreading pressure (</w:t>
      </w:r>
      <w:r w:rsidRPr="00EF505F">
        <w:rPr>
          <w:i/>
          <w:iCs/>
          <w:szCs w:val="24"/>
        </w:rPr>
        <w:t>π</w:t>
      </w:r>
      <w:r w:rsidRPr="00EF505F">
        <w:rPr>
          <w:i/>
          <w:iCs/>
          <w:szCs w:val="24"/>
          <w:vertAlign w:val="subscript"/>
        </w:rPr>
        <w:t>e</w:t>
      </w:r>
      <w:r w:rsidRPr="00EF505F">
        <w:rPr>
          <w:szCs w:val="24"/>
        </w:rPr>
        <w:t>) of each vapor on the aggregate surface. The SFE components of the aggregate were determined</w:t>
      </w:r>
      <w:r w:rsidRPr="00BB5813">
        <w:rPr>
          <w:szCs w:val="24"/>
        </w:rPr>
        <w:t xml:space="preserve"> from the equilibrium spreading pressures (</w:t>
      </w:r>
      <w:r w:rsidRPr="00BB5813">
        <w:rPr>
          <w:i/>
          <w:iCs/>
          <w:szCs w:val="24"/>
        </w:rPr>
        <w:t>π</w:t>
      </w:r>
      <w:r w:rsidRPr="00BB5813">
        <w:rPr>
          <w:i/>
          <w:iCs/>
          <w:szCs w:val="24"/>
          <w:vertAlign w:val="subscript"/>
        </w:rPr>
        <w:t>e</w:t>
      </w:r>
      <w:r w:rsidRPr="00BB5813">
        <w:rPr>
          <w:szCs w:val="24"/>
        </w:rPr>
        <w:t xml:space="preserve">). The details of the USD test method and the SFE components of the aggregate can be found in a previous publication by the authors </w:t>
      </w:r>
      <w:r w:rsidRPr="00BB5813">
        <w:rPr>
          <w:szCs w:val="24"/>
        </w:rPr>
        <w:fldChar w:fldCharType="begin"/>
      </w:r>
      <w:r w:rsidR="00282238">
        <w:rPr>
          <w:szCs w:val="24"/>
        </w:rPr>
        <w:instrText xml:space="preserve"> ADDIN EN.CITE &lt;EndNote&gt;&lt;Cite&gt;&lt;Author&gt;Ali&lt;/Author&gt;&lt;Year&gt;2020&lt;/Year&gt;&lt;RecNum&gt;232&lt;/RecNum&gt;&lt;DisplayText&gt;(Ali et al., 2020)&lt;/DisplayText&gt;&lt;record&gt;&lt;rec-number&gt;232&lt;/rec-number&gt;&lt;foreign-keys&gt;&lt;key app="EN" db-id="tfx2va9ropw5p7evdr2pf5rw2vszzx9t0xzs" timestamp="1593111175"&gt;232&lt;/key&gt;&lt;/foreign-keys&gt;&lt;ref-type name="Journal Article"&gt;17&lt;/ref-type&gt;&lt;contributors&gt;&lt;authors&gt;&lt;author&gt;Ali, Syed Ashik&lt;/author&gt;&lt;author&gt;Zaman, Musharraf&lt;/author&gt;&lt;author&gt;Ghabchi, Rouzbeh&lt;/author&gt;&lt;author&gt;Rahman, Mohammad Ashiqur&lt;/author&gt;&lt;author&gt;Ghos, Sagar&lt;/author&gt;&lt;author&gt;Rani, Shivani&lt;/author&gt;&lt;/authors&gt;&lt;/contributors&gt;&lt;titles&gt;&lt;title&gt;Effect of Additives and Aging on Moisture-induced Damage Potential of Asphalt Mixes using Surface Free Energy and Laboratory-based Performance Tests&lt;/title&gt;&lt;secondary-title&gt;Int. J. of Pave. Eng.&lt;/secondary-title&gt;&lt;/titles&gt;&lt;periodical&gt;&lt;full-title&gt;Int. J. of Pave. Eng.&lt;/full-title&gt;&lt;/periodical&gt;&lt;pages&gt;1-12&lt;/pages&gt;&lt;dates&gt;&lt;year&gt;2020&lt;/year&gt;&lt;/dates&gt;&lt;isbn&gt;1029-8436&lt;/isbn&gt;&lt;urls&gt;&lt;/urls&gt;&lt;/record&gt;&lt;/Cite&gt;&lt;/EndNote&gt;</w:instrText>
      </w:r>
      <w:r w:rsidRPr="00BB5813">
        <w:rPr>
          <w:szCs w:val="24"/>
        </w:rPr>
        <w:fldChar w:fldCharType="separate"/>
      </w:r>
      <w:r w:rsidR="00282238">
        <w:rPr>
          <w:noProof/>
          <w:szCs w:val="24"/>
        </w:rPr>
        <w:t>(Ali et al., 2020)</w:t>
      </w:r>
      <w:r w:rsidRPr="00BB5813">
        <w:rPr>
          <w:szCs w:val="24"/>
        </w:rPr>
        <w:fldChar w:fldCharType="end"/>
      </w:r>
      <w:r w:rsidRPr="00BB5813">
        <w:rPr>
          <w:szCs w:val="24"/>
        </w:rPr>
        <w:t>.</w:t>
      </w:r>
    </w:p>
    <w:p w14:paraId="32C712CC" w14:textId="2F156F65" w:rsidR="00DD6905" w:rsidRPr="00BB5813" w:rsidRDefault="00DD6905" w:rsidP="00555D3F">
      <w:pPr>
        <w:ind w:firstLine="720"/>
        <w:rPr>
          <w:szCs w:val="24"/>
        </w:rPr>
      </w:pPr>
      <w:r w:rsidRPr="00BB5813">
        <w:rPr>
          <w:szCs w:val="24"/>
        </w:rPr>
        <w:t>T</w:t>
      </w:r>
      <w:r w:rsidRPr="00BB5813">
        <w:rPr>
          <w:szCs w:val="24"/>
          <w:lang w:val="en-CA"/>
        </w:rPr>
        <w:t>he SFE components of the binder blends (</w:t>
      </w:r>
      <w:r w:rsidRPr="00BB5813">
        <w:rPr>
          <w:i/>
          <w:iCs/>
          <w:szCs w:val="24"/>
          <w:lang w:val="en-CA"/>
        </w:rPr>
        <w:t>A</w:t>
      </w:r>
      <w:r w:rsidRPr="00BB5813">
        <w:rPr>
          <w:szCs w:val="24"/>
          <w:lang w:val="en-CA"/>
        </w:rPr>
        <w:t>) and aggregate (</w:t>
      </w:r>
      <w:r w:rsidRPr="00BB5813">
        <w:rPr>
          <w:i/>
          <w:iCs/>
          <w:szCs w:val="24"/>
          <w:lang w:val="en-CA"/>
        </w:rPr>
        <w:t>S</w:t>
      </w:r>
      <w:r w:rsidRPr="00BB5813">
        <w:rPr>
          <w:szCs w:val="24"/>
          <w:lang w:val="en-CA"/>
        </w:rPr>
        <w:t>) were combined to determine the work of adhesion (</w:t>
      </w:r>
      <w:r w:rsidRPr="00BB5813">
        <w:rPr>
          <w:i/>
          <w:iCs/>
          <w:szCs w:val="24"/>
          <w:lang w:val="en-CA"/>
        </w:rPr>
        <w:t>W</w:t>
      </w:r>
      <w:r w:rsidRPr="00BB5813">
        <w:rPr>
          <w:i/>
          <w:iCs/>
          <w:szCs w:val="24"/>
          <w:vertAlign w:val="subscript"/>
          <w:lang w:val="en-CA"/>
        </w:rPr>
        <w:t>AS</w:t>
      </w:r>
      <w:r w:rsidRPr="00BB5813">
        <w:rPr>
          <w:i/>
          <w:iCs/>
          <w:szCs w:val="24"/>
          <w:lang w:val="en-CA"/>
        </w:rPr>
        <w:t>)</w:t>
      </w:r>
      <w:r w:rsidRPr="00BB5813">
        <w:rPr>
          <w:szCs w:val="24"/>
          <w:lang w:val="en-CA"/>
        </w:rPr>
        <w:t xml:space="preserve"> and work of debonding </w:t>
      </w:r>
      <m:oMath>
        <m:r>
          <w:rPr>
            <w:rFonts w:ascii="Cambria Math" w:hAnsi="Cambria Math"/>
            <w:szCs w:val="24"/>
            <w:lang w:val="en-CA"/>
          </w:rPr>
          <m:t>(</m:t>
        </m:r>
        <m:sSubSup>
          <m:sSubSupPr>
            <m:ctrlPr>
              <w:rPr>
                <w:rFonts w:ascii="Cambria Math" w:hAnsi="Cambria Math"/>
                <w:i/>
                <w:szCs w:val="24"/>
                <w:lang w:val="en-GB" w:eastAsia="en-GB"/>
              </w:rPr>
            </m:ctrlPr>
          </m:sSubSupPr>
          <m:e>
            <m:r>
              <w:rPr>
                <w:rFonts w:ascii="Cambria Math" w:hAnsi="Cambria Math"/>
                <w:szCs w:val="24"/>
              </w:rPr>
              <m:t>W</m:t>
            </m:r>
          </m:e>
          <m:sub>
            <m:r>
              <w:rPr>
                <w:rFonts w:ascii="Cambria Math" w:hAnsi="Cambria Math"/>
                <w:szCs w:val="24"/>
              </w:rPr>
              <m:t>ASW</m:t>
            </m:r>
          </m:sub>
          <m:sup>
            <m:r>
              <w:rPr>
                <w:rFonts w:ascii="Cambria Math" w:hAnsi="Cambria Math"/>
                <w:szCs w:val="24"/>
              </w:rPr>
              <m:t>wet</m:t>
            </m:r>
          </m:sup>
        </m:sSubSup>
        <m:r>
          <w:rPr>
            <w:rFonts w:ascii="Cambria Math" w:hAnsi="Cambria Math"/>
            <w:szCs w:val="24"/>
            <w:lang w:val="en-GB" w:eastAsia="en-GB"/>
          </w:rPr>
          <m:t>)</m:t>
        </m:r>
      </m:oMath>
      <w:r w:rsidRPr="00BB5813">
        <w:rPr>
          <w:szCs w:val="24"/>
        </w:rPr>
        <w:t xml:space="preserve"> of the binder-aggregate system in presence of water (</w:t>
      </w:r>
      <w:r w:rsidRPr="00BB5813">
        <w:rPr>
          <w:i/>
          <w:iCs/>
          <w:szCs w:val="24"/>
        </w:rPr>
        <w:t>W</w:t>
      </w:r>
      <w:r w:rsidRPr="00BB5813">
        <w:rPr>
          <w:szCs w:val="24"/>
        </w:rPr>
        <w:t>) and energy ratio (</w:t>
      </w:r>
      <w:r w:rsidRPr="00BB5813">
        <w:rPr>
          <w:i/>
          <w:iCs/>
          <w:szCs w:val="24"/>
        </w:rPr>
        <w:t>ER</w:t>
      </w:r>
      <w:r w:rsidRPr="00BB5813">
        <w:rPr>
          <w:i/>
          <w:iCs/>
          <w:szCs w:val="24"/>
          <w:vertAlign w:val="subscript"/>
        </w:rPr>
        <w:t>1</w:t>
      </w:r>
      <w:r w:rsidRPr="00BB5813">
        <w:rPr>
          <w:szCs w:val="24"/>
        </w:rPr>
        <w:t>) using Equations (</w:t>
      </w:r>
      <w:r w:rsidR="00AD0AD5">
        <w:t>5.</w:t>
      </w:r>
      <w:r w:rsidRPr="00BB5813">
        <w:rPr>
          <w:szCs w:val="24"/>
        </w:rPr>
        <w:t>6), (</w:t>
      </w:r>
      <w:r w:rsidR="001C0371">
        <w:t>5.</w:t>
      </w:r>
      <w:r w:rsidRPr="00BB5813">
        <w:rPr>
          <w:szCs w:val="24"/>
        </w:rPr>
        <w:t>7) and (</w:t>
      </w:r>
      <w:r w:rsidR="001C0371">
        <w:t>5.</w:t>
      </w:r>
      <w:r w:rsidRPr="00BB5813">
        <w:rPr>
          <w:szCs w:val="24"/>
        </w:rPr>
        <w:t xml:space="preserve">8), respectively. </w:t>
      </w:r>
    </w:p>
    <w:p w14:paraId="1A28F979" w14:textId="197D5902" w:rsidR="00DD6905" w:rsidRPr="00BB5813" w:rsidRDefault="007F7885" w:rsidP="00555D3F">
      <w:pPr>
        <w:jc w:val="center"/>
        <w:rPr>
          <w:szCs w:val="24"/>
        </w:rPr>
      </w:pPr>
      <m:oMath>
        <m:sSub>
          <m:sSubPr>
            <m:ctrlPr>
              <w:rPr>
                <w:rFonts w:ascii="Cambria Math" w:hAnsi="Cambria Math"/>
                <w:i/>
                <w:szCs w:val="24"/>
                <w:lang w:val="en-GB" w:eastAsia="en-GB"/>
              </w:rPr>
            </m:ctrlPr>
          </m:sSubPr>
          <m:e>
            <m:r>
              <w:rPr>
                <w:rFonts w:ascii="Cambria Math" w:hAnsi="Cambria Math"/>
                <w:szCs w:val="24"/>
              </w:rPr>
              <m:t>W</m:t>
            </m:r>
          </m:e>
          <m:sub>
            <m:r>
              <w:rPr>
                <w:rFonts w:ascii="Cambria Math" w:hAnsi="Cambria Math"/>
                <w:szCs w:val="24"/>
              </w:rPr>
              <m:t>AS</m:t>
            </m:r>
          </m:sub>
        </m:sSub>
        <m:r>
          <w:rPr>
            <w:rFonts w:ascii="Cambria Math" w:hAnsi="Cambria Math"/>
            <w:szCs w:val="24"/>
          </w:rPr>
          <m:t>=2</m:t>
        </m:r>
        <m:rad>
          <m:radPr>
            <m:degHide m:val="1"/>
            <m:ctrlPr>
              <w:rPr>
                <w:rFonts w:ascii="Cambria Math" w:hAnsi="Cambria Math"/>
                <w:i/>
                <w:szCs w:val="24"/>
                <w:lang w:val="en-GB" w:eastAsia="en-GB"/>
              </w:rPr>
            </m:ctrlPr>
          </m:radPr>
          <m:deg/>
          <m:e>
            <m:sSubSup>
              <m:sSubSupPr>
                <m:ctrlPr>
                  <w:rPr>
                    <w:rFonts w:ascii="Cambria Math" w:hAnsi="Cambria Math"/>
                    <w:i/>
                    <w:szCs w:val="24"/>
                    <w:lang w:val="en-GB" w:eastAsia="en-GB"/>
                  </w:rPr>
                </m:ctrlPr>
              </m:sSubSupPr>
              <m:e>
                <m:r>
                  <m:rPr>
                    <m:sty m:val="p"/>
                  </m:rPr>
                  <w:rPr>
                    <w:rFonts w:ascii="Cambria Math" w:hAnsi="Cambria Math"/>
                    <w:szCs w:val="24"/>
                  </w:rPr>
                  <m:t>(Γ</m:t>
                </m:r>
              </m:e>
              <m:sub>
                <m:r>
                  <w:rPr>
                    <w:rFonts w:ascii="Cambria Math" w:hAnsi="Cambria Math"/>
                    <w:szCs w:val="24"/>
                  </w:rPr>
                  <m:t>A</m:t>
                </m:r>
              </m:sub>
              <m:sup>
                <m:r>
                  <w:rPr>
                    <w:rFonts w:ascii="Cambria Math" w:hAnsi="Cambria Math"/>
                    <w:szCs w:val="24"/>
                  </w:rPr>
                  <m:t>LW</m:t>
                </m:r>
              </m:sup>
            </m:sSubSup>
            <m:sSubSup>
              <m:sSubSupPr>
                <m:ctrlPr>
                  <w:rPr>
                    <w:rFonts w:ascii="Cambria Math" w:hAnsi="Cambria Math"/>
                    <w:i/>
                    <w:szCs w:val="24"/>
                    <w:lang w:val="en-GB" w:eastAsia="en-GB"/>
                  </w:rPr>
                </m:ctrlPr>
              </m:sSubSupPr>
              <m:e>
                <m:r>
                  <m:rPr>
                    <m:sty m:val="p"/>
                  </m:rPr>
                  <w:rPr>
                    <w:rFonts w:ascii="Cambria Math" w:hAnsi="Cambria Math"/>
                    <w:szCs w:val="24"/>
                  </w:rPr>
                  <m:t>Γ</m:t>
                </m:r>
              </m:e>
              <m:sub>
                <m:r>
                  <w:rPr>
                    <w:rFonts w:ascii="Cambria Math" w:hAnsi="Cambria Math"/>
                    <w:szCs w:val="24"/>
                  </w:rPr>
                  <m:t>S</m:t>
                </m:r>
              </m:sub>
              <m:sup>
                <m:r>
                  <w:rPr>
                    <w:rFonts w:ascii="Cambria Math" w:hAnsi="Cambria Math"/>
                    <w:szCs w:val="24"/>
                  </w:rPr>
                  <m:t>LW</m:t>
                </m:r>
              </m:sup>
            </m:sSubSup>
            <m:r>
              <w:rPr>
                <w:rFonts w:ascii="Cambria Math" w:hAnsi="Cambria Math"/>
                <w:szCs w:val="24"/>
              </w:rPr>
              <m:t>)</m:t>
            </m:r>
          </m:e>
        </m:rad>
        <m:r>
          <w:rPr>
            <w:rFonts w:ascii="Cambria Math" w:hAnsi="Cambria Math"/>
            <w:szCs w:val="24"/>
          </w:rPr>
          <m:t>+2</m:t>
        </m:r>
        <m:rad>
          <m:radPr>
            <m:degHide m:val="1"/>
            <m:ctrlPr>
              <w:rPr>
                <w:rFonts w:ascii="Cambria Math" w:hAnsi="Cambria Math"/>
                <w:i/>
                <w:szCs w:val="24"/>
                <w:lang w:val="en-GB" w:eastAsia="en-GB"/>
              </w:rPr>
            </m:ctrlPr>
          </m:radPr>
          <m:deg/>
          <m:e>
            <m:sSubSup>
              <m:sSubSupPr>
                <m:ctrlPr>
                  <w:rPr>
                    <w:rFonts w:ascii="Cambria Math" w:hAnsi="Cambria Math"/>
                    <w:i/>
                    <w:szCs w:val="24"/>
                    <w:lang w:val="en-GB" w:eastAsia="en-GB"/>
                  </w:rPr>
                </m:ctrlPr>
              </m:sSubSupPr>
              <m:e>
                <m:r>
                  <m:rPr>
                    <m:sty m:val="p"/>
                  </m:rPr>
                  <w:rPr>
                    <w:rFonts w:ascii="Cambria Math" w:hAnsi="Cambria Math"/>
                    <w:szCs w:val="24"/>
                  </w:rPr>
                  <m:t>(Γ</m:t>
                </m:r>
              </m:e>
              <m:sub>
                <m:r>
                  <w:rPr>
                    <w:rFonts w:ascii="Cambria Math" w:hAnsi="Cambria Math"/>
                    <w:szCs w:val="24"/>
                  </w:rPr>
                  <m:t>A</m:t>
                </m:r>
              </m:sub>
              <m:sup>
                <m:r>
                  <w:rPr>
                    <w:rFonts w:ascii="Cambria Math" w:hAnsi="Cambria Math"/>
                    <w:szCs w:val="24"/>
                  </w:rPr>
                  <m:t>+</m:t>
                </m:r>
              </m:sup>
            </m:sSubSup>
            <m:sSubSup>
              <m:sSubSupPr>
                <m:ctrlPr>
                  <w:rPr>
                    <w:rFonts w:ascii="Cambria Math" w:hAnsi="Cambria Math"/>
                    <w:i/>
                    <w:szCs w:val="24"/>
                    <w:lang w:val="en-GB" w:eastAsia="en-GB"/>
                  </w:rPr>
                </m:ctrlPr>
              </m:sSubSupPr>
              <m:e>
                <m:r>
                  <m:rPr>
                    <m:sty m:val="p"/>
                  </m:rPr>
                  <w:rPr>
                    <w:rFonts w:ascii="Cambria Math" w:hAnsi="Cambria Math"/>
                    <w:szCs w:val="24"/>
                  </w:rPr>
                  <m:t>Γ</m:t>
                </m:r>
              </m:e>
              <m:sub>
                <m:r>
                  <w:rPr>
                    <w:rFonts w:ascii="Cambria Math" w:hAnsi="Cambria Math"/>
                    <w:szCs w:val="24"/>
                  </w:rPr>
                  <m:t>S</m:t>
                </m:r>
              </m:sub>
              <m:sup>
                <m:r>
                  <w:rPr>
                    <w:rFonts w:ascii="Cambria Math" w:hAnsi="Cambria Math"/>
                    <w:szCs w:val="24"/>
                  </w:rPr>
                  <m:t>-</m:t>
                </m:r>
              </m:sup>
            </m:sSubSup>
            <m:r>
              <w:rPr>
                <w:rFonts w:ascii="Cambria Math" w:hAnsi="Cambria Math"/>
                <w:szCs w:val="24"/>
              </w:rPr>
              <m:t>)</m:t>
            </m:r>
          </m:e>
        </m:rad>
        <m:r>
          <w:rPr>
            <w:rFonts w:ascii="Cambria Math" w:hAnsi="Cambria Math"/>
            <w:szCs w:val="24"/>
          </w:rPr>
          <m:t>+2</m:t>
        </m:r>
        <m:rad>
          <m:radPr>
            <m:degHide m:val="1"/>
            <m:ctrlPr>
              <w:rPr>
                <w:rFonts w:ascii="Cambria Math" w:hAnsi="Cambria Math"/>
                <w:i/>
                <w:szCs w:val="24"/>
                <w:lang w:val="en-GB" w:eastAsia="en-GB"/>
              </w:rPr>
            </m:ctrlPr>
          </m:radPr>
          <m:deg/>
          <m:e>
            <m:sSubSup>
              <m:sSubSupPr>
                <m:ctrlPr>
                  <w:rPr>
                    <w:rFonts w:ascii="Cambria Math" w:hAnsi="Cambria Math"/>
                    <w:i/>
                    <w:szCs w:val="24"/>
                    <w:lang w:val="en-GB" w:eastAsia="en-GB"/>
                  </w:rPr>
                </m:ctrlPr>
              </m:sSubSupPr>
              <m:e>
                <m:r>
                  <m:rPr>
                    <m:sty m:val="p"/>
                  </m:rPr>
                  <w:rPr>
                    <w:rFonts w:ascii="Cambria Math" w:hAnsi="Cambria Math"/>
                    <w:szCs w:val="24"/>
                  </w:rPr>
                  <m:t>(Γ</m:t>
                </m:r>
              </m:e>
              <m:sub>
                <m:r>
                  <w:rPr>
                    <w:rFonts w:ascii="Cambria Math" w:hAnsi="Cambria Math"/>
                    <w:szCs w:val="24"/>
                  </w:rPr>
                  <m:t>A</m:t>
                </m:r>
              </m:sub>
              <m:sup>
                <m:r>
                  <w:rPr>
                    <w:rFonts w:ascii="Cambria Math" w:hAnsi="Cambria Math"/>
                    <w:szCs w:val="24"/>
                  </w:rPr>
                  <m:t>-</m:t>
                </m:r>
              </m:sup>
            </m:sSubSup>
            <m:sSubSup>
              <m:sSubSupPr>
                <m:ctrlPr>
                  <w:rPr>
                    <w:rFonts w:ascii="Cambria Math" w:hAnsi="Cambria Math"/>
                    <w:i/>
                    <w:szCs w:val="24"/>
                    <w:lang w:val="en-GB" w:eastAsia="en-GB"/>
                  </w:rPr>
                </m:ctrlPr>
              </m:sSubSupPr>
              <m:e>
                <m:r>
                  <m:rPr>
                    <m:sty m:val="p"/>
                  </m:rPr>
                  <w:rPr>
                    <w:rFonts w:ascii="Cambria Math" w:hAnsi="Cambria Math"/>
                    <w:szCs w:val="24"/>
                  </w:rPr>
                  <m:t>Γ</m:t>
                </m:r>
              </m:e>
              <m:sub>
                <m:r>
                  <w:rPr>
                    <w:rFonts w:ascii="Cambria Math" w:hAnsi="Cambria Math"/>
                    <w:szCs w:val="24"/>
                  </w:rPr>
                  <m:t>S</m:t>
                </m:r>
              </m:sub>
              <m:sup>
                <m:r>
                  <w:rPr>
                    <w:rFonts w:ascii="Cambria Math" w:hAnsi="Cambria Math"/>
                    <w:szCs w:val="24"/>
                  </w:rPr>
                  <m:t>+</m:t>
                </m:r>
              </m:sup>
            </m:sSubSup>
            <m:r>
              <w:rPr>
                <w:rFonts w:ascii="Cambria Math" w:hAnsi="Cambria Math"/>
                <w:szCs w:val="24"/>
              </w:rPr>
              <m:t>)</m:t>
            </m:r>
          </m:e>
        </m:rad>
      </m:oMath>
      <w:r w:rsidR="00DD6905" w:rsidRPr="00BB5813">
        <w:rPr>
          <w:szCs w:val="24"/>
        </w:rPr>
        <w:t xml:space="preserve">      (</w:t>
      </w:r>
      <w:r w:rsidR="00AD0AD5">
        <w:t>5.</w:t>
      </w:r>
      <w:r w:rsidR="00DD6905" w:rsidRPr="00BB5813">
        <w:rPr>
          <w:szCs w:val="24"/>
        </w:rPr>
        <w:t>6)</w:t>
      </w:r>
    </w:p>
    <w:p w14:paraId="30F756DF" w14:textId="78CC5CEB" w:rsidR="00DD6905" w:rsidRPr="00BB5813" w:rsidRDefault="007F7885" w:rsidP="00555D3F">
      <w:pPr>
        <w:jc w:val="center"/>
        <w:rPr>
          <w:szCs w:val="24"/>
        </w:rPr>
      </w:pPr>
      <m:oMath>
        <m:sSubSup>
          <m:sSubSupPr>
            <m:ctrlPr>
              <w:rPr>
                <w:rFonts w:ascii="Cambria Math" w:hAnsi="Cambria Math"/>
                <w:i/>
                <w:sz w:val="20"/>
                <w:szCs w:val="20"/>
                <w:lang w:val="en-GB" w:eastAsia="en-GB"/>
              </w:rPr>
            </m:ctrlPr>
          </m:sSubSupPr>
          <m:e>
            <m:r>
              <w:rPr>
                <w:rFonts w:ascii="Cambria Math" w:hAnsi="Cambria Math"/>
                <w:sz w:val="20"/>
                <w:szCs w:val="20"/>
              </w:rPr>
              <m:t>W</m:t>
            </m:r>
          </m:e>
          <m:sub>
            <m:r>
              <w:rPr>
                <w:rFonts w:ascii="Cambria Math" w:hAnsi="Cambria Math"/>
                <w:sz w:val="20"/>
                <w:szCs w:val="20"/>
              </w:rPr>
              <m:t>ASW</m:t>
            </m:r>
          </m:sub>
          <m:sup>
            <m:r>
              <w:rPr>
                <w:rFonts w:ascii="Cambria Math" w:hAnsi="Cambria Math"/>
                <w:sz w:val="20"/>
                <w:szCs w:val="20"/>
              </w:rPr>
              <m:t>wet</m:t>
            </m:r>
          </m:sup>
        </m:sSubSup>
        <m:r>
          <w:rPr>
            <w:rFonts w:ascii="Cambria Math" w:hAnsi="Cambria Math"/>
            <w:sz w:val="20"/>
            <w:szCs w:val="20"/>
          </w:rPr>
          <m:t>=2</m:t>
        </m:r>
        <m:rad>
          <m:radPr>
            <m:degHide m:val="1"/>
            <m:ctrlPr>
              <w:rPr>
                <w:rFonts w:ascii="Cambria Math" w:hAnsi="Cambria Math"/>
                <w:i/>
                <w:sz w:val="20"/>
                <w:szCs w:val="20"/>
                <w:lang w:val="en-GB" w:eastAsia="en-GB"/>
              </w:rPr>
            </m:ctrlPr>
          </m:radPr>
          <m:deg/>
          <m:e>
            <m:sSubSup>
              <m:sSubSupPr>
                <m:ctrlPr>
                  <w:rPr>
                    <w:rFonts w:ascii="Cambria Math" w:hAnsi="Cambria Math"/>
                    <w:i/>
                    <w:sz w:val="20"/>
                    <w:szCs w:val="20"/>
                    <w:lang w:val="en-GB" w:eastAsia="en-GB"/>
                  </w:rPr>
                </m:ctrlPr>
              </m:sSubSupPr>
              <m:e>
                <m:r>
                  <m:rPr>
                    <m:sty m:val="p"/>
                  </m:rPr>
                  <w:rPr>
                    <w:rFonts w:ascii="Cambria Math" w:hAnsi="Cambria Math"/>
                    <w:sz w:val="20"/>
                    <w:szCs w:val="20"/>
                  </w:rPr>
                  <m:t>(Γ</m:t>
                </m:r>
              </m:e>
              <m:sub>
                <m:r>
                  <w:rPr>
                    <w:rFonts w:ascii="Cambria Math" w:hAnsi="Cambria Math"/>
                    <w:sz w:val="20"/>
                    <w:szCs w:val="20"/>
                  </w:rPr>
                  <m:t>A</m:t>
                </m:r>
              </m:sub>
              <m:sup>
                <m:r>
                  <w:rPr>
                    <w:rFonts w:ascii="Cambria Math" w:hAnsi="Cambria Math"/>
                    <w:sz w:val="20"/>
                    <w:szCs w:val="20"/>
                  </w:rPr>
                  <m:t>LW</m:t>
                </m:r>
              </m:sup>
            </m:sSubSup>
            <m:sSubSup>
              <m:sSubSupPr>
                <m:ctrlPr>
                  <w:rPr>
                    <w:rFonts w:ascii="Cambria Math" w:hAnsi="Cambria Math"/>
                    <w:i/>
                    <w:sz w:val="20"/>
                    <w:szCs w:val="20"/>
                    <w:lang w:val="en-GB" w:eastAsia="en-GB"/>
                  </w:rPr>
                </m:ctrlPr>
              </m:sSubSupPr>
              <m:e>
                <m:r>
                  <m:rPr>
                    <m:sty m:val="p"/>
                  </m:rPr>
                  <w:rPr>
                    <w:rFonts w:ascii="Cambria Math" w:hAnsi="Cambria Math"/>
                    <w:sz w:val="20"/>
                    <w:szCs w:val="20"/>
                  </w:rPr>
                  <m:t>Γ</m:t>
                </m:r>
              </m:e>
              <m:sub>
                <m:r>
                  <w:rPr>
                    <w:rFonts w:ascii="Cambria Math" w:hAnsi="Cambria Math"/>
                    <w:sz w:val="20"/>
                    <w:szCs w:val="20"/>
                  </w:rPr>
                  <m:t>S</m:t>
                </m:r>
              </m:sub>
              <m:sup>
                <m:r>
                  <w:rPr>
                    <w:rFonts w:ascii="Cambria Math" w:hAnsi="Cambria Math"/>
                    <w:sz w:val="20"/>
                    <w:szCs w:val="20"/>
                  </w:rPr>
                  <m:t>LW</m:t>
                </m:r>
              </m:sup>
            </m:sSubSup>
            <m:r>
              <w:rPr>
                <w:rFonts w:ascii="Cambria Math" w:hAnsi="Cambria Math"/>
                <w:sz w:val="20"/>
                <w:szCs w:val="20"/>
              </w:rPr>
              <m:t>)</m:t>
            </m:r>
          </m:e>
        </m:rad>
        <m:r>
          <w:rPr>
            <w:rFonts w:ascii="Cambria Math" w:hAnsi="Cambria Math"/>
            <w:sz w:val="20"/>
            <w:szCs w:val="20"/>
          </w:rPr>
          <m:t>-2</m:t>
        </m:r>
        <m:rad>
          <m:radPr>
            <m:degHide m:val="1"/>
            <m:ctrlPr>
              <w:rPr>
                <w:rFonts w:ascii="Cambria Math" w:hAnsi="Cambria Math"/>
                <w:i/>
                <w:sz w:val="20"/>
                <w:szCs w:val="20"/>
                <w:lang w:val="en-GB" w:eastAsia="en-GB"/>
              </w:rPr>
            </m:ctrlPr>
          </m:radPr>
          <m:deg/>
          <m:e>
            <m:sSubSup>
              <m:sSubSupPr>
                <m:ctrlPr>
                  <w:rPr>
                    <w:rFonts w:ascii="Cambria Math" w:hAnsi="Cambria Math"/>
                    <w:i/>
                    <w:sz w:val="20"/>
                    <w:szCs w:val="20"/>
                    <w:lang w:val="en-GB" w:eastAsia="en-GB"/>
                  </w:rPr>
                </m:ctrlPr>
              </m:sSubSupPr>
              <m:e>
                <m:r>
                  <m:rPr>
                    <m:sty m:val="p"/>
                  </m:rPr>
                  <w:rPr>
                    <w:rFonts w:ascii="Cambria Math" w:hAnsi="Cambria Math"/>
                    <w:sz w:val="20"/>
                    <w:szCs w:val="20"/>
                  </w:rPr>
                  <m:t>(Γ</m:t>
                </m:r>
              </m:e>
              <m:sub>
                <m:r>
                  <w:rPr>
                    <w:rFonts w:ascii="Cambria Math" w:hAnsi="Cambria Math"/>
                    <w:sz w:val="20"/>
                    <w:szCs w:val="20"/>
                  </w:rPr>
                  <m:t>W</m:t>
                </m:r>
              </m:sub>
              <m:sup>
                <m:r>
                  <w:rPr>
                    <w:rFonts w:ascii="Cambria Math" w:hAnsi="Cambria Math"/>
                    <w:sz w:val="20"/>
                    <w:szCs w:val="20"/>
                  </w:rPr>
                  <m:t>LW</m:t>
                </m:r>
              </m:sup>
            </m:sSubSup>
            <m:sSubSup>
              <m:sSubSupPr>
                <m:ctrlPr>
                  <w:rPr>
                    <w:rFonts w:ascii="Cambria Math" w:hAnsi="Cambria Math"/>
                    <w:i/>
                    <w:sz w:val="20"/>
                    <w:szCs w:val="20"/>
                    <w:lang w:val="en-GB" w:eastAsia="en-GB"/>
                  </w:rPr>
                </m:ctrlPr>
              </m:sSubSupPr>
              <m:e>
                <m:r>
                  <m:rPr>
                    <m:sty m:val="p"/>
                  </m:rPr>
                  <w:rPr>
                    <w:rFonts w:ascii="Cambria Math" w:hAnsi="Cambria Math"/>
                    <w:sz w:val="20"/>
                    <w:szCs w:val="20"/>
                  </w:rPr>
                  <m:t>Γ</m:t>
                </m:r>
              </m:e>
              <m:sub>
                <m:r>
                  <w:rPr>
                    <w:rFonts w:ascii="Cambria Math" w:hAnsi="Cambria Math"/>
                    <w:sz w:val="20"/>
                    <w:szCs w:val="20"/>
                  </w:rPr>
                  <m:t>S</m:t>
                </m:r>
              </m:sub>
              <m:sup>
                <m:r>
                  <w:rPr>
                    <w:rFonts w:ascii="Cambria Math" w:hAnsi="Cambria Math"/>
                    <w:sz w:val="20"/>
                    <w:szCs w:val="20"/>
                  </w:rPr>
                  <m:t>LW</m:t>
                </m:r>
              </m:sup>
            </m:sSubSup>
            <m:r>
              <w:rPr>
                <w:rFonts w:ascii="Cambria Math" w:hAnsi="Cambria Math"/>
                <w:sz w:val="20"/>
                <w:szCs w:val="20"/>
              </w:rPr>
              <m:t>)</m:t>
            </m:r>
          </m:e>
        </m:rad>
        <m:r>
          <w:rPr>
            <w:rFonts w:ascii="Cambria Math" w:hAnsi="Cambria Math"/>
            <w:sz w:val="20"/>
            <w:szCs w:val="20"/>
          </w:rPr>
          <m:t>-2</m:t>
        </m:r>
        <m:rad>
          <m:radPr>
            <m:degHide m:val="1"/>
            <m:ctrlPr>
              <w:rPr>
                <w:rFonts w:ascii="Cambria Math" w:hAnsi="Cambria Math"/>
                <w:i/>
                <w:sz w:val="20"/>
                <w:szCs w:val="20"/>
                <w:lang w:val="en-GB" w:eastAsia="en-GB"/>
              </w:rPr>
            </m:ctrlPr>
          </m:radPr>
          <m:deg/>
          <m:e>
            <m:sSubSup>
              <m:sSubSupPr>
                <m:ctrlPr>
                  <w:rPr>
                    <w:rFonts w:ascii="Cambria Math" w:hAnsi="Cambria Math"/>
                    <w:i/>
                    <w:sz w:val="20"/>
                    <w:szCs w:val="20"/>
                    <w:lang w:val="en-GB" w:eastAsia="en-GB"/>
                  </w:rPr>
                </m:ctrlPr>
              </m:sSubSupPr>
              <m:e>
                <m:r>
                  <m:rPr>
                    <m:sty m:val="p"/>
                  </m:rPr>
                  <w:rPr>
                    <w:rFonts w:ascii="Cambria Math" w:hAnsi="Cambria Math"/>
                    <w:sz w:val="20"/>
                    <w:szCs w:val="20"/>
                  </w:rPr>
                  <m:t>(Γ</m:t>
                </m:r>
              </m:e>
              <m:sub>
                <m:r>
                  <w:rPr>
                    <w:rFonts w:ascii="Cambria Math" w:hAnsi="Cambria Math"/>
                    <w:sz w:val="20"/>
                    <w:szCs w:val="20"/>
                  </w:rPr>
                  <m:t>A</m:t>
                </m:r>
              </m:sub>
              <m:sup>
                <m:r>
                  <w:rPr>
                    <w:rFonts w:ascii="Cambria Math" w:hAnsi="Cambria Math"/>
                    <w:sz w:val="20"/>
                    <w:szCs w:val="20"/>
                  </w:rPr>
                  <m:t>LW</m:t>
                </m:r>
              </m:sup>
            </m:sSubSup>
            <m:sSubSup>
              <m:sSubSupPr>
                <m:ctrlPr>
                  <w:rPr>
                    <w:rFonts w:ascii="Cambria Math" w:hAnsi="Cambria Math"/>
                    <w:i/>
                    <w:sz w:val="20"/>
                    <w:szCs w:val="20"/>
                    <w:lang w:val="en-GB" w:eastAsia="en-GB"/>
                  </w:rPr>
                </m:ctrlPr>
              </m:sSubSupPr>
              <m:e>
                <m:r>
                  <m:rPr>
                    <m:sty m:val="p"/>
                  </m:rPr>
                  <w:rPr>
                    <w:rFonts w:ascii="Cambria Math" w:hAnsi="Cambria Math"/>
                    <w:sz w:val="20"/>
                    <w:szCs w:val="20"/>
                  </w:rPr>
                  <m:t>Γ</m:t>
                </m:r>
              </m:e>
              <m:sub>
                <m:r>
                  <w:rPr>
                    <w:rFonts w:ascii="Cambria Math" w:hAnsi="Cambria Math"/>
                    <w:sz w:val="20"/>
                    <w:szCs w:val="20"/>
                  </w:rPr>
                  <m:t>W</m:t>
                </m:r>
              </m:sub>
              <m:sup>
                <m:r>
                  <w:rPr>
                    <w:rFonts w:ascii="Cambria Math" w:hAnsi="Cambria Math"/>
                    <w:sz w:val="20"/>
                    <w:szCs w:val="20"/>
                  </w:rPr>
                  <m:t>LW</m:t>
                </m:r>
              </m:sup>
            </m:sSubSup>
            <m:r>
              <w:rPr>
                <w:rFonts w:ascii="Cambria Math" w:hAnsi="Cambria Math"/>
                <w:sz w:val="20"/>
                <w:szCs w:val="20"/>
              </w:rPr>
              <m:t>)</m:t>
            </m:r>
          </m:e>
        </m:rad>
        <m:r>
          <w:rPr>
            <w:rFonts w:ascii="Cambria Math" w:hAnsi="Cambria Math"/>
            <w:sz w:val="20"/>
            <w:szCs w:val="20"/>
          </w:rPr>
          <m:t>+2</m:t>
        </m:r>
        <m:sSubSup>
          <m:sSubSupPr>
            <m:ctrlPr>
              <w:rPr>
                <w:rFonts w:ascii="Cambria Math" w:hAnsi="Cambria Math"/>
                <w:i/>
                <w:sz w:val="20"/>
                <w:szCs w:val="20"/>
                <w:lang w:val="en-GB" w:eastAsia="en-GB"/>
              </w:rPr>
            </m:ctrlPr>
          </m:sSubSupPr>
          <m:e>
            <m:r>
              <m:rPr>
                <m:sty m:val="p"/>
              </m:rPr>
              <w:rPr>
                <w:rFonts w:ascii="Cambria Math" w:hAnsi="Cambria Math"/>
                <w:sz w:val="20"/>
                <w:szCs w:val="20"/>
              </w:rPr>
              <m:t>Γ</m:t>
            </m:r>
          </m:e>
          <m:sub>
            <m:r>
              <w:rPr>
                <w:rFonts w:ascii="Cambria Math" w:hAnsi="Cambria Math"/>
                <w:sz w:val="20"/>
                <w:szCs w:val="20"/>
              </w:rPr>
              <m:t>W</m:t>
            </m:r>
          </m:sub>
          <m:sup>
            <m:r>
              <w:rPr>
                <w:rFonts w:ascii="Cambria Math" w:hAnsi="Cambria Math"/>
                <w:sz w:val="20"/>
                <w:szCs w:val="20"/>
              </w:rPr>
              <m:t>LW</m:t>
            </m:r>
          </m:sup>
        </m:sSubSup>
        <m:r>
          <w:rPr>
            <w:rFonts w:ascii="Cambria Math" w:hAnsi="Cambria Math"/>
            <w:sz w:val="20"/>
            <w:szCs w:val="20"/>
          </w:rPr>
          <m:t>-2</m:t>
        </m:r>
        <m:rad>
          <m:radPr>
            <m:degHide m:val="1"/>
            <m:ctrlPr>
              <w:rPr>
                <w:rFonts w:ascii="Cambria Math" w:hAnsi="Cambria Math"/>
                <w:i/>
                <w:sz w:val="20"/>
                <w:szCs w:val="20"/>
                <w:lang w:val="en-GB" w:eastAsia="en-GB"/>
              </w:rPr>
            </m:ctrlPr>
          </m:radPr>
          <m:deg/>
          <m:e>
            <m:sSubSup>
              <m:sSubSupPr>
                <m:ctrlPr>
                  <w:rPr>
                    <w:rFonts w:ascii="Cambria Math" w:hAnsi="Cambria Math"/>
                    <w:i/>
                    <w:sz w:val="20"/>
                    <w:szCs w:val="20"/>
                    <w:lang w:val="en-GB" w:eastAsia="en-GB"/>
                  </w:rPr>
                </m:ctrlPr>
              </m:sSubSupPr>
              <m:e>
                <m:r>
                  <m:rPr>
                    <m:sty m:val="p"/>
                  </m:rPr>
                  <w:rPr>
                    <w:rFonts w:ascii="Cambria Math" w:hAnsi="Cambria Math"/>
                    <w:sz w:val="20"/>
                    <w:szCs w:val="20"/>
                  </w:rPr>
                  <m:t>Γ</m:t>
                </m:r>
              </m:e>
              <m:sub>
                <m:r>
                  <w:rPr>
                    <w:rFonts w:ascii="Cambria Math" w:hAnsi="Cambria Math"/>
                    <w:sz w:val="20"/>
                    <w:szCs w:val="20"/>
                  </w:rPr>
                  <m:t>W</m:t>
                </m:r>
              </m:sub>
              <m:sup>
                <m:r>
                  <w:rPr>
                    <w:rFonts w:ascii="Cambria Math" w:hAnsi="Cambria Math"/>
                    <w:sz w:val="20"/>
                    <w:szCs w:val="20"/>
                  </w:rPr>
                  <m:t>+</m:t>
                </m:r>
              </m:sup>
            </m:sSubSup>
          </m:e>
        </m:rad>
        <m:d>
          <m:dPr>
            <m:ctrlPr>
              <w:rPr>
                <w:rFonts w:ascii="Cambria Math" w:hAnsi="Cambria Math"/>
                <w:i/>
                <w:sz w:val="20"/>
                <w:szCs w:val="20"/>
              </w:rPr>
            </m:ctrlPr>
          </m:dPr>
          <m:e>
            <m:rad>
              <m:radPr>
                <m:degHide m:val="1"/>
                <m:ctrlPr>
                  <w:rPr>
                    <w:rFonts w:ascii="Cambria Math" w:hAnsi="Cambria Math"/>
                    <w:i/>
                    <w:sz w:val="20"/>
                    <w:szCs w:val="20"/>
                    <w:lang w:val="en-GB" w:eastAsia="en-GB"/>
                  </w:rPr>
                </m:ctrlPr>
              </m:radPr>
              <m:deg/>
              <m:e>
                <m:sSubSup>
                  <m:sSubSupPr>
                    <m:ctrlPr>
                      <w:rPr>
                        <w:rFonts w:ascii="Cambria Math" w:hAnsi="Cambria Math"/>
                        <w:i/>
                        <w:sz w:val="20"/>
                        <w:szCs w:val="20"/>
                        <w:lang w:val="en-GB" w:eastAsia="en-GB"/>
                      </w:rPr>
                    </m:ctrlPr>
                  </m:sSubSupPr>
                  <m:e>
                    <m:r>
                      <m:rPr>
                        <m:sty m:val="p"/>
                      </m:rPr>
                      <w:rPr>
                        <w:rFonts w:ascii="Cambria Math" w:hAnsi="Cambria Math"/>
                        <w:sz w:val="20"/>
                        <w:szCs w:val="20"/>
                      </w:rPr>
                      <m:t>Γ</m:t>
                    </m:r>
                  </m:e>
                  <m:sub>
                    <m:r>
                      <w:rPr>
                        <w:rFonts w:ascii="Cambria Math" w:hAnsi="Cambria Math"/>
                        <w:sz w:val="20"/>
                        <w:szCs w:val="20"/>
                      </w:rPr>
                      <m:t>S</m:t>
                    </m:r>
                  </m:sub>
                  <m:sup>
                    <m:r>
                      <w:rPr>
                        <w:rFonts w:ascii="Cambria Math" w:hAnsi="Cambria Math"/>
                        <w:sz w:val="20"/>
                        <w:szCs w:val="20"/>
                      </w:rPr>
                      <m:t>-</m:t>
                    </m:r>
                  </m:sup>
                </m:sSubSup>
              </m:e>
            </m:rad>
            <m:r>
              <w:rPr>
                <w:rFonts w:ascii="Cambria Math" w:hAnsi="Cambria Math"/>
                <w:sz w:val="20"/>
                <w:szCs w:val="20"/>
                <w:lang w:val="en-GB" w:eastAsia="en-GB"/>
              </w:rPr>
              <m:t>+</m:t>
            </m:r>
            <m:rad>
              <m:radPr>
                <m:degHide m:val="1"/>
                <m:ctrlPr>
                  <w:rPr>
                    <w:rFonts w:ascii="Cambria Math" w:hAnsi="Cambria Math"/>
                    <w:i/>
                    <w:sz w:val="20"/>
                    <w:szCs w:val="20"/>
                    <w:lang w:val="en-GB" w:eastAsia="en-GB"/>
                  </w:rPr>
                </m:ctrlPr>
              </m:radPr>
              <m:deg/>
              <m:e>
                <m:sSubSup>
                  <m:sSubSupPr>
                    <m:ctrlPr>
                      <w:rPr>
                        <w:rFonts w:ascii="Cambria Math" w:hAnsi="Cambria Math"/>
                        <w:i/>
                        <w:sz w:val="20"/>
                        <w:szCs w:val="20"/>
                        <w:lang w:val="en-GB" w:eastAsia="en-GB"/>
                      </w:rPr>
                    </m:ctrlPr>
                  </m:sSubSupPr>
                  <m:e>
                    <m:r>
                      <m:rPr>
                        <m:sty m:val="p"/>
                      </m:rPr>
                      <w:rPr>
                        <w:rFonts w:ascii="Cambria Math" w:hAnsi="Cambria Math"/>
                        <w:sz w:val="20"/>
                        <w:szCs w:val="20"/>
                      </w:rPr>
                      <m:t>Γ</m:t>
                    </m:r>
                  </m:e>
                  <m:sub>
                    <m:r>
                      <w:rPr>
                        <w:rFonts w:ascii="Cambria Math" w:hAnsi="Cambria Math"/>
                        <w:sz w:val="20"/>
                        <w:szCs w:val="20"/>
                      </w:rPr>
                      <m:t>A</m:t>
                    </m:r>
                  </m:sub>
                  <m:sup>
                    <m:r>
                      <w:rPr>
                        <w:rFonts w:ascii="Cambria Math" w:hAnsi="Cambria Math"/>
                        <w:sz w:val="20"/>
                        <w:szCs w:val="20"/>
                      </w:rPr>
                      <m:t>-</m:t>
                    </m:r>
                  </m:sup>
                </m:sSubSup>
              </m:e>
            </m:rad>
            <m:r>
              <w:rPr>
                <w:rFonts w:ascii="Cambria Math" w:hAnsi="Cambria Math"/>
                <w:sz w:val="20"/>
                <w:szCs w:val="20"/>
                <w:lang w:val="en-GB" w:eastAsia="en-GB"/>
              </w:rPr>
              <m:t>-</m:t>
            </m:r>
            <m:rad>
              <m:radPr>
                <m:degHide m:val="1"/>
                <m:ctrlPr>
                  <w:rPr>
                    <w:rFonts w:ascii="Cambria Math" w:hAnsi="Cambria Math"/>
                    <w:i/>
                    <w:sz w:val="20"/>
                    <w:szCs w:val="20"/>
                    <w:lang w:val="en-GB" w:eastAsia="en-GB"/>
                  </w:rPr>
                </m:ctrlPr>
              </m:radPr>
              <m:deg/>
              <m:e>
                <m:sSubSup>
                  <m:sSubSupPr>
                    <m:ctrlPr>
                      <w:rPr>
                        <w:rFonts w:ascii="Cambria Math" w:hAnsi="Cambria Math"/>
                        <w:i/>
                        <w:sz w:val="20"/>
                        <w:szCs w:val="20"/>
                        <w:lang w:val="en-GB" w:eastAsia="en-GB"/>
                      </w:rPr>
                    </m:ctrlPr>
                  </m:sSubSupPr>
                  <m:e>
                    <m:r>
                      <m:rPr>
                        <m:sty m:val="p"/>
                      </m:rPr>
                      <w:rPr>
                        <w:rFonts w:ascii="Cambria Math" w:hAnsi="Cambria Math"/>
                        <w:sz w:val="20"/>
                        <w:szCs w:val="20"/>
                      </w:rPr>
                      <m:t>Γ</m:t>
                    </m:r>
                  </m:e>
                  <m:sub>
                    <m:r>
                      <w:rPr>
                        <w:rFonts w:ascii="Cambria Math" w:hAnsi="Cambria Math"/>
                        <w:sz w:val="20"/>
                        <w:szCs w:val="20"/>
                      </w:rPr>
                      <m:t>W</m:t>
                    </m:r>
                  </m:sub>
                  <m:sup>
                    <m:r>
                      <w:rPr>
                        <w:rFonts w:ascii="Cambria Math" w:hAnsi="Cambria Math"/>
                        <w:sz w:val="20"/>
                        <w:szCs w:val="20"/>
                      </w:rPr>
                      <m:t>-</m:t>
                    </m:r>
                  </m:sup>
                </m:sSubSup>
              </m:e>
            </m:rad>
          </m:e>
        </m:d>
        <m:r>
          <w:rPr>
            <w:rFonts w:ascii="Cambria Math" w:hAnsi="Cambria Math"/>
            <w:sz w:val="20"/>
            <w:szCs w:val="20"/>
          </w:rPr>
          <m:t>-2</m:t>
        </m:r>
        <m:rad>
          <m:radPr>
            <m:degHide m:val="1"/>
            <m:ctrlPr>
              <w:rPr>
                <w:rFonts w:ascii="Cambria Math" w:hAnsi="Cambria Math"/>
                <w:i/>
                <w:sz w:val="20"/>
                <w:szCs w:val="20"/>
                <w:lang w:val="en-GB" w:eastAsia="en-GB"/>
              </w:rPr>
            </m:ctrlPr>
          </m:radPr>
          <m:deg/>
          <m:e>
            <m:sSubSup>
              <m:sSubSupPr>
                <m:ctrlPr>
                  <w:rPr>
                    <w:rFonts w:ascii="Cambria Math" w:hAnsi="Cambria Math"/>
                    <w:i/>
                    <w:sz w:val="20"/>
                    <w:szCs w:val="20"/>
                    <w:lang w:val="en-GB" w:eastAsia="en-GB"/>
                  </w:rPr>
                </m:ctrlPr>
              </m:sSubSupPr>
              <m:e>
                <m:r>
                  <m:rPr>
                    <m:sty m:val="p"/>
                  </m:rPr>
                  <w:rPr>
                    <w:rFonts w:ascii="Cambria Math" w:hAnsi="Cambria Math"/>
                    <w:sz w:val="20"/>
                    <w:szCs w:val="20"/>
                  </w:rPr>
                  <m:t>Γ</m:t>
                </m:r>
              </m:e>
              <m:sub>
                <m:r>
                  <w:rPr>
                    <w:rFonts w:ascii="Cambria Math" w:hAnsi="Cambria Math"/>
                    <w:sz w:val="20"/>
                    <w:szCs w:val="20"/>
                  </w:rPr>
                  <m:t>W</m:t>
                </m:r>
              </m:sub>
              <m:sup>
                <m:r>
                  <w:rPr>
                    <w:rFonts w:ascii="Cambria Math" w:hAnsi="Cambria Math"/>
                    <w:sz w:val="20"/>
                    <w:szCs w:val="20"/>
                  </w:rPr>
                  <m:t>-</m:t>
                </m:r>
              </m:sup>
            </m:sSubSup>
          </m:e>
        </m:rad>
        <m:d>
          <m:dPr>
            <m:ctrlPr>
              <w:rPr>
                <w:rFonts w:ascii="Cambria Math" w:hAnsi="Cambria Math"/>
                <w:i/>
                <w:sz w:val="20"/>
                <w:szCs w:val="20"/>
              </w:rPr>
            </m:ctrlPr>
          </m:dPr>
          <m:e>
            <m:rad>
              <m:radPr>
                <m:degHide m:val="1"/>
                <m:ctrlPr>
                  <w:rPr>
                    <w:rFonts w:ascii="Cambria Math" w:hAnsi="Cambria Math"/>
                    <w:i/>
                    <w:sz w:val="20"/>
                    <w:szCs w:val="20"/>
                    <w:lang w:val="en-GB" w:eastAsia="en-GB"/>
                  </w:rPr>
                </m:ctrlPr>
              </m:radPr>
              <m:deg/>
              <m:e>
                <m:sSubSup>
                  <m:sSubSupPr>
                    <m:ctrlPr>
                      <w:rPr>
                        <w:rFonts w:ascii="Cambria Math" w:hAnsi="Cambria Math"/>
                        <w:i/>
                        <w:sz w:val="20"/>
                        <w:szCs w:val="20"/>
                        <w:lang w:val="en-GB" w:eastAsia="en-GB"/>
                      </w:rPr>
                    </m:ctrlPr>
                  </m:sSubSupPr>
                  <m:e>
                    <m:r>
                      <m:rPr>
                        <m:sty m:val="p"/>
                      </m:rPr>
                      <w:rPr>
                        <w:rFonts w:ascii="Cambria Math" w:hAnsi="Cambria Math"/>
                        <w:sz w:val="20"/>
                        <w:szCs w:val="20"/>
                      </w:rPr>
                      <m:t>Γ</m:t>
                    </m:r>
                  </m:e>
                  <m:sub>
                    <m:r>
                      <w:rPr>
                        <w:rFonts w:ascii="Cambria Math" w:hAnsi="Cambria Math"/>
                        <w:sz w:val="20"/>
                        <w:szCs w:val="20"/>
                      </w:rPr>
                      <m:t>S</m:t>
                    </m:r>
                  </m:sub>
                  <m:sup>
                    <m:r>
                      <w:rPr>
                        <w:rFonts w:ascii="Cambria Math" w:hAnsi="Cambria Math"/>
                        <w:sz w:val="20"/>
                        <w:szCs w:val="20"/>
                      </w:rPr>
                      <m:t>+</m:t>
                    </m:r>
                  </m:sup>
                </m:sSubSup>
              </m:e>
            </m:rad>
            <m:r>
              <w:rPr>
                <w:rFonts w:ascii="Cambria Math" w:hAnsi="Cambria Math"/>
                <w:sz w:val="20"/>
                <w:szCs w:val="20"/>
                <w:lang w:val="en-GB" w:eastAsia="en-GB"/>
              </w:rPr>
              <m:t>+</m:t>
            </m:r>
            <m:rad>
              <m:radPr>
                <m:degHide m:val="1"/>
                <m:ctrlPr>
                  <w:rPr>
                    <w:rFonts w:ascii="Cambria Math" w:hAnsi="Cambria Math"/>
                    <w:i/>
                    <w:sz w:val="20"/>
                    <w:szCs w:val="20"/>
                    <w:lang w:val="en-GB" w:eastAsia="en-GB"/>
                  </w:rPr>
                </m:ctrlPr>
              </m:radPr>
              <m:deg/>
              <m:e>
                <m:sSubSup>
                  <m:sSubSupPr>
                    <m:ctrlPr>
                      <w:rPr>
                        <w:rFonts w:ascii="Cambria Math" w:hAnsi="Cambria Math"/>
                        <w:i/>
                        <w:sz w:val="20"/>
                        <w:szCs w:val="20"/>
                        <w:lang w:val="en-GB" w:eastAsia="en-GB"/>
                      </w:rPr>
                    </m:ctrlPr>
                  </m:sSubSupPr>
                  <m:e>
                    <m:r>
                      <m:rPr>
                        <m:sty m:val="p"/>
                      </m:rPr>
                      <w:rPr>
                        <w:rFonts w:ascii="Cambria Math" w:hAnsi="Cambria Math"/>
                        <w:sz w:val="20"/>
                        <w:szCs w:val="20"/>
                      </w:rPr>
                      <m:t>Γ</m:t>
                    </m:r>
                  </m:e>
                  <m:sub>
                    <m:r>
                      <w:rPr>
                        <w:rFonts w:ascii="Cambria Math" w:hAnsi="Cambria Math"/>
                        <w:sz w:val="20"/>
                        <w:szCs w:val="20"/>
                      </w:rPr>
                      <m:t>A</m:t>
                    </m:r>
                  </m:sub>
                  <m:sup>
                    <m:r>
                      <w:rPr>
                        <w:rFonts w:ascii="Cambria Math" w:hAnsi="Cambria Math"/>
                        <w:sz w:val="20"/>
                        <w:szCs w:val="20"/>
                      </w:rPr>
                      <m:t>+</m:t>
                    </m:r>
                  </m:sup>
                </m:sSubSup>
              </m:e>
            </m:rad>
            <m:r>
              <w:rPr>
                <w:rFonts w:ascii="Cambria Math" w:hAnsi="Cambria Math"/>
                <w:sz w:val="20"/>
                <w:szCs w:val="20"/>
                <w:lang w:val="en-GB" w:eastAsia="en-GB"/>
              </w:rPr>
              <m:t>-</m:t>
            </m:r>
            <m:rad>
              <m:radPr>
                <m:degHide m:val="1"/>
                <m:ctrlPr>
                  <w:rPr>
                    <w:rFonts w:ascii="Cambria Math" w:hAnsi="Cambria Math"/>
                    <w:i/>
                    <w:sz w:val="20"/>
                    <w:szCs w:val="20"/>
                    <w:lang w:val="en-GB" w:eastAsia="en-GB"/>
                  </w:rPr>
                </m:ctrlPr>
              </m:radPr>
              <m:deg/>
              <m:e>
                <m:sSubSup>
                  <m:sSubSupPr>
                    <m:ctrlPr>
                      <w:rPr>
                        <w:rFonts w:ascii="Cambria Math" w:hAnsi="Cambria Math"/>
                        <w:i/>
                        <w:sz w:val="20"/>
                        <w:szCs w:val="20"/>
                        <w:lang w:val="en-GB" w:eastAsia="en-GB"/>
                      </w:rPr>
                    </m:ctrlPr>
                  </m:sSubSupPr>
                  <m:e>
                    <m:r>
                      <m:rPr>
                        <m:sty m:val="p"/>
                      </m:rPr>
                      <w:rPr>
                        <w:rFonts w:ascii="Cambria Math" w:hAnsi="Cambria Math"/>
                        <w:sz w:val="20"/>
                        <w:szCs w:val="20"/>
                      </w:rPr>
                      <m:t>Γ</m:t>
                    </m:r>
                  </m:e>
                  <m:sub>
                    <m:r>
                      <w:rPr>
                        <w:rFonts w:ascii="Cambria Math" w:hAnsi="Cambria Math"/>
                        <w:sz w:val="20"/>
                        <w:szCs w:val="20"/>
                      </w:rPr>
                      <m:t>W</m:t>
                    </m:r>
                  </m:sub>
                  <m:sup>
                    <m:r>
                      <w:rPr>
                        <w:rFonts w:ascii="Cambria Math" w:hAnsi="Cambria Math"/>
                        <w:sz w:val="20"/>
                        <w:szCs w:val="20"/>
                      </w:rPr>
                      <m:t>+</m:t>
                    </m:r>
                  </m:sup>
                </m:sSubSup>
              </m:e>
            </m:rad>
          </m:e>
        </m:d>
        <m:r>
          <w:rPr>
            <w:rFonts w:ascii="Cambria Math" w:hAnsi="Cambria Math"/>
            <w:sz w:val="20"/>
            <w:szCs w:val="20"/>
          </w:rPr>
          <m:t>+2</m:t>
        </m:r>
        <m:rad>
          <m:radPr>
            <m:degHide m:val="1"/>
            <m:ctrlPr>
              <w:rPr>
                <w:rFonts w:ascii="Cambria Math" w:hAnsi="Cambria Math"/>
                <w:i/>
                <w:sz w:val="20"/>
                <w:szCs w:val="20"/>
                <w:lang w:val="en-GB" w:eastAsia="en-GB"/>
              </w:rPr>
            </m:ctrlPr>
          </m:radPr>
          <m:deg/>
          <m:e>
            <m:sSubSup>
              <m:sSubSupPr>
                <m:ctrlPr>
                  <w:rPr>
                    <w:rFonts w:ascii="Cambria Math" w:hAnsi="Cambria Math"/>
                    <w:i/>
                    <w:sz w:val="20"/>
                    <w:szCs w:val="20"/>
                    <w:lang w:val="en-GB" w:eastAsia="en-GB"/>
                  </w:rPr>
                </m:ctrlPr>
              </m:sSubSupPr>
              <m:e>
                <m:r>
                  <m:rPr>
                    <m:sty m:val="p"/>
                  </m:rPr>
                  <w:rPr>
                    <w:rFonts w:ascii="Cambria Math" w:hAnsi="Cambria Math"/>
                    <w:sz w:val="20"/>
                    <w:szCs w:val="20"/>
                  </w:rPr>
                  <m:t>(Γ</m:t>
                </m:r>
              </m:e>
              <m:sub>
                <m:r>
                  <w:rPr>
                    <w:rFonts w:ascii="Cambria Math" w:hAnsi="Cambria Math"/>
                    <w:sz w:val="20"/>
                    <w:szCs w:val="20"/>
                  </w:rPr>
                  <m:t>A</m:t>
                </m:r>
              </m:sub>
              <m:sup>
                <m:r>
                  <w:rPr>
                    <w:rFonts w:ascii="Cambria Math" w:hAnsi="Cambria Math"/>
                    <w:sz w:val="20"/>
                    <w:szCs w:val="20"/>
                  </w:rPr>
                  <m:t>+</m:t>
                </m:r>
              </m:sup>
            </m:sSubSup>
            <m:sSubSup>
              <m:sSubSupPr>
                <m:ctrlPr>
                  <w:rPr>
                    <w:rFonts w:ascii="Cambria Math" w:hAnsi="Cambria Math"/>
                    <w:i/>
                    <w:sz w:val="20"/>
                    <w:szCs w:val="20"/>
                    <w:lang w:val="en-GB" w:eastAsia="en-GB"/>
                  </w:rPr>
                </m:ctrlPr>
              </m:sSubSupPr>
              <m:e>
                <m:r>
                  <m:rPr>
                    <m:sty m:val="p"/>
                  </m:rPr>
                  <w:rPr>
                    <w:rFonts w:ascii="Cambria Math" w:hAnsi="Cambria Math"/>
                    <w:sz w:val="20"/>
                    <w:szCs w:val="20"/>
                  </w:rPr>
                  <m:t>Γ</m:t>
                </m:r>
              </m:e>
              <m:sub>
                <m:r>
                  <w:rPr>
                    <w:rFonts w:ascii="Cambria Math" w:hAnsi="Cambria Math"/>
                    <w:sz w:val="20"/>
                    <w:szCs w:val="20"/>
                  </w:rPr>
                  <m:t>S</m:t>
                </m:r>
              </m:sub>
              <m:sup>
                <m:r>
                  <w:rPr>
                    <w:rFonts w:ascii="Cambria Math" w:hAnsi="Cambria Math"/>
                    <w:sz w:val="20"/>
                    <w:szCs w:val="20"/>
                  </w:rPr>
                  <m:t>-</m:t>
                </m:r>
              </m:sup>
            </m:sSubSup>
            <m:r>
              <w:rPr>
                <w:rFonts w:ascii="Cambria Math" w:hAnsi="Cambria Math"/>
                <w:sz w:val="20"/>
                <w:szCs w:val="20"/>
              </w:rPr>
              <m:t>)</m:t>
            </m:r>
          </m:e>
        </m:rad>
        <m:r>
          <w:rPr>
            <w:rFonts w:ascii="Cambria Math" w:hAnsi="Cambria Math"/>
            <w:sz w:val="20"/>
            <w:szCs w:val="20"/>
          </w:rPr>
          <m:t>+2</m:t>
        </m:r>
        <m:rad>
          <m:radPr>
            <m:degHide m:val="1"/>
            <m:ctrlPr>
              <w:rPr>
                <w:rFonts w:ascii="Cambria Math" w:hAnsi="Cambria Math"/>
                <w:i/>
                <w:sz w:val="20"/>
                <w:szCs w:val="20"/>
                <w:lang w:val="en-GB" w:eastAsia="en-GB"/>
              </w:rPr>
            </m:ctrlPr>
          </m:radPr>
          <m:deg/>
          <m:e>
            <m:sSubSup>
              <m:sSubSupPr>
                <m:ctrlPr>
                  <w:rPr>
                    <w:rFonts w:ascii="Cambria Math" w:hAnsi="Cambria Math"/>
                    <w:i/>
                    <w:sz w:val="20"/>
                    <w:szCs w:val="20"/>
                    <w:lang w:val="en-GB" w:eastAsia="en-GB"/>
                  </w:rPr>
                </m:ctrlPr>
              </m:sSubSupPr>
              <m:e>
                <m:r>
                  <m:rPr>
                    <m:sty m:val="p"/>
                  </m:rPr>
                  <w:rPr>
                    <w:rFonts w:ascii="Cambria Math" w:hAnsi="Cambria Math"/>
                    <w:sz w:val="20"/>
                    <w:szCs w:val="20"/>
                  </w:rPr>
                  <m:t>(Γ</m:t>
                </m:r>
              </m:e>
              <m:sub>
                <m:r>
                  <w:rPr>
                    <w:rFonts w:ascii="Cambria Math" w:hAnsi="Cambria Math"/>
                    <w:sz w:val="20"/>
                    <w:szCs w:val="20"/>
                  </w:rPr>
                  <m:t>A</m:t>
                </m:r>
              </m:sub>
              <m:sup>
                <m:r>
                  <w:rPr>
                    <w:rFonts w:ascii="Cambria Math" w:hAnsi="Cambria Math"/>
                    <w:sz w:val="20"/>
                    <w:szCs w:val="20"/>
                  </w:rPr>
                  <m:t>-</m:t>
                </m:r>
              </m:sup>
            </m:sSubSup>
            <m:sSubSup>
              <m:sSubSupPr>
                <m:ctrlPr>
                  <w:rPr>
                    <w:rFonts w:ascii="Cambria Math" w:hAnsi="Cambria Math"/>
                    <w:i/>
                    <w:sz w:val="20"/>
                    <w:szCs w:val="20"/>
                    <w:lang w:val="en-GB" w:eastAsia="en-GB"/>
                  </w:rPr>
                </m:ctrlPr>
              </m:sSubSupPr>
              <m:e>
                <m:r>
                  <m:rPr>
                    <m:sty m:val="p"/>
                  </m:rPr>
                  <w:rPr>
                    <w:rFonts w:ascii="Cambria Math" w:hAnsi="Cambria Math"/>
                    <w:sz w:val="20"/>
                    <w:szCs w:val="20"/>
                  </w:rPr>
                  <m:t>Γ</m:t>
                </m:r>
              </m:e>
              <m:sub>
                <m:r>
                  <w:rPr>
                    <w:rFonts w:ascii="Cambria Math" w:hAnsi="Cambria Math"/>
                    <w:sz w:val="20"/>
                    <w:szCs w:val="20"/>
                  </w:rPr>
                  <m:t>S</m:t>
                </m:r>
              </m:sub>
              <m:sup>
                <m:r>
                  <w:rPr>
                    <w:rFonts w:ascii="Cambria Math" w:hAnsi="Cambria Math"/>
                    <w:sz w:val="20"/>
                    <w:szCs w:val="20"/>
                  </w:rPr>
                  <m:t>+</m:t>
                </m:r>
              </m:sup>
            </m:sSubSup>
            <m:r>
              <w:rPr>
                <w:rFonts w:ascii="Cambria Math" w:hAnsi="Cambria Math"/>
                <w:sz w:val="20"/>
                <w:szCs w:val="20"/>
              </w:rPr>
              <m:t>)</m:t>
            </m:r>
          </m:e>
        </m:rad>
      </m:oMath>
      <w:r w:rsidR="00DD6905" w:rsidRPr="00BB5813">
        <w:rPr>
          <w:szCs w:val="24"/>
        </w:rPr>
        <w:t xml:space="preserve"> </w:t>
      </w:r>
      <w:r w:rsidR="00DD6905" w:rsidRPr="00BB5813">
        <w:rPr>
          <w:szCs w:val="24"/>
        </w:rPr>
        <w:tab/>
        <w:t xml:space="preserve">                                    (</w:t>
      </w:r>
      <w:r w:rsidR="00AD0AD5">
        <w:t>5.</w:t>
      </w:r>
      <w:r w:rsidR="00DD6905" w:rsidRPr="00BB5813">
        <w:rPr>
          <w:szCs w:val="24"/>
        </w:rPr>
        <w:t>7)</w:t>
      </w:r>
    </w:p>
    <w:p w14:paraId="1BCC8088" w14:textId="5315903E" w:rsidR="00DD6905" w:rsidRPr="00BB5813" w:rsidRDefault="007F7885" w:rsidP="00555D3F">
      <w:pPr>
        <w:jc w:val="center"/>
        <w:rPr>
          <w:szCs w:val="24"/>
        </w:rPr>
      </w:pPr>
      <m:oMath>
        <m:sSub>
          <m:sSubPr>
            <m:ctrlPr>
              <w:rPr>
                <w:rFonts w:ascii="Cambria Math" w:hAnsi="Cambria Math"/>
                <w:i/>
                <w:szCs w:val="24"/>
                <w:lang w:val="en-GB" w:eastAsia="en-GB"/>
              </w:rPr>
            </m:ctrlPr>
          </m:sSubPr>
          <m:e>
            <m:r>
              <w:rPr>
                <w:rFonts w:ascii="Cambria Math" w:hAnsi="Cambria Math"/>
                <w:szCs w:val="24"/>
              </w:rPr>
              <m:t>ER</m:t>
            </m:r>
          </m:e>
          <m:sub>
            <m:r>
              <w:rPr>
                <w:rFonts w:ascii="Cambria Math" w:hAnsi="Cambria Math"/>
                <w:szCs w:val="24"/>
              </w:rPr>
              <m:t>1</m:t>
            </m:r>
          </m:sub>
        </m:sSub>
        <m:r>
          <w:rPr>
            <w:rFonts w:ascii="Cambria Math" w:hAnsi="Cambria Math"/>
            <w:szCs w:val="24"/>
          </w:rPr>
          <m:t>=</m:t>
        </m:r>
        <m:d>
          <m:dPr>
            <m:begChr m:val="|"/>
            <m:endChr m:val="|"/>
            <m:ctrlPr>
              <w:rPr>
                <w:rFonts w:ascii="Cambria Math" w:hAnsi="Cambria Math"/>
                <w:i/>
                <w:szCs w:val="24"/>
                <w:lang w:val="en-GB" w:eastAsia="en-GB"/>
              </w:rPr>
            </m:ctrlPr>
          </m:dPr>
          <m:e>
            <m:f>
              <m:fPr>
                <m:ctrlPr>
                  <w:rPr>
                    <w:rFonts w:ascii="Cambria Math" w:hAnsi="Cambria Math"/>
                    <w:i/>
                    <w:szCs w:val="24"/>
                    <w:lang w:val="en-GB" w:eastAsia="en-GB"/>
                  </w:rPr>
                </m:ctrlPr>
              </m:fPr>
              <m:num>
                <m:sSub>
                  <m:sSubPr>
                    <m:ctrlPr>
                      <w:rPr>
                        <w:rFonts w:ascii="Cambria Math" w:hAnsi="Cambria Math"/>
                        <w:i/>
                        <w:szCs w:val="24"/>
                        <w:lang w:val="en-GB" w:eastAsia="en-GB"/>
                      </w:rPr>
                    </m:ctrlPr>
                  </m:sSubPr>
                  <m:e>
                    <m:r>
                      <w:rPr>
                        <w:rFonts w:ascii="Cambria Math" w:hAnsi="Cambria Math"/>
                        <w:szCs w:val="24"/>
                      </w:rPr>
                      <m:t>W</m:t>
                    </m:r>
                  </m:e>
                  <m:sub>
                    <m:r>
                      <w:rPr>
                        <w:rFonts w:ascii="Cambria Math" w:hAnsi="Cambria Math"/>
                        <w:szCs w:val="24"/>
                      </w:rPr>
                      <m:t>AS</m:t>
                    </m:r>
                  </m:sub>
                </m:sSub>
              </m:num>
              <m:den>
                <m:sSubSup>
                  <m:sSubSupPr>
                    <m:ctrlPr>
                      <w:rPr>
                        <w:rFonts w:ascii="Cambria Math" w:hAnsi="Cambria Math"/>
                        <w:i/>
                        <w:szCs w:val="24"/>
                        <w:lang w:val="en-GB" w:eastAsia="en-GB"/>
                      </w:rPr>
                    </m:ctrlPr>
                  </m:sSubSupPr>
                  <m:e>
                    <m:r>
                      <w:rPr>
                        <w:rFonts w:ascii="Cambria Math" w:hAnsi="Cambria Math"/>
                        <w:szCs w:val="24"/>
                      </w:rPr>
                      <m:t>W</m:t>
                    </m:r>
                  </m:e>
                  <m:sub>
                    <m:r>
                      <w:rPr>
                        <w:rFonts w:ascii="Cambria Math" w:hAnsi="Cambria Math"/>
                        <w:szCs w:val="24"/>
                      </w:rPr>
                      <m:t>ASW</m:t>
                    </m:r>
                  </m:sub>
                  <m:sup>
                    <m:r>
                      <w:rPr>
                        <w:rFonts w:ascii="Cambria Math" w:hAnsi="Cambria Math"/>
                        <w:szCs w:val="24"/>
                      </w:rPr>
                      <m:t>wet</m:t>
                    </m:r>
                  </m:sup>
                </m:sSubSup>
              </m:den>
            </m:f>
          </m:e>
        </m:d>
      </m:oMath>
      <w:r w:rsidR="00DD6905" w:rsidRPr="00BB5813">
        <w:rPr>
          <w:szCs w:val="24"/>
        </w:rPr>
        <w:t xml:space="preserve"> </w:t>
      </w:r>
      <w:r w:rsidR="00DD6905" w:rsidRPr="00BB5813">
        <w:rPr>
          <w:szCs w:val="24"/>
        </w:rPr>
        <w:tab/>
      </w:r>
      <w:r w:rsidR="00DD6905" w:rsidRPr="00BB5813">
        <w:rPr>
          <w:szCs w:val="24"/>
        </w:rPr>
        <w:tab/>
      </w:r>
      <w:r w:rsidR="00DD6905" w:rsidRPr="00BB5813">
        <w:rPr>
          <w:szCs w:val="24"/>
        </w:rPr>
        <w:tab/>
      </w:r>
      <w:r w:rsidR="00DD6905" w:rsidRPr="00BB5813">
        <w:rPr>
          <w:szCs w:val="24"/>
        </w:rPr>
        <w:tab/>
        <w:t>(</w:t>
      </w:r>
      <w:r w:rsidR="00AD0AD5">
        <w:t>5.</w:t>
      </w:r>
      <w:r w:rsidR="00DD6905" w:rsidRPr="00BB5813">
        <w:rPr>
          <w:szCs w:val="24"/>
        </w:rPr>
        <w:t>8)</w:t>
      </w:r>
    </w:p>
    <w:p w14:paraId="0F6B9AE1" w14:textId="0D39B9F7" w:rsidR="00DD6905" w:rsidRPr="00BB5813" w:rsidRDefault="00DD6905" w:rsidP="00555D3F">
      <w:pPr>
        <w:rPr>
          <w:szCs w:val="24"/>
        </w:rPr>
      </w:pPr>
      <w:r w:rsidRPr="00BB5813">
        <w:rPr>
          <w:szCs w:val="24"/>
        </w:rPr>
        <w:tab/>
      </w:r>
      <w:r w:rsidRPr="00BB5813">
        <w:rPr>
          <w:szCs w:val="24"/>
          <w:lang w:val="en-CA"/>
        </w:rPr>
        <w:t xml:space="preserve">Figure </w:t>
      </w:r>
      <w:r w:rsidR="004755E6">
        <w:t>5.</w:t>
      </w:r>
      <w:r w:rsidRPr="00BB5813">
        <w:rPr>
          <w:szCs w:val="24"/>
          <w:lang w:val="en-CA"/>
        </w:rPr>
        <w:t xml:space="preserve">5 presents the </w:t>
      </w:r>
      <w:r w:rsidRPr="00BB5813">
        <w:rPr>
          <w:i/>
          <w:szCs w:val="24"/>
        </w:rPr>
        <w:t>W</w:t>
      </w:r>
      <w:r w:rsidRPr="00BB5813">
        <w:rPr>
          <w:i/>
          <w:szCs w:val="24"/>
          <w:vertAlign w:val="subscript"/>
        </w:rPr>
        <w:t>AS</w:t>
      </w:r>
      <w:r w:rsidRPr="00BB5813">
        <w:rPr>
          <w:i/>
          <w:szCs w:val="24"/>
        </w:rPr>
        <w:t xml:space="preserve">, </w:t>
      </w:r>
      <m:oMath>
        <m:sSubSup>
          <m:sSubSupPr>
            <m:ctrlPr>
              <w:rPr>
                <w:rFonts w:ascii="Cambria Math" w:hAnsi="Cambria Math"/>
                <w:i/>
                <w:kern w:val="2"/>
                <w:szCs w:val="24"/>
                <w:lang w:val="en-GB" w:eastAsia="ja-JP"/>
              </w:rPr>
            </m:ctrlPr>
          </m:sSubSupPr>
          <m:e>
            <m:r>
              <w:rPr>
                <w:rFonts w:ascii="Cambria Math" w:hAnsi="Cambria Math"/>
                <w:szCs w:val="24"/>
              </w:rPr>
              <m:t>W</m:t>
            </m:r>
          </m:e>
          <m:sub>
            <m:r>
              <w:rPr>
                <w:rFonts w:ascii="Cambria Math" w:hAnsi="Cambria Math"/>
                <w:szCs w:val="24"/>
              </w:rPr>
              <m:t>ASW</m:t>
            </m:r>
          </m:sub>
          <m:sup>
            <m:r>
              <w:rPr>
                <w:rFonts w:ascii="Cambria Math" w:hAnsi="Cambria Math"/>
                <w:szCs w:val="24"/>
              </w:rPr>
              <m:t>wet</m:t>
            </m:r>
          </m:sup>
        </m:sSubSup>
      </m:oMath>
      <w:r w:rsidRPr="00BB5813">
        <w:rPr>
          <w:i/>
          <w:kern w:val="2"/>
          <w:szCs w:val="24"/>
          <w:lang w:val="en-GB" w:eastAsia="ja-JP"/>
        </w:rPr>
        <w:t xml:space="preserve"> and </w:t>
      </w:r>
      <w:r w:rsidRPr="00BB5813">
        <w:rPr>
          <w:i/>
          <w:iCs/>
          <w:szCs w:val="24"/>
        </w:rPr>
        <w:t>ER</w:t>
      </w:r>
      <w:r w:rsidRPr="00BB5813">
        <w:rPr>
          <w:i/>
          <w:iCs/>
          <w:szCs w:val="24"/>
          <w:vertAlign w:val="subscript"/>
        </w:rPr>
        <w:t>1</w:t>
      </w:r>
      <w:r w:rsidRPr="00BB5813">
        <w:rPr>
          <w:szCs w:val="24"/>
          <w:lang w:val="en-CA"/>
        </w:rPr>
        <w:t xml:space="preserve"> values between the aggregates and PG 64-22 binder with different additives. </w:t>
      </w:r>
      <w:r w:rsidRPr="00BB5813">
        <w:rPr>
          <w:szCs w:val="24"/>
        </w:rPr>
        <w:t xml:space="preserve">The </w:t>
      </w:r>
      <w:r w:rsidRPr="00BB5813">
        <w:rPr>
          <w:i/>
          <w:szCs w:val="24"/>
        </w:rPr>
        <w:t>W</w:t>
      </w:r>
      <w:r w:rsidRPr="00BB5813">
        <w:rPr>
          <w:i/>
          <w:szCs w:val="24"/>
          <w:vertAlign w:val="subscript"/>
        </w:rPr>
        <w:t>AS</w:t>
      </w:r>
      <w:r w:rsidRPr="00BB5813">
        <w:rPr>
          <w:szCs w:val="24"/>
        </w:rPr>
        <w:t xml:space="preserve"> between the binder-aggregate system corresponds to the formation of cracking at the interface between the binder and aggregate under vacuum. It is desirable to have a high value of </w:t>
      </w:r>
      <w:r w:rsidRPr="00BB5813">
        <w:rPr>
          <w:i/>
          <w:szCs w:val="24"/>
        </w:rPr>
        <w:t>W</w:t>
      </w:r>
      <w:r w:rsidRPr="00BB5813">
        <w:rPr>
          <w:i/>
          <w:szCs w:val="24"/>
          <w:vertAlign w:val="subscript"/>
        </w:rPr>
        <w:t>AS</w:t>
      </w:r>
      <w:r w:rsidRPr="00BB5813">
        <w:rPr>
          <w:szCs w:val="24"/>
        </w:rPr>
        <w:t xml:space="preserve"> to produce a durable mix with higher resistance to moisture-induced damage </w:t>
      </w:r>
      <w:r w:rsidRPr="00BB5813">
        <w:rPr>
          <w:szCs w:val="24"/>
        </w:rPr>
        <w:fldChar w:fldCharType="begin"/>
      </w:r>
      <w:r w:rsidR="00282238">
        <w:rPr>
          <w:szCs w:val="24"/>
        </w:rPr>
        <w:instrText xml:space="preserve"> ADDIN EN.CITE &lt;EndNote&gt;&lt;Cite&gt;&lt;Author&gt;Bhasin&lt;/Author&gt;&lt;Year&gt;2007&lt;/Year&gt;&lt;RecNum&gt;7&lt;/RecNum&gt;&lt;DisplayText&gt;(Bhasin, 2007)&lt;/DisplayText&gt;&lt;record&gt;&lt;rec-number&gt;7&lt;/rec-number&gt;&lt;foreign-keys&gt;&lt;key app="EN" db-id="d55vzfpwawdafteedfoxsf0lv0v0wp5va2aa" timestamp="1509900362"&gt;7&lt;/key&gt;&lt;/foreign-keys&gt;&lt;ref-type name="Thesis"&gt;32&lt;/ref-type&gt;&lt;contributors&gt;&lt;authors&gt;&lt;author&gt;Bhasin, Amit&lt;/author&gt;&lt;/authors&gt;&lt;/contributors&gt;&lt;titles&gt;&lt;title&gt;Development of Methods to Quantify Bitumen-Aggregate Adhesion and Loss of Adhesion Due to Water&lt;/title&gt;&lt;/titles&gt;&lt;dates&gt;&lt;year&gt;2007&lt;/year&gt;&lt;/dates&gt;&lt;publisher&gt;Texas A&amp;amp;M University&lt;/publisher&gt;&lt;urls&gt;&lt;/urls&gt;&lt;/record&gt;&lt;/Cite&gt;&lt;/EndNote&gt;</w:instrText>
      </w:r>
      <w:r w:rsidRPr="00BB5813">
        <w:rPr>
          <w:szCs w:val="24"/>
        </w:rPr>
        <w:fldChar w:fldCharType="separate"/>
      </w:r>
      <w:r w:rsidR="00282238">
        <w:rPr>
          <w:noProof/>
          <w:szCs w:val="24"/>
        </w:rPr>
        <w:t>(Bhasin, 2007)</w:t>
      </w:r>
      <w:r w:rsidRPr="00BB5813">
        <w:rPr>
          <w:szCs w:val="24"/>
        </w:rPr>
        <w:fldChar w:fldCharType="end"/>
      </w:r>
      <w:r w:rsidRPr="00BB5813">
        <w:rPr>
          <w:szCs w:val="24"/>
        </w:rPr>
        <w:t xml:space="preserve">. </w:t>
      </w:r>
      <w:r w:rsidRPr="00BB5813">
        <w:rPr>
          <w:szCs w:val="24"/>
          <w:lang w:val="en-CA"/>
        </w:rPr>
        <w:t xml:space="preserve">From Figure </w:t>
      </w:r>
      <w:r w:rsidR="004755E6">
        <w:t>5.</w:t>
      </w:r>
      <w:r w:rsidRPr="00BB5813">
        <w:rPr>
          <w:szCs w:val="24"/>
          <w:lang w:val="en-CA"/>
        </w:rPr>
        <w:t xml:space="preserve">5, the addition of </w:t>
      </w:r>
      <w:r w:rsidRPr="00BB5813">
        <w:rPr>
          <w:szCs w:val="24"/>
        </w:rPr>
        <w:t xml:space="preserve">WMA, ASA, RAP and PPA increased the </w:t>
      </w:r>
      <w:r w:rsidRPr="00BB5813">
        <w:rPr>
          <w:i/>
          <w:szCs w:val="24"/>
        </w:rPr>
        <w:t>W</w:t>
      </w:r>
      <w:r w:rsidRPr="00BB5813">
        <w:rPr>
          <w:i/>
          <w:szCs w:val="24"/>
          <w:vertAlign w:val="subscript"/>
        </w:rPr>
        <w:t>AS</w:t>
      </w:r>
      <w:r w:rsidRPr="00BB5813">
        <w:rPr>
          <w:szCs w:val="24"/>
        </w:rPr>
        <w:t xml:space="preserve"> for the binder-aggregate system indicating better bond strength than the binder without any additive. Among all additives, the addition of RAP exhibited the highest increase in the </w:t>
      </w:r>
      <w:r w:rsidRPr="00BB5813">
        <w:rPr>
          <w:i/>
          <w:szCs w:val="24"/>
        </w:rPr>
        <w:t>W</w:t>
      </w:r>
      <w:r w:rsidRPr="00BB5813">
        <w:rPr>
          <w:i/>
          <w:szCs w:val="24"/>
          <w:vertAlign w:val="subscript"/>
        </w:rPr>
        <w:t>AS</w:t>
      </w:r>
      <w:r w:rsidRPr="00BB5813">
        <w:rPr>
          <w:szCs w:val="24"/>
        </w:rPr>
        <w:t xml:space="preserve"> (approximately 5% increase). It is important to determine the reduction in the </w:t>
      </w:r>
      <w:r w:rsidRPr="00BB5813">
        <w:rPr>
          <w:i/>
          <w:szCs w:val="24"/>
        </w:rPr>
        <w:t>W</w:t>
      </w:r>
      <w:r w:rsidRPr="00BB5813">
        <w:rPr>
          <w:i/>
          <w:szCs w:val="24"/>
          <w:vertAlign w:val="subscript"/>
        </w:rPr>
        <w:t>AS</w:t>
      </w:r>
      <w:r w:rsidRPr="00BB5813">
        <w:rPr>
          <w:szCs w:val="24"/>
        </w:rPr>
        <w:t xml:space="preserve"> of a binder-aggregate system in presence of a third medium such as water. The tendency of the binder to strip from the aggregate surface can be quantified with the </w:t>
      </w:r>
      <m:oMath>
        <m:sSubSup>
          <m:sSubSupPr>
            <m:ctrlPr>
              <w:rPr>
                <w:rFonts w:ascii="Cambria Math" w:hAnsi="Cambria Math"/>
                <w:i/>
                <w:kern w:val="2"/>
                <w:szCs w:val="24"/>
                <w:lang w:val="en-GB" w:eastAsia="ja-JP"/>
              </w:rPr>
            </m:ctrlPr>
          </m:sSubSupPr>
          <m:e>
            <m:r>
              <w:rPr>
                <w:rFonts w:ascii="Cambria Math" w:hAnsi="Cambria Math"/>
                <w:szCs w:val="24"/>
              </w:rPr>
              <m:t>W</m:t>
            </m:r>
          </m:e>
          <m:sub>
            <m:r>
              <w:rPr>
                <w:rFonts w:ascii="Cambria Math" w:hAnsi="Cambria Math"/>
                <w:szCs w:val="24"/>
              </w:rPr>
              <m:t>ASW</m:t>
            </m:r>
          </m:sub>
          <m:sup>
            <m:r>
              <w:rPr>
                <w:rFonts w:ascii="Cambria Math" w:hAnsi="Cambria Math"/>
                <w:szCs w:val="24"/>
              </w:rPr>
              <m:t>wet</m:t>
            </m:r>
          </m:sup>
        </m:sSubSup>
      </m:oMath>
      <w:r w:rsidRPr="00BB5813">
        <w:rPr>
          <w:kern w:val="2"/>
          <w:szCs w:val="24"/>
          <w:lang w:val="en-GB" w:eastAsia="ja-JP"/>
        </w:rPr>
        <w:t xml:space="preserve"> value</w:t>
      </w:r>
      <w:r w:rsidRPr="00BB5813">
        <w:rPr>
          <w:szCs w:val="24"/>
        </w:rPr>
        <w:t xml:space="preserve">. A smaller magnitude of the </w:t>
      </w:r>
      <m:oMath>
        <m:sSubSup>
          <m:sSubSupPr>
            <m:ctrlPr>
              <w:rPr>
                <w:rFonts w:ascii="Cambria Math" w:hAnsi="Cambria Math"/>
                <w:i/>
                <w:kern w:val="2"/>
                <w:szCs w:val="24"/>
                <w:lang w:val="en-GB" w:eastAsia="ja-JP"/>
              </w:rPr>
            </m:ctrlPr>
          </m:sSubSupPr>
          <m:e>
            <m:r>
              <w:rPr>
                <w:rFonts w:ascii="Cambria Math" w:hAnsi="Cambria Math"/>
                <w:szCs w:val="24"/>
              </w:rPr>
              <m:t>W</m:t>
            </m:r>
          </m:e>
          <m:sub>
            <m:r>
              <w:rPr>
                <w:rFonts w:ascii="Cambria Math" w:hAnsi="Cambria Math"/>
                <w:szCs w:val="24"/>
              </w:rPr>
              <m:t>ASW</m:t>
            </m:r>
          </m:sub>
          <m:sup>
            <m:r>
              <w:rPr>
                <w:rFonts w:ascii="Cambria Math" w:hAnsi="Cambria Math"/>
                <w:szCs w:val="24"/>
              </w:rPr>
              <m:t>wet</m:t>
            </m:r>
          </m:sup>
        </m:sSubSup>
      </m:oMath>
      <w:r w:rsidRPr="00BB5813">
        <w:rPr>
          <w:szCs w:val="24"/>
        </w:rPr>
        <w:t xml:space="preserve"> is desirable as a higher value would indicate a thermodynamic potential for moisture-induced damage </w:t>
      </w:r>
      <w:r w:rsidRPr="00BB5813">
        <w:rPr>
          <w:szCs w:val="24"/>
        </w:rPr>
        <w:fldChar w:fldCharType="begin"/>
      </w:r>
      <w:r w:rsidR="00282238">
        <w:rPr>
          <w:szCs w:val="24"/>
        </w:rPr>
        <w:instrText xml:space="preserve"> ADDIN EN.CITE &lt;EndNote&gt;&lt;Cite&gt;&lt;Author&gt;Bhasin&lt;/Author&gt;&lt;Year&gt;2007&lt;/Year&gt;&lt;RecNum&gt;7&lt;/RecNum&gt;&lt;DisplayText&gt;(Bhasin, 2007)&lt;/DisplayText&gt;&lt;record&gt;&lt;rec-number&gt;7&lt;/rec-number&gt;&lt;foreign-keys&gt;&lt;key app="EN" db-id="d55vzfpwawdafteedfoxsf0lv0v0wp5va2aa" timestamp="1509900362"&gt;7&lt;/key&gt;&lt;/foreign-keys&gt;&lt;ref-type name="Thesis"&gt;32&lt;/ref-type&gt;&lt;contributors&gt;&lt;authors&gt;&lt;author&gt;Bhasin, Amit&lt;/author&gt;&lt;/authors&gt;&lt;/contributors&gt;&lt;titles&gt;&lt;title&gt;Development of Methods to Quantify Bitumen-Aggregate Adhesion and Loss of Adhesion Due to Water&lt;/title&gt;&lt;/titles&gt;&lt;dates&gt;&lt;year&gt;2007&lt;/year&gt;&lt;/dates&gt;&lt;publisher&gt;Texas A&amp;amp;M University&lt;/publisher&gt;&lt;urls&gt;&lt;/urls&gt;&lt;/record&gt;&lt;/Cite&gt;&lt;/EndNote&gt;</w:instrText>
      </w:r>
      <w:r w:rsidRPr="00BB5813">
        <w:rPr>
          <w:szCs w:val="24"/>
        </w:rPr>
        <w:fldChar w:fldCharType="separate"/>
      </w:r>
      <w:r w:rsidR="00282238">
        <w:rPr>
          <w:noProof/>
          <w:szCs w:val="24"/>
        </w:rPr>
        <w:t>(Bhasin, 2007)</w:t>
      </w:r>
      <w:r w:rsidRPr="00BB5813">
        <w:rPr>
          <w:szCs w:val="24"/>
        </w:rPr>
        <w:fldChar w:fldCharType="end"/>
      </w:r>
      <w:r w:rsidRPr="00BB5813">
        <w:rPr>
          <w:szCs w:val="24"/>
        </w:rPr>
        <w:t xml:space="preserve">. From Figure </w:t>
      </w:r>
      <w:r w:rsidR="004755E6">
        <w:t>5.</w:t>
      </w:r>
      <w:r w:rsidRPr="00BB5813">
        <w:rPr>
          <w:szCs w:val="24"/>
        </w:rPr>
        <w:t xml:space="preserve">5, the addition of WMA additive reduced the magnitude of the </w:t>
      </w:r>
      <m:oMath>
        <m:d>
          <m:dPr>
            <m:begChr m:val="|"/>
            <m:endChr m:val="|"/>
            <m:ctrlPr>
              <w:rPr>
                <w:rFonts w:ascii="Cambria Math" w:hAnsi="Cambria Math"/>
                <w:i/>
                <w:szCs w:val="24"/>
                <w:lang w:val="en-GB" w:eastAsia="en-GB"/>
              </w:rPr>
            </m:ctrlPr>
          </m:dPr>
          <m:e>
            <m:sSubSup>
              <m:sSubSupPr>
                <m:ctrlPr>
                  <w:rPr>
                    <w:rFonts w:ascii="Cambria Math" w:hAnsi="Cambria Math"/>
                    <w:i/>
                    <w:szCs w:val="24"/>
                    <w:lang w:val="en-GB" w:eastAsia="en-GB"/>
                  </w:rPr>
                </m:ctrlPr>
              </m:sSubSupPr>
              <m:e>
                <m:r>
                  <w:rPr>
                    <w:rFonts w:ascii="Cambria Math" w:hAnsi="Cambria Math"/>
                    <w:szCs w:val="24"/>
                  </w:rPr>
                  <m:t>W</m:t>
                </m:r>
              </m:e>
              <m:sub>
                <m:r>
                  <w:rPr>
                    <w:rFonts w:ascii="Cambria Math" w:hAnsi="Cambria Math"/>
                    <w:szCs w:val="24"/>
                  </w:rPr>
                  <m:t>ASW</m:t>
                </m:r>
              </m:sub>
              <m:sup>
                <m:r>
                  <w:rPr>
                    <w:rFonts w:ascii="Cambria Math" w:hAnsi="Cambria Math"/>
                    <w:szCs w:val="24"/>
                  </w:rPr>
                  <m:t>wet</m:t>
                </m:r>
              </m:sup>
            </m:sSubSup>
          </m:e>
        </m:d>
      </m:oMath>
      <w:r w:rsidRPr="00BB5813">
        <w:rPr>
          <w:szCs w:val="24"/>
          <w:lang w:val="en-GB" w:eastAsia="en-GB"/>
        </w:rPr>
        <w:t>,</w:t>
      </w:r>
      <w:r w:rsidRPr="00BB5813">
        <w:rPr>
          <w:rFonts w:eastAsiaTheme="minorEastAsia"/>
          <w:szCs w:val="24"/>
        </w:rPr>
        <w:t xml:space="preserve"> </w:t>
      </w:r>
      <w:r w:rsidRPr="00BB5813">
        <w:rPr>
          <w:szCs w:val="24"/>
        </w:rPr>
        <w:t xml:space="preserve">indicating an increase in the resistance to moisture susceptibility. A similar trend was observed with the addition of ASA and RAP. However, the addition of PPA resulted in an increase in the magnitude of </w:t>
      </w:r>
      <m:oMath>
        <m:sSubSup>
          <m:sSubSupPr>
            <m:ctrlPr>
              <w:rPr>
                <w:rFonts w:ascii="Cambria Math" w:hAnsi="Cambria Math"/>
                <w:i/>
                <w:szCs w:val="24"/>
                <w:lang w:val="en-GB" w:eastAsia="en-GB"/>
              </w:rPr>
            </m:ctrlPr>
          </m:sSubSupPr>
          <m:e>
            <m:r>
              <w:rPr>
                <w:rFonts w:ascii="Cambria Math" w:hAnsi="Cambria Math"/>
                <w:szCs w:val="24"/>
              </w:rPr>
              <m:t>|W</m:t>
            </m:r>
          </m:e>
          <m:sub>
            <m:r>
              <w:rPr>
                <w:rFonts w:ascii="Cambria Math" w:hAnsi="Cambria Math"/>
                <w:szCs w:val="24"/>
              </w:rPr>
              <m:t>ASW</m:t>
            </m:r>
          </m:sub>
          <m:sup>
            <m:r>
              <w:rPr>
                <w:rFonts w:ascii="Cambria Math" w:hAnsi="Cambria Math"/>
                <w:szCs w:val="24"/>
              </w:rPr>
              <m:t>wet</m:t>
            </m:r>
          </m:sup>
        </m:sSubSup>
        <m:r>
          <w:rPr>
            <w:rFonts w:ascii="Cambria Math" w:hAnsi="Cambria Math"/>
            <w:szCs w:val="24"/>
          </w:rPr>
          <m:t>|</m:t>
        </m:r>
      </m:oMath>
      <w:r w:rsidRPr="00BB5813">
        <w:rPr>
          <w:szCs w:val="24"/>
        </w:rPr>
        <w:t xml:space="preserve">, hence, an increase in the moisture-induced damage potential of the mix. The </w:t>
      </w:r>
      <w:r w:rsidRPr="00BB5813">
        <w:rPr>
          <w:i/>
          <w:iCs/>
          <w:szCs w:val="24"/>
        </w:rPr>
        <w:t>ER</w:t>
      </w:r>
      <w:r w:rsidRPr="00BB5813">
        <w:rPr>
          <w:i/>
          <w:iCs/>
          <w:szCs w:val="24"/>
          <w:vertAlign w:val="subscript"/>
        </w:rPr>
        <w:t>1</w:t>
      </w:r>
      <w:r w:rsidRPr="00BB5813">
        <w:rPr>
          <w:i/>
          <w:iCs/>
          <w:szCs w:val="24"/>
        </w:rPr>
        <w:t xml:space="preserve"> </w:t>
      </w:r>
      <w:r w:rsidRPr="00BB5813">
        <w:rPr>
          <w:szCs w:val="24"/>
        </w:rPr>
        <w:t xml:space="preserve">represents the combined effects of the </w:t>
      </w:r>
      <w:r w:rsidRPr="00BB5813">
        <w:rPr>
          <w:i/>
          <w:szCs w:val="24"/>
        </w:rPr>
        <w:t>W</w:t>
      </w:r>
      <w:r w:rsidRPr="00BB5813">
        <w:rPr>
          <w:i/>
          <w:szCs w:val="24"/>
          <w:vertAlign w:val="subscript"/>
        </w:rPr>
        <w:t>AS</w:t>
      </w:r>
      <w:r w:rsidRPr="00BB5813">
        <w:rPr>
          <w:szCs w:val="24"/>
        </w:rPr>
        <w:t xml:space="preserve"> and </w:t>
      </w:r>
      <m:oMath>
        <m:sSubSup>
          <m:sSubSupPr>
            <m:ctrlPr>
              <w:rPr>
                <w:rFonts w:ascii="Cambria Math" w:hAnsi="Cambria Math"/>
                <w:i/>
                <w:kern w:val="2"/>
                <w:szCs w:val="24"/>
                <w:lang w:val="en-GB" w:eastAsia="ja-JP"/>
              </w:rPr>
            </m:ctrlPr>
          </m:sSubSupPr>
          <m:e>
            <m:r>
              <w:rPr>
                <w:rFonts w:ascii="Cambria Math" w:hAnsi="Cambria Math"/>
                <w:szCs w:val="24"/>
              </w:rPr>
              <m:t>W</m:t>
            </m:r>
          </m:e>
          <m:sub>
            <m:r>
              <w:rPr>
                <w:rFonts w:ascii="Cambria Math" w:hAnsi="Cambria Math"/>
                <w:szCs w:val="24"/>
              </w:rPr>
              <m:t>ASW</m:t>
            </m:r>
          </m:sub>
          <m:sup>
            <m:r>
              <w:rPr>
                <w:rFonts w:ascii="Cambria Math" w:hAnsi="Cambria Math"/>
                <w:szCs w:val="24"/>
              </w:rPr>
              <m:t>wet</m:t>
            </m:r>
          </m:sup>
        </m:sSubSup>
      </m:oMath>
      <w:r w:rsidRPr="00BB5813">
        <w:rPr>
          <w:szCs w:val="24"/>
        </w:rPr>
        <w:t xml:space="preserve"> as a single parameter. According to </w:t>
      </w:r>
      <w:r w:rsidRPr="00BB5813">
        <w:rPr>
          <w:szCs w:val="24"/>
        </w:rPr>
        <w:fldChar w:fldCharType="begin"/>
      </w:r>
      <w:r w:rsidR="00B96C8D">
        <w:rPr>
          <w:szCs w:val="24"/>
        </w:rPr>
        <w:instrText xml:space="preserve"> ADDIN EN.CITE &lt;EndNote&gt;&lt;Cite AuthorYear="1"&gt;&lt;Author&gt;Bhasin&lt;/Author&gt;&lt;Year&gt;2007&lt;/Year&gt;&lt;RecNum&gt;7&lt;/RecNum&gt;&lt;DisplayText&gt;Bhasin (2007)&lt;/DisplayText&gt;&lt;record&gt;&lt;rec-number&gt;7&lt;/rec-number&gt;&lt;foreign-keys&gt;&lt;key app="EN" db-id="d55vzfpwawdafteedfoxsf0lv0v0wp5va2aa" timestamp="1509900362"&gt;7&lt;/key&gt;&lt;/foreign-keys&gt;&lt;ref-type name="Thesis"&gt;32&lt;/ref-type&gt;&lt;contributors&gt;&lt;authors&gt;&lt;author&gt;Bhasin, Amit&lt;/author&gt;&lt;/authors&gt;&lt;/contributors&gt;&lt;titles&gt;&lt;title&gt;Development of Methods to Quantify Bitumen-Aggregate Adhesion and Loss of Adhesion Due to Water&lt;/title&gt;&lt;/titles&gt;&lt;dates&gt;&lt;year&gt;2007&lt;/year&gt;&lt;/dates&gt;&lt;publisher&gt;Texas A&amp;amp;M University&lt;/publisher&gt;&lt;urls&gt;&lt;/urls&gt;&lt;/record&gt;&lt;/Cite&gt;&lt;/EndNote&gt;</w:instrText>
      </w:r>
      <w:r w:rsidRPr="00BB5813">
        <w:rPr>
          <w:szCs w:val="24"/>
        </w:rPr>
        <w:fldChar w:fldCharType="separate"/>
      </w:r>
      <w:r w:rsidR="00B96C8D">
        <w:rPr>
          <w:noProof/>
          <w:szCs w:val="24"/>
        </w:rPr>
        <w:t>Bhasin (2007)</w:t>
      </w:r>
      <w:r w:rsidRPr="00BB5813">
        <w:rPr>
          <w:szCs w:val="24"/>
        </w:rPr>
        <w:fldChar w:fldCharType="end"/>
      </w:r>
      <w:r w:rsidRPr="00BB5813">
        <w:rPr>
          <w:szCs w:val="24"/>
        </w:rPr>
        <w:t xml:space="preserve">, the </w:t>
      </w:r>
      <w:r w:rsidRPr="00BB5813">
        <w:rPr>
          <w:i/>
          <w:szCs w:val="24"/>
        </w:rPr>
        <w:t>ER</w:t>
      </w:r>
      <w:r w:rsidRPr="00BB5813">
        <w:rPr>
          <w:i/>
          <w:szCs w:val="24"/>
          <w:vertAlign w:val="subscript"/>
        </w:rPr>
        <w:t>1</w:t>
      </w:r>
      <w:r w:rsidRPr="00BB5813">
        <w:rPr>
          <w:szCs w:val="24"/>
        </w:rPr>
        <w:t xml:space="preserve"> can screen mixes based on their susceptibility to moisture-induced damage. The </w:t>
      </w:r>
      <w:r w:rsidRPr="00BB5813">
        <w:rPr>
          <w:i/>
          <w:iCs/>
          <w:szCs w:val="24"/>
        </w:rPr>
        <w:t>ER</w:t>
      </w:r>
      <w:r w:rsidRPr="00BB5813">
        <w:rPr>
          <w:i/>
          <w:iCs/>
          <w:szCs w:val="24"/>
          <w:vertAlign w:val="subscript"/>
        </w:rPr>
        <w:t>1</w:t>
      </w:r>
      <w:r w:rsidRPr="00BB5813">
        <w:rPr>
          <w:szCs w:val="24"/>
        </w:rPr>
        <w:t xml:space="preserve"> of the aggregate and PG 64-22 with no additives was 0.99. The addition of WMA, ASA and RAP increased and PPA reduced the </w:t>
      </w:r>
      <w:r w:rsidRPr="00BB5813">
        <w:rPr>
          <w:i/>
          <w:szCs w:val="24"/>
        </w:rPr>
        <w:t>ER</w:t>
      </w:r>
      <w:r w:rsidRPr="00BB5813">
        <w:rPr>
          <w:i/>
          <w:szCs w:val="24"/>
          <w:vertAlign w:val="subscript"/>
        </w:rPr>
        <w:t>1</w:t>
      </w:r>
      <w:r w:rsidRPr="00BB5813">
        <w:rPr>
          <w:szCs w:val="24"/>
        </w:rPr>
        <w:t xml:space="preserve"> value compared to the control binder-aggregate system. Therefore, use of WMA, ASA and RAP are expected to reduce moisture susceptibility of the binder-aggregate system. However, PPA modification of PG 64-22 binder may result in an increase of moisture susceptibility with rhyolite aggregate. </w:t>
      </w:r>
    </w:p>
    <w:p w14:paraId="52D66392" w14:textId="7EBE144B" w:rsidR="00DD6905" w:rsidRPr="00F11623" w:rsidRDefault="00DD6905" w:rsidP="00985A4A">
      <w:pPr>
        <w:pStyle w:val="Heading3"/>
      </w:pPr>
      <w:bookmarkStart w:id="159" w:name="_Toc71728464"/>
      <w:r w:rsidRPr="00F11623">
        <w:t>Comparison of Different Parameters</w:t>
      </w:r>
      <w:bookmarkEnd w:id="159"/>
      <w:r w:rsidRPr="00F11623">
        <w:t xml:space="preserve"> </w:t>
      </w:r>
    </w:p>
    <w:p w14:paraId="05B6C43D" w14:textId="05901E61" w:rsidR="00DD6905" w:rsidRPr="00BB5813" w:rsidRDefault="00DD6905" w:rsidP="00555D3F">
      <w:pPr>
        <w:pStyle w:val="Paragraph"/>
        <w:spacing w:before="0"/>
      </w:pPr>
      <w:r w:rsidRPr="00BB5813">
        <w:t xml:space="preserve">Table </w:t>
      </w:r>
      <w:r w:rsidR="006E4A55">
        <w:t>5.</w:t>
      </w:r>
      <w:r w:rsidRPr="00BB5813">
        <w:t xml:space="preserve">3 presents the ranking of asphalt mixes using different parameters. From Table </w:t>
      </w:r>
      <w:r w:rsidR="006E4A55">
        <w:t>5.</w:t>
      </w:r>
      <w:r w:rsidRPr="00BB5813">
        <w:t>3, both the conventional (</w:t>
      </w:r>
      <w:r w:rsidRPr="00BB5813">
        <w:rPr>
          <w:i/>
          <w:iCs/>
        </w:rPr>
        <w:t>SIP</w:t>
      </w:r>
      <w:r w:rsidRPr="00BB5813">
        <w:t>) and TAMU (</w:t>
      </w:r>
      <w:r w:rsidRPr="00BB5813">
        <w:rPr>
          <w:i/>
          <w:iCs/>
        </w:rPr>
        <w:t>LC</w:t>
      </w:r>
      <w:r w:rsidRPr="00BB5813">
        <w:rPr>
          <w:i/>
          <w:iCs/>
          <w:vertAlign w:val="subscript"/>
        </w:rPr>
        <w:t>SN</w:t>
      </w:r>
      <w:r w:rsidRPr="00BB5813">
        <w:t xml:space="preserve">) methods provided very similar ranking of the asphalt mixes with respect to moisture-induced damage. The mix with PPA (Mix-4-PPA) showed the lowest </w:t>
      </w:r>
      <w:r w:rsidRPr="00BB5813">
        <w:rPr>
          <w:i/>
          <w:iCs/>
        </w:rPr>
        <w:t>SIP</w:t>
      </w:r>
      <w:r w:rsidRPr="00BB5813">
        <w:t xml:space="preserve"> value among all mixes, followed by mixes with WMA (Mix-2-WMA), RAP (Mix-5-RAP), control (Mix-1-None) and ASA (Mix-3-ASA). In case of the </w:t>
      </w:r>
      <w:r w:rsidRPr="00BB5813">
        <w:rPr>
          <w:i/>
          <w:iCs/>
        </w:rPr>
        <w:t>LC</w:t>
      </w:r>
      <w:r w:rsidRPr="00BB5813">
        <w:rPr>
          <w:i/>
          <w:iCs/>
          <w:vertAlign w:val="subscript"/>
        </w:rPr>
        <w:t>SN</w:t>
      </w:r>
      <w:r w:rsidRPr="00BB5813">
        <w:t xml:space="preserve">, Mix-5-RAP performed better than Mix-1-None. </w:t>
      </w:r>
    </w:p>
    <w:p w14:paraId="4F9316BA" w14:textId="61A6AEAC" w:rsidR="00DD6905" w:rsidRPr="00BB5813" w:rsidRDefault="00DD6905" w:rsidP="00555D3F">
      <w:pPr>
        <w:rPr>
          <w:szCs w:val="24"/>
          <w:lang w:val="en-CA"/>
        </w:rPr>
      </w:pPr>
      <w:r w:rsidRPr="00BB5813">
        <w:rPr>
          <w:szCs w:val="24"/>
          <w:lang w:val="en-CA"/>
        </w:rPr>
        <w:t xml:space="preserve">From Table </w:t>
      </w:r>
      <w:r w:rsidR="006E4A55">
        <w:t>5.</w:t>
      </w:r>
      <w:r w:rsidRPr="00BB5813">
        <w:rPr>
          <w:szCs w:val="24"/>
          <w:lang w:val="en-CA"/>
        </w:rPr>
        <w:t xml:space="preserve">3, variation in ranking of the asphalt mixes was observed for the </w:t>
      </w:r>
      <w:r w:rsidRPr="00BB5813">
        <w:rPr>
          <w:i/>
          <w:iCs/>
          <w:szCs w:val="24"/>
          <w:lang w:val="en-CA"/>
        </w:rPr>
        <w:t>TSR</w:t>
      </w:r>
      <w:r w:rsidRPr="00BB5813">
        <w:rPr>
          <w:szCs w:val="24"/>
          <w:lang w:val="en-CA"/>
        </w:rPr>
        <w:t xml:space="preserve"> and the </w:t>
      </w:r>
      <w:r w:rsidRPr="00BB5813">
        <w:rPr>
          <w:i/>
          <w:iCs/>
          <w:szCs w:val="24"/>
          <w:lang w:val="en-CA"/>
        </w:rPr>
        <w:t>TI ratio</w:t>
      </w:r>
      <w:r w:rsidRPr="00BB5813">
        <w:rPr>
          <w:szCs w:val="24"/>
          <w:lang w:val="en-CA"/>
        </w:rPr>
        <w:t xml:space="preserve"> values obtained from the ITS test. Based on the </w:t>
      </w:r>
      <w:r w:rsidRPr="00BB5813">
        <w:rPr>
          <w:i/>
          <w:iCs/>
          <w:szCs w:val="24"/>
          <w:lang w:val="en-CA"/>
        </w:rPr>
        <w:t>TSR</w:t>
      </w:r>
      <w:r w:rsidRPr="00BB5813">
        <w:rPr>
          <w:szCs w:val="24"/>
          <w:lang w:val="en-CA"/>
        </w:rPr>
        <w:t xml:space="preserve">, Mix-3-ASA exhibited the highest and Mix-5-RAP exhibited the lowest resistance to moisture susceptibility. The Mix-2-WMA, Mix-1-None and Mix-4-PPA were ranked as second, third and fourth, respectively. However, </w:t>
      </w:r>
      <w:r w:rsidRPr="00BB5813">
        <w:rPr>
          <w:i/>
          <w:iCs/>
          <w:szCs w:val="24"/>
          <w:lang w:val="en-CA"/>
        </w:rPr>
        <w:t>TI ratio</w:t>
      </w:r>
      <w:r w:rsidRPr="00BB5813">
        <w:rPr>
          <w:szCs w:val="24"/>
          <w:lang w:val="en-CA"/>
        </w:rPr>
        <w:t xml:space="preserve"> ranked the mixes as Mix-2-WMA, Mix-5-RAP, Mix-1-None, Mix-3-ASA and Mix-4-PPA from the lowest to the highest level of moisture susceptibility. The variation was expected as the </w:t>
      </w:r>
      <w:r w:rsidRPr="00BB5813">
        <w:rPr>
          <w:i/>
          <w:iCs/>
          <w:szCs w:val="24"/>
          <w:lang w:val="en-CA"/>
        </w:rPr>
        <w:t>TSR</w:t>
      </w:r>
      <w:r w:rsidRPr="00BB5813">
        <w:rPr>
          <w:szCs w:val="24"/>
          <w:lang w:val="en-CA"/>
        </w:rPr>
        <w:t xml:space="preserve"> and </w:t>
      </w:r>
      <w:r w:rsidRPr="00BB5813">
        <w:rPr>
          <w:i/>
          <w:iCs/>
          <w:szCs w:val="24"/>
          <w:lang w:val="en-CA"/>
        </w:rPr>
        <w:t>TI</w:t>
      </w:r>
      <w:r w:rsidRPr="00BB5813">
        <w:rPr>
          <w:szCs w:val="24"/>
          <w:lang w:val="en-CA"/>
        </w:rPr>
        <w:t xml:space="preserve"> </w:t>
      </w:r>
      <w:r w:rsidRPr="00BB5813">
        <w:rPr>
          <w:i/>
          <w:iCs/>
          <w:szCs w:val="24"/>
          <w:lang w:val="en-CA"/>
        </w:rPr>
        <w:t>ratio</w:t>
      </w:r>
      <w:r w:rsidRPr="00BB5813">
        <w:rPr>
          <w:szCs w:val="24"/>
          <w:lang w:val="en-CA"/>
        </w:rPr>
        <w:t>s represent the behavior of a mix at the peak load and after the peak load, respectively.</w:t>
      </w:r>
      <w:r w:rsidRPr="00BB5813">
        <w:rPr>
          <w:color w:val="FF0000"/>
          <w:szCs w:val="24"/>
          <w:lang w:val="en-CA"/>
        </w:rPr>
        <w:t xml:space="preserve"> </w:t>
      </w:r>
      <w:r w:rsidRPr="00BB5813">
        <w:rPr>
          <w:szCs w:val="24"/>
          <w:lang w:val="en-CA"/>
        </w:rPr>
        <w:t xml:space="preserve">In case of the </w:t>
      </w:r>
      <w:r w:rsidRPr="00BB5813">
        <w:rPr>
          <w:i/>
          <w:iCs/>
          <w:szCs w:val="24"/>
          <w:lang w:val="en-CA"/>
        </w:rPr>
        <w:t>J</w:t>
      </w:r>
      <w:r w:rsidRPr="00BB5813">
        <w:rPr>
          <w:i/>
          <w:iCs/>
          <w:szCs w:val="24"/>
          <w:vertAlign w:val="subscript"/>
          <w:lang w:val="en-CA"/>
        </w:rPr>
        <w:t>c</w:t>
      </w:r>
      <w:r w:rsidRPr="00BB5813">
        <w:rPr>
          <w:i/>
          <w:iCs/>
          <w:szCs w:val="24"/>
          <w:lang w:val="en-CA"/>
        </w:rPr>
        <w:t xml:space="preserve"> ratio</w:t>
      </w:r>
      <w:r w:rsidRPr="00BB5813">
        <w:rPr>
          <w:szCs w:val="24"/>
          <w:lang w:val="en-CA"/>
        </w:rPr>
        <w:t xml:space="preserve"> and </w:t>
      </w:r>
      <w:r w:rsidRPr="00BB5813">
        <w:rPr>
          <w:i/>
          <w:iCs/>
          <w:szCs w:val="24"/>
          <w:lang w:val="en-CA"/>
        </w:rPr>
        <w:t>TSR</w:t>
      </w:r>
      <w:r w:rsidRPr="00BB5813">
        <w:rPr>
          <w:szCs w:val="24"/>
          <w:lang w:val="en-CA"/>
        </w:rPr>
        <w:t xml:space="preserve">, mixes with WMA (Mix-2-WMA), ASA (Mix-3-ASA) and PPA (Mix-4-PPA) exhibited similar ranks with regard to the moisture-induced damage potential. However, Mix-1-None and Mix-5-RAP were ranked as third and fifth with respect to the </w:t>
      </w:r>
      <w:r w:rsidRPr="00BB5813">
        <w:rPr>
          <w:i/>
          <w:iCs/>
          <w:szCs w:val="24"/>
          <w:lang w:val="en-CA"/>
        </w:rPr>
        <w:t>TSR</w:t>
      </w:r>
      <w:r w:rsidRPr="00BB5813">
        <w:rPr>
          <w:szCs w:val="24"/>
          <w:lang w:val="en-CA"/>
        </w:rPr>
        <w:t xml:space="preserve">, whereas, ranked as fifth and third according to the </w:t>
      </w:r>
      <w:r w:rsidRPr="00BB5813">
        <w:rPr>
          <w:i/>
          <w:iCs/>
          <w:szCs w:val="24"/>
          <w:lang w:val="en-CA"/>
        </w:rPr>
        <w:t>J</w:t>
      </w:r>
      <w:r w:rsidRPr="00BB5813">
        <w:rPr>
          <w:i/>
          <w:iCs/>
          <w:szCs w:val="24"/>
          <w:vertAlign w:val="subscript"/>
          <w:lang w:val="en-CA"/>
        </w:rPr>
        <w:t>c</w:t>
      </w:r>
      <w:r w:rsidRPr="00BB5813">
        <w:rPr>
          <w:i/>
          <w:iCs/>
          <w:szCs w:val="24"/>
          <w:lang w:val="en-CA"/>
        </w:rPr>
        <w:t xml:space="preserve"> ratio</w:t>
      </w:r>
      <w:r w:rsidRPr="00BB5813">
        <w:rPr>
          <w:szCs w:val="24"/>
          <w:lang w:val="en-CA"/>
        </w:rPr>
        <w:t xml:space="preserve">, respectively. Although both the </w:t>
      </w:r>
      <w:r w:rsidRPr="00BB5813">
        <w:rPr>
          <w:i/>
          <w:iCs/>
          <w:szCs w:val="24"/>
          <w:lang w:val="en-CA"/>
        </w:rPr>
        <w:t>J</w:t>
      </w:r>
      <w:r w:rsidRPr="00BB5813">
        <w:rPr>
          <w:i/>
          <w:iCs/>
          <w:szCs w:val="24"/>
          <w:vertAlign w:val="subscript"/>
          <w:lang w:val="en-CA"/>
        </w:rPr>
        <w:t>c</w:t>
      </w:r>
      <w:r w:rsidRPr="00BB5813">
        <w:rPr>
          <w:szCs w:val="24"/>
          <w:lang w:val="en-CA"/>
        </w:rPr>
        <w:t xml:space="preserve"> and </w:t>
      </w:r>
      <w:r w:rsidRPr="00BB5813">
        <w:rPr>
          <w:i/>
          <w:iCs/>
          <w:szCs w:val="24"/>
          <w:lang w:val="en-CA"/>
        </w:rPr>
        <w:t>TI</w:t>
      </w:r>
      <w:r w:rsidRPr="00BB5813">
        <w:rPr>
          <w:szCs w:val="24"/>
          <w:lang w:val="en-CA"/>
        </w:rPr>
        <w:t xml:space="preserve"> values are indicators of fracture performance of a mix, the ranking of the mixes from the </w:t>
      </w:r>
      <w:r w:rsidRPr="00BB5813">
        <w:rPr>
          <w:i/>
          <w:iCs/>
          <w:szCs w:val="24"/>
          <w:lang w:val="en-CA"/>
        </w:rPr>
        <w:t>J</w:t>
      </w:r>
      <w:r w:rsidRPr="00BB5813">
        <w:rPr>
          <w:i/>
          <w:iCs/>
          <w:szCs w:val="24"/>
          <w:vertAlign w:val="subscript"/>
          <w:lang w:val="en-CA"/>
        </w:rPr>
        <w:t>c</w:t>
      </w:r>
      <w:r w:rsidRPr="00BB5813">
        <w:rPr>
          <w:i/>
          <w:iCs/>
          <w:szCs w:val="24"/>
          <w:lang w:val="en-CA"/>
        </w:rPr>
        <w:t xml:space="preserve"> ratio</w:t>
      </w:r>
      <w:r w:rsidRPr="00BB5813">
        <w:rPr>
          <w:szCs w:val="24"/>
          <w:lang w:val="en-CA"/>
        </w:rPr>
        <w:t xml:space="preserve"> were not consistent with the TI ratio. According to Kim et al. </w:t>
      </w:r>
      <w:r w:rsidRPr="00BB5813">
        <w:rPr>
          <w:szCs w:val="24"/>
          <w:lang w:val="en-CA"/>
        </w:rPr>
        <w:fldChar w:fldCharType="begin"/>
      </w:r>
      <w:r w:rsidR="00282238">
        <w:rPr>
          <w:szCs w:val="24"/>
          <w:lang w:val="en-CA"/>
        </w:rPr>
        <w:instrText xml:space="preserve"> ADDIN EN.CITE &lt;EndNote&gt;&lt;Cite&gt;&lt;Author&gt;Kim&lt;/Author&gt;&lt;Year&gt;2012&lt;/Year&gt;&lt;RecNum&gt;64&lt;/RecNum&gt;&lt;DisplayText&gt;(Kim et al., 2012)&lt;/DisplayText&gt;&lt;record&gt;&lt;rec-number&gt;64&lt;/rec-number&gt;&lt;foreign-keys&gt;&lt;key app="EN" db-id="d55vzfpwawdafteedfoxsf0lv0v0wp5va2aa" timestamp="1514344226"&gt;64&lt;/key&gt;&lt;/foreign-keys&gt;&lt;ref-type name="Journal Article"&gt;17&lt;/ref-type&gt;&lt;contributors&gt;&lt;authors&gt;&lt;author&gt;Kim, Minkyum&lt;/author&gt;&lt;author&gt;Mohammad, Louay&lt;/author&gt;&lt;author&gt;Elseifi, Mostafa&lt;/author&gt;&lt;/authors&gt;&lt;/contributors&gt;&lt;titles&gt;&lt;title&gt;Characterization of fracture properties of asphalt mixtures as measured by semicircular bend test and indirect tension test&lt;/title&gt;&lt;secondary-title&gt;Transportation Research Record: Journal of the Transportation Research Board&lt;/secondary-title&gt;&lt;/titles&gt;&lt;periodical&gt;&lt;full-title&gt;Transportation Research Record: Journal of the Transportation Research Board&lt;/full-title&gt;&lt;/periodical&gt;&lt;pages&gt;115-124&lt;/pages&gt;&lt;number&gt;2296&lt;/number&gt;&lt;dates&gt;&lt;year&gt;2012&lt;/year&gt;&lt;/dates&gt;&lt;isbn&gt;0361-1981&lt;/isbn&gt;&lt;urls&gt;&lt;/urls&gt;&lt;/record&gt;&lt;/Cite&gt;&lt;/EndNote&gt;</w:instrText>
      </w:r>
      <w:r w:rsidRPr="00BB5813">
        <w:rPr>
          <w:szCs w:val="24"/>
          <w:lang w:val="en-CA"/>
        </w:rPr>
        <w:fldChar w:fldCharType="separate"/>
      </w:r>
      <w:r w:rsidR="00282238">
        <w:rPr>
          <w:noProof/>
          <w:szCs w:val="24"/>
          <w:lang w:val="en-CA"/>
        </w:rPr>
        <w:t>(Kim et al., 2012)</w:t>
      </w:r>
      <w:r w:rsidRPr="00BB5813">
        <w:rPr>
          <w:szCs w:val="24"/>
          <w:lang w:val="en-CA"/>
        </w:rPr>
        <w:fldChar w:fldCharType="end"/>
      </w:r>
      <w:r w:rsidRPr="00BB5813">
        <w:rPr>
          <w:szCs w:val="24"/>
          <w:lang w:val="en-CA"/>
        </w:rPr>
        <w:t xml:space="preserve">, the </w:t>
      </w:r>
      <w:r w:rsidRPr="00BB5813">
        <w:rPr>
          <w:i/>
          <w:iCs/>
          <w:szCs w:val="24"/>
          <w:lang w:val="en-CA"/>
        </w:rPr>
        <w:t>J</w:t>
      </w:r>
      <w:r w:rsidRPr="00BB5813">
        <w:rPr>
          <w:i/>
          <w:iCs/>
          <w:szCs w:val="24"/>
          <w:vertAlign w:val="subscript"/>
          <w:lang w:val="en-CA"/>
        </w:rPr>
        <w:t>c</w:t>
      </w:r>
      <w:r w:rsidRPr="00BB5813">
        <w:rPr>
          <w:szCs w:val="24"/>
          <w:lang w:val="en-CA"/>
        </w:rPr>
        <w:t xml:space="preserve"> value represents the pre-peak fracture energy whereas </w:t>
      </w:r>
      <w:r w:rsidRPr="00BB5813">
        <w:rPr>
          <w:i/>
          <w:iCs/>
          <w:szCs w:val="24"/>
          <w:lang w:val="en-CA"/>
        </w:rPr>
        <w:t>TI</w:t>
      </w:r>
      <w:r w:rsidRPr="00BB5813">
        <w:rPr>
          <w:szCs w:val="24"/>
          <w:lang w:val="en-CA"/>
        </w:rPr>
        <w:t xml:space="preserve"> is related to the post-peak fracture energy. Also, the HWT and TSR ranked mixes differently. In all cases, mixes with ASA and PPA exhibited the highest and the lowest resistance to moisture-induced damage among all mixes, respectively. Based on the HWT parameters, Mix-2-WMA had a high moisture-induced damage potential. However, from the TSR results, the addition of WMA additive to the mix resulted in a reduction in the moisture susceptibility. Therefore, effects of different additives on the moisture-induced damage resistance of mixes are dependent on the evaluation mechanism.</w:t>
      </w:r>
    </w:p>
    <w:p w14:paraId="58DBAABF" w14:textId="02183193" w:rsidR="00DD6905" w:rsidRPr="00BB5813" w:rsidRDefault="00DD6905" w:rsidP="00555D3F">
      <w:pPr>
        <w:pStyle w:val="Paragraph"/>
        <w:spacing w:before="0"/>
        <w:rPr>
          <w:lang w:val="en-CA" w:eastAsia="en-US"/>
        </w:rPr>
      </w:pPr>
      <w:r w:rsidRPr="00BB5813">
        <w:t xml:space="preserve">In this study, attempts were made to determine the relationship between the laboratory performance-based parameters and the SFE parameters. The correlations of the </w:t>
      </w:r>
      <w:r w:rsidRPr="00BB5813">
        <w:rPr>
          <w:i/>
          <w:iCs/>
        </w:rPr>
        <w:t>SIP, LC</w:t>
      </w:r>
      <w:r w:rsidRPr="00BB5813">
        <w:rPr>
          <w:i/>
          <w:iCs/>
          <w:vertAlign w:val="subscript"/>
        </w:rPr>
        <w:t>SN</w:t>
      </w:r>
      <w:r w:rsidRPr="00BB5813">
        <w:rPr>
          <w:i/>
          <w:iCs/>
        </w:rPr>
        <w:t>,</w:t>
      </w:r>
      <w:r w:rsidRPr="00BB5813">
        <w:t xml:space="preserve"> </w:t>
      </w:r>
      <w:r w:rsidRPr="00BB5813">
        <w:rPr>
          <w:i/>
          <w:iCs/>
        </w:rPr>
        <w:t>TSR, TI ratio and J</w:t>
      </w:r>
      <w:r w:rsidRPr="00BB5813">
        <w:rPr>
          <w:i/>
          <w:iCs/>
          <w:vertAlign w:val="subscript"/>
        </w:rPr>
        <w:t>c</w:t>
      </w:r>
      <w:r w:rsidRPr="00BB5813">
        <w:rPr>
          <w:i/>
          <w:iCs/>
        </w:rPr>
        <w:t xml:space="preserve"> ratio </w:t>
      </w:r>
      <w:r w:rsidRPr="00BB5813">
        <w:t>with the energy ratio (</w:t>
      </w:r>
      <w:r w:rsidRPr="00BB5813">
        <w:rPr>
          <w:i/>
          <w:iCs/>
        </w:rPr>
        <w:t>ER</w:t>
      </w:r>
      <w:r w:rsidRPr="00BB5813">
        <w:rPr>
          <w:i/>
          <w:iCs/>
          <w:vertAlign w:val="subscript"/>
        </w:rPr>
        <w:t>1</w:t>
      </w:r>
      <w:r w:rsidRPr="00BB5813">
        <w:rPr>
          <w:i/>
          <w:iCs/>
        </w:rPr>
        <w:t>)</w:t>
      </w:r>
      <w:r w:rsidRPr="00BB5813">
        <w:t xml:space="preserve"> are presented in Figures </w:t>
      </w:r>
      <w:r w:rsidR="004755E6">
        <w:t>5.</w:t>
      </w:r>
      <w:r w:rsidRPr="00BB5813">
        <w:t xml:space="preserve">6 (a), (b), (c), (d) and (e), respectively. From Figures </w:t>
      </w:r>
      <w:r w:rsidR="004755E6">
        <w:t>5.</w:t>
      </w:r>
      <w:r w:rsidRPr="00BB5813">
        <w:t xml:space="preserve">6(a) and 6(b), no significant correlations of the </w:t>
      </w:r>
      <w:r w:rsidRPr="00BB5813">
        <w:rPr>
          <w:i/>
          <w:iCs/>
        </w:rPr>
        <w:t>SIP</w:t>
      </w:r>
      <w:r w:rsidRPr="00BB5813">
        <w:t xml:space="preserve"> and </w:t>
      </w:r>
      <w:r w:rsidRPr="00BB5813">
        <w:rPr>
          <w:i/>
          <w:iCs/>
        </w:rPr>
        <w:t>LC</w:t>
      </w:r>
      <w:r w:rsidRPr="00BB5813">
        <w:rPr>
          <w:i/>
          <w:iCs/>
          <w:vertAlign w:val="subscript"/>
        </w:rPr>
        <w:t>SN</w:t>
      </w:r>
      <w:r w:rsidRPr="00BB5813">
        <w:t xml:space="preserve"> with the </w:t>
      </w:r>
      <w:r w:rsidRPr="00BB5813">
        <w:rPr>
          <w:i/>
          <w:iCs/>
        </w:rPr>
        <w:t>ER</w:t>
      </w:r>
      <w:r w:rsidRPr="00BB5813">
        <w:rPr>
          <w:i/>
          <w:iCs/>
          <w:vertAlign w:val="subscript"/>
        </w:rPr>
        <w:t>1</w:t>
      </w:r>
      <w:r w:rsidRPr="00BB5813">
        <w:t xml:space="preserve"> could be observed for asphalt mixes with PG 64-22 binder blends and rhyolite aggregate. However, an improved correlation (R</w:t>
      </w:r>
      <w:r w:rsidRPr="00BB5813">
        <w:rPr>
          <w:vertAlign w:val="superscript"/>
        </w:rPr>
        <w:t>2</w:t>
      </w:r>
      <w:r w:rsidRPr="00BB5813">
        <w:t xml:space="preserve"> = 0.60) was observed for the </w:t>
      </w:r>
      <w:r w:rsidRPr="00BB5813">
        <w:rPr>
          <w:i/>
          <w:iCs/>
        </w:rPr>
        <w:t>LC</w:t>
      </w:r>
      <w:r w:rsidRPr="00BB5813">
        <w:rPr>
          <w:i/>
          <w:iCs/>
          <w:vertAlign w:val="subscript"/>
        </w:rPr>
        <w:t>SN</w:t>
      </w:r>
      <w:r w:rsidRPr="00BB5813">
        <w:t xml:space="preserve"> vs </w:t>
      </w:r>
      <w:r w:rsidRPr="00BB5813">
        <w:rPr>
          <w:i/>
          <w:iCs/>
        </w:rPr>
        <w:t xml:space="preserve">ER1 </w:t>
      </w:r>
      <w:r w:rsidRPr="00BB5813">
        <w:t xml:space="preserve">when Mix-3-ASA was excluded from the comparison. The Mix-3-ASA exhibited a higher resistance to moisture-induced damage from the HWT test and resulted in a higher value of </w:t>
      </w:r>
      <w:r w:rsidRPr="00BB5813">
        <w:rPr>
          <w:i/>
          <w:iCs/>
        </w:rPr>
        <w:t>LC</w:t>
      </w:r>
      <w:r w:rsidRPr="00BB5813">
        <w:rPr>
          <w:i/>
          <w:iCs/>
          <w:vertAlign w:val="subscript"/>
        </w:rPr>
        <w:t>SN</w:t>
      </w:r>
      <w:r w:rsidRPr="00BB5813">
        <w:t xml:space="preserve"> compared to other mixes. From the ITS test, the </w:t>
      </w:r>
      <w:r w:rsidRPr="00BB5813">
        <w:rPr>
          <w:i/>
          <w:iCs/>
        </w:rPr>
        <w:t>TSR</w:t>
      </w:r>
      <w:r w:rsidRPr="00BB5813">
        <w:t xml:space="preserve"> exhibited a poor correlation with the </w:t>
      </w:r>
      <w:r w:rsidRPr="00BB5813">
        <w:rPr>
          <w:i/>
          <w:iCs/>
        </w:rPr>
        <w:t>ER</w:t>
      </w:r>
      <w:r w:rsidRPr="00BB5813">
        <w:rPr>
          <w:i/>
          <w:iCs/>
          <w:vertAlign w:val="subscript"/>
        </w:rPr>
        <w:t>1</w:t>
      </w:r>
      <w:r w:rsidRPr="00BB5813">
        <w:t xml:space="preserve"> (R</w:t>
      </w:r>
      <w:r w:rsidRPr="00BB5813">
        <w:rPr>
          <w:vertAlign w:val="superscript"/>
        </w:rPr>
        <w:t>2</w:t>
      </w:r>
      <w:r w:rsidRPr="00BB5813">
        <w:t xml:space="preserve"> = 0.01) (Figure </w:t>
      </w:r>
      <w:r w:rsidR="004755E6">
        <w:t>5.</w:t>
      </w:r>
      <w:r w:rsidRPr="00BB5813">
        <w:t xml:space="preserve">6(c)). The poor correlation likely resulted from the difference in the mechanisms </w:t>
      </w:r>
      <w:r w:rsidRPr="00BB5813">
        <w:rPr>
          <w:i/>
          <w:iCs/>
        </w:rPr>
        <w:t>TSR</w:t>
      </w:r>
      <w:r w:rsidRPr="00BB5813">
        <w:t xml:space="preserve"> and </w:t>
      </w:r>
      <w:r w:rsidRPr="00BB5813">
        <w:rPr>
          <w:i/>
          <w:iCs/>
        </w:rPr>
        <w:t>ER</w:t>
      </w:r>
      <w:r w:rsidRPr="00BB5813">
        <w:rPr>
          <w:i/>
          <w:iCs/>
          <w:vertAlign w:val="subscript"/>
        </w:rPr>
        <w:t>1</w:t>
      </w:r>
      <w:r w:rsidRPr="00BB5813">
        <w:t xml:space="preserve"> address. Maximum</w:t>
      </w:r>
      <w:r w:rsidRPr="00BB5813">
        <w:rPr>
          <w:lang w:val="en-CA"/>
        </w:rPr>
        <w:t xml:space="preserve"> strengths of a mix after drying and moisture conditioning</w:t>
      </w:r>
      <w:r w:rsidRPr="00BB5813">
        <w:t xml:space="preserve"> is considered in the </w:t>
      </w:r>
      <w:r w:rsidRPr="00BB5813">
        <w:rPr>
          <w:i/>
          <w:iCs/>
          <w:lang w:val="en-CA"/>
        </w:rPr>
        <w:t>TSR</w:t>
      </w:r>
      <w:r w:rsidRPr="00BB5813">
        <w:rPr>
          <w:lang w:val="en-CA"/>
        </w:rPr>
        <w:t xml:space="preserve"> parameter, whereas,</w:t>
      </w:r>
      <w:r w:rsidRPr="00BB5813">
        <w:t xml:space="preserve"> </w:t>
      </w:r>
      <w:r w:rsidRPr="00BB5813">
        <w:rPr>
          <w:i/>
          <w:iCs/>
          <w:lang w:val="en-CA"/>
        </w:rPr>
        <w:t>W</w:t>
      </w:r>
      <w:r w:rsidRPr="00BB5813">
        <w:rPr>
          <w:i/>
          <w:iCs/>
          <w:vertAlign w:val="subscript"/>
          <w:lang w:val="en-CA"/>
        </w:rPr>
        <w:t>AS</w:t>
      </w:r>
      <w:r w:rsidRPr="00BB5813">
        <w:rPr>
          <w:lang w:val="en-CA" w:eastAsia="en-US"/>
        </w:rPr>
        <w:t xml:space="preserve"> and </w:t>
      </w:r>
      <m:oMath>
        <m:sSubSup>
          <m:sSubSupPr>
            <m:ctrlPr>
              <w:rPr>
                <w:rFonts w:ascii="Cambria Math" w:hAnsi="Cambria Math"/>
                <w:i/>
              </w:rPr>
            </m:ctrlPr>
          </m:sSubSupPr>
          <m:e>
            <m:r>
              <w:rPr>
                <w:rFonts w:ascii="Cambria Math" w:hAnsi="Cambria Math"/>
              </w:rPr>
              <m:t>W</m:t>
            </m:r>
          </m:e>
          <m:sub>
            <m:r>
              <w:rPr>
                <w:rFonts w:ascii="Cambria Math" w:hAnsi="Cambria Math"/>
              </w:rPr>
              <m:t>ASW</m:t>
            </m:r>
          </m:sub>
          <m:sup>
            <m:r>
              <w:rPr>
                <w:rFonts w:ascii="Cambria Math" w:hAnsi="Cambria Math"/>
              </w:rPr>
              <m:t>wet</m:t>
            </m:r>
          </m:sup>
        </m:sSubSup>
      </m:oMath>
      <w:r w:rsidRPr="00BB5813">
        <w:t xml:space="preserve"> that are determined using the SFE components of binder and aggregate are considered in </w:t>
      </w:r>
      <w:r w:rsidRPr="00BB5813">
        <w:rPr>
          <w:i/>
          <w:iCs/>
        </w:rPr>
        <w:t>ER</w:t>
      </w:r>
      <w:r w:rsidRPr="00BB5813">
        <w:rPr>
          <w:i/>
          <w:iCs/>
          <w:vertAlign w:val="subscript"/>
        </w:rPr>
        <w:t>1</w:t>
      </w:r>
      <w:r w:rsidRPr="00BB5813">
        <w:t xml:space="preserve">. However, the </w:t>
      </w:r>
      <w:r w:rsidRPr="00BB5813">
        <w:rPr>
          <w:i/>
          <w:iCs/>
        </w:rPr>
        <w:t>TI ratio</w:t>
      </w:r>
      <w:r w:rsidRPr="00BB5813">
        <w:t xml:space="preserve"> exhibited the strongest correlation with </w:t>
      </w:r>
      <w:r w:rsidRPr="00BB5813">
        <w:rPr>
          <w:i/>
          <w:iCs/>
        </w:rPr>
        <w:t>ER</w:t>
      </w:r>
      <w:r w:rsidRPr="00BB5813">
        <w:rPr>
          <w:i/>
          <w:iCs/>
          <w:vertAlign w:val="subscript"/>
        </w:rPr>
        <w:t>1</w:t>
      </w:r>
      <w:r w:rsidRPr="00BB5813">
        <w:t xml:space="preserve"> among all parameters considered in this study with a R</w:t>
      </w:r>
      <w:r w:rsidRPr="00BB5813">
        <w:rPr>
          <w:vertAlign w:val="superscript"/>
        </w:rPr>
        <w:t>2</w:t>
      </w:r>
      <w:r w:rsidRPr="00BB5813">
        <w:t xml:space="preserve"> value of 0.64 (Figure </w:t>
      </w:r>
      <w:r w:rsidR="004755E6">
        <w:t>5.</w:t>
      </w:r>
      <w:r w:rsidRPr="00BB5813">
        <w:t xml:space="preserve">6(d)). Also, the slope of the linear trend line between the </w:t>
      </w:r>
      <w:r w:rsidRPr="00BB5813">
        <w:rPr>
          <w:i/>
          <w:iCs/>
        </w:rPr>
        <w:t>TI ratio</w:t>
      </w:r>
      <w:r w:rsidRPr="00BB5813">
        <w:t xml:space="preserve"> vs </w:t>
      </w:r>
      <w:r w:rsidRPr="00BB5813">
        <w:rPr>
          <w:i/>
          <w:iCs/>
        </w:rPr>
        <w:t>ER</w:t>
      </w:r>
      <w:r w:rsidRPr="00BB5813">
        <w:rPr>
          <w:i/>
          <w:iCs/>
          <w:vertAlign w:val="subscript"/>
        </w:rPr>
        <w:t>1</w:t>
      </w:r>
      <w:r w:rsidRPr="00BB5813">
        <w:t xml:space="preserve"> plot was observed to be negative indicating a need to define a maximum value of the </w:t>
      </w:r>
      <w:r w:rsidRPr="00BB5813">
        <w:rPr>
          <w:i/>
          <w:iCs/>
        </w:rPr>
        <w:t>TI ratio</w:t>
      </w:r>
      <w:r w:rsidRPr="00BB5813">
        <w:t xml:space="preserve"> to evaluate moisture-induced damage potential of asphalt mixes. Considering the limited scope of the present study, the maximum allowable limit of the </w:t>
      </w:r>
      <w:r w:rsidRPr="00BB5813">
        <w:rPr>
          <w:i/>
          <w:iCs/>
        </w:rPr>
        <w:t>TI ratio</w:t>
      </w:r>
      <w:r w:rsidRPr="00BB5813">
        <w:t xml:space="preserve"> will be addressed in future.</w:t>
      </w:r>
      <w:r w:rsidRPr="00BB5813">
        <w:rPr>
          <w:lang w:val="en-CA"/>
        </w:rPr>
        <w:t xml:space="preserve"> From Figure </w:t>
      </w:r>
      <w:r w:rsidR="004755E6">
        <w:t>5.</w:t>
      </w:r>
      <w:r w:rsidRPr="00BB5813">
        <w:rPr>
          <w:lang w:val="en-CA"/>
        </w:rPr>
        <w:t xml:space="preserve">6(e), the </w:t>
      </w:r>
      <w:r w:rsidRPr="00BB5813">
        <w:rPr>
          <w:i/>
          <w:iCs/>
          <w:lang w:val="en-CA"/>
        </w:rPr>
        <w:t>J</w:t>
      </w:r>
      <w:r w:rsidRPr="00BB5813">
        <w:rPr>
          <w:i/>
          <w:iCs/>
          <w:vertAlign w:val="subscript"/>
          <w:lang w:val="en-CA"/>
        </w:rPr>
        <w:t>c</w:t>
      </w:r>
      <w:r w:rsidRPr="00BB5813">
        <w:rPr>
          <w:i/>
          <w:iCs/>
          <w:lang w:val="en-CA"/>
        </w:rPr>
        <w:t xml:space="preserve"> ratio</w:t>
      </w:r>
      <w:r w:rsidRPr="00BB5813">
        <w:rPr>
          <w:lang w:val="en-CA"/>
        </w:rPr>
        <w:t xml:space="preserve"> exhibited a better correlation with the </w:t>
      </w:r>
      <w:r w:rsidRPr="00BB5813">
        <w:rPr>
          <w:i/>
          <w:iCs/>
          <w:lang w:val="en-CA"/>
        </w:rPr>
        <w:t>ER</w:t>
      </w:r>
      <w:r w:rsidRPr="00BB5813">
        <w:rPr>
          <w:i/>
          <w:iCs/>
          <w:vertAlign w:val="subscript"/>
        </w:rPr>
        <w:t>1</w:t>
      </w:r>
      <w:r w:rsidRPr="00BB5813">
        <w:t xml:space="preserve"> than </w:t>
      </w:r>
      <w:r w:rsidRPr="00BB5813">
        <w:rPr>
          <w:i/>
          <w:iCs/>
        </w:rPr>
        <w:t xml:space="preserve">TSR </w:t>
      </w:r>
      <w:r w:rsidRPr="00BB5813">
        <w:t>with a</w:t>
      </w:r>
      <w:r w:rsidRPr="00BB5813">
        <w:rPr>
          <w:i/>
          <w:iCs/>
        </w:rPr>
        <w:t xml:space="preserve"> </w:t>
      </w:r>
      <w:r w:rsidRPr="00BB5813">
        <w:t>R</w:t>
      </w:r>
      <w:r w:rsidRPr="00BB5813">
        <w:rPr>
          <w:vertAlign w:val="superscript"/>
        </w:rPr>
        <w:t>2</w:t>
      </w:r>
      <w:r w:rsidRPr="00BB5813">
        <w:t xml:space="preserve"> value of 0.13. Therefore, it can be concluded that the </w:t>
      </w:r>
      <w:r w:rsidRPr="00BB5813">
        <w:rPr>
          <w:i/>
          <w:iCs/>
          <w:lang w:val="en-CA"/>
        </w:rPr>
        <w:t>J</w:t>
      </w:r>
      <w:r w:rsidRPr="00BB5813">
        <w:rPr>
          <w:i/>
          <w:iCs/>
          <w:vertAlign w:val="subscript"/>
          <w:lang w:val="en-CA"/>
        </w:rPr>
        <w:t>c</w:t>
      </w:r>
      <w:r w:rsidRPr="00BB5813">
        <w:rPr>
          <w:i/>
          <w:iCs/>
          <w:lang w:val="en-CA"/>
        </w:rPr>
        <w:t xml:space="preserve"> ratio</w:t>
      </w:r>
      <w:r w:rsidRPr="00BB5813">
        <w:rPr>
          <w:lang w:val="en-CA"/>
        </w:rPr>
        <w:t xml:space="preserve"> from LA-SCB (with MIST conditioning) has the potential for </w:t>
      </w:r>
      <w:r w:rsidRPr="00BB5813">
        <w:t xml:space="preserve">use as an indicator of moisture-induced damage of asphalt mixes. However, future studies with a larger dataset are required for </w:t>
      </w:r>
      <w:r w:rsidRPr="00BB5813">
        <w:rPr>
          <w:lang w:val="en-CA" w:eastAsia="en-US"/>
        </w:rPr>
        <w:t xml:space="preserve">a better understanding of the </w:t>
      </w:r>
      <w:r w:rsidRPr="00BB5813">
        <w:rPr>
          <w:i/>
          <w:iCs/>
          <w:lang w:val="en-CA"/>
        </w:rPr>
        <w:t>J</w:t>
      </w:r>
      <w:r w:rsidRPr="00BB5813">
        <w:rPr>
          <w:i/>
          <w:iCs/>
          <w:vertAlign w:val="subscript"/>
          <w:lang w:val="en-CA"/>
        </w:rPr>
        <w:t>c</w:t>
      </w:r>
      <w:r w:rsidRPr="00BB5813">
        <w:rPr>
          <w:i/>
          <w:iCs/>
          <w:lang w:val="en-CA"/>
        </w:rPr>
        <w:t xml:space="preserve"> ratio</w:t>
      </w:r>
      <w:r w:rsidRPr="00BB5813">
        <w:rPr>
          <w:lang w:val="en-CA"/>
        </w:rPr>
        <w:t xml:space="preserve"> for evaluating </w:t>
      </w:r>
      <w:r w:rsidRPr="00BB5813">
        <w:rPr>
          <w:lang w:val="en-CA" w:eastAsia="en-US"/>
        </w:rPr>
        <w:t>moisture-induced damage potential of asphalt mixes.</w:t>
      </w:r>
    </w:p>
    <w:p w14:paraId="7E323EAB" w14:textId="68CA00DF" w:rsidR="00DD6905" w:rsidRPr="00BB5813" w:rsidRDefault="00DD6905" w:rsidP="00E57694">
      <w:pPr>
        <w:pStyle w:val="Heading2"/>
      </w:pPr>
      <w:bookmarkStart w:id="160" w:name="_Toc71728465"/>
      <w:r w:rsidRPr="00BB5813">
        <w:t>CONCLUSIONS</w:t>
      </w:r>
      <w:bookmarkEnd w:id="160"/>
    </w:p>
    <w:p w14:paraId="689B2BCA" w14:textId="77777777" w:rsidR="00DD6905" w:rsidRPr="00BB5813" w:rsidRDefault="00DD6905" w:rsidP="00555D3F">
      <w:pPr>
        <w:pStyle w:val="Paragraph"/>
        <w:spacing w:before="0"/>
        <w:rPr>
          <w:lang w:val="en-CA" w:eastAsia="en-US"/>
        </w:rPr>
      </w:pPr>
      <w:r w:rsidRPr="00BB5813">
        <w:rPr>
          <w:lang w:val="en-CA" w:eastAsia="en-US"/>
        </w:rPr>
        <w:t xml:space="preserve">In this study, the effects of the addition of different additives on the moisture susceptibility of asphalt mixes were evaluated using laboratory performance tests, namely the HWT, ITS and SCB and the SFE method. A new method of data analysis, known as the TAMU method, was used for evaluating the moisture-induced damage potential from the HWT test. The moisture-induced damage potentials of the asphalt mixes were also evaluated using the </w:t>
      </w:r>
      <w:r w:rsidRPr="00BB5813">
        <w:rPr>
          <w:i/>
          <w:iCs/>
          <w:lang w:val="en-CA" w:eastAsia="en-US"/>
        </w:rPr>
        <w:t>TSR</w:t>
      </w:r>
      <w:r w:rsidRPr="00BB5813">
        <w:rPr>
          <w:lang w:val="en-CA" w:eastAsia="en-US"/>
        </w:rPr>
        <w:t xml:space="preserve"> and </w:t>
      </w:r>
      <w:r w:rsidRPr="00BB5813">
        <w:rPr>
          <w:i/>
          <w:iCs/>
          <w:lang w:val="en-CA" w:eastAsia="en-US"/>
        </w:rPr>
        <w:t>TI ratio</w:t>
      </w:r>
      <w:r w:rsidRPr="00BB5813">
        <w:rPr>
          <w:lang w:val="en-CA" w:eastAsia="en-US"/>
        </w:rPr>
        <w:t xml:space="preserve"> by conducting ITS test on dry- and moisture-conditioned samples. A new parameter, called the </w:t>
      </w:r>
      <w:r w:rsidRPr="00BB5813">
        <w:rPr>
          <w:i/>
          <w:iCs/>
          <w:lang w:val="en-CA" w:eastAsia="en-US"/>
        </w:rPr>
        <w:t>J</w:t>
      </w:r>
      <w:r w:rsidRPr="00BB5813">
        <w:rPr>
          <w:i/>
          <w:iCs/>
          <w:vertAlign w:val="subscript"/>
          <w:lang w:val="en-CA" w:eastAsia="en-US"/>
        </w:rPr>
        <w:t>c</w:t>
      </w:r>
      <w:r w:rsidRPr="00BB5813">
        <w:rPr>
          <w:i/>
          <w:iCs/>
          <w:lang w:val="en-CA" w:eastAsia="en-US"/>
        </w:rPr>
        <w:t xml:space="preserve"> ratio</w:t>
      </w:r>
      <w:r w:rsidRPr="00BB5813">
        <w:rPr>
          <w:lang w:val="en-CA" w:eastAsia="en-US"/>
        </w:rPr>
        <w:t xml:space="preserve"> based on the LA-SCB test for evaluating the moisture-induced damage potential was introduced. All the conventional and unconventional performance-based parameters were compared with the SFE parameters. Based on the results and discussions presented in the preceding sections, the following conclusions can be drawn:</w:t>
      </w:r>
    </w:p>
    <w:p w14:paraId="23EBE663" w14:textId="77777777" w:rsidR="00DD6905" w:rsidRPr="00BB5813" w:rsidRDefault="00DD6905" w:rsidP="00555D3F">
      <w:pPr>
        <w:pStyle w:val="Paragraph"/>
        <w:widowControl/>
        <w:numPr>
          <w:ilvl w:val="0"/>
          <w:numId w:val="14"/>
        </w:numPr>
        <w:spacing w:before="0"/>
        <w:ind w:left="720"/>
        <w:rPr>
          <w:lang w:val="en-CA" w:eastAsia="en-US"/>
        </w:rPr>
      </w:pPr>
      <w:r w:rsidRPr="00BB5813">
        <w:rPr>
          <w:lang w:val="en-CA" w:eastAsia="en-US"/>
        </w:rPr>
        <w:t xml:space="preserve">The SFE method exhibited an increase in the </w:t>
      </w:r>
      <w:r w:rsidRPr="00BB5813">
        <w:rPr>
          <w:i/>
          <w:iCs/>
          <w:lang w:val="en-CA" w:eastAsia="en-US"/>
        </w:rPr>
        <w:t>ER</w:t>
      </w:r>
      <w:r w:rsidRPr="00BB5813">
        <w:rPr>
          <w:i/>
          <w:iCs/>
          <w:vertAlign w:val="subscript"/>
          <w:lang w:val="en-CA" w:eastAsia="en-US"/>
        </w:rPr>
        <w:t>1</w:t>
      </w:r>
      <w:r w:rsidRPr="00BB5813">
        <w:rPr>
          <w:lang w:val="en-CA" w:eastAsia="en-US"/>
        </w:rPr>
        <w:t xml:space="preserve"> parameter with the addition of WMA, ASA and RAP to the binder-aggregate system indicating a reduction in susceptibility to moisture. However, the incorporation of PPA into asphalt mixes may increase the potential for moisture-induced damage.</w:t>
      </w:r>
    </w:p>
    <w:p w14:paraId="2BF21D10" w14:textId="77777777" w:rsidR="00DD6905" w:rsidRPr="00BB5813" w:rsidRDefault="00DD6905" w:rsidP="00555D3F">
      <w:pPr>
        <w:pStyle w:val="Paragraph"/>
        <w:widowControl/>
        <w:numPr>
          <w:ilvl w:val="0"/>
          <w:numId w:val="14"/>
        </w:numPr>
        <w:spacing w:before="0"/>
        <w:ind w:left="720"/>
        <w:rPr>
          <w:lang w:val="en-CA" w:eastAsia="en-US"/>
        </w:rPr>
      </w:pPr>
      <w:r w:rsidRPr="00BB5813">
        <w:rPr>
          <w:lang w:val="en-CA" w:eastAsia="en-US"/>
        </w:rPr>
        <w:t xml:space="preserve">From the HWT test, mixes with WMA additive exhibited a higher susceptibility to rutting and moisture-induced damage following the PPA-modified mix. However, the addition of ASA improved the resistance to rutting and moisture-induced damage of the mix based on both the conventional and the TAMU method. </w:t>
      </w:r>
      <w:r w:rsidRPr="00BB5813">
        <w:t xml:space="preserve">However, the stripping number from the TAMU method showed a better correlation with the </w:t>
      </w:r>
      <w:r w:rsidRPr="00BB5813">
        <w:rPr>
          <w:i/>
          <w:iCs/>
        </w:rPr>
        <w:t>ER</w:t>
      </w:r>
      <w:r w:rsidRPr="00BB5813">
        <w:rPr>
          <w:i/>
          <w:iCs/>
          <w:vertAlign w:val="subscript"/>
        </w:rPr>
        <w:t>1</w:t>
      </w:r>
      <w:r w:rsidRPr="00BB5813">
        <w:t xml:space="preserve"> indicating a higher potential to identify moisture-induced damage susceptible mixes.</w:t>
      </w:r>
    </w:p>
    <w:p w14:paraId="0251B207" w14:textId="1E3AD02C" w:rsidR="00DD6905" w:rsidRPr="00BB5813" w:rsidRDefault="00DD6905" w:rsidP="00555D3F">
      <w:pPr>
        <w:pStyle w:val="Paragraph"/>
        <w:widowControl/>
        <w:numPr>
          <w:ilvl w:val="0"/>
          <w:numId w:val="14"/>
        </w:numPr>
        <w:spacing w:before="0"/>
        <w:ind w:left="720"/>
        <w:rPr>
          <w:lang w:val="en-CA" w:eastAsia="en-US"/>
        </w:rPr>
      </w:pPr>
      <w:r w:rsidRPr="00BB5813">
        <w:rPr>
          <w:lang w:val="en-CA" w:eastAsia="en-US"/>
        </w:rPr>
        <w:t xml:space="preserve">Based on the </w:t>
      </w:r>
      <w:r w:rsidR="0010321D">
        <w:rPr>
          <w:lang w:val="en-CA" w:eastAsia="en-US"/>
        </w:rPr>
        <w:t xml:space="preserve">HWT and </w:t>
      </w:r>
      <w:r w:rsidRPr="00BB5813">
        <w:rPr>
          <w:i/>
          <w:iCs/>
          <w:lang w:val="en-CA" w:eastAsia="en-US"/>
        </w:rPr>
        <w:t>TSR</w:t>
      </w:r>
      <w:r w:rsidRPr="00BB5813">
        <w:rPr>
          <w:lang w:val="en-CA" w:eastAsia="en-US"/>
        </w:rPr>
        <w:t xml:space="preserve">, asphalt mixes with ASA are expected to exhibit reduced susceptibility to rutting and moisture. The addition of PPA increased the susceptibility to moisture-induced damage although the tensile strength was higher than the other mixes for both dry and moisture-conditioned samples. The TI results indicated that the moisture conditioning process increased the plastic behavior in all mixes. Also, </w:t>
      </w:r>
      <w:r w:rsidRPr="00BB5813">
        <w:rPr>
          <w:i/>
          <w:iCs/>
          <w:lang w:val="en-CA" w:eastAsia="en-US"/>
        </w:rPr>
        <w:t>TI ratio</w:t>
      </w:r>
      <w:r w:rsidRPr="00BB5813">
        <w:rPr>
          <w:lang w:val="en-CA" w:eastAsia="en-US"/>
        </w:rPr>
        <w:t xml:space="preserve"> exhibited a good correlation with the SFE parameter.</w:t>
      </w:r>
    </w:p>
    <w:p w14:paraId="13276766" w14:textId="77777777" w:rsidR="00DD6905" w:rsidRPr="00EF505F" w:rsidRDefault="00DD6905" w:rsidP="00555D3F">
      <w:pPr>
        <w:pStyle w:val="Paragraph"/>
        <w:widowControl/>
        <w:numPr>
          <w:ilvl w:val="0"/>
          <w:numId w:val="14"/>
        </w:numPr>
        <w:spacing w:before="0"/>
        <w:ind w:left="720"/>
        <w:rPr>
          <w:lang w:val="en-CA" w:eastAsia="en-US"/>
        </w:rPr>
      </w:pPr>
      <w:r w:rsidRPr="00BB5813">
        <w:rPr>
          <w:lang w:val="en-CA" w:eastAsia="en-US"/>
        </w:rPr>
        <w:t xml:space="preserve">The LA-SCB test with MIST conditioning exhibited the potential for use as a laboratory performance test for screening of asphalt mixes in the mix design phase. However, further </w:t>
      </w:r>
      <w:r w:rsidRPr="00EF505F">
        <w:rPr>
          <w:lang w:val="en-CA" w:eastAsia="en-US"/>
        </w:rPr>
        <w:t xml:space="preserve">studies are needed to validate the </w:t>
      </w:r>
      <w:r w:rsidRPr="00EF505F">
        <w:rPr>
          <w:i/>
          <w:iCs/>
          <w:lang w:val="en-CA" w:eastAsia="en-US"/>
        </w:rPr>
        <w:t>J</w:t>
      </w:r>
      <w:r w:rsidRPr="00EF505F">
        <w:rPr>
          <w:i/>
          <w:iCs/>
          <w:vertAlign w:val="subscript"/>
          <w:lang w:val="en-CA" w:eastAsia="en-US"/>
        </w:rPr>
        <w:t>c</w:t>
      </w:r>
      <w:r w:rsidRPr="00EF505F">
        <w:rPr>
          <w:i/>
          <w:iCs/>
          <w:lang w:val="en-CA" w:eastAsia="en-US"/>
        </w:rPr>
        <w:t xml:space="preserve"> ratio</w:t>
      </w:r>
      <w:r w:rsidRPr="00EF505F">
        <w:rPr>
          <w:lang w:val="en-CA" w:eastAsia="en-US"/>
        </w:rPr>
        <w:t xml:space="preserve"> as an alternative to the current moisture-induced damage parameter. </w:t>
      </w:r>
    </w:p>
    <w:p w14:paraId="69B67804" w14:textId="2598251C" w:rsidR="00DD6905" w:rsidRDefault="00DD6905" w:rsidP="00555D3F">
      <w:pPr>
        <w:pStyle w:val="Paragraph"/>
        <w:spacing w:before="0"/>
        <w:rPr>
          <w:lang w:val="en-CA" w:eastAsia="en-US"/>
        </w:rPr>
      </w:pPr>
      <w:r w:rsidRPr="00EF505F">
        <w:rPr>
          <w:lang w:val="en-CA" w:eastAsia="en-US"/>
        </w:rPr>
        <w:t xml:space="preserve">The findings of this study are expected to help enhance the understanding of moisture susceptibility of asphalt mixes. </w:t>
      </w:r>
      <w:r w:rsidR="00112426" w:rsidRPr="00EF505F">
        <w:rPr>
          <w:lang w:val="en-CA" w:eastAsia="en-US"/>
        </w:rPr>
        <w:t xml:space="preserve">The correlations between </w:t>
      </w:r>
      <w:r w:rsidR="00E3638B" w:rsidRPr="00EF505F">
        <w:rPr>
          <w:lang w:val="en-CA" w:eastAsia="en-US"/>
        </w:rPr>
        <w:t xml:space="preserve">different laboratory-based performance parameters and </w:t>
      </w:r>
      <w:r w:rsidR="00E3638B" w:rsidRPr="00EF505F">
        <w:rPr>
          <w:i/>
          <w:iCs/>
          <w:lang w:val="en-CA" w:eastAsia="en-US"/>
        </w:rPr>
        <w:t>ER</w:t>
      </w:r>
      <w:r w:rsidR="00E3638B" w:rsidRPr="00EF505F">
        <w:rPr>
          <w:i/>
          <w:iCs/>
          <w:vertAlign w:val="subscript"/>
          <w:lang w:val="en-CA" w:eastAsia="en-US"/>
        </w:rPr>
        <w:t>1</w:t>
      </w:r>
      <w:r w:rsidR="00E3638B" w:rsidRPr="00EF505F">
        <w:rPr>
          <w:lang w:val="en-CA" w:eastAsia="en-US"/>
        </w:rPr>
        <w:t xml:space="preserve"> w</w:t>
      </w:r>
      <w:r w:rsidR="00F87E70" w:rsidRPr="00EF505F">
        <w:rPr>
          <w:lang w:val="en-CA" w:eastAsia="en-US"/>
        </w:rPr>
        <w:t>ere</w:t>
      </w:r>
      <w:r w:rsidR="00E3638B" w:rsidRPr="00EF505F">
        <w:rPr>
          <w:lang w:val="en-CA" w:eastAsia="en-US"/>
        </w:rPr>
        <w:t xml:space="preserve"> developed based on </w:t>
      </w:r>
      <w:r w:rsidR="00F87E70" w:rsidRPr="00EF505F">
        <w:rPr>
          <w:lang w:val="en-CA" w:eastAsia="en-US"/>
        </w:rPr>
        <w:t>limited asphalt mix test results</w:t>
      </w:r>
      <w:r w:rsidR="00C96377" w:rsidRPr="00EF505F">
        <w:rPr>
          <w:lang w:val="en-CA" w:eastAsia="en-US"/>
        </w:rPr>
        <w:t xml:space="preserve"> (one </w:t>
      </w:r>
      <w:r w:rsidR="008C6683" w:rsidRPr="00EF505F">
        <w:rPr>
          <w:lang w:val="en-CA" w:eastAsia="en-US"/>
        </w:rPr>
        <w:t xml:space="preserve">type of </w:t>
      </w:r>
      <w:r w:rsidR="00C96377" w:rsidRPr="00EF505F">
        <w:rPr>
          <w:lang w:val="en-CA" w:eastAsia="en-US"/>
        </w:rPr>
        <w:t xml:space="preserve">aggregate </w:t>
      </w:r>
      <w:r w:rsidR="00475551" w:rsidRPr="00EF505F">
        <w:rPr>
          <w:lang w:val="en-CA" w:eastAsia="en-US"/>
        </w:rPr>
        <w:t>with</w:t>
      </w:r>
      <w:r w:rsidR="008C6683" w:rsidRPr="00EF505F">
        <w:rPr>
          <w:lang w:val="en-CA" w:eastAsia="en-US"/>
        </w:rPr>
        <w:t xml:space="preserve"> one type of binder </w:t>
      </w:r>
      <w:r w:rsidR="00475551" w:rsidRPr="00EF505F">
        <w:rPr>
          <w:lang w:val="en-CA" w:eastAsia="en-US"/>
        </w:rPr>
        <w:t>and</w:t>
      </w:r>
      <w:r w:rsidR="008C6683" w:rsidRPr="00EF505F">
        <w:rPr>
          <w:lang w:val="en-CA" w:eastAsia="en-US"/>
        </w:rPr>
        <w:t xml:space="preserve"> different additives)</w:t>
      </w:r>
      <w:r w:rsidR="00F87E70" w:rsidRPr="00EF505F">
        <w:rPr>
          <w:lang w:val="en-CA" w:eastAsia="en-US"/>
        </w:rPr>
        <w:t>. Future stud</w:t>
      </w:r>
      <w:r w:rsidR="00915B56" w:rsidRPr="00EF505F">
        <w:rPr>
          <w:lang w:val="en-CA" w:eastAsia="en-US"/>
        </w:rPr>
        <w:t>ies</w:t>
      </w:r>
      <w:r w:rsidR="00F87E70" w:rsidRPr="00EF505F">
        <w:rPr>
          <w:lang w:val="en-CA" w:eastAsia="en-US"/>
        </w:rPr>
        <w:t xml:space="preserve"> </w:t>
      </w:r>
      <w:r w:rsidR="00915B56" w:rsidRPr="00EF505F">
        <w:rPr>
          <w:lang w:val="en-CA" w:eastAsia="en-US"/>
        </w:rPr>
        <w:t>are</w:t>
      </w:r>
      <w:r w:rsidR="00F87E70" w:rsidRPr="00EF505F">
        <w:rPr>
          <w:lang w:val="en-CA" w:eastAsia="en-US"/>
        </w:rPr>
        <w:t xml:space="preserve"> needed to evaluate these relationships with </w:t>
      </w:r>
      <w:r w:rsidR="00475551" w:rsidRPr="00EF505F">
        <w:rPr>
          <w:lang w:val="en-CA" w:eastAsia="en-US"/>
        </w:rPr>
        <w:t xml:space="preserve">a </w:t>
      </w:r>
      <w:r w:rsidR="00C96377" w:rsidRPr="00EF505F">
        <w:rPr>
          <w:lang w:val="en-CA" w:eastAsia="en-US"/>
        </w:rPr>
        <w:t>large</w:t>
      </w:r>
      <w:r w:rsidR="00475551" w:rsidRPr="00EF505F">
        <w:rPr>
          <w:lang w:val="en-CA" w:eastAsia="en-US"/>
        </w:rPr>
        <w:t>r</w:t>
      </w:r>
      <w:r w:rsidR="00C96377" w:rsidRPr="00EF505F">
        <w:rPr>
          <w:lang w:val="en-CA" w:eastAsia="en-US"/>
        </w:rPr>
        <w:t xml:space="preserve"> dataset</w:t>
      </w:r>
      <w:r w:rsidR="00475551" w:rsidRPr="00EF505F">
        <w:rPr>
          <w:lang w:val="en-CA" w:eastAsia="en-US"/>
        </w:rPr>
        <w:t xml:space="preserve"> consisting of different binder-aggregate combinations</w:t>
      </w:r>
      <w:r w:rsidR="00C96377" w:rsidRPr="00EF505F">
        <w:rPr>
          <w:lang w:val="en-CA" w:eastAsia="en-US"/>
        </w:rPr>
        <w:t xml:space="preserve">. </w:t>
      </w:r>
      <w:r w:rsidRPr="00EF505F">
        <w:rPr>
          <w:lang w:val="en-CA" w:eastAsia="en-US"/>
        </w:rPr>
        <w:t>Considering the limited scope of the present study, future studies are needed to determine correlations between</w:t>
      </w:r>
      <w:r w:rsidRPr="00BB5813">
        <w:rPr>
          <w:lang w:val="en-CA" w:eastAsia="en-US"/>
        </w:rPr>
        <w:t xml:space="preserve"> and among the HWT, ITS and LA-SCB parameters with field moisture-induced damage performance. </w:t>
      </w:r>
    </w:p>
    <w:p w14:paraId="708393F9" w14:textId="7949D8B7" w:rsidR="003C4D0A" w:rsidRDefault="003C4D0A" w:rsidP="00B555D8">
      <w:pPr>
        <w:rPr>
          <w:rFonts w:eastAsia="Times New Roman" w:cs="Times New Roman"/>
          <w:szCs w:val="24"/>
          <w:lang w:bidi="en-US"/>
        </w:rPr>
      </w:pPr>
    </w:p>
    <w:p w14:paraId="210BD028" w14:textId="5CE6FD59" w:rsidR="00042520" w:rsidRDefault="00042520" w:rsidP="00B555D8">
      <w:pPr>
        <w:rPr>
          <w:rFonts w:eastAsia="Times New Roman" w:cs="Times New Roman"/>
          <w:szCs w:val="24"/>
          <w:lang w:bidi="en-US"/>
        </w:rPr>
      </w:pPr>
    </w:p>
    <w:p w14:paraId="249237AB" w14:textId="186E6A06" w:rsidR="00042520" w:rsidRDefault="00042520" w:rsidP="00B555D8">
      <w:pPr>
        <w:rPr>
          <w:rFonts w:eastAsia="Times New Roman" w:cs="Times New Roman"/>
          <w:szCs w:val="24"/>
          <w:lang w:bidi="en-US"/>
        </w:rPr>
      </w:pPr>
    </w:p>
    <w:p w14:paraId="5EE625EB" w14:textId="3E499BFC" w:rsidR="00042520" w:rsidRDefault="00042520" w:rsidP="00B555D8">
      <w:pPr>
        <w:rPr>
          <w:rFonts w:eastAsia="Times New Roman" w:cs="Times New Roman"/>
          <w:szCs w:val="24"/>
          <w:lang w:bidi="en-US"/>
        </w:rPr>
      </w:pPr>
    </w:p>
    <w:p w14:paraId="28F1F6CD" w14:textId="6595F1A9" w:rsidR="00042520" w:rsidRDefault="00042520" w:rsidP="00B555D8">
      <w:pPr>
        <w:rPr>
          <w:rFonts w:eastAsia="Times New Roman" w:cs="Times New Roman"/>
          <w:szCs w:val="24"/>
          <w:lang w:bidi="en-US"/>
        </w:rPr>
      </w:pPr>
    </w:p>
    <w:p w14:paraId="4464BC68" w14:textId="679CBDB7" w:rsidR="00042520" w:rsidRDefault="00042520" w:rsidP="00B555D8">
      <w:pPr>
        <w:rPr>
          <w:rFonts w:eastAsia="Times New Roman" w:cs="Times New Roman"/>
          <w:szCs w:val="24"/>
          <w:lang w:bidi="en-US"/>
        </w:rPr>
      </w:pPr>
    </w:p>
    <w:p w14:paraId="032710D1" w14:textId="0CBCD4A8" w:rsidR="00042520" w:rsidRDefault="00042520" w:rsidP="00B555D8">
      <w:pPr>
        <w:rPr>
          <w:rFonts w:eastAsia="Times New Roman" w:cs="Times New Roman"/>
          <w:szCs w:val="24"/>
          <w:lang w:bidi="en-US"/>
        </w:rPr>
      </w:pPr>
    </w:p>
    <w:p w14:paraId="4336E363" w14:textId="2BBE19D5" w:rsidR="00042520" w:rsidRDefault="00042520" w:rsidP="00B555D8">
      <w:pPr>
        <w:rPr>
          <w:rFonts w:eastAsia="Times New Roman" w:cs="Times New Roman"/>
          <w:szCs w:val="24"/>
          <w:lang w:bidi="en-US"/>
        </w:rPr>
      </w:pPr>
    </w:p>
    <w:p w14:paraId="36F1D8DF" w14:textId="7719AA57" w:rsidR="00042520" w:rsidRDefault="00042520" w:rsidP="00B555D8">
      <w:pPr>
        <w:rPr>
          <w:rFonts w:eastAsia="Times New Roman" w:cs="Times New Roman"/>
          <w:szCs w:val="24"/>
          <w:lang w:bidi="en-US"/>
        </w:rPr>
      </w:pPr>
    </w:p>
    <w:p w14:paraId="2EA8C8D0" w14:textId="1C2C9B1F" w:rsidR="00042520" w:rsidRDefault="00042520" w:rsidP="00B555D8">
      <w:pPr>
        <w:rPr>
          <w:rFonts w:eastAsia="Times New Roman" w:cs="Times New Roman"/>
          <w:szCs w:val="24"/>
          <w:lang w:bidi="en-US"/>
        </w:rPr>
      </w:pPr>
    </w:p>
    <w:p w14:paraId="7647B9A4" w14:textId="38A9D06D" w:rsidR="00042520" w:rsidRDefault="00042520" w:rsidP="00B555D8">
      <w:pPr>
        <w:rPr>
          <w:rFonts w:eastAsia="Times New Roman" w:cs="Times New Roman"/>
          <w:szCs w:val="24"/>
          <w:lang w:bidi="en-US"/>
        </w:rPr>
      </w:pPr>
    </w:p>
    <w:p w14:paraId="076A98F4" w14:textId="27A2B574" w:rsidR="002D23D6" w:rsidRPr="00F55201" w:rsidRDefault="00700639" w:rsidP="00FF1504">
      <w:pPr>
        <w:pStyle w:val="Caption"/>
        <w:spacing w:line="480" w:lineRule="auto"/>
        <w:jc w:val="center"/>
        <w:rPr>
          <w:szCs w:val="24"/>
        </w:rPr>
      </w:pPr>
      <w:bookmarkStart w:id="161" w:name="_Toc71330996"/>
      <w:r>
        <w:t xml:space="preserve">Table </w:t>
      </w:r>
      <w:fldSimple w:instr=" STYLEREF 1 \s ">
        <w:r w:rsidR="005050F0">
          <w:rPr>
            <w:noProof/>
          </w:rPr>
          <w:t>5</w:t>
        </w:r>
      </w:fldSimple>
      <w:r>
        <w:t>.</w:t>
      </w:r>
      <w:fldSimple w:instr=" SEQ Table \* ARABIC \s 1 ">
        <w:r w:rsidR="005050F0">
          <w:rPr>
            <w:noProof/>
          </w:rPr>
          <w:t>1</w:t>
        </w:r>
      </w:fldSimple>
      <w:r w:rsidR="002D23D6" w:rsidRPr="00F55201">
        <w:rPr>
          <w:szCs w:val="24"/>
        </w:rPr>
        <w:t xml:space="preserve"> Test Matrix for </w:t>
      </w:r>
      <w:r w:rsidR="002D23D6">
        <w:rPr>
          <w:szCs w:val="24"/>
        </w:rPr>
        <w:t xml:space="preserve">Laboratory Performance Tests on </w:t>
      </w:r>
      <w:r w:rsidR="002D23D6" w:rsidRPr="00F55201">
        <w:rPr>
          <w:szCs w:val="24"/>
        </w:rPr>
        <w:t>Asphalt Mixes</w:t>
      </w:r>
      <w:bookmarkEnd w:id="161"/>
    </w:p>
    <w:tbl>
      <w:tblPr>
        <w:tblW w:w="94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35"/>
        <w:gridCol w:w="900"/>
        <w:gridCol w:w="1080"/>
        <w:gridCol w:w="1170"/>
        <w:gridCol w:w="990"/>
        <w:gridCol w:w="990"/>
        <w:gridCol w:w="630"/>
        <w:gridCol w:w="630"/>
        <w:gridCol w:w="630"/>
        <w:gridCol w:w="970"/>
      </w:tblGrid>
      <w:tr w:rsidR="006D32F9" w:rsidRPr="006D32F9" w14:paraId="08E9477A" w14:textId="77777777" w:rsidTr="006D32F9">
        <w:trPr>
          <w:trHeight w:val="192"/>
        </w:trPr>
        <w:tc>
          <w:tcPr>
            <w:tcW w:w="1435" w:type="dxa"/>
            <w:vMerge w:val="restart"/>
            <w:shd w:val="clear" w:color="auto" w:fill="auto"/>
            <w:vAlign w:val="center"/>
            <w:hideMark/>
          </w:tcPr>
          <w:p w14:paraId="4FF14F1F" w14:textId="77777777" w:rsidR="006D32F9" w:rsidRPr="006D32F9" w:rsidRDefault="006D32F9" w:rsidP="00956C67">
            <w:pPr>
              <w:spacing w:line="240" w:lineRule="auto"/>
              <w:contextualSpacing/>
              <w:jc w:val="center"/>
              <w:rPr>
                <w:rFonts w:eastAsia="Calibri" w:cs="Times New Roman"/>
                <w:b/>
                <w:sz w:val="22"/>
              </w:rPr>
            </w:pPr>
            <w:r w:rsidRPr="006D32F9">
              <w:rPr>
                <w:rFonts w:eastAsia="Calibri" w:cs="Times New Roman"/>
                <w:b/>
                <w:sz w:val="22"/>
              </w:rPr>
              <w:t>Mix ID</w:t>
            </w:r>
          </w:p>
        </w:tc>
        <w:tc>
          <w:tcPr>
            <w:tcW w:w="900" w:type="dxa"/>
            <w:vMerge w:val="restart"/>
            <w:shd w:val="clear" w:color="auto" w:fill="auto"/>
            <w:vAlign w:val="center"/>
            <w:hideMark/>
          </w:tcPr>
          <w:p w14:paraId="77754129" w14:textId="77777777" w:rsidR="006D32F9" w:rsidRPr="006D32F9" w:rsidRDefault="006D32F9" w:rsidP="00956C67">
            <w:pPr>
              <w:spacing w:line="240" w:lineRule="auto"/>
              <w:contextualSpacing/>
              <w:jc w:val="center"/>
              <w:rPr>
                <w:rFonts w:eastAsia="Calibri" w:cs="Times New Roman"/>
                <w:b/>
                <w:sz w:val="22"/>
              </w:rPr>
            </w:pPr>
            <w:r w:rsidRPr="006D32F9">
              <w:rPr>
                <w:rFonts w:eastAsia="Calibri" w:cs="Times New Roman"/>
                <w:b/>
                <w:sz w:val="22"/>
              </w:rPr>
              <w:t>NMAS (mm)</w:t>
            </w:r>
          </w:p>
        </w:tc>
        <w:tc>
          <w:tcPr>
            <w:tcW w:w="1080" w:type="dxa"/>
            <w:vMerge w:val="restart"/>
            <w:vAlign w:val="center"/>
          </w:tcPr>
          <w:p w14:paraId="6851A71F" w14:textId="77777777" w:rsidR="006D32F9" w:rsidRPr="006D32F9" w:rsidRDefault="006D32F9" w:rsidP="00956C67">
            <w:pPr>
              <w:spacing w:line="240" w:lineRule="auto"/>
              <w:contextualSpacing/>
              <w:jc w:val="center"/>
              <w:rPr>
                <w:rFonts w:eastAsia="Calibri" w:cs="Times New Roman"/>
                <w:b/>
                <w:sz w:val="22"/>
              </w:rPr>
            </w:pPr>
            <w:r w:rsidRPr="006D32F9">
              <w:rPr>
                <w:rFonts w:eastAsia="Calibri" w:cs="Times New Roman"/>
                <w:b/>
                <w:sz w:val="22"/>
              </w:rPr>
              <w:t>Binder Type</w:t>
            </w:r>
          </w:p>
        </w:tc>
        <w:tc>
          <w:tcPr>
            <w:tcW w:w="1170" w:type="dxa"/>
            <w:vMerge w:val="restart"/>
            <w:shd w:val="clear" w:color="auto" w:fill="auto"/>
            <w:vAlign w:val="center"/>
            <w:hideMark/>
          </w:tcPr>
          <w:p w14:paraId="1F853963" w14:textId="77777777" w:rsidR="006D32F9" w:rsidRPr="006D32F9" w:rsidRDefault="006D32F9" w:rsidP="00956C67">
            <w:pPr>
              <w:spacing w:line="240" w:lineRule="auto"/>
              <w:contextualSpacing/>
              <w:jc w:val="center"/>
              <w:rPr>
                <w:rFonts w:eastAsia="Calibri" w:cs="Times New Roman"/>
                <w:b/>
                <w:sz w:val="22"/>
              </w:rPr>
            </w:pPr>
            <w:r w:rsidRPr="006D32F9">
              <w:rPr>
                <w:rFonts w:eastAsia="Calibri" w:cs="Times New Roman"/>
                <w:b/>
                <w:sz w:val="22"/>
              </w:rPr>
              <w:t>Additive/RAP</w:t>
            </w:r>
          </w:p>
        </w:tc>
        <w:tc>
          <w:tcPr>
            <w:tcW w:w="990" w:type="dxa"/>
            <w:vMerge w:val="restart"/>
            <w:vAlign w:val="center"/>
          </w:tcPr>
          <w:p w14:paraId="54F75EBC" w14:textId="77777777" w:rsidR="006D32F9" w:rsidRPr="006D32F9" w:rsidRDefault="006D32F9" w:rsidP="00956C67">
            <w:pPr>
              <w:spacing w:line="240" w:lineRule="auto"/>
              <w:contextualSpacing/>
              <w:jc w:val="center"/>
              <w:rPr>
                <w:rFonts w:eastAsia="Calibri" w:cs="Times New Roman"/>
                <w:b/>
                <w:sz w:val="22"/>
              </w:rPr>
            </w:pPr>
            <w:r w:rsidRPr="006D32F9">
              <w:rPr>
                <w:rFonts w:eastAsia="Calibri" w:cs="Times New Roman"/>
                <w:b/>
                <w:sz w:val="22"/>
              </w:rPr>
              <w:t>Amount (%)</w:t>
            </w:r>
          </w:p>
        </w:tc>
        <w:tc>
          <w:tcPr>
            <w:tcW w:w="3850" w:type="dxa"/>
            <w:gridSpan w:val="5"/>
            <w:shd w:val="clear" w:color="auto" w:fill="auto"/>
            <w:vAlign w:val="center"/>
          </w:tcPr>
          <w:p w14:paraId="30FA2EFC" w14:textId="77777777" w:rsidR="006D32F9" w:rsidRPr="006D32F9" w:rsidRDefault="006D32F9" w:rsidP="00956C67">
            <w:pPr>
              <w:spacing w:line="240" w:lineRule="auto"/>
              <w:contextualSpacing/>
              <w:jc w:val="center"/>
              <w:rPr>
                <w:rFonts w:eastAsia="Calibri" w:cs="Times New Roman"/>
                <w:b/>
                <w:sz w:val="22"/>
              </w:rPr>
            </w:pPr>
            <w:r w:rsidRPr="006D32F9">
              <w:rPr>
                <w:rFonts w:eastAsia="Calibri" w:cs="Times New Roman"/>
                <w:b/>
                <w:sz w:val="22"/>
              </w:rPr>
              <w:t>Number of Samples</w:t>
            </w:r>
          </w:p>
        </w:tc>
      </w:tr>
      <w:tr w:rsidR="006D32F9" w:rsidRPr="006D32F9" w14:paraId="6CB554BB" w14:textId="77777777" w:rsidTr="006D32F9">
        <w:trPr>
          <w:trHeight w:val="285"/>
        </w:trPr>
        <w:tc>
          <w:tcPr>
            <w:tcW w:w="1435" w:type="dxa"/>
            <w:vMerge/>
            <w:shd w:val="clear" w:color="auto" w:fill="auto"/>
            <w:vAlign w:val="center"/>
          </w:tcPr>
          <w:p w14:paraId="7867C332" w14:textId="77777777" w:rsidR="006D32F9" w:rsidRPr="006D32F9" w:rsidRDefault="006D32F9" w:rsidP="00956C67">
            <w:pPr>
              <w:spacing w:line="240" w:lineRule="auto"/>
              <w:contextualSpacing/>
              <w:jc w:val="center"/>
              <w:rPr>
                <w:rFonts w:eastAsia="Calibri" w:cs="Times New Roman"/>
                <w:b/>
                <w:sz w:val="22"/>
              </w:rPr>
            </w:pPr>
          </w:p>
        </w:tc>
        <w:tc>
          <w:tcPr>
            <w:tcW w:w="900" w:type="dxa"/>
            <w:vMerge/>
            <w:shd w:val="clear" w:color="auto" w:fill="auto"/>
            <w:vAlign w:val="center"/>
          </w:tcPr>
          <w:p w14:paraId="3FB857FD" w14:textId="77777777" w:rsidR="006D32F9" w:rsidRPr="006D32F9" w:rsidRDefault="006D32F9" w:rsidP="00956C67">
            <w:pPr>
              <w:spacing w:line="240" w:lineRule="auto"/>
              <w:contextualSpacing/>
              <w:jc w:val="center"/>
              <w:rPr>
                <w:rFonts w:eastAsia="Calibri" w:cs="Times New Roman"/>
                <w:b/>
                <w:sz w:val="22"/>
              </w:rPr>
            </w:pPr>
          </w:p>
        </w:tc>
        <w:tc>
          <w:tcPr>
            <w:tcW w:w="1080" w:type="dxa"/>
            <w:vMerge/>
            <w:vAlign w:val="center"/>
          </w:tcPr>
          <w:p w14:paraId="1E146472" w14:textId="77777777" w:rsidR="006D32F9" w:rsidRPr="006D32F9" w:rsidRDefault="006D32F9" w:rsidP="00956C67">
            <w:pPr>
              <w:spacing w:line="240" w:lineRule="auto"/>
              <w:contextualSpacing/>
              <w:jc w:val="center"/>
              <w:rPr>
                <w:rFonts w:eastAsia="Calibri" w:cs="Times New Roman"/>
                <w:b/>
                <w:sz w:val="22"/>
              </w:rPr>
            </w:pPr>
          </w:p>
        </w:tc>
        <w:tc>
          <w:tcPr>
            <w:tcW w:w="1170" w:type="dxa"/>
            <w:vMerge/>
            <w:shd w:val="clear" w:color="auto" w:fill="auto"/>
            <w:vAlign w:val="center"/>
          </w:tcPr>
          <w:p w14:paraId="0F5E3399" w14:textId="77777777" w:rsidR="006D32F9" w:rsidRPr="006D32F9" w:rsidRDefault="006D32F9" w:rsidP="00956C67">
            <w:pPr>
              <w:spacing w:line="240" w:lineRule="auto"/>
              <w:contextualSpacing/>
              <w:jc w:val="center"/>
              <w:rPr>
                <w:rFonts w:eastAsia="Calibri" w:cs="Times New Roman"/>
                <w:b/>
                <w:sz w:val="22"/>
              </w:rPr>
            </w:pPr>
          </w:p>
        </w:tc>
        <w:tc>
          <w:tcPr>
            <w:tcW w:w="990" w:type="dxa"/>
            <w:vMerge/>
            <w:vAlign w:val="center"/>
          </w:tcPr>
          <w:p w14:paraId="2BEE2151" w14:textId="77777777" w:rsidR="006D32F9" w:rsidRPr="006D32F9" w:rsidRDefault="006D32F9" w:rsidP="00956C67">
            <w:pPr>
              <w:spacing w:line="240" w:lineRule="auto"/>
              <w:contextualSpacing/>
              <w:jc w:val="center"/>
              <w:rPr>
                <w:rFonts w:eastAsia="Calibri" w:cs="Times New Roman"/>
                <w:b/>
                <w:sz w:val="22"/>
              </w:rPr>
            </w:pPr>
          </w:p>
        </w:tc>
        <w:tc>
          <w:tcPr>
            <w:tcW w:w="990" w:type="dxa"/>
            <w:shd w:val="clear" w:color="auto" w:fill="auto"/>
            <w:vAlign w:val="center"/>
          </w:tcPr>
          <w:p w14:paraId="6980E4C2" w14:textId="77777777" w:rsidR="006D32F9" w:rsidRPr="006D32F9" w:rsidRDefault="006D32F9" w:rsidP="00956C67">
            <w:pPr>
              <w:spacing w:line="240" w:lineRule="auto"/>
              <w:contextualSpacing/>
              <w:jc w:val="center"/>
              <w:rPr>
                <w:rFonts w:eastAsia="Calibri" w:cs="Times New Roman"/>
                <w:b/>
                <w:sz w:val="22"/>
              </w:rPr>
            </w:pPr>
            <w:r w:rsidRPr="006D32F9">
              <w:rPr>
                <w:rFonts w:eastAsia="Calibri" w:cs="Times New Roman"/>
                <w:b/>
                <w:sz w:val="22"/>
              </w:rPr>
              <w:t>HWT</w:t>
            </w:r>
          </w:p>
        </w:tc>
        <w:tc>
          <w:tcPr>
            <w:tcW w:w="1260" w:type="dxa"/>
            <w:gridSpan w:val="2"/>
            <w:shd w:val="clear" w:color="auto" w:fill="auto"/>
            <w:vAlign w:val="center"/>
          </w:tcPr>
          <w:p w14:paraId="10D4D97F" w14:textId="77777777" w:rsidR="006D32F9" w:rsidRPr="006D32F9" w:rsidRDefault="006D32F9" w:rsidP="00956C67">
            <w:pPr>
              <w:spacing w:line="240" w:lineRule="auto"/>
              <w:contextualSpacing/>
              <w:jc w:val="center"/>
              <w:rPr>
                <w:rFonts w:eastAsia="Calibri" w:cs="Times New Roman"/>
                <w:b/>
                <w:sz w:val="22"/>
              </w:rPr>
            </w:pPr>
            <w:r w:rsidRPr="006D32F9">
              <w:rPr>
                <w:rFonts w:eastAsia="Calibri" w:cs="Times New Roman"/>
                <w:b/>
                <w:sz w:val="22"/>
              </w:rPr>
              <w:t>ITS</w:t>
            </w:r>
          </w:p>
        </w:tc>
        <w:tc>
          <w:tcPr>
            <w:tcW w:w="1600" w:type="dxa"/>
            <w:gridSpan w:val="2"/>
            <w:vAlign w:val="center"/>
          </w:tcPr>
          <w:p w14:paraId="50A889A5" w14:textId="77777777" w:rsidR="006D32F9" w:rsidRPr="006D32F9" w:rsidRDefault="006D32F9" w:rsidP="00956C67">
            <w:pPr>
              <w:spacing w:line="240" w:lineRule="auto"/>
              <w:contextualSpacing/>
              <w:jc w:val="center"/>
              <w:rPr>
                <w:rFonts w:eastAsia="Calibri" w:cs="Times New Roman"/>
                <w:b/>
                <w:sz w:val="22"/>
              </w:rPr>
            </w:pPr>
            <w:r w:rsidRPr="006D32F9">
              <w:rPr>
                <w:rFonts w:eastAsia="Calibri" w:cs="Times New Roman"/>
                <w:b/>
                <w:sz w:val="22"/>
              </w:rPr>
              <w:t>LA- SCB</w:t>
            </w:r>
          </w:p>
        </w:tc>
      </w:tr>
      <w:tr w:rsidR="006D32F9" w:rsidRPr="006D32F9" w14:paraId="3B427320" w14:textId="77777777" w:rsidTr="006D32F9">
        <w:trPr>
          <w:trHeight w:val="744"/>
        </w:trPr>
        <w:tc>
          <w:tcPr>
            <w:tcW w:w="1435" w:type="dxa"/>
            <w:vMerge/>
            <w:vAlign w:val="center"/>
            <w:hideMark/>
          </w:tcPr>
          <w:p w14:paraId="03808951" w14:textId="77777777" w:rsidR="006D32F9" w:rsidRPr="006D32F9" w:rsidRDefault="006D32F9" w:rsidP="00956C67">
            <w:pPr>
              <w:spacing w:line="240" w:lineRule="auto"/>
              <w:contextualSpacing/>
              <w:jc w:val="center"/>
              <w:rPr>
                <w:rFonts w:eastAsia="Calibri" w:cs="Times New Roman"/>
                <w:sz w:val="22"/>
              </w:rPr>
            </w:pPr>
          </w:p>
        </w:tc>
        <w:tc>
          <w:tcPr>
            <w:tcW w:w="900" w:type="dxa"/>
            <w:vMerge/>
            <w:vAlign w:val="center"/>
            <w:hideMark/>
          </w:tcPr>
          <w:p w14:paraId="752093CE" w14:textId="77777777" w:rsidR="006D32F9" w:rsidRPr="006D32F9" w:rsidRDefault="006D32F9" w:rsidP="00956C67">
            <w:pPr>
              <w:spacing w:line="240" w:lineRule="auto"/>
              <w:contextualSpacing/>
              <w:jc w:val="center"/>
              <w:rPr>
                <w:rFonts w:eastAsia="Calibri" w:cs="Times New Roman"/>
                <w:sz w:val="22"/>
              </w:rPr>
            </w:pPr>
          </w:p>
        </w:tc>
        <w:tc>
          <w:tcPr>
            <w:tcW w:w="1080" w:type="dxa"/>
            <w:vMerge/>
            <w:vAlign w:val="center"/>
          </w:tcPr>
          <w:p w14:paraId="7DD34C8E" w14:textId="77777777" w:rsidR="006D32F9" w:rsidRPr="006D32F9" w:rsidRDefault="006D32F9" w:rsidP="00956C67">
            <w:pPr>
              <w:spacing w:line="240" w:lineRule="auto"/>
              <w:contextualSpacing/>
              <w:jc w:val="center"/>
              <w:rPr>
                <w:rFonts w:eastAsia="Calibri" w:cs="Times New Roman"/>
                <w:sz w:val="22"/>
              </w:rPr>
            </w:pPr>
          </w:p>
        </w:tc>
        <w:tc>
          <w:tcPr>
            <w:tcW w:w="1170" w:type="dxa"/>
            <w:vMerge/>
            <w:vAlign w:val="center"/>
            <w:hideMark/>
          </w:tcPr>
          <w:p w14:paraId="2E2CD434" w14:textId="77777777" w:rsidR="006D32F9" w:rsidRPr="006D32F9" w:rsidRDefault="006D32F9" w:rsidP="00956C67">
            <w:pPr>
              <w:spacing w:line="240" w:lineRule="auto"/>
              <w:contextualSpacing/>
              <w:jc w:val="center"/>
              <w:rPr>
                <w:rFonts w:eastAsia="Calibri" w:cs="Times New Roman"/>
                <w:sz w:val="22"/>
              </w:rPr>
            </w:pPr>
          </w:p>
        </w:tc>
        <w:tc>
          <w:tcPr>
            <w:tcW w:w="990" w:type="dxa"/>
            <w:vMerge/>
            <w:vAlign w:val="center"/>
          </w:tcPr>
          <w:p w14:paraId="08D5A908" w14:textId="77777777" w:rsidR="006D32F9" w:rsidRPr="006D32F9" w:rsidRDefault="006D32F9" w:rsidP="00956C67">
            <w:pPr>
              <w:spacing w:line="240" w:lineRule="auto"/>
              <w:contextualSpacing/>
              <w:jc w:val="center"/>
              <w:rPr>
                <w:rFonts w:eastAsia="Calibri" w:cs="Times New Roman"/>
                <w:b/>
                <w:sz w:val="22"/>
              </w:rPr>
            </w:pPr>
          </w:p>
        </w:tc>
        <w:tc>
          <w:tcPr>
            <w:tcW w:w="990" w:type="dxa"/>
            <w:shd w:val="clear" w:color="auto" w:fill="auto"/>
            <w:vAlign w:val="center"/>
            <w:hideMark/>
          </w:tcPr>
          <w:p w14:paraId="07C25F18" w14:textId="77777777" w:rsidR="006D32F9" w:rsidRPr="006D32F9" w:rsidRDefault="006D32F9" w:rsidP="00956C67">
            <w:pPr>
              <w:spacing w:line="240" w:lineRule="auto"/>
              <w:contextualSpacing/>
              <w:jc w:val="center"/>
              <w:rPr>
                <w:rFonts w:eastAsia="Calibri" w:cs="Times New Roman"/>
                <w:b/>
                <w:sz w:val="22"/>
              </w:rPr>
            </w:pPr>
            <w:r w:rsidRPr="006D32F9">
              <w:rPr>
                <w:rFonts w:eastAsia="Calibri" w:cs="Times New Roman"/>
                <w:b/>
                <w:sz w:val="22"/>
              </w:rPr>
              <w:t>Submerged</w:t>
            </w:r>
          </w:p>
        </w:tc>
        <w:tc>
          <w:tcPr>
            <w:tcW w:w="630" w:type="dxa"/>
            <w:shd w:val="clear" w:color="auto" w:fill="auto"/>
            <w:vAlign w:val="center"/>
            <w:hideMark/>
          </w:tcPr>
          <w:p w14:paraId="46C6BE43" w14:textId="77777777" w:rsidR="006D32F9" w:rsidRPr="006D32F9" w:rsidRDefault="006D32F9" w:rsidP="00956C67">
            <w:pPr>
              <w:spacing w:line="240" w:lineRule="auto"/>
              <w:contextualSpacing/>
              <w:jc w:val="center"/>
              <w:rPr>
                <w:rFonts w:eastAsia="Calibri" w:cs="Times New Roman"/>
                <w:b/>
                <w:sz w:val="22"/>
              </w:rPr>
            </w:pPr>
            <w:r w:rsidRPr="006D32F9">
              <w:rPr>
                <w:rFonts w:eastAsia="Calibri" w:cs="Times New Roman"/>
                <w:b/>
                <w:sz w:val="22"/>
              </w:rPr>
              <w:t>Wet</w:t>
            </w:r>
          </w:p>
        </w:tc>
        <w:tc>
          <w:tcPr>
            <w:tcW w:w="630" w:type="dxa"/>
            <w:shd w:val="clear" w:color="auto" w:fill="auto"/>
            <w:vAlign w:val="center"/>
            <w:hideMark/>
          </w:tcPr>
          <w:p w14:paraId="517DE010" w14:textId="77777777" w:rsidR="006D32F9" w:rsidRPr="006D32F9" w:rsidRDefault="006D32F9" w:rsidP="00956C67">
            <w:pPr>
              <w:spacing w:line="240" w:lineRule="auto"/>
              <w:contextualSpacing/>
              <w:jc w:val="center"/>
              <w:rPr>
                <w:rFonts w:eastAsia="Calibri" w:cs="Times New Roman"/>
                <w:b/>
                <w:sz w:val="22"/>
              </w:rPr>
            </w:pPr>
            <w:r w:rsidRPr="006D32F9">
              <w:rPr>
                <w:rFonts w:eastAsia="Calibri" w:cs="Times New Roman"/>
                <w:b/>
                <w:sz w:val="22"/>
              </w:rPr>
              <w:t>Dry</w:t>
            </w:r>
          </w:p>
        </w:tc>
        <w:tc>
          <w:tcPr>
            <w:tcW w:w="630" w:type="dxa"/>
            <w:vAlign w:val="center"/>
          </w:tcPr>
          <w:p w14:paraId="6509A9D7" w14:textId="77777777" w:rsidR="006D32F9" w:rsidRPr="006D32F9" w:rsidRDefault="006D32F9" w:rsidP="00956C67">
            <w:pPr>
              <w:spacing w:line="240" w:lineRule="auto"/>
              <w:contextualSpacing/>
              <w:jc w:val="center"/>
              <w:rPr>
                <w:rFonts w:eastAsia="Calibri" w:cs="Times New Roman"/>
                <w:b/>
                <w:sz w:val="22"/>
              </w:rPr>
            </w:pPr>
            <w:r w:rsidRPr="006D32F9">
              <w:rPr>
                <w:rFonts w:eastAsia="Calibri" w:cs="Times New Roman"/>
                <w:b/>
                <w:sz w:val="22"/>
              </w:rPr>
              <w:t>Dry</w:t>
            </w:r>
          </w:p>
        </w:tc>
        <w:tc>
          <w:tcPr>
            <w:tcW w:w="970" w:type="dxa"/>
            <w:vAlign w:val="center"/>
          </w:tcPr>
          <w:p w14:paraId="3EC589C0" w14:textId="77777777" w:rsidR="006D32F9" w:rsidRPr="006D32F9" w:rsidRDefault="006D32F9" w:rsidP="00956C67">
            <w:pPr>
              <w:spacing w:line="240" w:lineRule="auto"/>
              <w:contextualSpacing/>
              <w:jc w:val="center"/>
              <w:rPr>
                <w:rFonts w:eastAsia="Calibri" w:cs="Times New Roman"/>
                <w:b/>
                <w:sz w:val="22"/>
              </w:rPr>
            </w:pPr>
            <w:r w:rsidRPr="006D32F9">
              <w:rPr>
                <w:rFonts w:eastAsia="Calibri" w:cs="Times New Roman"/>
                <w:b/>
                <w:sz w:val="22"/>
              </w:rPr>
              <w:t>MIST</w:t>
            </w:r>
          </w:p>
        </w:tc>
      </w:tr>
      <w:tr w:rsidR="006D32F9" w:rsidRPr="006D32F9" w14:paraId="3C34ABD1" w14:textId="77777777" w:rsidTr="006D32F9">
        <w:trPr>
          <w:trHeight w:val="243"/>
        </w:trPr>
        <w:tc>
          <w:tcPr>
            <w:tcW w:w="1435" w:type="dxa"/>
            <w:shd w:val="clear" w:color="auto" w:fill="auto"/>
            <w:vAlign w:val="center"/>
          </w:tcPr>
          <w:p w14:paraId="7F476D6F"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Mix-1-None</w:t>
            </w:r>
          </w:p>
        </w:tc>
        <w:tc>
          <w:tcPr>
            <w:tcW w:w="900" w:type="dxa"/>
            <w:shd w:val="clear" w:color="auto" w:fill="auto"/>
            <w:vAlign w:val="center"/>
          </w:tcPr>
          <w:p w14:paraId="723E4138"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12.5</w:t>
            </w:r>
          </w:p>
        </w:tc>
        <w:tc>
          <w:tcPr>
            <w:tcW w:w="1080" w:type="dxa"/>
            <w:vAlign w:val="center"/>
          </w:tcPr>
          <w:p w14:paraId="5958F1F6"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PG 64-22</w:t>
            </w:r>
          </w:p>
        </w:tc>
        <w:tc>
          <w:tcPr>
            <w:tcW w:w="1170" w:type="dxa"/>
            <w:shd w:val="clear" w:color="auto" w:fill="auto"/>
            <w:vAlign w:val="center"/>
          </w:tcPr>
          <w:p w14:paraId="44474482"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w:t>
            </w:r>
          </w:p>
        </w:tc>
        <w:tc>
          <w:tcPr>
            <w:tcW w:w="990" w:type="dxa"/>
            <w:vAlign w:val="center"/>
          </w:tcPr>
          <w:p w14:paraId="7D1BF668"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w:t>
            </w:r>
          </w:p>
        </w:tc>
        <w:tc>
          <w:tcPr>
            <w:tcW w:w="990" w:type="dxa"/>
            <w:shd w:val="clear" w:color="auto" w:fill="auto"/>
            <w:vAlign w:val="center"/>
          </w:tcPr>
          <w:p w14:paraId="34C8E30D"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2</w:t>
            </w:r>
          </w:p>
        </w:tc>
        <w:tc>
          <w:tcPr>
            <w:tcW w:w="630" w:type="dxa"/>
            <w:shd w:val="clear" w:color="auto" w:fill="auto"/>
            <w:vAlign w:val="center"/>
          </w:tcPr>
          <w:p w14:paraId="19BB3986"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3</w:t>
            </w:r>
          </w:p>
        </w:tc>
        <w:tc>
          <w:tcPr>
            <w:tcW w:w="630" w:type="dxa"/>
            <w:shd w:val="clear" w:color="auto" w:fill="auto"/>
            <w:vAlign w:val="center"/>
          </w:tcPr>
          <w:p w14:paraId="3E9A8E50"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3</w:t>
            </w:r>
          </w:p>
        </w:tc>
        <w:tc>
          <w:tcPr>
            <w:tcW w:w="630" w:type="dxa"/>
            <w:vAlign w:val="center"/>
          </w:tcPr>
          <w:p w14:paraId="4A527B96"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9*</w:t>
            </w:r>
          </w:p>
        </w:tc>
        <w:tc>
          <w:tcPr>
            <w:tcW w:w="970" w:type="dxa"/>
            <w:vAlign w:val="center"/>
          </w:tcPr>
          <w:p w14:paraId="595C123E"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9*</w:t>
            </w:r>
          </w:p>
        </w:tc>
      </w:tr>
      <w:tr w:rsidR="006D32F9" w:rsidRPr="006D32F9" w14:paraId="465FD101" w14:textId="77777777" w:rsidTr="006D32F9">
        <w:trPr>
          <w:trHeight w:val="243"/>
        </w:trPr>
        <w:tc>
          <w:tcPr>
            <w:tcW w:w="1435" w:type="dxa"/>
            <w:shd w:val="clear" w:color="auto" w:fill="auto"/>
            <w:vAlign w:val="center"/>
          </w:tcPr>
          <w:p w14:paraId="4BB03BDB"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Mix-2-WMA</w:t>
            </w:r>
          </w:p>
        </w:tc>
        <w:tc>
          <w:tcPr>
            <w:tcW w:w="900" w:type="dxa"/>
            <w:shd w:val="clear" w:color="auto" w:fill="auto"/>
            <w:vAlign w:val="center"/>
            <w:hideMark/>
          </w:tcPr>
          <w:p w14:paraId="42F50C9C"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12.5</w:t>
            </w:r>
          </w:p>
        </w:tc>
        <w:tc>
          <w:tcPr>
            <w:tcW w:w="1080" w:type="dxa"/>
            <w:vAlign w:val="center"/>
          </w:tcPr>
          <w:p w14:paraId="4DF1A486"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PG 64-22</w:t>
            </w:r>
          </w:p>
        </w:tc>
        <w:tc>
          <w:tcPr>
            <w:tcW w:w="1170" w:type="dxa"/>
            <w:shd w:val="clear" w:color="auto" w:fill="auto"/>
            <w:vAlign w:val="center"/>
            <w:hideMark/>
          </w:tcPr>
          <w:p w14:paraId="4A417914"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WMA</w:t>
            </w:r>
          </w:p>
        </w:tc>
        <w:tc>
          <w:tcPr>
            <w:tcW w:w="990" w:type="dxa"/>
            <w:vAlign w:val="center"/>
          </w:tcPr>
          <w:p w14:paraId="4CCECA48"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0.5</w:t>
            </w:r>
          </w:p>
        </w:tc>
        <w:tc>
          <w:tcPr>
            <w:tcW w:w="990" w:type="dxa"/>
            <w:shd w:val="clear" w:color="auto" w:fill="auto"/>
            <w:vAlign w:val="center"/>
            <w:hideMark/>
          </w:tcPr>
          <w:p w14:paraId="34331A14"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2</w:t>
            </w:r>
          </w:p>
        </w:tc>
        <w:tc>
          <w:tcPr>
            <w:tcW w:w="630" w:type="dxa"/>
            <w:shd w:val="clear" w:color="auto" w:fill="auto"/>
            <w:vAlign w:val="center"/>
            <w:hideMark/>
          </w:tcPr>
          <w:p w14:paraId="277C36A7"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3</w:t>
            </w:r>
          </w:p>
        </w:tc>
        <w:tc>
          <w:tcPr>
            <w:tcW w:w="630" w:type="dxa"/>
            <w:shd w:val="clear" w:color="auto" w:fill="auto"/>
            <w:vAlign w:val="center"/>
            <w:hideMark/>
          </w:tcPr>
          <w:p w14:paraId="63495FC9"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3</w:t>
            </w:r>
          </w:p>
        </w:tc>
        <w:tc>
          <w:tcPr>
            <w:tcW w:w="630" w:type="dxa"/>
            <w:vAlign w:val="center"/>
          </w:tcPr>
          <w:p w14:paraId="10EC87ED"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9*</w:t>
            </w:r>
          </w:p>
        </w:tc>
        <w:tc>
          <w:tcPr>
            <w:tcW w:w="970" w:type="dxa"/>
            <w:vAlign w:val="center"/>
          </w:tcPr>
          <w:p w14:paraId="5D2743C5"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9*</w:t>
            </w:r>
          </w:p>
        </w:tc>
      </w:tr>
      <w:tr w:rsidR="006D32F9" w:rsidRPr="006D32F9" w14:paraId="5603EC03" w14:textId="77777777" w:rsidTr="006D32F9">
        <w:trPr>
          <w:trHeight w:val="170"/>
        </w:trPr>
        <w:tc>
          <w:tcPr>
            <w:tcW w:w="1435" w:type="dxa"/>
            <w:shd w:val="clear" w:color="auto" w:fill="auto"/>
            <w:vAlign w:val="center"/>
          </w:tcPr>
          <w:p w14:paraId="64E1F78A"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Mix-3-ASA</w:t>
            </w:r>
          </w:p>
        </w:tc>
        <w:tc>
          <w:tcPr>
            <w:tcW w:w="900" w:type="dxa"/>
            <w:shd w:val="clear" w:color="auto" w:fill="auto"/>
            <w:vAlign w:val="center"/>
            <w:hideMark/>
          </w:tcPr>
          <w:p w14:paraId="4BE263B7"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12.5</w:t>
            </w:r>
          </w:p>
        </w:tc>
        <w:tc>
          <w:tcPr>
            <w:tcW w:w="1080" w:type="dxa"/>
            <w:vAlign w:val="center"/>
          </w:tcPr>
          <w:p w14:paraId="4718439D"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PG 64-22</w:t>
            </w:r>
          </w:p>
        </w:tc>
        <w:tc>
          <w:tcPr>
            <w:tcW w:w="1170" w:type="dxa"/>
            <w:shd w:val="clear" w:color="auto" w:fill="auto"/>
            <w:vAlign w:val="center"/>
            <w:hideMark/>
          </w:tcPr>
          <w:p w14:paraId="08E6B99A"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ASA</w:t>
            </w:r>
          </w:p>
        </w:tc>
        <w:tc>
          <w:tcPr>
            <w:tcW w:w="990" w:type="dxa"/>
            <w:vAlign w:val="center"/>
          </w:tcPr>
          <w:p w14:paraId="166AFB13"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0.5</w:t>
            </w:r>
          </w:p>
        </w:tc>
        <w:tc>
          <w:tcPr>
            <w:tcW w:w="990" w:type="dxa"/>
            <w:shd w:val="clear" w:color="auto" w:fill="auto"/>
            <w:vAlign w:val="center"/>
            <w:hideMark/>
          </w:tcPr>
          <w:p w14:paraId="212ECF3C"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2</w:t>
            </w:r>
          </w:p>
        </w:tc>
        <w:tc>
          <w:tcPr>
            <w:tcW w:w="630" w:type="dxa"/>
            <w:shd w:val="clear" w:color="auto" w:fill="auto"/>
            <w:vAlign w:val="center"/>
            <w:hideMark/>
          </w:tcPr>
          <w:p w14:paraId="1BD107A4"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3</w:t>
            </w:r>
          </w:p>
        </w:tc>
        <w:tc>
          <w:tcPr>
            <w:tcW w:w="630" w:type="dxa"/>
            <w:shd w:val="clear" w:color="auto" w:fill="auto"/>
            <w:vAlign w:val="center"/>
            <w:hideMark/>
          </w:tcPr>
          <w:p w14:paraId="3D1EE60F"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3</w:t>
            </w:r>
          </w:p>
        </w:tc>
        <w:tc>
          <w:tcPr>
            <w:tcW w:w="630" w:type="dxa"/>
            <w:vAlign w:val="center"/>
          </w:tcPr>
          <w:p w14:paraId="656CB23A"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9*</w:t>
            </w:r>
          </w:p>
        </w:tc>
        <w:tc>
          <w:tcPr>
            <w:tcW w:w="970" w:type="dxa"/>
            <w:vAlign w:val="center"/>
          </w:tcPr>
          <w:p w14:paraId="15FE40AD"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9*</w:t>
            </w:r>
          </w:p>
        </w:tc>
      </w:tr>
      <w:tr w:rsidR="006D32F9" w:rsidRPr="006D32F9" w14:paraId="06760FCE" w14:textId="77777777" w:rsidTr="006D32F9">
        <w:trPr>
          <w:trHeight w:val="243"/>
        </w:trPr>
        <w:tc>
          <w:tcPr>
            <w:tcW w:w="1435" w:type="dxa"/>
            <w:shd w:val="clear" w:color="auto" w:fill="auto"/>
            <w:vAlign w:val="center"/>
          </w:tcPr>
          <w:p w14:paraId="6F820DA6"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Mix-4-PPA</w:t>
            </w:r>
          </w:p>
        </w:tc>
        <w:tc>
          <w:tcPr>
            <w:tcW w:w="900" w:type="dxa"/>
            <w:shd w:val="clear" w:color="auto" w:fill="auto"/>
            <w:vAlign w:val="center"/>
            <w:hideMark/>
          </w:tcPr>
          <w:p w14:paraId="6B527BFC"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12.5</w:t>
            </w:r>
          </w:p>
        </w:tc>
        <w:tc>
          <w:tcPr>
            <w:tcW w:w="1080" w:type="dxa"/>
            <w:vAlign w:val="center"/>
          </w:tcPr>
          <w:p w14:paraId="566B54ED"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PG 64-22</w:t>
            </w:r>
          </w:p>
        </w:tc>
        <w:tc>
          <w:tcPr>
            <w:tcW w:w="1170" w:type="dxa"/>
            <w:shd w:val="clear" w:color="auto" w:fill="auto"/>
            <w:vAlign w:val="center"/>
            <w:hideMark/>
          </w:tcPr>
          <w:p w14:paraId="6EA5F4F7"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PPA</w:t>
            </w:r>
          </w:p>
        </w:tc>
        <w:tc>
          <w:tcPr>
            <w:tcW w:w="990" w:type="dxa"/>
            <w:vAlign w:val="center"/>
          </w:tcPr>
          <w:p w14:paraId="6FB3A502"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1.5</w:t>
            </w:r>
          </w:p>
        </w:tc>
        <w:tc>
          <w:tcPr>
            <w:tcW w:w="990" w:type="dxa"/>
            <w:shd w:val="clear" w:color="auto" w:fill="auto"/>
            <w:vAlign w:val="center"/>
            <w:hideMark/>
          </w:tcPr>
          <w:p w14:paraId="59CE328A"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2</w:t>
            </w:r>
          </w:p>
        </w:tc>
        <w:tc>
          <w:tcPr>
            <w:tcW w:w="630" w:type="dxa"/>
            <w:shd w:val="clear" w:color="auto" w:fill="auto"/>
            <w:vAlign w:val="center"/>
            <w:hideMark/>
          </w:tcPr>
          <w:p w14:paraId="5675B8DD"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3</w:t>
            </w:r>
          </w:p>
        </w:tc>
        <w:tc>
          <w:tcPr>
            <w:tcW w:w="630" w:type="dxa"/>
            <w:shd w:val="clear" w:color="auto" w:fill="auto"/>
            <w:vAlign w:val="center"/>
            <w:hideMark/>
          </w:tcPr>
          <w:p w14:paraId="7D41E33A"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3</w:t>
            </w:r>
          </w:p>
        </w:tc>
        <w:tc>
          <w:tcPr>
            <w:tcW w:w="630" w:type="dxa"/>
            <w:vAlign w:val="center"/>
          </w:tcPr>
          <w:p w14:paraId="63B72C51"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9*</w:t>
            </w:r>
          </w:p>
        </w:tc>
        <w:tc>
          <w:tcPr>
            <w:tcW w:w="970" w:type="dxa"/>
            <w:vAlign w:val="center"/>
          </w:tcPr>
          <w:p w14:paraId="052C1032"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9*</w:t>
            </w:r>
          </w:p>
        </w:tc>
      </w:tr>
      <w:tr w:rsidR="006D32F9" w:rsidRPr="006D32F9" w14:paraId="0CE4109E" w14:textId="77777777" w:rsidTr="006D32F9">
        <w:trPr>
          <w:trHeight w:val="243"/>
        </w:trPr>
        <w:tc>
          <w:tcPr>
            <w:tcW w:w="1435" w:type="dxa"/>
            <w:shd w:val="clear" w:color="auto" w:fill="auto"/>
            <w:vAlign w:val="center"/>
          </w:tcPr>
          <w:p w14:paraId="7A4909CE"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Mix-5-RAP</w:t>
            </w:r>
          </w:p>
        </w:tc>
        <w:tc>
          <w:tcPr>
            <w:tcW w:w="900" w:type="dxa"/>
            <w:shd w:val="clear" w:color="auto" w:fill="auto"/>
            <w:vAlign w:val="center"/>
          </w:tcPr>
          <w:p w14:paraId="5F0A17F9"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12.5</w:t>
            </w:r>
          </w:p>
        </w:tc>
        <w:tc>
          <w:tcPr>
            <w:tcW w:w="1080" w:type="dxa"/>
            <w:vAlign w:val="center"/>
          </w:tcPr>
          <w:p w14:paraId="21469A47"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PG 64-22</w:t>
            </w:r>
          </w:p>
        </w:tc>
        <w:tc>
          <w:tcPr>
            <w:tcW w:w="1170" w:type="dxa"/>
            <w:shd w:val="clear" w:color="auto" w:fill="auto"/>
            <w:vAlign w:val="center"/>
          </w:tcPr>
          <w:p w14:paraId="2C996212"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RAP</w:t>
            </w:r>
          </w:p>
        </w:tc>
        <w:tc>
          <w:tcPr>
            <w:tcW w:w="990" w:type="dxa"/>
            <w:vAlign w:val="center"/>
          </w:tcPr>
          <w:p w14:paraId="135422EF"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20</w:t>
            </w:r>
          </w:p>
        </w:tc>
        <w:tc>
          <w:tcPr>
            <w:tcW w:w="990" w:type="dxa"/>
            <w:shd w:val="clear" w:color="auto" w:fill="auto"/>
            <w:vAlign w:val="center"/>
          </w:tcPr>
          <w:p w14:paraId="1DCCEEDD"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2</w:t>
            </w:r>
          </w:p>
        </w:tc>
        <w:tc>
          <w:tcPr>
            <w:tcW w:w="630" w:type="dxa"/>
            <w:shd w:val="clear" w:color="auto" w:fill="auto"/>
            <w:vAlign w:val="center"/>
          </w:tcPr>
          <w:p w14:paraId="59F44510"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3</w:t>
            </w:r>
          </w:p>
        </w:tc>
        <w:tc>
          <w:tcPr>
            <w:tcW w:w="630" w:type="dxa"/>
            <w:shd w:val="clear" w:color="auto" w:fill="auto"/>
            <w:vAlign w:val="center"/>
          </w:tcPr>
          <w:p w14:paraId="0B0A5A2C"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3</w:t>
            </w:r>
          </w:p>
        </w:tc>
        <w:tc>
          <w:tcPr>
            <w:tcW w:w="630" w:type="dxa"/>
            <w:vAlign w:val="center"/>
          </w:tcPr>
          <w:p w14:paraId="2731F7EB"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9*</w:t>
            </w:r>
          </w:p>
        </w:tc>
        <w:tc>
          <w:tcPr>
            <w:tcW w:w="970" w:type="dxa"/>
            <w:vAlign w:val="center"/>
          </w:tcPr>
          <w:p w14:paraId="4300B31C" w14:textId="77777777" w:rsidR="006D32F9" w:rsidRPr="006D32F9" w:rsidRDefault="006D32F9" w:rsidP="00956C67">
            <w:pPr>
              <w:spacing w:line="240" w:lineRule="auto"/>
              <w:contextualSpacing/>
              <w:jc w:val="center"/>
              <w:rPr>
                <w:rFonts w:eastAsia="Calibri" w:cs="Times New Roman"/>
                <w:sz w:val="22"/>
              </w:rPr>
            </w:pPr>
            <w:r w:rsidRPr="006D32F9">
              <w:rPr>
                <w:rFonts w:eastAsia="Calibri" w:cs="Times New Roman"/>
                <w:sz w:val="22"/>
              </w:rPr>
              <w:t>9*</w:t>
            </w:r>
          </w:p>
        </w:tc>
      </w:tr>
    </w:tbl>
    <w:p w14:paraId="79644CCC" w14:textId="77777777" w:rsidR="002D23D6" w:rsidRPr="00B108A8" w:rsidRDefault="002D23D6" w:rsidP="002D23D6">
      <w:pPr>
        <w:pStyle w:val="ListParagraph"/>
      </w:pPr>
      <w:r>
        <w:t>*3 samples were tested at each notch depth</w:t>
      </w:r>
    </w:p>
    <w:p w14:paraId="756A64C4" w14:textId="77777777" w:rsidR="0004129C" w:rsidRDefault="0004129C" w:rsidP="00FF1504">
      <w:pPr>
        <w:pStyle w:val="Caption"/>
        <w:spacing w:line="480" w:lineRule="auto"/>
        <w:jc w:val="center"/>
      </w:pPr>
    </w:p>
    <w:p w14:paraId="478AFE2D" w14:textId="4DDC3FEB" w:rsidR="002D23D6" w:rsidRPr="00F55201" w:rsidRDefault="00700639" w:rsidP="00FF1504">
      <w:pPr>
        <w:pStyle w:val="Caption"/>
        <w:spacing w:line="480" w:lineRule="auto"/>
        <w:jc w:val="center"/>
        <w:rPr>
          <w:b w:val="0"/>
          <w:szCs w:val="24"/>
          <w:lang w:val="en-CA"/>
        </w:rPr>
      </w:pPr>
      <w:bookmarkStart w:id="162" w:name="_Toc71330997"/>
      <w:r>
        <w:t xml:space="preserve">Table </w:t>
      </w:r>
      <w:fldSimple w:instr=" STYLEREF 1 \s ">
        <w:r w:rsidR="005050F0">
          <w:rPr>
            <w:noProof/>
          </w:rPr>
          <w:t>5</w:t>
        </w:r>
      </w:fldSimple>
      <w:r>
        <w:t>.</w:t>
      </w:r>
      <w:fldSimple w:instr=" SEQ Table \* ARABIC \s 1 ">
        <w:r w:rsidR="005050F0">
          <w:rPr>
            <w:noProof/>
          </w:rPr>
          <w:t>2</w:t>
        </w:r>
      </w:fldSimple>
      <w:r w:rsidR="002D23D6" w:rsidRPr="00F55201">
        <w:rPr>
          <w:szCs w:val="24"/>
          <w:lang w:val="en-CA"/>
        </w:rPr>
        <w:t xml:space="preserve"> Different Parameters Obtained from HWT Test</w:t>
      </w:r>
      <w:bookmarkEnd w:id="162"/>
    </w:p>
    <w:tbl>
      <w:tblPr>
        <w:tblW w:w="832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06"/>
        <w:gridCol w:w="1879"/>
        <w:gridCol w:w="1531"/>
        <w:gridCol w:w="1349"/>
        <w:gridCol w:w="1759"/>
      </w:tblGrid>
      <w:tr w:rsidR="002D23D6" w:rsidRPr="00BB5813" w14:paraId="79934465" w14:textId="77777777" w:rsidTr="006D32F9">
        <w:trPr>
          <w:trHeight w:val="168"/>
          <w:jc w:val="center"/>
        </w:trPr>
        <w:tc>
          <w:tcPr>
            <w:tcW w:w="8324" w:type="dxa"/>
            <w:gridSpan w:val="5"/>
            <w:vAlign w:val="center"/>
            <w:hideMark/>
          </w:tcPr>
          <w:p w14:paraId="22F7054E" w14:textId="77777777" w:rsidR="002D23D6" w:rsidRPr="00BB5813" w:rsidRDefault="002D23D6" w:rsidP="00EA03EA">
            <w:pPr>
              <w:spacing w:line="240" w:lineRule="auto"/>
              <w:jc w:val="center"/>
              <w:rPr>
                <w:rFonts w:eastAsia="Times New Roman"/>
                <w:b/>
              </w:rPr>
            </w:pPr>
            <w:r w:rsidRPr="00BB5813">
              <w:rPr>
                <w:rFonts w:eastAsia="Times New Roman"/>
                <w:b/>
              </w:rPr>
              <w:t>AASHTO Method</w:t>
            </w:r>
          </w:p>
        </w:tc>
      </w:tr>
      <w:tr w:rsidR="002D23D6" w:rsidRPr="00BB5813" w14:paraId="6449FF6C" w14:textId="77777777" w:rsidTr="006D32F9">
        <w:trPr>
          <w:trHeight w:val="787"/>
          <w:jc w:val="center"/>
        </w:trPr>
        <w:tc>
          <w:tcPr>
            <w:tcW w:w="1806" w:type="dxa"/>
            <w:vAlign w:val="center"/>
            <w:hideMark/>
          </w:tcPr>
          <w:p w14:paraId="21B3C656" w14:textId="77777777" w:rsidR="002D23D6" w:rsidRPr="00BB5813" w:rsidRDefault="002D23D6" w:rsidP="00EA03EA">
            <w:pPr>
              <w:spacing w:line="240" w:lineRule="auto"/>
              <w:jc w:val="center"/>
              <w:rPr>
                <w:rFonts w:eastAsia="Times New Roman"/>
                <w:b/>
              </w:rPr>
            </w:pPr>
            <w:r w:rsidRPr="00BB5813">
              <w:rPr>
                <w:rFonts w:eastAsia="Times New Roman"/>
                <w:b/>
              </w:rPr>
              <w:t>Mix ID</w:t>
            </w:r>
          </w:p>
        </w:tc>
        <w:tc>
          <w:tcPr>
            <w:tcW w:w="1879" w:type="dxa"/>
            <w:vAlign w:val="center"/>
            <w:hideMark/>
          </w:tcPr>
          <w:p w14:paraId="08CC9D99" w14:textId="77777777" w:rsidR="002D23D6" w:rsidRPr="00BB5813" w:rsidRDefault="002D23D6" w:rsidP="00EA03EA">
            <w:pPr>
              <w:spacing w:line="240" w:lineRule="auto"/>
              <w:jc w:val="center"/>
              <w:rPr>
                <w:rFonts w:eastAsia="Times New Roman"/>
                <w:b/>
              </w:rPr>
            </w:pPr>
            <w:r w:rsidRPr="00BB5813">
              <w:rPr>
                <w:rFonts w:eastAsia="Times New Roman"/>
                <w:b/>
              </w:rPr>
              <w:t>Post-compaction (mm)</w:t>
            </w:r>
          </w:p>
        </w:tc>
        <w:tc>
          <w:tcPr>
            <w:tcW w:w="1531" w:type="dxa"/>
            <w:vAlign w:val="center"/>
            <w:hideMark/>
          </w:tcPr>
          <w:p w14:paraId="2CC6AD95" w14:textId="77777777" w:rsidR="002D23D6" w:rsidRPr="00BB5813" w:rsidRDefault="002D23D6" w:rsidP="00EA03EA">
            <w:pPr>
              <w:spacing w:line="240" w:lineRule="auto"/>
              <w:jc w:val="center"/>
              <w:rPr>
                <w:rFonts w:eastAsia="Times New Roman"/>
                <w:b/>
              </w:rPr>
            </w:pPr>
            <w:r w:rsidRPr="00BB5813">
              <w:rPr>
                <w:rFonts w:eastAsia="Times New Roman"/>
                <w:b/>
              </w:rPr>
              <w:t>Creep slope (Passes/mm)</w:t>
            </w:r>
          </w:p>
        </w:tc>
        <w:tc>
          <w:tcPr>
            <w:tcW w:w="1349" w:type="dxa"/>
            <w:vAlign w:val="center"/>
            <w:hideMark/>
          </w:tcPr>
          <w:p w14:paraId="5CFDED0B" w14:textId="77777777" w:rsidR="002D23D6" w:rsidRPr="00BB5813" w:rsidRDefault="002D23D6" w:rsidP="00EA03EA">
            <w:pPr>
              <w:spacing w:line="240" w:lineRule="auto"/>
              <w:jc w:val="center"/>
              <w:rPr>
                <w:rFonts w:eastAsia="Times New Roman"/>
                <w:b/>
              </w:rPr>
            </w:pPr>
            <w:r w:rsidRPr="00BB5813">
              <w:rPr>
                <w:rFonts w:eastAsia="Times New Roman"/>
                <w:b/>
              </w:rPr>
              <w:t>Stripping Inflection Point (</w:t>
            </w:r>
            <w:r w:rsidRPr="00BB5813">
              <w:rPr>
                <w:rFonts w:eastAsia="Times New Roman"/>
                <w:b/>
                <w:i/>
                <w:iCs/>
              </w:rPr>
              <w:t>SIP</w:t>
            </w:r>
            <w:r w:rsidRPr="00BB5813">
              <w:rPr>
                <w:rFonts w:eastAsia="Times New Roman"/>
                <w:b/>
              </w:rPr>
              <w:t>)</w:t>
            </w:r>
          </w:p>
        </w:tc>
        <w:tc>
          <w:tcPr>
            <w:tcW w:w="1759" w:type="dxa"/>
            <w:vAlign w:val="center"/>
            <w:hideMark/>
          </w:tcPr>
          <w:p w14:paraId="147B9684" w14:textId="77777777" w:rsidR="002D23D6" w:rsidRPr="00BB5813" w:rsidRDefault="002D23D6" w:rsidP="00EA03EA">
            <w:pPr>
              <w:spacing w:line="240" w:lineRule="auto"/>
              <w:jc w:val="center"/>
              <w:rPr>
                <w:rFonts w:eastAsia="Times New Roman"/>
                <w:b/>
              </w:rPr>
            </w:pPr>
            <w:r w:rsidRPr="00BB5813">
              <w:rPr>
                <w:rFonts w:eastAsia="Times New Roman"/>
                <w:b/>
              </w:rPr>
              <w:t>Stripping Slope (Passes/mm)</w:t>
            </w:r>
          </w:p>
        </w:tc>
      </w:tr>
      <w:tr w:rsidR="002D23D6" w:rsidRPr="00BB5813" w14:paraId="4657D058" w14:textId="77777777" w:rsidTr="006D32F9">
        <w:trPr>
          <w:trHeight w:val="204"/>
          <w:jc w:val="center"/>
        </w:trPr>
        <w:tc>
          <w:tcPr>
            <w:tcW w:w="1806" w:type="dxa"/>
            <w:vAlign w:val="center"/>
            <w:hideMark/>
          </w:tcPr>
          <w:p w14:paraId="05D8B84A" w14:textId="77777777" w:rsidR="002D23D6" w:rsidRPr="00BB5813" w:rsidRDefault="002D23D6" w:rsidP="00EA03EA">
            <w:pPr>
              <w:spacing w:line="240" w:lineRule="auto"/>
              <w:jc w:val="center"/>
              <w:rPr>
                <w:rFonts w:eastAsia="Times New Roman"/>
                <w:szCs w:val="24"/>
              </w:rPr>
            </w:pPr>
            <w:r w:rsidRPr="00BB5813">
              <w:rPr>
                <w:szCs w:val="24"/>
              </w:rPr>
              <w:t>Mix-1-None</w:t>
            </w:r>
          </w:p>
        </w:tc>
        <w:tc>
          <w:tcPr>
            <w:tcW w:w="1879" w:type="dxa"/>
            <w:noWrap/>
            <w:vAlign w:val="center"/>
            <w:hideMark/>
          </w:tcPr>
          <w:p w14:paraId="6622B17E" w14:textId="77777777" w:rsidR="002D23D6" w:rsidRPr="00BB5813" w:rsidRDefault="002D23D6" w:rsidP="00EA03EA">
            <w:pPr>
              <w:spacing w:line="240" w:lineRule="auto"/>
              <w:jc w:val="center"/>
              <w:rPr>
                <w:rFonts w:eastAsia="Times New Roman"/>
              </w:rPr>
            </w:pPr>
            <w:r w:rsidRPr="00BB5813">
              <w:rPr>
                <w:rFonts w:eastAsia="Times New Roman"/>
              </w:rPr>
              <w:t>1.11</w:t>
            </w:r>
          </w:p>
        </w:tc>
        <w:tc>
          <w:tcPr>
            <w:tcW w:w="1531" w:type="dxa"/>
            <w:noWrap/>
            <w:vAlign w:val="center"/>
            <w:hideMark/>
          </w:tcPr>
          <w:p w14:paraId="5C001AF8" w14:textId="77777777" w:rsidR="002D23D6" w:rsidRPr="00BB5813" w:rsidRDefault="002D23D6" w:rsidP="00EA03EA">
            <w:pPr>
              <w:spacing w:line="240" w:lineRule="auto"/>
              <w:jc w:val="center"/>
              <w:rPr>
                <w:rFonts w:eastAsia="Times New Roman"/>
              </w:rPr>
            </w:pPr>
            <w:r w:rsidRPr="00BB5813">
              <w:rPr>
                <w:rFonts w:eastAsia="Times New Roman"/>
              </w:rPr>
              <w:t>4,120</w:t>
            </w:r>
          </w:p>
        </w:tc>
        <w:tc>
          <w:tcPr>
            <w:tcW w:w="1349" w:type="dxa"/>
            <w:noWrap/>
            <w:vAlign w:val="center"/>
            <w:hideMark/>
          </w:tcPr>
          <w:p w14:paraId="0B178107" w14:textId="77777777" w:rsidR="002D23D6" w:rsidRPr="00BB5813" w:rsidRDefault="002D23D6" w:rsidP="00EA03EA">
            <w:pPr>
              <w:spacing w:line="240" w:lineRule="auto"/>
              <w:jc w:val="center"/>
              <w:rPr>
                <w:rFonts w:eastAsia="Times New Roman"/>
              </w:rPr>
            </w:pPr>
            <w:r w:rsidRPr="00BB5813">
              <w:rPr>
                <w:rFonts w:eastAsia="Times New Roman"/>
              </w:rPr>
              <w:t>11,500</w:t>
            </w:r>
          </w:p>
        </w:tc>
        <w:tc>
          <w:tcPr>
            <w:tcW w:w="1759" w:type="dxa"/>
            <w:noWrap/>
            <w:vAlign w:val="center"/>
            <w:hideMark/>
          </w:tcPr>
          <w:p w14:paraId="1FBD905C" w14:textId="77777777" w:rsidR="002D23D6" w:rsidRPr="00BB5813" w:rsidRDefault="002D23D6" w:rsidP="00EA03EA">
            <w:pPr>
              <w:spacing w:line="240" w:lineRule="auto"/>
              <w:jc w:val="center"/>
              <w:rPr>
                <w:rFonts w:eastAsia="Times New Roman"/>
              </w:rPr>
            </w:pPr>
            <w:r w:rsidRPr="00BB5813">
              <w:rPr>
                <w:rFonts w:eastAsia="Times New Roman"/>
              </w:rPr>
              <w:t>880</w:t>
            </w:r>
          </w:p>
        </w:tc>
      </w:tr>
      <w:tr w:rsidR="002D23D6" w:rsidRPr="00BB5813" w14:paraId="3A1971D0" w14:textId="77777777" w:rsidTr="006D32F9">
        <w:trPr>
          <w:trHeight w:val="204"/>
          <w:jc w:val="center"/>
        </w:trPr>
        <w:tc>
          <w:tcPr>
            <w:tcW w:w="1806" w:type="dxa"/>
            <w:vAlign w:val="center"/>
            <w:hideMark/>
          </w:tcPr>
          <w:p w14:paraId="31E09F47" w14:textId="77777777" w:rsidR="002D23D6" w:rsidRPr="00BB5813" w:rsidRDefault="002D23D6" w:rsidP="00EA03EA">
            <w:pPr>
              <w:spacing w:line="240" w:lineRule="auto"/>
              <w:jc w:val="center"/>
              <w:rPr>
                <w:rFonts w:eastAsia="Times New Roman"/>
                <w:szCs w:val="24"/>
              </w:rPr>
            </w:pPr>
            <w:r w:rsidRPr="00BB5813">
              <w:rPr>
                <w:szCs w:val="24"/>
              </w:rPr>
              <w:t>Mix-2-WMA</w:t>
            </w:r>
          </w:p>
        </w:tc>
        <w:tc>
          <w:tcPr>
            <w:tcW w:w="1879" w:type="dxa"/>
            <w:noWrap/>
            <w:vAlign w:val="center"/>
            <w:hideMark/>
          </w:tcPr>
          <w:p w14:paraId="114B426F" w14:textId="77777777" w:rsidR="002D23D6" w:rsidRPr="00BB5813" w:rsidRDefault="002D23D6" w:rsidP="00EA03EA">
            <w:pPr>
              <w:spacing w:line="240" w:lineRule="auto"/>
              <w:jc w:val="center"/>
              <w:rPr>
                <w:rFonts w:eastAsia="Times New Roman"/>
              </w:rPr>
            </w:pPr>
            <w:r w:rsidRPr="00BB5813">
              <w:rPr>
                <w:rFonts w:eastAsia="Times New Roman"/>
              </w:rPr>
              <w:t>1.56</w:t>
            </w:r>
          </w:p>
        </w:tc>
        <w:tc>
          <w:tcPr>
            <w:tcW w:w="1531" w:type="dxa"/>
            <w:noWrap/>
            <w:vAlign w:val="center"/>
            <w:hideMark/>
          </w:tcPr>
          <w:p w14:paraId="0F40556C" w14:textId="77777777" w:rsidR="002D23D6" w:rsidRPr="00BB5813" w:rsidRDefault="002D23D6" w:rsidP="00EA03EA">
            <w:pPr>
              <w:spacing w:line="240" w:lineRule="auto"/>
              <w:jc w:val="center"/>
              <w:rPr>
                <w:rFonts w:eastAsia="Times New Roman"/>
              </w:rPr>
            </w:pPr>
            <w:r w:rsidRPr="00BB5813">
              <w:rPr>
                <w:rFonts w:eastAsia="Times New Roman"/>
              </w:rPr>
              <w:t>1,714</w:t>
            </w:r>
          </w:p>
        </w:tc>
        <w:tc>
          <w:tcPr>
            <w:tcW w:w="1349" w:type="dxa"/>
            <w:noWrap/>
            <w:vAlign w:val="center"/>
            <w:hideMark/>
          </w:tcPr>
          <w:p w14:paraId="3219D372" w14:textId="77777777" w:rsidR="002D23D6" w:rsidRPr="00BB5813" w:rsidRDefault="002D23D6" w:rsidP="00EA03EA">
            <w:pPr>
              <w:spacing w:line="240" w:lineRule="auto"/>
              <w:jc w:val="center"/>
              <w:rPr>
                <w:rFonts w:eastAsia="Times New Roman"/>
              </w:rPr>
            </w:pPr>
            <w:r w:rsidRPr="00BB5813">
              <w:rPr>
                <w:rFonts w:eastAsia="Times New Roman"/>
              </w:rPr>
              <w:t>5,800</w:t>
            </w:r>
          </w:p>
        </w:tc>
        <w:tc>
          <w:tcPr>
            <w:tcW w:w="1759" w:type="dxa"/>
            <w:noWrap/>
            <w:vAlign w:val="center"/>
            <w:hideMark/>
          </w:tcPr>
          <w:p w14:paraId="23D193A2" w14:textId="77777777" w:rsidR="002D23D6" w:rsidRPr="00BB5813" w:rsidRDefault="002D23D6" w:rsidP="00EA03EA">
            <w:pPr>
              <w:spacing w:line="240" w:lineRule="auto"/>
              <w:jc w:val="center"/>
              <w:rPr>
                <w:rFonts w:eastAsia="Times New Roman"/>
              </w:rPr>
            </w:pPr>
            <w:r w:rsidRPr="00BB5813">
              <w:rPr>
                <w:rFonts w:eastAsia="Times New Roman"/>
              </w:rPr>
              <w:t>500</w:t>
            </w:r>
          </w:p>
        </w:tc>
      </w:tr>
      <w:tr w:rsidR="002D23D6" w:rsidRPr="00BB5813" w14:paraId="41273BA2" w14:textId="77777777" w:rsidTr="006D32F9">
        <w:trPr>
          <w:trHeight w:val="204"/>
          <w:jc w:val="center"/>
        </w:trPr>
        <w:tc>
          <w:tcPr>
            <w:tcW w:w="1806" w:type="dxa"/>
            <w:vAlign w:val="center"/>
            <w:hideMark/>
          </w:tcPr>
          <w:p w14:paraId="7D3008BB" w14:textId="77777777" w:rsidR="002D23D6" w:rsidRPr="00BB5813" w:rsidRDefault="002D23D6" w:rsidP="00EA03EA">
            <w:pPr>
              <w:spacing w:line="240" w:lineRule="auto"/>
              <w:jc w:val="center"/>
              <w:rPr>
                <w:rFonts w:eastAsia="Times New Roman"/>
                <w:szCs w:val="24"/>
              </w:rPr>
            </w:pPr>
            <w:r w:rsidRPr="00BB5813">
              <w:rPr>
                <w:szCs w:val="24"/>
              </w:rPr>
              <w:t>Mix-3-ASA</w:t>
            </w:r>
          </w:p>
        </w:tc>
        <w:tc>
          <w:tcPr>
            <w:tcW w:w="1879" w:type="dxa"/>
            <w:noWrap/>
            <w:vAlign w:val="center"/>
            <w:hideMark/>
          </w:tcPr>
          <w:p w14:paraId="36CBFBC6" w14:textId="77777777" w:rsidR="002D23D6" w:rsidRPr="00BB5813" w:rsidRDefault="002D23D6" w:rsidP="00EA03EA">
            <w:pPr>
              <w:spacing w:line="240" w:lineRule="auto"/>
              <w:jc w:val="center"/>
              <w:rPr>
                <w:rFonts w:eastAsia="Times New Roman"/>
              </w:rPr>
            </w:pPr>
            <w:r w:rsidRPr="00BB5813">
              <w:rPr>
                <w:rFonts w:eastAsia="Times New Roman"/>
              </w:rPr>
              <w:t>0.97</w:t>
            </w:r>
          </w:p>
        </w:tc>
        <w:tc>
          <w:tcPr>
            <w:tcW w:w="1531" w:type="dxa"/>
            <w:noWrap/>
            <w:vAlign w:val="center"/>
            <w:hideMark/>
          </w:tcPr>
          <w:p w14:paraId="4A86AEED" w14:textId="77777777" w:rsidR="002D23D6" w:rsidRPr="00BB5813" w:rsidRDefault="002D23D6" w:rsidP="00EA03EA">
            <w:pPr>
              <w:spacing w:line="240" w:lineRule="auto"/>
              <w:jc w:val="center"/>
              <w:rPr>
                <w:rFonts w:eastAsia="Times New Roman"/>
              </w:rPr>
            </w:pPr>
            <w:r w:rsidRPr="00BB5813">
              <w:rPr>
                <w:rFonts w:eastAsia="Times New Roman"/>
              </w:rPr>
              <w:t>5,426</w:t>
            </w:r>
          </w:p>
        </w:tc>
        <w:tc>
          <w:tcPr>
            <w:tcW w:w="1349" w:type="dxa"/>
            <w:noWrap/>
            <w:vAlign w:val="center"/>
            <w:hideMark/>
          </w:tcPr>
          <w:p w14:paraId="2BF18554" w14:textId="77777777" w:rsidR="002D23D6" w:rsidRPr="00BB5813" w:rsidRDefault="002D23D6" w:rsidP="00EA03EA">
            <w:pPr>
              <w:spacing w:line="240" w:lineRule="auto"/>
              <w:jc w:val="center"/>
              <w:rPr>
                <w:rFonts w:eastAsia="Times New Roman"/>
              </w:rPr>
            </w:pPr>
            <w:r w:rsidRPr="00BB5813">
              <w:rPr>
                <w:rFonts w:eastAsia="Times New Roman"/>
              </w:rPr>
              <w:t>13,700</w:t>
            </w:r>
          </w:p>
        </w:tc>
        <w:tc>
          <w:tcPr>
            <w:tcW w:w="1759" w:type="dxa"/>
            <w:noWrap/>
            <w:vAlign w:val="center"/>
            <w:hideMark/>
          </w:tcPr>
          <w:p w14:paraId="6B94A913" w14:textId="77777777" w:rsidR="002D23D6" w:rsidRPr="00BB5813" w:rsidRDefault="002D23D6" w:rsidP="00EA03EA">
            <w:pPr>
              <w:spacing w:line="240" w:lineRule="auto"/>
              <w:jc w:val="center"/>
              <w:rPr>
                <w:rFonts w:eastAsia="Times New Roman"/>
              </w:rPr>
            </w:pPr>
            <w:r w:rsidRPr="00BB5813">
              <w:rPr>
                <w:rFonts w:eastAsia="Times New Roman"/>
              </w:rPr>
              <w:t>930</w:t>
            </w:r>
          </w:p>
        </w:tc>
      </w:tr>
      <w:tr w:rsidR="002D23D6" w:rsidRPr="00BB5813" w14:paraId="6644C999" w14:textId="77777777" w:rsidTr="006D32F9">
        <w:trPr>
          <w:trHeight w:val="204"/>
          <w:jc w:val="center"/>
        </w:trPr>
        <w:tc>
          <w:tcPr>
            <w:tcW w:w="1806" w:type="dxa"/>
            <w:vAlign w:val="center"/>
            <w:hideMark/>
          </w:tcPr>
          <w:p w14:paraId="192787E7" w14:textId="77777777" w:rsidR="002D23D6" w:rsidRPr="00BB5813" w:rsidRDefault="002D23D6" w:rsidP="00EA03EA">
            <w:pPr>
              <w:spacing w:line="240" w:lineRule="auto"/>
              <w:jc w:val="center"/>
              <w:rPr>
                <w:rFonts w:eastAsia="Times New Roman"/>
                <w:szCs w:val="24"/>
              </w:rPr>
            </w:pPr>
            <w:r w:rsidRPr="00BB5813">
              <w:rPr>
                <w:szCs w:val="24"/>
              </w:rPr>
              <w:t>Mix-4-PPA</w:t>
            </w:r>
          </w:p>
        </w:tc>
        <w:tc>
          <w:tcPr>
            <w:tcW w:w="1879" w:type="dxa"/>
            <w:noWrap/>
            <w:vAlign w:val="center"/>
            <w:hideMark/>
          </w:tcPr>
          <w:p w14:paraId="1C95586D" w14:textId="77777777" w:rsidR="002D23D6" w:rsidRPr="00BB5813" w:rsidRDefault="002D23D6" w:rsidP="00EA03EA">
            <w:pPr>
              <w:spacing w:line="240" w:lineRule="auto"/>
              <w:jc w:val="center"/>
              <w:rPr>
                <w:rFonts w:eastAsia="Times New Roman"/>
              </w:rPr>
            </w:pPr>
            <w:r w:rsidRPr="00BB5813">
              <w:rPr>
                <w:rFonts w:eastAsia="Times New Roman"/>
              </w:rPr>
              <w:t>0.95</w:t>
            </w:r>
          </w:p>
        </w:tc>
        <w:tc>
          <w:tcPr>
            <w:tcW w:w="1531" w:type="dxa"/>
            <w:noWrap/>
            <w:vAlign w:val="center"/>
            <w:hideMark/>
          </w:tcPr>
          <w:p w14:paraId="286E0738" w14:textId="77777777" w:rsidR="002D23D6" w:rsidRPr="00BB5813" w:rsidRDefault="002D23D6" w:rsidP="00EA03EA">
            <w:pPr>
              <w:spacing w:line="240" w:lineRule="auto"/>
              <w:jc w:val="center"/>
              <w:rPr>
                <w:rFonts w:eastAsia="Times New Roman"/>
              </w:rPr>
            </w:pPr>
            <w:r w:rsidRPr="00BB5813">
              <w:rPr>
                <w:rFonts w:eastAsia="Times New Roman"/>
              </w:rPr>
              <w:t>3,204</w:t>
            </w:r>
          </w:p>
        </w:tc>
        <w:tc>
          <w:tcPr>
            <w:tcW w:w="1349" w:type="dxa"/>
            <w:noWrap/>
            <w:vAlign w:val="center"/>
            <w:hideMark/>
          </w:tcPr>
          <w:p w14:paraId="2017BCF9" w14:textId="77777777" w:rsidR="002D23D6" w:rsidRPr="00BB5813" w:rsidRDefault="002D23D6" w:rsidP="00EA03EA">
            <w:pPr>
              <w:spacing w:line="240" w:lineRule="auto"/>
              <w:jc w:val="center"/>
              <w:rPr>
                <w:rFonts w:eastAsia="Times New Roman"/>
              </w:rPr>
            </w:pPr>
            <w:r w:rsidRPr="00BB5813">
              <w:rPr>
                <w:rFonts w:eastAsia="Times New Roman"/>
              </w:rPr>
              <w:t>5,500</w:t>
            </w:r>
          </w:p>
        </w:tc>
        <w:tc>
          <w:tcPr>
            <w:tcW w:w="1759" w:type="dxa"/>
            <w:noWrap/>
            <w:vAlign w:val="center"/>
            <w:hideMark/>
          </w:tcPr>
          <w:p w14:paraId="49B956D3" w14:textId="77777777" w:rsidR="002D23D6" w:rsidRPr="00BB5813" w:rsidRDefault="002D23D6" w:rsidP="00EA03EA">
            <w:pPr>
              <w:spacing w:line="240" w:lineRule="auto"/>
              <w:jc w:val="center"/>
              <w:rPr>
                <w:rFonts w:eastAsia="Times New Roman"/>
              </w:rPr>
            </w:pPr>
            <w:r w:rsidRPr="00BB5813">
              <w:rPr>
                <w:rFonts w:eastAsia="Times New Roman"/>
              </w:rPr>
              <w:t>850</w:t>
            </w:r>
          </w:p>
        </w:tc>
      </w:tr>
      <w:tr w:rsidR="002D23D6" w:rsidRPr="00BB5813" w14:paraId="4DF0A1F0" w14:textId="77777777" w:rsidTr="006D32F9">
        <w:trPr>
          <w:trHeight w:val="204"/>
          <w:jc w:val="center"/>
        </w:trPr>
        <w:tc>
          <w:tcPr>
            <w:tcW w:w="1806" w:type="dxa"/>
            <w:vAlign w:val="center"/>
            <w:hideMark/>
          </w:tcPr>
          <w:p w14:paraId="77F6D077" w14:textId="77777777" w:rsidR="002D23D6" w:rsidRPr="00BB5813" w:rsidRDefault="002D23D6" w:rsidP="00EA03EA">
            <w:pPr>
              <w:spacing w:line="240" w:lineRule="auto"/>
              <w:jc w:val="center"/>
              <w:rPr>
                <w:rFonts w:eastAsia="Times New Roman"/>
                <w:szCs w:val="24"/>
              </w:rPr>
            </w:pPr>
            <w:r w:rsidRPr="00BB5813">
              <w:rPr>
                <w:szCs w:val="24"/>
              </w:rPr>
              <w:t>Mix-5-RAP</w:t>
            </w:r>
          </w:p>
        </w:tc>
        <w:tc>
          <w:tcPr>
            <w:tcW w:w="1879" w:type="dxa"/>
            <w:noWrap/>
            <w:vAlign w:val="center"/>
            <w:hideMark/>
          </w:tcPr>
          <w:p w14:paraId="52A855EC" w14:textId="77777777" w:rsidR="002D23D6" w:rsidRPr="00BB5813" w:rsidRDefault="002D23D6" w:rsidP="00EA03EA">
            <w:pPr>
              <w:spacing w:line="240" w:lineRule="auto"/>
              <w:jc w:val="center"/>
              <w:rPr>
                <w:rFonts w:eastAsia="Times New Roman"/>
              </w:rPr>
            </w:pPr>
            <w:r w:rsidRPr="00BB5813">
              <w:t>1.03</w:t>
            </w:r>
          </w:p>
        </w:tc>
        <w:tc>
          <w:tcPr>
            <w:tcW w:w="1531" w:type="dxa"/>
            <w:noWrap/>
            <w:vAlign w:val="center"/>
            <w:hideMark/>
          </w:tcPr>
          <w:p w14:paraId="1EF51FC5" w14:textId="77777777" w:rsidR="002D23D6" w:rsidRPr="00BB5813" w:rsidRDefault="002D23D6" w:rsidP="00EA03EA">
            <w:pPr>
              <w:spacing w:line="240" w:lineRule="auto"/>
              <w:jc w:val="center"/>
              <w:rPr>
                <w:rFonts w:eastAsia="Times New Roman"/>
              </w:rPr>
            </w:pPr>
            <w:r w:rsidRPr="00BB5813">
              <w:t>2,421</w:t>
            </w:r>
          </w:p>
        </w:tc>
        <w:tc>
          <w:tcPr>
            <w:tcW w:w="1349" w:type="dxa"/>
            <w:noWrap/>
            <w:vAlign w:val="center"/>
            <w:hideMark/>
          </w:tcPr>
          <w:p w14:paraId="3CD084A9" w14:textId="77777777" w:rsidR="002D23D6" w:rsidRPr="00BB5813" w:rsidRDefault="002D23D6" w:rsidP="00EA03EA">
            <w:pPr>
              <w:spacing w:line="240" w:lineRule="auto"/>
              <w:jc w:val="center"/>
              <w:rPr>
                <w:rFonts w:eastAsia="Times New Roman"/>
              </w:rPr>
            </w:pPr>
            <w:r w:rsidRPr="00BB5813">
              <w:t>9,000</w:t>
            </w:r>
          </w:p>
        </w:tc>
        <w:tc>
          <w:tcPr>
            <w:tcW w:w="1759" w:type="dxa"/>
            <w:noWrap/>
            <w:vAlign w:val="center"/>
            <w:hideMark/>
          </w:tcPr>
          <w:p w14:paraId="267E14CC" w14:textId="77777777" w:rsidR="002D23D6" w:rsidRPr="00BB5813" w:rsidRDefault="002D23D6" w:rsidP="00EA03EA">
            <w:pPr>
              <w:spacing w:line="240" w:lineRule="auto"/>
              <w:jc w:val="center"/>
              <w:rPr>
                <w:rFonts w:eastAsia="Times New Roman"/>
              </w:rPr>
            </w:pPr>
            <w:r w:rsidRPr="00BB5813">
              <w:t>895</w:t>
            </w:r>
          </w:p>
        </w:tc>
      </w:tr>
      <w:tr w:rsidR="002D23D6" w:rsidRPr="00BB5813" w14:paraId="3192C01D" w14:textId="77777777" w:rsidTr="006D32F9">
        <w:trPr>
          <w:trHeight w:val="204"/>
          <w:jc w:val="center"/>
        </w:trPr>
        <w:tc>
          <w:tcPr>
            <w:tcW w:w="8324" w:type="dxa"/>
            <w:gridSpan w:val="5"/>
            <w:vAlign w:val="center"/>
            <w:hideMark/>
          </w:tcPr>
          <w:p w14:paraId="23814723" w14:textId="77777777" w:rsidR="002D23D6" w:rsidRPr="00BB5813" w:rsidRDefault="002D23D6" w:rsidP="00EA03EA">
            <w:pPr>
              <w:spacing w:line="240" w:lineRule="auto"/>
              <w:jc w:val="center"/>
              <w:rPr>
                <w:b/>
              </w:rPr>
            </w:pPr>
            <w:r w:rsidRPr="00BB5813">
              <w:rPr>
                <w:b/>
              </w:rPr>
              <w:t>TAMU Method</w:t>
            </w:r>
          </w:p>
        </w:tc>
      </w:tr>
      <w:tr w:rsidR="002D23D6" w:rsidRPr="00BB5813" w14:paraId="15075439" w14:textId="77777777" w:rsidTr="006D32F9">
        <w:trPr>
          <w:trHeight w:val="204"/>
          <w:jc w:val="center"/>
        </w:trPr>
        <w:tc>
          <w:tcPr>
            <w:tcW w:w="1806" w:type="dxa"/>
            <w:vAlign w:val="center"/>
            <w:hideMark/>
          </w:tcPr>
          <w:p w14:paraId="65E0ED6D" w14:textId="77777777" w:rsidR="002D23D6" w:rsidRPr="00BB5813" w:rsidRDefault="002D23D6" w:rsidP="00EA03EA">
            <w:pPr>
              <w:spacing w:line="240" w:lineRule="auto"/>
              <w:jc w:val="center"/>
              <w:rPr>
                <w:rFonts w:eastAsia="Times New Roman"/>
                <w:b/>
              </w:rPr>
            </w:pPr>
            <w:r w:rsidRPr="00BB5813">
              <w:rPr>
                <w:rFonts w:eastAsia="Times New Roman"/>
                <w:b/>
              </w:rPr>
              <w:t>Mix ID</w:t>
            </w:r>
          </w:p>
        </w:tc>
        <w:tc>
          <w:tcPr>
            <w:tcW w:w="1879" w:type="dxa"/>
            <w:noWrap/>
            <w:vAlign w:val="center"/>
            <w:hideMark/>
          </w:tcPr>
          <w:p w14:paraId="01016716" w14:textId="77777777" w:rsidR="002D23D6" w:rsidRPr="00BB5813" w:rsidRDefault="002D23D6" w:rsidP="00EA03EA">
            <w:pPr>
              <w:spacing w:line="240" w:lineRule="auto"/>
              <w:jc w:val="center"/>
              <w:rPr>
                <w:b/>
              </w:rPr>
            </w:pPr>
            <m:oMathPara>
              <m:oMath>
                <m:r>
                  <m:rPr>
                    <m:sty m:val="bi"/>
                  </m:rPr>
                  <w:rPr>
                    <w:rFonts w:ascii="Cambria Math" w:hAnsi="Cambria Math"/>
                  </w:rPr>
                  <m:t>∆</m:t>
                </m:r>
                <m:sSubSup>
                  <m:sSubSupPr>
                    <m:ctrlPr>
                      <w:rPr>
                        <w:rFonts w:ascii="Cambria Math" w:hAnsi="Cambria Math"/>
                        <w:b/>
                        <w:i/>
                      </w:rPr>
                    </m:ctrlPr>
                  </m:sSubSupPr>
                  <m:e>
                    <m:r>
                      <m:rPr>
                        <m:sty m:val="bi"/>
                      </m:rPr>
                      <w:rPr>
                        <w:rFonts w:ascii="Cambria Math" w:hAnsi="Cambria Math"/>
                      </w:rPr>
                      <m:t>ε</m:t>
                    </m:r>
                  </m:e>
                  <m:sub>
                    <m:r>
                      <m:rPr>
                        <m:sty m:val="bi"/>
                      </m:rPr>
                      <w:rPr>
                        <w:rFonts w:ascii="Cambria Math" w:hAnsi="Cambria Math"/>
                      </w:rPr>
                      <m:t>10,000</m:t>
                    </m:r>
                  </m:sub>
                  <m:sup>
                    <m:r>
                      <m:rPr>
                        <m:sty m:val="bi"/>
                      </m:rPr>
                      <w:rPr>
                        <w:rFonts w:ascii="Cambria Math" w:hAnsi="Cambria Math"/>
                      </w:rPr>
                      <m:t>vp</m:t>
                    </m:r>
                  </m:sup>
                </m:sSubSup>
              </m:oMath>
            </m:oMathPara>
          </w:p>
        </w:tc>
        <w:tc>
          <w:tcPr>
            <w:tcW w:w="2880" w:type="dxa"/>
            <w:gridSpan w:val="2"/>
            <w:noWrap/>
            <w:vAlign w:val="center"/>
            <w:hideMark/>
          </w:tcPr>
          <w:p w14:paraId="2DDC6D77" w14:textId="77777777" w:rsidR="002D23D6" w:rsidRPr="00BB5813" w:rsidRDefault="002D23D6" w:rsidP="00EA03EA">
            <w:pPr>
              <w:spacing w:line="240" w:lineRule="auto"/>
              <w:jc w:val="center"/>
              <w:rPr>
                <w:b/>
              </w:rPr>
            </w:pPr>
            <w:r w:rsidRPr="00BB5813">
              <w:rPr>
                <w:rFonts w:eastAsia="Times New Roman"/>
                <w:b/>
                <w:szCs w:val="24"/>
              </w:rPr>
              <w:t>LC</w:t>
            </w:r>
            <w:r w:rsidRPr="00BB5813">
              <w:rPr>
                <w:rFonts w:eastAsia="Times New Roman"/>
                <w:b/>
                <w:szCs w:val="24"/>
                <w:vertAlign w:val="subscript"/>
              </w:rPr>
              <w:t>SN</w:t>
            </w:r>
          </w:p>
        </w:tc>
        <w:tc>
          <w:tcPr>
            <w:tcW w:w="1759" w:type="dxa"/>
            <w:vAlign w:val="center"/>
          </w:tcPr>
          <w:p w14:paraId="7C604A17" w14:textId="77777777" w:rsidR="002D23D6" w:rsidRPr="00BB5813" w:rsidRDefault="002D23D6" w:rsidP="00EA03EA">
            <w:pPr>
              <w:spacing w:line="240" w:lineRule="auto"/>
              <w:jc w:val="center"/>
              <w:rPr>
                <w:b/>
              </w:rPr>
            </w:pPr>
            <w:r w:rsidRPr="00BB5813">
              <w:rPr>
                <w:rFonts w:eastAsia="Times New Roman"/>
                <w:b/>
                <w:szCs w:val="24"/>
              </w:rPr>
              <w:t>LC</w:t>
            </w:r>
            <w:r w:rsidRPr="00BB5813">
              <w:rPr>
                <w:rFonts w:eastAsia="Times New Roman"/>
                <w:b/>
                <w:szCs w:val="24"/>
                <w:vertAlign w:val="subscript"/>
              </w:rPr>
              <w:t>ST</w:t>
            </w:r>
          </w:p>
        </w:tc>
      </w:tr>
      <w:tr w:rsidR="002D23D6" w:rsidRPr="00BB5813" w14:paraId="4395575E" w14:textId="77777777" w:rsidTr="006D32F9">
        <w:trPr>
          <w:trHeight w:val="204"/>
          <w:jc w:val="center"/>
        </w:trPr>
        <w:tc>
          <w:tcPr>
            <w:tcW w:w="1806" w:type="dxa"/>
            <w:vAlign w:val="center"/>
            <w:hideMark/>
          </w:tcPr>
          <w:p w14:paraId="5536D450" w14:textId="77777777" w:rsidR="002D23D6" w:rsidRPr="00BB5813" w:rsidRDefault="002D23D6" w:rsidP="00EA03EA">
            <w:pPr>
              <w:spacing w:line="240" w:lineRule="auto"/>
              <w:jc w:val="center"/>
              <w:rPr>
                <w:rFonts w:eastAsia="Times New Roman"/>
                <w:szCs w:val="24"/>
              </w:rPr>
            </w:pPr>
            <w:r w:rsidRPr="00BB5813">
              <w:rPr>
                <w:szCs w:val="24"/>
              </w:rPr>
              <w:t>Mix-1-None</w:t>
            </w:r>
          </w:p>
        </w:tc>
        <w:tc>
          <w:tcPr>
            <w:tcW w:w="1879" w:type="dxa"/>
            <w:noWrap/>
            <w:vAlign w:val="center"/>
            <w:hideMark/>
          </w:tcPr>
          <w:p w14:paraId="337BF773" w14:textId="77777777" w:rsidR="002D23D6" w:rsidRPr="00BB5813" w:rsidRDefault="002D23D6" w:rsidP="00EA03EA">
            <w:pPr>
              <w:spacing w:line="240" w:lineRule="auto"/>
              <w:jc w:val="center"/>
            </w:pPr>
            <w:r w:rsidRPr="00BB5813">
              <w:rPr>
                <w:rFonts w:eastAsia="Times New Roman"/>
                <w:szCs w:val="24"/>
              </w:rPr>
              <w:t>3.91E-06</w:t>
            </w:r>
          </w:p>
        </w:tc>
        <w:tc>
          <w:tcPr>
            <w:tcW w:w="2880" w:type="dxa"/>
            <w:gridSpan w:val="2"/>
            <w:noWrap/>
            <w:vAlign w:val="center"/>
            <w:hideMark/>
          </w:tcPr>
          <w:p w14:paraId="35D0D051" w14:textId="77777777" w:rsidR="002D23D6" w:rsidRPr="00BB5813" w:rsidRDefault="002D23D6" w:rsidP="00EA03EA">
            <w:pPr>
              <w:spacing w:line="240" w:lineRule="auto"/>
              <w:jc w:val="center"/>
            </w:pPr>
            <w:r w:rsidRPr="00BB5813">
              <w:rPr>
                <w:rFonts w:eastAsia="Times New Roman"/>
                <w:szCs w:val="24"/>
              </w:rPr>
              <w:t>1,228</w:t>
            </w:r>
          </w:p>
        </w:tc>
        <w:tc>
          <w:tcPr>
            <w:tcW w:w="1759" w:type="dxa"/>
            <w:vAlign w:val="center"/>
          </w:tcPr>
          <w:p w14:paraId="26D48F97" w14:textId="77777777" w:rsidR="002D23D6" w:rsidRPr="00BB5813" w:rsidRDefault="002D23D6" w:rsidP="00EA03EA">
            <w:pPr>
              <w:spacing w:line="240" w:lineRule="auto"/>
              <w:jc w:val="center"/>
            </w:pPr>
            <w:r w:rsidRPr="00BB5813">
              <w:rPr>
                <w:rFonts w:eastAsia="Times New Roman"/>
                <w:szCs w:val="24"/>
              </w:rPr>
              <w:t>18,019</w:t>
            </w:r>
          </w:p>
        </w:tc>
      </w:tr>
      <w:tr w:rsidR="002D23D6" w:rsidRPr="00BB5813" w14:paraId="253358AD" w14:textId="77777777" w:rsidTr="006D32F9">
        <w:trPr>
          <w:trHeight w:val="204"/>
          <w:jc w:val="center"/>
        </w:trPr>
        <w:tc>
          <w:tcPr>
            <w:tcW w:w="1806" w:type="dxa"/>
            <w:vAlign w:val="center"/>
            <w:hideMark/>
          </w:tcPr>
          <w:p w14:paraId="53457DE0" w14:textId="77777777" w:rsidR="002D23D6" w:rsidRPr="00BB5813" w:rsidRDefault="002D23D6" w:rsidP="00EA03EA">
            <w:pPr>
              <w:spacing w:line="240" w:lineRule="auto"/>
              <w:jc w:val="center"/>
              <w:rPr>
                <w:rFonts w:eastAsia="Times New Roman"/>
                <w:szCs w:val="24"/>
              </w:rPr>
            </w:pPr>
            <w:r w:rsidRPr="00BB5813">
              <w:rPr>
                <w:szCs w:val="24"/>
              </w:rPr>
              <w:t>Mix-2-WMA</w:t>
            </w:r>
          </w:p>
        </w:tc>
        <w:tc>
          <w:tcPr>
            <w:tcW w:w="1879" w:type="dxa"/>
            <w:noWrap/>
            <w:vAlign w:val="center"/>
            <w:hideMark/>
          </w:tcPr>
          <w:p w14:paraId="2BFAD437" w14:textId="77777777" w:rsidR="002D23D6" w:rsidRPr="00BB5813" w:rsidRDefault="002D23D6" w:rsidP="00EA03EA">
            <w:pPr>
              <w:spacing w:line="240" w:lineRule="auto"/>
              <w:jc w:val="center"/>
            </w:pPr>
            <w:r w:rsidRPr="00BB5813">
              <w:rPr>
                <w:rFonts w:eastAsia="Times New Roman"/>
                <w:szCs w:val="24"/>
              </w:rPr>
              <w:t>9.32E-06</w:t>
            </w:r>
          </w:p>
        </w:tc>
        <w:tc>
          <w:tcPr>
            <w:tcW w:w="2880" w:type="dxa"/>
            <w:gridSpan w:val="2"/>
            <w:noWrap/>
            <w:vAlign w:val="center"/>
            <w:hideMark/>
          </w:tcPr>
          <w:p w14:paraId="50AC13A7" w14:textId="77777777" w:rsidR="002D23D6" w:rsidRPr="00BB5813" w:rsidRDefault="002D23D6" w:rsidP="00EA03EA">
            <w:pPr>
              <w:spacing w:line="240" w:lineRule="auto"/>
              <w:jc w:val="center"/>
            </w:pPr>
            <w:r w:rsidRPr="00BB5813">
              <w:rPr>
                <w:rFonts w:eastAsia="Times New Roman"/>
                <w:szCs w:val="24"/>
              </w:rPr>
              <w:t>867</w:t>
            </w:r>
          </w:p>
        </w:tc>
        <w:tc>
          <w:tcPr>
            <w:tcW w:w="1759" w:type="dxa"/>
            <w:vAlign w:val="center"/>
          </w:tcPr>
          <w:p w14:paraId="747AC70E" w14:textId="77777777" w:rsidR="002D23D6" w:rsidRPr="00BB5813" w:rsidRDefault="002D23D6" w:rsidP="00EA03EA">
            <w:pPr>
              <w:spacing w:line="240" w:lineRule="auto"/>
              <w:jc w:val="center"/>
            </w:pPr>
            <w:r w:rsidRPr="00BB5813">
              <w:rPr>
                <w:rFonts w:eastAsia="Times New Roman"/>
                <w:szCs w:val="24"/>
              </w:rPr>
              <w:t>10,482</w:t>
            </w:r>
          </w:p>
        </w:tc>
      </w:tr>
      <w:tr w:rsidR="002D23D6" w:rsidRPr="00BB5813" w14:paraId="29FA82E3" w14:textId="77777777" w:rsidTr="006D32F9">
        <w:trPr>
          <w:trHeight w:val="204"/>
          <w:jc w:val="center"/>
        </w:trPr>
        <w:tc>
          <w:tcPr>
            <w:tcW w:w="1806" w:type="dxa"/>
            <w:vAlign w:val="center"/>
            <w:hideMark/>
          </w:tcPr>
          <w:p w14:paraId="3DDDB09A" w14:textId="77777777" w:rsidR="002D23D6" w:rsidRPr="00BB5813" w:rsidRDefault="002D23D6" w:rsidP="00EA03EA">
            <w:pPr>
              <w:spacing w:line="240" w:lineRule="auto"/>
              <w:jc w:val="center"/>
              <w:rPr>
                <w:rFonts w:eastAsia="Times New Roman"/>
                <w:szCs w:val="24"/>
              </w:rPr>
            </w:pPr>
            <w:r w:rsidRPr="00BB5813">
              <w:rPr>
                <w:szCs w:val="24"/>
              </w:rPr>
              <w:t>Mix-3-ASA</w:t>
            </w:r>
          </w:p>
        </w:tc>
        <w:tc>
          <w:tcPr>
            <w:tcW w:w="1879" w:type="dxa"/>
            <w:noWrap/>
            <w:vAlign w:val="center"/>
            <w:hideMark/>
          </w:tcPr>
          <w:p w14:paraId="7CCCCFEB" w14:textId="77777777" w:rsidR="002D23D6" w:rsidRPr="00BB5813" w:rsidRDefault="002D23D6" w:rsidP="00EA03EA">
            <w:pPr>
              <w:spacing w:line="240" w:lineRule="auto"/>
              <w:jc w:val="center"/>
            </w:pPr>
            <w:r w:rsidRPr="00BB5813">
              <w:rPr>
                <w:rFonts w:eastAsia="Times New Roman"/>
                <w:szCs w:val="24"/>
              </w:rPr>
              <w:t>1.93E-06</w:t>
            </w:r>
          </w:p>
        </w:tc>
        <w:tc>
          <w:tcPr>
            <w:tcW w:w="2880" w:type="dxa"/>
            <w:gridSpan w:val="2"/>
            <w:noWrap/>
            <w:vAlign w:val="center"/>
            <w:hideMark/>
          </w:tcPr>
          <w:p w14:paraId="5851719E" w14:textId="77777777" w:rsidR="002D23D6" w:rsidRPr="00BB5813" w:rsidRDefault="002D23D6" w:rsidP="00EA03EA">
            <w:pPr>
              <w:spacing w:line="240" w:lineRule="auto"/>
              <w:jc w:val="center"/>
            </w:pPr>
            <w:r w:rsidRPr="00BB5813">
              <w:rPr>
                <w:rFonts w:eastAsia="Times New Roman"/>
                <w:szCs w:val="24"/>
              </w:rPr>
              <w:t>3,312</w:t>
            </w:r>
          </w:p>
        </w:tc>
        <w:tc>
          <w:tcPr>
            <w:tcW w:w="1759" w:type="dxa"/>
            <w:vAlign w:val="center"/>
          </w:tcPr>
          <w:p w14:paraId="47808EFE" w14:textId="77777777" w:rsidR="002D23D6" w:rsidRPr="00BB5813" w:rsidRDefault="002D23D6" w:rsidP="00EA03EA">
            <w:pPr>
              <w:spacing w:line="240" w:lineRule="auto"/>
              <w:jc w:val="center"/>
            </w:pPr>
            <w:r w:rsidRPr="00BB5813">
              <w:rPr>
                <w:rFonts w:eastAsia="Times New Roman"/>
                <w:szCs w:val="24"/>
              </w:rPr>
              <w:t>18,402</w:t>
            </w:r>
          </w:p>
        </w:tc>
      </w:tr>
      <w:tr w:rsidR="002D23D6" w:rsidRPr="00BB5813" w14:paraId="17D78765" w14:textId="77777777" w:rsidTr="006D32F9">
        <w:trPr>
          <w:trHeight w:val="204"/>
          <w:jc w:val="center"/>
        </w:trPr>
        <w:tc>
          <w:tcPr>
            <w:tcW w:w="1806" w:type="dxa"/>
            <w:vAlign w:val="center"/>
            <w:hideMark/>
          </w:tcPr>
          <w:p w14:paraId="0A7C056D" w14:textId="77777777" w:rsidR="002D23D6" w:rsidRPr="00BB5813" w:rsidRDefault="002D23D6" w:rsidP="00EA03EA">
            <w:pPr>
              <w:spacing w:line="240" w:lineRule="auto"/>
              <w:jc w:val="center"/>
              <w:rPr>
                <w:rFonts w:eastAsia="Times New Roman"/>
                <w:szCs w:val="24"/>
              </w:rPr>
            </w:pPr>
            <w:r w:rsidRPr="00BB5813">
              <w:rPr>
                <w:szCs w:val="24"/>
              </w:rPr>
              <w:t>Mix-4-PPA</w:t>
            </w:r>
          </w:p>
        </w:tc>
        <w:tc>
          <w:tcPr>
            <w:tcW w:w="1879" w:type="dxa"/>
            <w:noWrap/>
            <w:vAlign w:val="center"/>
            <w:hideMark/>
          </w:tcPr>
          <w:p w14:paraId="52E8DA99" w14:textId="77777777" w:rsidR="002D23D6" w:rsidRPr="00BB5813" w:rsidRDefault="002D23D6" w:rsidP="00EA03EA">
            <w:pPr>
              <w:spacing w:line="240" w:lineRule="auto"/>
              <w:jc w:val="center"/>
            </w:pPr>
            <w:r w:rsidRPr="00BB5813">
              <w:rPr>
                <w:rFonts w:eastAsia="Times New Roman"/>
                <w:szCs w:val="24"/>
              </w:rPr>
              <w:t>3.17E-05</w:t>
            </w:r>
          </w:p>
        </w:tc>
        <w:tc>
          <w:tcPr>
            <w:tcW w:w="2880" w:type="dxa"/>
            <w:gridSpan w:val="2"/>
            <w:noWrap/>
            <w:vAlign w:val="center"/>
            <w:hideMark/>
          </w:tcPr>
          <w:p w14:paraId="4A16FBAB" w14:textId="77777777" w:rsidR="002D23D6" w:rsidRPr="00BB5813" w:rsidRDefault="002D23D6" w:rsidP="00EA03EA">
            <w:pPr>
              <w:spacing w:line="240" w:lineRule="auto"/>
              <w:jc w:val="center"/>
            </w:pPr>
            <w:r w:rsidRPr="00BB5813">
              <w:rPr>
                <w:rFonts w:eastAsia="Times New Roman"/>
                <w:szCs w:val="24"/>
              </w:rPr>
              <w:t>131</w:t>
            </w:r>
          </w:p>
        </w:tc>
        <w:tc>
          <w:tcPr>
            <w:tcW w:w="1759" w:type="dxa"/>
            <w:vAlign w:val="center"/>
          </w:tcPr>
          <w:p w14:paraId="6EC1B206" w14:textId="77777777" w:rsidR="002D23D6" w:rsidRPr="00BB5813" w:rsidRDefault="002D23D6" w:rsidP="00EA03EA">
            <w:pPr>
              <w:spacing w:line="240" w:lineRule="auto"/>
              <w:jc w:val="center"/>
            </w:pPr>
            <w:r w:rsidRPr="00BB5813">
              <w:rPr>
                <w:rFonts w:eastAsia="Times New Roman"/>
                <w:szCs w:val="24"/>
              </w:rPr>
              <w:t>17,203</w:t>
            </w:r>
          </w:p>
        </w:tc>
      </w:tr>
      <w:tr w:rsidR="002D23D6" w:rsidRPr="00BB5813" w14:paraId="59421253" w14:textId="77777777" w:rsidTr="006D32F9">
        <w:trPr>
          <w:trHeight w:val="204"/>
          <w:jc w:val="center"/>
        </w:trPr>
        <w:tc>
          <w:tcPr>
            <w:tcW w:w="1806" w:type="dxa"/>
            <w:vAlign w:val="center"/>
            <w:hideMark/>
          </w:tcPr>
          <w:p w14:paraId="4271E0DE" w14:textId="77777777" w:rsidR="002D23D6" w:rsidRPr="00BB5813" w:rsidRDefault="002D23D6" w:rsidP="00EA03EA">
            <w:pPr>
              <w:spacing w:line="240" w:lineRule="auto"/>
              <w:jc w:val="center"/>
              <w:rPr>
                <w:rFonts w:eastAsia="Times New Roman"/>
                <w:szCs w:val="24"/>
              </w:rPr>
            </w:pPr>
            <w:r w:rsidRPr="00BB5813">
              <w:rPr>
                <w:szCs w:val="24"/>
              </w:rPr>
              <w:t>Mix-5-RAP</w:t>
            </w:r>
          </w:p>
        </w:tc>
        <w:tc>
          <w:tcPr>
            <w:tcW w:w="1879" w:type="dxa"/>
            <w:noWrap/>
            <w:vAlign w:val="center"/>
            <w:hideMark/>
          </w:tcPr>
          <w:p w14:paraId="25CC80D0" w14:textId="77777777" w:rsidR="002D23D6" w:rsidRPr="00BB5813" w:rsidRDefault="002D23D6" w:rsidP="00EA03EA">
            <w:pPr>
              <w:spacing w:line="240" w:lineRule="auto"/>
              <w:jc w:val="center"/>
            </w:pPr>
            <w:r w:rsidRPr="00BB5813">
              <w:rPr>
                <w:rFonts w:eastAsia="Times New Roman"/>
                <w:szCs w:val="24"/>
              </w:rPr>
              <w:t>3.52E-06</w:t>
            </w:r>
          </w:p>
        </w:tc>
        <w:tc>
          <w:tcPr>
            <w:tcW w:w="2880" w:type="dxa"/>
            <w:gridSpan w:val="2"/>
            <w:noWrap/>
            <w:vAlign w:val="center"/>
            <w:hideMark/>
          </w:tcPr>
          <w:p w14:paraId="31766F13" w14:textId="77777777" w:rsidR="002D23D6" w:rsidRPr="00BB5813" w:rsidRDefault="002D23D6" w:rsidP="00EA03EA">
            <w:pPr>
              <w:spacing w:line="240" w:lineRule="auto"/>
              <w:jc w:val="center"/>
            </w:pPr>
            <w:r w:rsidRPr="00BB5813">
              <w:rPr>
                <w:rFonts w:eastAsia="Times New Roman"/>
                <w:szCs w:val="24"/>
              </w:rPr>
              <w:t>1,776</w:t>
            </w:r>
          </w:p>
        </w:tc>
        <w:tc>
          <w:tcPr>
            <w:tcW w:w="1759" w:type="dxa"/>
            <w:vAlign w:val="center"/>
          </w:tcPr>
          <w:p w14:paraId="278FF8A1" w14:textId="77777777" w:rsidR="002D23D6" w:rsidRPr="00BB5813" w:rsidRDefault="002D23D6" w:rsidP="00EA03EA">
            <w:pPr>
              <w:spacing w:line="240" w:lineRule="auto"/>
              <w:jc w:val="center"/>
            </w:pPr>
            <w:r w:rsidRPr="00BB5813">
              <w:rPr>
                <w:rFonts w:eastAsia="Times New Roman"/>
                <w:szCs w:val="24"/>
              </w:rPr>
              <w:t>16,160</w:t>
            </w:r>
          </w:p>
        </w:tc>
      </w:tr>
    </w:tbl>
    <w:p w14:paraId="56C5F230" w14:textId="77777777" w:rsidR="002D23D6" w:rsidRDefault="002D23D6" w:rsidP="002D23D6"/>
    <w:p w14:paraId="02E8F4D5" w14:textId="77777777" w:rsidR="002D23D6" w:rsidRDefault="002D23D6" w:rsidP="002D23D6"/>
    <w:p w14:paraId="3E05373E" w14:textId="77777777" w:rsidR="002D23D6" w:rsidRDefault="002D23D6" w:rsidP="002D23D6"/>
    <w:p w14:paraId="69251147" w14:textId="77777777" w:rsidR="002D23D6" w:rsidRDefault="002D23D6" w:rsidP="002D23D6"/>
    <w:p w14:paraId="4E14B3C6" w14:textId="77777777" w:rsidR="002D23D6" w:rsidRDefault="002D23D6" w:rsidP="002D23D6"/>
    <w:p w14:paraId="315B33CC" w14:textId="45375577" w:rsidR="002D23D6" w:rsidRDefault="00700639" w:rsidP="0084410F">
      <w:pPr>
        <w:pStyle w:val="Caption"/>
        <w:spacing w:line="480" w:lineRule="auto"/>
        <w:jc w:val="center"/>
        <w:rPr>
          <w:b w:val="0"/>
          <w:szCs w:val="24"/>
          <w:lang w:val="en-CA"/>
        </w:rPr>
      </w:pPr>
      <w:bookmarkStart w:id="163" w:name="_Toc71330998"/>
      <w:r>
        <w:t xml:space="preserve">Table </w:t>
      </w:r>
      <w:fldSimple w:instr=" STYLEREF 1 \s ">
        <w:r w:rsidR="005050F0">
          <w:rPr>
            <w:noProof/>
          </w:rPr>
          <w:t>5</w:t>
        </w:r>
      </w:fldSimple>
      <w:r>
        <w:t>.</w:t>
      </w:r>
      <w:fldSimple w:instr=" SEQ Table \* ARABIC \s 1 ">
        <w:r w:rsidR="005050F0">
          <w:rPr>
            <w:noProof/>
          </w:rPr>
          <w:t>3</w:t>
        </w:r>
      </w:fldSimple>
      <w:r w:rsidR="002D23D6" w:rsidRPr="00131A8F">
        <w:rPr>
          <w:szCs w:val="24"/>
          <w:lang w:val="en-CA"/>
        </w:rPr>
        <w:t xml:space="preserve"> Ranking of </w:t>
      </w:r>
      <w:r w:rsidR="002D23D6">
        <w:rPr>
          <w:szCs w:val="24"/>
          <w:lang w:val="en-CA"/>
        </w:rPr>
        <w:t xml:space="preserve">Asphalt </w:t>
      </w:r>
      <w:r w:rsidR="002D23D6" w:rsidRPr="00131A8F">
        <w:rPr>
          <w:szCs w:val="24"/>
          <w:lang w:val="en-CA"/>
        </w:rPr>
        <w:t xml:space="preserve">Mixes based on Different </w:t>
      </w:r>
      <w:r w:rsidR="002D23D6">
        <w:rPr>
          <w:szCs w:val="24"/>
          <w:lang w:val="en-CA"/>
        </w:rPr>
        <w:t>Laboratory-based Performance Parameters</w:t>
      </w:r>
      <w:bookmarkEnd w:id="163"/>
    </w:p>
    <w:tbl>
      <w:tblPr>
        <w:tblStyle w:val="TableGrid"/>
        <w:tblW w:w="9303" w:type="dxa"/>
        <w:tblLook w:val="04A0" w:firstRow="1" w:lastRow="0" w:firstColumn="1" w:lastColumn="0" w:noHBand="0" w:noVBand="1"/>
      </w:tblPr>
      <w:tblGrid>
        <w:gridCol w:w="1612"/>
        <w:gridCol w:w="1300"/>
        <w:gridCol w:w="1241"/>
        <w:gridCol w:w="1441"/>
        <w:gridCol w:w="1363"/>
        <w:gridCol w:w="2346"/>
      </w:tblGrid>
      <w:tr w:rsidR="002D23D6" w:rsidRPr="00C2779D" w14:paraId="13593ACE" w14:textId="77777777" w:rsidTr="006D32F9">
        <w:trPr>
          <w:trHeight w:val="204"/>
        </w:trPr>
        <w:tc>
          <w:tcPr>
            <w:tcW w:w="1612" w:type="dxa"/>
            <w:vMerge w:val="restart"/>
            <w:vAlign w:val="center"/>
          </w:tcPr>
          <w:p w14:paraId="09CE377C" w14:textId="77777777" w:rsidR="002D23D6" w:rsidRPr="00131A8F" w:rsidRDefault="002D23D6" w:rsidP="00EA03EA">
            <w:pPr>
              <w:spacing w:line="240" w:lineRule="auto"/>
              <w:jc w:val="center"/>
              <w:rPr>
                <w:b/>
                <w:szCs w:val="24"/>
                <w:lang w:val="en-CA"/>
              </w:rPr>
            </w:pPr>
            <w:r w:rsidRPr="00131A8F">
              <w:rPr>
                <w:b/>
                <w:szCs w:val="24"/>
                <w:lang w:val="en-CA"/>
              </w:rPr>
              <w:t>Mix ID</w:t>
            </w:r>
          </w:p>
        </w:tc>
        <w:tc>
          <w:tcPr>
            <w:tcW w:w="2541" w:type="dxa"/>
            <w:gridSpan w:val="2"/>
            <w:vAlign w:val="center"/>
          </w:tcPr>
          <w:p w14:paraId="4733488B" w14:textId="77777777" w:rsidR="002D23D6" w:rsidRPr="00131A8F" w:rsidRDefault="002D23D6" w:rsidP="00EA03EA">
            <w:pPr>
              <w:spacing w:line="240" w:lineRule="auto"/>
              <w:jc w:val="center"/>
              <w:rPr>
                <w:b/>
                <w:szCs w:val="24"/>
                <w:lang w:val="en-CA"/>
              </w:rPr>
            </w:pPr>
            <w:r w:rsidRPr="00131A8F">
              <w:rPr>
                <w:b/>
                <w:szCs w:val="24"/>
                <w:lang w:val="en-CA"/>
              </w:rPr>
              <w:t>HWT Test</w:t>
            </w:r>
          </w:p>
        </w:tc>
        <w:tc>
          <w:tcPr>
            <w:tcW w:w="2804" w:type="dxa"/>
            <w:gridSpan w:val="2"/>
            <w:vAlign w:val="center"/>
          </w:tcPr>
          <w:p w14:paraId="1572D4B1" w14:textId="77777777" w:rsidR="002D23D6" w:rsidRPr="00131A8F" w:rsidRDefault="002D23D6" w:rsidP="00EA03EA">
            <w:pPr>
              <w:spacing w:line="240" w:lineRule="auto"/>
              <w:jc w:val="center"/>
              <w:rPr>
                <w:b/>
                <w:szCs w:val="24"/>
                <w:lang w:val="en-CA"/>
              </w:rPr>
            </w:pPr>
            <w:r w:rsidRPr="00131A8F">
              <w:rPr>
                <w:b/>
                <w:szCs w:val="24"/>
                <w:lang w:val="en-CA"/>
              </w:rPr>
              <w:t>I</w:t>
            </w:r>
            <w:r>
              <w:rPr>
                <w:b/>
                <w:szCs w:val="24"/>
                <w:lang w:val="en-CA"/>
              </w:rPr>
              <w:t>TS</w:t>
            </w:r>
            <w:r w:rsidRPr="00131A8F">
              <w:rPr>
                <w:b/>
                <w:szCs w:val="24"/>
                <w:lang w:val="en-CA"/>
              </w:rPr>
              <w:t xml:space="preserve"> Test</w:t>
            </w:r>
          </w:p>
        </w:tc>
        <w:tc>
          <w:tcPr>
            <w:tcW w:w="2346" w:type="dxa"/>
            <w:vAlign w:val="center"/>
          </w:tcPr>
          <w:p w14:paraId="715635C2" w14:textId="77777777" w:rsidR="002D23D6" w:rsidRPr="00131A8F" w:rsidRDefault="002D23D6" w:rsidP="00EA03EA">
            <w:pPr>
              <w:spacing w:line="240" w:lineRule="auto"/>
              <w:jc w:val="center"/>
              <w:rPr>
                <w:b/>
                <w:szCs w:val="24"/>
                <w:lang w:val="en-CA"/>
              </w:rPr>
            </w:pPr>
            <w:r>
              <w:rPr>
                <w:b/>
                <w:szCs w:val="24"/>
                <w:lang w:val="en-CA"/>
              </w:rPr>
              <w:t>LA-</w:t>
            </w:r>
            <w:r w:rsidRPr="00131A8F">
              <w:rPr>
                <w:b/>
                <w:szCs w:val="24"/>
                <w:lang w:val="en-CA"/>
              </w:rPr>
              <w:t>SCB Test</w:t>
            </w:r>
          </w:p>
        </w:tc>
      </w:tr>
      <w:tr w:rsidR="002D23D6" w:rsidRPr="00C2779D" w14:paraId="58D73A5D" w14:textId="77777777" w:rsidTr="0068233F">
        <w:trPr>
          <w:trHeight w:val="435"/>
        </w:trPr>
        <w:tc>
          <w:tcPr>
            <w:tcW w:w="1612" w:type="dxa"/>
            <w:vMerge/>
            <w:vAlign w:val="center"/>
          </w:tcPr>
          <w:p w14:paraId="6131B6E4" w14:textId="77777777" w:rsidR="002D23D6" w:rsidRPr="00C2779D" w:rsidRDefault="002D23D6" w:rsidP="00EA03EA">
            <w:pPr>
              <w:spacing w:line="240" w:lineRule="auto"/>
              <w:jc w:val="center"/>
              <w:rPr>
                <w:szCs w:val="24"/>
                <w:lang w:val="en-CA"/>
              </w:rPr>
            </w:pPr>
          </w:p>
        </w:tc>
        <w:tc>
          <w:tcPr>
            <w:tcW w:w="1300" w:type="dxa"/>
            <w:vAlign w:val="center"/>
          </w:tcPr>
          <w:p w14:paraId="4B4242A9" w14:textId="77777777" w:rsidR="002D23D6" w:rsidRPr="00B53E50" w:rsidRDefault="002D23D6" w:rsidP="00EA03EA">
            <w:pPr>
              <w:spacing w:line="240" w:lineRule="auto"/>
              <w:jc w:val="center"/>
              <w:rPr>
                <w:b/>
                <w:i/>
                <w:iCs/>
                <w:szCs w:val="24"/>
                <w:lang w:val="en-CA"/>
              </w:rPr>
            </w:pPr>
            <w:r w:rsidRPr="00B53E50">
              <w:rPr>
                <w:b/>
                <w:i/>
                <w:iCs/>
                <w:szCs w:val="24"/>
                <w:lang w:val="en-CA"/>
              </w:rPr>
              <w:t>SIP</w:t>
            </w:r>
          </w:p>
        </w:tc>
        <w:tc>
          <w:tcPr>
            <w:tcW w:w="1241" w:type="dxa"/>
            <w:vAlign w:val="center"/>
          </w:tcPr>
          <w:p w14:paraId="48043492" w14:textId="77777777" w:rsidR="002D23D6" w:rsidRPr="00B53E50" w:rsidRDefault="002D23D6" w:rsidP="00EA03EA">
            <w:pPr>
              <w:spacing w:line="240" w:lineRule="auto"/>
              <w:jc w:val="center"/>
              <w:rPr>
                <w:b/>
                <w:i/>
                <w:iCs/>
                <w:szCs w:val="24"/>
                <w:lang w:val="en-CA"/>
              </w:rPr>
            </w:pPr>
            <w:r w:rsidRPr="00B53E50">
              <w:rPr>
                <w:b/>
                <w:i/>
                <w:iCs/>
                <w:szCs w:val="24"/>
                <w:lang w:val="en-CA"/>
              </w:rPr>
              <w:t>LC</w:t>
            </w:r>
            <w:r w:rsidRPr="00B53E50">
              <w:rPr>
                <w:b/>
                <w:i/>
                <w:iCs/>
                <w:szCs w:val="24"/>
                <w:vertAlign w:val="subscript"/>
                <w:lang w:val="en-CA"/>
              </w:rPr>
              <w:t>SN</w:t>
            </w:r>
          </w:p>
        </w:tc>
        <w:tc>
          <w:tcPr>
            <w:tcW w:w="1441" w:type="dxa"/>
            <w:vAlign w:val="center"/>
          </w:tcPr>
          <w:p w14:paraId="6461A372" w14:textId="77777777" w:rsidR="002D23D6" w:rsidRPr="00B53E50" w:rsidRDefault="002D23D6" w:rsidP="00EA03EA">
            <w:pPr>
              <w:spacing w:line="240" w:lineRule="auto"/>
              <w:jc w:val="center"/>
              <w:rPr>
                <w:b/>
                <w:i/>
                <w:iCs/>
                <w:szCs w:val="24"/>
                <w:lang w:val="en-CA"/>
              </w:rPr>
            </w:pPr>
            <w:r w:rsidRPr="00B53E50">
              <w:rPr>
                <w:b/>
                <w:i/>
                <w:iCs/>
                <w:szCs w:val="24"/>
                <w:lang w:val="en-CA"/>
              </w:rPr>
              <w:t>TSR</w:t>
            </w:r>
          </w:p>
        </w:tc>
        <w:tc>
          <w:tcPr>
            <w:tcW w:w="1363" w:type="dxa"/>
            <w:vAlign w:val="center"/>
          </w:tcPr>
          <w:p w14:paraId="10C84786" w14:textId="77777777" w:rsidR="002D23D6" w:rsidRPr="00B53E50" w:rsidRDefault="002D23D6" w:rsidP="00EA03EA">
            <w:pPr>
              <w:spacing w:line="240" w:lineRule="auto"/>
              <w:jc w:val="center"/>
              <w:rPr>
                <w:b/>
                <w:i/>
                <w:iCs/>
                <w:szCs w:val="24"/>
                <w:lang w:val="en-CA"/>
              </w:rPr>
            </w:pPr>
            <w:r w:rsidRPr="00B53E50">
              <w:rPr>
                <w:b/>
                <w:i/>
                <w:iCs/>
                <w:szCs w:val="24"/>
                <w:lang w:val="en-CA"/>
              </w:rPr>
              <w:t>TI ratio</w:t>
            </w:r>
          </w:p>
        </w:tc>
        <w:tc>
          <w:tcPr>
            <w:tcW w:w="2346" w:type="dxa"/>
            <w:vAlign w:val="center"/>
          </w:tcPr>
          <w:p w14:paraId="6E6CA3DD" w14:textId="77777777" w:rsidR="002D23D6" w:rsidRPr="00B53E50" w:rsidRDefault="002D23D6" w:rsidP="00EA03EA">
            <w:pPr>
              <w:spacing w:line="240" w:lineRule="auto"/>
              <w:jc w:val="center"/>
              <w:rPr>
                <w:b/>
                <w:i/>
                <w:iCs/>
                <w:szCs w:val="24"/>
                <w:lang w:val="en-CA"/>
              </w:rPr>
            </w:pPr>
            <w:r w:rsidRPr="00B53E50">
              <w:rPr>
                <w:b/>
                <w:i/>
                <w:iCs/>
                <w:szCs w:val="24"/>
                <w:lang w:val="en-CA"/>
              </w:rPr>
              <w:t>J</w:t>
            </w:r>
            <w:r w:rsidRPr="00B53E50">
              <w:rPr>
                <w:b/>
                <w:i/>
                <w:iCs/>
                <w:szCs w:val="24"/>
                <w:vertAlign w:val="subscript"/>
                <w:lang w:val="en-CA"/>
              </w:rPr>
              <w:t>c</w:t>
            </w:r>
            <w:r w:rsidRPr="00B53E50">
              <w:rPr>
                <w:b/>
                <w:i/>
                <w:iCs/>
                <w:szCs w:val="24"/>
                <w:lang w:val="en-CA"/>
              </w:rPr>
              <w:t xml:space="preserve"> ratio</w:t>
            </w:r>
          </w:p>
        </w:tc>
      </w:tr>
      <w:tr w:rsidR="002D23D6" w:rsidRPr="00C2779D" w14:paraId="3165FDA7" w14:textId="77777777" w:rsidTr="0068233F">
        <w:trPr>
          <w:trHeight w:val="204"/>
        </w:trPr>
        <w:tc>
          <w:tcPr>
            <w:tcW w:w="1612" w:type="dxa"/>
            <w:vAlign w:val="center"/>
          </w:tcPr>
          <w:p w14:paraId="53E6DCF9" w14:textId="77777777" w:rsidR="002D23D6" w:rsidRPr="004709D2" w:rsidRDefault="002D23D6" w:rsidP="00EA03EA">
            <w:pPr>
              <w:spacing w:line="240" w:lineRule="auto"/>
              <w:jc w:val="center"/>
              <w:rPr>
                <w:szCs w:val="24"/>
                <w:lang w:val="en-CA"/>
              </w:rPr>
            </w:pPr>
            <w:r w:rsidRPr="004709D2">
              <w:rPr>
                <w:szCs w:val="24"/>
              </w:rPr>
              <w:t>Mix-1-None</w:t>
            </w:r>
          </w:p>
        </w:tc>
        <w:tc>
          <w:tcPr>
            <w:tcW w:w="1300" w:type="dxa"/>
            <w:vAlign w:val="center"/>
          </w:tcPr>
          <w:p w14:paraId="5AB81878" w14:textId="77777777" w:rsidR="002D23D6" w:rsidRPr="00C2779D" w:rsidRDefault="002D23D6" w:rsidP="00EA03EA">
            <w:pPr>
              <w:spacing w:line="240" w:lineRule="auto"/>
              <w:jc w:val="center"/>
              <w:rPr>
                <w:szCs w:val="24"/>
                <w:lang w:val="en-CA"/>
              </w:rPr>
            </w:pPr>
            <w:r w:rsidRPr="00C2779D">
              <w:rPr>
                <w:szCs w:val="24"/>
                <w:lang w:val="en-CA"/>
              </w:rPr>
              <w:t>2</w:t>
            </w:r>
          </w:p>
        </w:tc>
        <w:tc>
          <w:tcPr>
            <w:tcW w:w="1241" w:type="dxa"/>
            <w:vAlign w:val="center"/>
          </w:tcPr>
          <w:p w14:paraId="638F8F87" w14:textId="77777777" w:rsidR="002D23D6" w:rsidRPr="00C2779D" w:rsidRDefault="002D23D6" w:rsidP="00EA03EA">
            <w:pPr>
              <w:spacing w:line="240" w:lineRule="auto"/>
              <w:jc w:val="center"/>
              <w:rPr>
                <w:szCs w:val="24"/>
                <w:lang w:val="en-CA"/>
              </w:rPr>
            </w:pPr>
            <w:r w:rsidRPr="00C2779D">
              <w:rPr>
                <w:szCs w:val="24"/>
                <w:lang w:val="en-CA"/>
              </w:rPr>
              <w:t>3</w:t>
            </w:r>
          </w:p>
        </w:tc>
        <w:tc>
          <w:tcPr>
            <w:tcW w:w="1441" w:type="dxa"/>
            <w:vAlign w:val="center"/>
          </w:tcPr>
          <w:p w14:paraId="15822961" w14:textId="77777777" w:rsidR="002D23D6" w:rsidRPr="00C2779D" w:rsidRDefault="002D23D6" w:rsidP="00EA03EA">
            <w:pPr>
              <w:spacing w:line="240" w:lineRule="auto"/>
              <w:jc w:val="center"/>
              <w:rPr>
                <w:szCs w:val="24"/>
                <w:lang w:val="en-CA"/>
              </w:rPr>
            </w:pPr>
            <w:r w:rsidRPr="00C2779D">
              <w:rPr>
                <w:szCs w:val="24"/>
                <w:lang w:val="en-CA"/>
              </w:rPr>
              <w:t>3</w:t>
            </w:r>
          </w:p>
        </w:tc>
        <w:tc>
          <w:tcPr>
            <w:tcW w:w="1363" w:type="dxa"/>
            <w:vAlign w:val="center"/>
          </w:tcPr>
          <w:p w14:paraId="3D7A20F7" w14:textId="77777777" w:rsidR="002D23D6" w:rsidRPr="00C2779D" w:rsidRDefault="002D23D6" w:rsidP="00EA03EA">
            <w:pPr>
              <w:spacing w:line="240" w:lineRule="auto"/>
              <w:jc w:val="center"/>
              <w:rPr>
                <w:szCs w:val="24"/>
                <w:lang w:val="en-CA"/>
              </w:rPr>
            </w:pPr>
            <w:r>
              <w:rPr>
                <w:szCs w:val="24"/>
                <w:lang w:val="en-CA"/>
              </w:rPr>
              <w:t>3</w:t>
            </w:r>
          </w:p>
        </w:tc>
        <w:tc>
          <w:tcPr>
            <w:tcW w:w="2346" w:type="dxa"/>
            <w:vAlign w:val="center"/>
          </w:tcPr>
          <w:p w14:paraId="114F7C73" w14:textId="77777777" w:rsidR="002D23D6" w:rsidRPr="00C2779D" w:rsidRDefault="002D23D6" w:rsidP="00EA03EA">
            <w:pPr>
              <w:spacing w:line="240" w:lineRule="auto"/>
              <w:jc w:val="center"/>
              <w:rPr>
                <w:szCs w:val="24"/>
                <w:lang w:val="en-CA"/>
              </w:rPr>
            </w:pPr>
            <w:r w:rsidRPr="00C2779D">
              <w:rPr>
                <w:szCs w:val="24"/>
                <w:lang w:val="en-CA"/>
              </w:rPr>
              <w:t>5</w:t>
            </w:r>
          </w:p>
        </w:tc>
      </w:tr>
      <w:tr w:rsidR="002D23D6" w:rsidRPr="00C2779D" w14:paraId="4B523605" w14:textId="77777777" w:rsidTr="0068233F">
        <w:trPr>
          <w:trHeight w:val="204"/>
        </w:trPr>
        <w:tc>
          <w:tcPr>
            <w:tcW w:w="1612" w:type="dxa"/>
            <w:vAlign w:val="center"/>
          </w:tcPr>
          <w:p w14:paraId="30C0BA26" w14:textId="77777777" w:rsidR="002D23D6" w:rsidRPr="004709D2" w:rsidRDefault="002D23D6" w:rsidP="00EA03EA">
            <w:pPr>
              <w:spacing w:line="240" w:lineRule="auto"/>
              <w:jc w:val="center"/>
              <w:rPr>
                <w:szCs w:val="24"/>
                <w:lang w:val="en-CA"/>
              </w:rPr>
            </w:pPr>
            <w:r w:rsidRPr="004709D2">
              <w:rPr>
                <w:szCs w:val="24"/>
              </w:rPr>
              <w:t>Mix-2-WMA</w:t>
            </w:r>
          </w:p>
        </w:tc>
        <w:tc>
          <w:tcPr>
            <w:tcW w:w="1300" w:type="dxa"/>
            <w:vAlign w:val="center"/>
          </w:tcPr>
          <w:p w14:paraId="6CB20C68" w14:textId="77777777" w:rsidR="002D23D6" w:rsidRPr="00C2779D" w:rsidRDefault="002D23D6" w:rsidP="00EA03EA">
            <w:pPr>
              <w:spacing w:line="240" w:lineRule="auto"/>
              <w:jc w:val="center"/>
              <w:rPr>
                <w:szCs w:val="24"/>
                <w:lang w:val="en-CA"/>
              </w:rPr>
            </w:pPr>
            <w:r w:rsidRPr="00C2779D">
              <w:rPr>
                <w:szCs w:val="24"/>
                <w:lang w:val="en-CA"/>
              </w:rPr>
              <w:t>4</w:t>
            </w:r>
          </w:p>
        </w:tc>
        <w:tc>
          <w:tcPr>
            <w:tcW w:w="1241" w:type="dxa"/>
            <w:vAlign w:val="center"/>
          </w:tcPr>
          <w:p w14:paraId="0592F25D" w14:textId="77777777" w:rsidR="002D23D6" w:rsidRPr="00C2779D" w:rsidRDefault="002D23D6" w:rsidP="00EA03EA">
            <w:pPr>
              <w:spacing w:line="240" w:lineRule="auto"/>
              <w:jc w:val="center"/>
              <w:rPr>
                <w:szCs w:val="24"/>
                <w:lang w:val="en-CA"/>
              </w:rPr>
            </w:pPr>
            <w:r w:rsidRPr="00C2779D">
              <w:rPr>
                <w:szCs w:val="24"/>
                <w:lang w:val="en-CA"/>
              </w:rPr>
              <w:t>4</w:t>
            </w:r>
          </w:p>
        </w:tc>
        <w:tc>
          <w:tcPr>
            <w:tcW w:w="1441" w:type="dxa"/>
            <w:vAlign w:val="center"/>
          </w:tcPr>
          <w:p w14:paraId="71688192" w14:textId="77777777" w:rsidR="002D23D6" w:rsidRPr="00C2779D" w:rsidRDefault="002D23D6" w:rsidP="00EA03EA">
            <w:pPr>
              <w:spacing w:line="240" w:lineRule="auto"/>
              <w:jc w:val="center"/>
              <w:rPr>
                <w:szCs w:val="24"/>
                <w:lang w:val="en-CA"/>
              </w:rPr>
            </w:pPr>
            <w:r w:rsidRPr="00C2779D">
              <w:rPr>
                <w:szCs w:val="24"/>
                <w:lang w:val="en-CA"/>
              </w:rPr>
              <w:t>2</w:t>
            </w:r>
          </w:p>
        </w:tc>
        <w:tc>
          <w:tcPr>
            <w:tcW w:w="1363" w:type="dxa"/>
            <w:vAlign w:val="center"/>
          </w:tcPr>
          <w:p w14:paraId="513FA930" w14:textId="77777777" w:rsidR="002D23D6" w:rsidRPr="00C2779D" w:rsidRDefault="002D23D6" w:rsidP="00EA03EA">
            <w:pPr>
              <w:spacing w:line="240" w:lineRule="auto"/>
              <w:jc w:val="center"/>
              <w:rPr>
                <w:szCs w:val="24"/>
                <w:lang w:val="en-CA"/>
              </w:rPr>
            </w:pPr>
            <w:r>
              <w:rPr>
                <w:szCs w:val="24"/>
                <w:lang w:val="en-CA"/>
              </w:rPr>
              <w:t>1</w:t>
            </w:r>
          </w:p>
        </w:tc>
        <w:tc>
          <w:tcPr>
            <w:tcW w:w="2346" w:type="dxa"/>
            <w:vAlign w:val="center"/>
          </w:tcPr>
          <w:p w14:paraId="124A66B0" w14:textId="77777777" w:rsidR="002D23D6" w:rsidRPr="00C2779D" w:rsidRDefault="002D23D6" w:rsidP="00EA03EA">
            <w:pPr>
              <w:spacing w:line="240" w:lineRule="auto"/>
              <w:jc w:val="center"/>
              <w:rPr>
                <w:szCs w:val="24"/>
                <w:lang w:val="en-CA"/>
              </w:rPr>
            </w:pPr>
            <w:r w:rsidRPr="00C2779D">
              <w:rPr>
                <w:szCs w:val="24"/>
                <w:lang w:val="en-CA"/>
              </w:rPr>
              <w:t>2</w:t>
            </w:r>
          </w:p>
        </w:tc>
      </w:tr>
      <w:tr w:rsidR="002D23D6" w:rsidRPr="00C2779D" w14:paraId="30D362F5" w14:textId="77777777" w:rsidTr="0068233F">
        <w:trPr>
          <w:trHeight w:val="204"/>
        </w:trPr>
        <w:tc>
          <w:tcPr>
            <w:tcW w:w="1612" w:type="dxa"/>
            <w:vAlign w:val="center"/>
          </w:tcPr>
          <w:p w14:paraId="2BEF2D9E" w14:textId="77777777" w:rsidR="002D23D6" w:rsidRPr="004709D2" w:rsidRDefault="002D23D6" w:rsidP="00EA03EA">
            <w:pPr>
              <w:spacing w:line="240" w:lineRule="auto"/>
              <w:jc w:val="center"/>
              <w:rPr>
                <w:szCs w:val="24"/>
                <w:lang w:val="en-CA"/>
              </w:rPr>
            </w:pPr>
            <w:r w:rsidRPr="004709D2">
              <w:rPr>
                <w:szCs w:val="24"/>
              </w:rPr>
              <w:t>Mix-3-ASA</w:t>
            </w:r>
          </w:p>
        </w:tc>
        <w:tc>
          <w:tcPr>
            <w:tcW w:w="1300" w:type="dxa"/>
            <w:vAlign w:val="center"/>
          </w:tcPr>
          <w:p w14:paraId="11B5CB09" w14:textId="77777777" w:rsidR="002D23D6" w:rsidRPr="00C2779D" w:rsidRDefault="002D23D6" w:rsidP="00EA03EA">
            <w:pPr>
              <w:spacing w:line="240" w:lineRule="auto"/>
              <w:jc w:val="center"/>
              <w:rPr>
                <w:szCs w:val="24"/>
                <w:lang w:val="en-CA"/>
              </w:rPr>
            </w:pPr>
            <w:r w:rsidRPr="00C2779D">
              <w:rPr>
                <w:szCs w:val="24"/>
                <w:lang w:val="en-CA"/>
              </w:rPr>
              <w:t>1</w:t>
            </w:r>
          </w:p>
        </w:tc>
        <w:tc>
          <w:tcPr>
            <w:tcW w:w="1241" w:type="dxa"/>
            <w:vAlign w:val="center"/>
          </w:tcPr>
          <w:p w14:paraId="063ADA6F" w14:textId="77777777" w:rsidR="002D23D6" w:rsidRPr="00C2779D" w:rsidRDefault="002D23D6" w:rsidP="00EA03EA">
            <w:pPr>
              <w:spacing w:line="240" w:lineRule="auto"/>
              <w:jc w:val="center"/>
              <w:rPr>
                <w:szCs w:val="24"/>
                <w:lang w:val="en-CA"/>
              </w:rPr>
            </w:pPr>
            <w:r w:rsidRPr="00C2779D">
              <w:rPr>
                <w:szCs w:val="24"/>
                <w:lang w:val="en-CA"/>
              </w:rPr>
              <w:t>1</w:t>
            </w:r>
          </w:p>
        </w:tc>
        <w:tc>
          <w:tcPr>
            <w:tcW w:w="1441" w:type="dxa"/>
            <w:vAlign w:val="center"/>
          </w:tcPr>
          <w:p w14:paraId="1ADA96B7" w14:textId="77777777" w:rsidR="002D23D6" w:rsidRPr="00C2779D" w:rsidRDefault="002D23D6" w:rsidP="00EA03EA">
            <w:pPr>
              <w:spacing w:line="240" w:lineRule="auto"/>
              <w:jc w:val="center"/>
              <w:rPr>
                <w:szCs w:val="24"/>
                <w:lang w:val="en-CA"/>
              </w:rPr>
            </w:pPr>
            <w:r w:rsidRPr="00C2779D">
              <w:rPr>
                <w:szCs w:val="24"/>
                <w:lang w:val="en-CA"/>
              </w:rPr>
              <w:t>1</w:t>
            </w:r>
          </w:p>
        </w:tc>
        <w:tc>
          <w:tcPr>
            <w:tcW w:w="1363" w:type="dxa"/>
            <w:vAlign w:val="center"/>
          </w:tcPr>
          <w:p w14:paraId="4ED49B68" w14:textId="77777777" w:rsidR="002D23D6" w:rsidRPr="00C2779D" w:rsidRDefault="002D23D6" w:rsidP="00EA03EA">
            <w:pPr>
              <w:spacing w:line="240" w:lineRule="auto"/>
              <w:jc w:val="center"/>
              <w:rPr>
                <w:szCs w:val="24"/>
                <w:lang w:val="en-CA"/>
              </w:rPr>
            </w:pPr>
            <w:r>
              <w:rPr>
                <w:szCs w:val="24"/>
                <w:lang w:val="en-CA"/>
              </w:rPr>
              <w:t>4</w:t>
            </w:r>
          </w:p>
        </w:tc>
        <w:tc>
          <w:tcPr>
            <w:tcW w:w="2346" w:type="dxa"/>
            <w:vAlign w:val="center"/>
          </w:tcPr>
          <w:p w14:paraId="4D5AD613" w14:textId="77777777" w:rsidR="002D23D6" w:rsidRPr="00C2779D" w:rsidRDefault="002D23D6" w:rsidP="00EA03EA">
            <w:pPr>
              <w:spacing w:line="240" w:lineRule="auto"/>
              <w:jc w:val="center"/>
              <w:rPr>
                <w:szCs w:val="24"/>
                <w:lang w:val="en-CA"/>
              </w:rPr>
            </w:pPr>
            <w:r w:rsidRPr="00C2779D">
              <w:rPr>
                <w:szCs w:val="24"/>
                <w:lang w:val="en-CA"/>
              </w:rPr>
              <w:t>1</w:t>
            </w:r>
          </w:p>
        </w:tc>
      </w:tr>
      <w:tr w:rsidR="002D23D6" w:rsidRPr="00C2779D" w14:paraId="63152F08" w14:textId="77777777" w:rsidTr="0068233F">
        <w:trPr>
          <w:trHeight w:val="193"/>
        </w:trPr>
        <w:tc>
          <w:tcPr>
            <w:tcW w:w="1612" w:type="dxa"/>
            <w:vAlign w:val="center"/>
          </w:tcPr>
          <w:p w14:paraId="3888127E" w14:textId="77777777" w:rsidR="002D23D6" w:rsidRPr="004709D2" w:rsidRDefault="002D23D6" w:rsidP="00EA03EA">
            <w:pPr>
              <w:spacing w:line="240" w:lineRule="auto"/>
              <w:jc w:val="center"/>
              <w:rPr>
                <w:szCs w:val="24"/>
                <w:lang w:val="en-CA"/>
              </w:rPr>
            </w:pPr>
            <w:r w:rsidRPr="004709D2">
              <w:rPr>
                <w:szCs w:val="24"/>
              </w:rPr>
              <w:t>Mix-4-PPA</w:t>
            </w:r>
          </w:p>
        </w:tc>
        <w:tc>
          <w:tcPr>
            <w:tcW w:w="1300" w:type="dxa"/>
            <w:vAlign w:val="center"/>
          </w:tcPr>
          <w:p w14:paraId="573A3C2C" w14:textId="77777777" w:rsidR="002D23D6" w:rsidRPr="00C2779D" w:rsidRDefault="002D23D6" w:rsidP="00EA03EA">
            <w:pPr>
              <w:spacing w:line="240" w:lineRule="auto"/>
              <w:jc w:val="center"/>
              <w:rPr>
                <w:szCs w:val="24"/>
                <w:lang w:val="en-CA"/>
              </w:rPr>
            </w:pPr>
            <w:r w:rsidRPr="00C2779D">
              <w:rPr>
                <w:szCs w:val="24"/>
                <w:lang w:val="en-CA"/>
              </w:rPr>
              <w:t>5</w:t>
            </w:r>
          </w:p>
        </w:tc>
        <w:tc>
          <w:tcPr>
            <w:tcW w:w="1241" w:type="dxa"/>
            <w:vAlign w:val="center"/>
          </w:tcPr>
          <w:p w14:paraId="70233A00" w14:textId="77777777" w:rsidR="002D23D6" w:rsidRPr="00C2779D" w:rsidRDefault="002D23D6" w:rsidP="00EA03EA">
            <w:pPr>
              <w:spacing w:line="240" w:lineRule="auto"/>
              <w:jc w:val="center"/>
              <w:rPr>
                <w:szCs w:val="24"/>
                <w:lang w:val="en-CA"/>
              </w:rPr>
            </w:pPr>
            <w:r w:rsidRPr="00C2779D">
              <w:rPr>
                <w:szCs w:val="24"/>
                <w:lang w:val="en-CA"/>
              </w:rPr>
              <w:t>5</w:t>
            </w:r>
          </w:p>
        </w:tc>
        <w:tc>
          <w:tcPr>
            <w:tcW w:w="1441" w:type="dxa"/>
            <w:vAlign w:val="center"/>
          </w:tcPr>
          <w:p w14:paraId="1274FFEC" w14:textId="77777777" w:rsidR="002D23D6" w:rsidRPr="00C2779D" w:rsidRDefault="002D23D6" w:rsidP="00EA03EA">
            <w:pPr>
              <w:spacing w:line="240" w:lineRule="auto"/>
              <w:jc w:val="center"/>
              <w:rPr>
                <w:szCs w:val="24"/>
                <w:lang w:val="en-CA"/>
              </w:rPr>
            </w:pPr>
            <w:r w:rsidRPr="00C2779D">
              <w:rPr>
                <w:szCs w:val="24"/>
                <w:lang w:val="en-CA"/>
              </w:rPr>
              <w:t>4</w:t>
            </w:r>
          </w:p>
        </w:tc>
        <w:tc>
          <w:tcPr>
            <w:tcW w:w="1363" w:type="dxa"/>
            <w:vAlign w:val="center"/>
          </w:tcPr>
          <w:p w14:paraId="2D8AC632" w14:textId="77777777" w:rsidR="002D23D6" w:rsidRPr="00C2779D" w:rsidRDefault="002D23D6" w:rsidP="00EA03EA">
            <w:pPr>
              <w:spacing w:line="240" w:lineRule="auto"/>
              <w:jc w:val="center"/>
              <w:rPr>
                <w:szCs w:val="24"/>
                <w:lang w:val="en-CA"/>
              </w:rPr>
            </w:pPr>
            <w:r>
              <w:rPr>
                <w:szCs w:val="24"/>
                <w:lang w:val="en-CA"/>
              </w:rPr>
              <w:t>5</w:t>
            </w:r>
          </w:p>
        </w:tc>
        <w:tc>
          <w:tcPr>
            <w:tcW w:w="2346" w:type="dxa"/>
            <w:vAlign w:val="center"/>
          </w:tcPr>
          <w:p w14:paraId="3FE22E40" w14:textId="77777777" w:rsidR="002D23D6" w:rsidRPr="00C2779D" w:rsidRDefault="002D23D6" w:rsidP="00EA03EA">
            <w:pPr>
              <w:spacing w:line="240" w:lineRule="auto"/>
              <w:jc w:val="center"/>
              <w:rPr>
                <w:szCs w:val="24"/>
                <w:lang w:val="en-CA"/>
              </w:rPr>
            </w:pPr>
            <w:r w:rsidRPr="00C2779D">
              <w:rPr>
                <w:szCs w:val="24"/>
                <w:lang w:val="en-CA"/>
              </w:rPr>
              <w:t>4</w:t>
            </w:r>
          </w:p>
        </w:tc>
      </w:tr>
      <w:tr w:rsidR="002D23D6" w:rsidRPr="00C2779D" w14:paraId="3F007F08" w14:textId="77777777" w:rsidTr="0068233F">
        <w:trPr>
          <w:trHeight w:val="193"/>
        </w:trPr>
        <w:tc>
          <w:tcPr>
            <w:tcW w:w="1612" w:type="dxa"/>
            <w:vAlign w:val="center"/>
          </w:tcPr>
          <w:p w14:paraId="3EBA2152" w14:textId="77777777" w:rsidR="002D23D6" w:rsidRPr="004709D2" w:rsidRDefault="002D23D6" w:rsidP="00EA03EA">
            <w:pPr>
              <w:spacing w:line="240" w:lineRule="auto"/>
              <w:jc w:val="center"/>
              <w:rPr>
                <w:szCs w:val="24"/>
                <w:lang w:val="en-CA"/>
              </w:rPr>
            </w:pPr>
            <w:r w:rsidRPr="004709D2">
              <w:rPr>
                <w:szCs w:val="24"/>
              </w:rPr>
              <w:t>Mix-5-RAP</w:t>
            </w:r>
          </w:p>
        </w:tc>
        <w:tc>
          <w:tcPr>
            <w:tcW w:w="1300" w:type="dxa"/>
            <w:vAlign w:val="center"/>
          </w:tcPr>
          <w:p w14:paraId="059D1159" w14:textId="77777777" w:rsidR="002D23D6" w:rsidRPr="00C2779D" w:rsidRDefault="002D23D6" w:rsidP="00EA03EA">
            <w:pPr>
              <w:spacing w:line="240" w:lineRule="auto"/>
              <w:jc w:val="center"/>
              <w:rPr>
                <w:szCs w:val="24"/>
                <w:lang w:val="en-CA"/>
              </w:rPr>
            </w:pPr>
            <w:r w:rsidRPr="00C2779D">
              <w:rPr>
                <w:szCs w:val="24"/>
                <w:lang w:val="en-CA"/>
              </w:rPr>
              <w:t>3</w:t>
            </w:r>
          </w:p>
        </w:tc>
        <w:tc>
          <w:tcPr>
            <w:tcW w:w="1241" w:type="dxa"/>
            <w:vAlign w:val="center"/>
          </w:tcPr>
          <w:p w14:paraId="75AF2C8A" w14:textId="77777777" w:rsidR="002D23D6" w:rsidRPr="00C2779D" w:rsidRDefault="002D23D6" w:rsidP="00EA03EA">
            <w:pPr>
              <w:spacing w:line="240" w:lineRule="auto"/>
              <w:jc w:val="center"/>
              <w:rPr>
                <w:szCs w:val="24"/>
                <w:lang w:val="en-CA"/>
              </w:rPr>
            </w:pPr>
            <w:r w:rsidRPr="00C2779D">
              <w:rPr>
                <w:szCs w:val="24"/>
                <w:lang w:val="en-CA"/>
              </w:rPr>
              <w:t>2</w:t>
            </w:r>
          </w:p>
        </w:tc>
        <w:tc>
          <w:tcPr>
            <w:tcW w:w="1441" w:type="dxa"/>
            <w:vAlign w:val="center"/>
          </w:tcPr>
          <w:p w14:paraId="5C4CA696" w14:textId="77777777" w:rsidR="002D23D6" w:rsidRPr="00C2779D" w:rsidRDefault="002D23D6" w:rsidP="00EA03EA">
            <w:pPr>
              <w:spacing w:line="240" w:lineRule="auto"/>
              <w:jc w:val="center"/>
              <w:rPr>
                <w:szCs w:val="24"/>
                <w:lang w:val="en-CA"/>
              </w:rPr>
            </w:pPr>
            <w:r w:rsidRPr="00C2779D">
              <w:rPr>
                <w:szCs w:val="24"/>
                <w:lang w:val="en-CA"/>
              </w:rPr>
              <w:t>5</w:t>
            </w:r>
          </w:p>
        </w:tc>
        <w:tc>
          <w:tcPr>
            <w:tcW w:w="1363" w:type="dxa"/>
            <w:vAlign w:val="center"/>
          </w:tcPr>
          <w:p w14:paraId="039FBD76" w14:textId="77777777" w:rsidR="002D23D6" w:rsidRPr="00C2779D" w:rsidRDefault="002D23D6" w:rsidP="00EA03EA">
            <w:pPr>
              <w:spacing w:line="240" w:lineRule="auto"/>
              <w:jc w:val="center"/>
              <w:rPr>
                <w:szCs w:val="24"/>
                <w:lang w:val="en-CA"/>
              </w:rPr>
            </w:pPr>
            <w:r>
              <w:rPr>
                <w:szCs w:val="24"/>
                <w:lang w:val="en-CA"/>
              </w:rPr>
              <w:t>2</w:t>
            </w:r>
          </w:p>
        </w:tc>
        <w:tc>
          <w:tcPr>
            <w:tcW w:w="2346" w:type="dxa"/>
            <w:vAlign w:val="center"/>
          </w:tcPr>
          <w:p w14:paraId="2233F9BD" w14:textId="77777777" w:rsidR="002D23D6" w:rsidRPr="00C2779D" w:rsidRDefault="002D23D6" w:rsidP="00EA03EA">
            <w:pPr>
              <w:spacing w:line="240" w:lineRule="auto"/>
              <w:jc w:val="center"/>
              <w:rPr>
                <w:szCs w:val="24"/>
                <w:lang w:val="en-CA"/>
              </w:rPr>
            </w:pPr>
            <w:r w:rsidRPr="00C2779D">
              <w:rPr>
                <w:szCs w:val="24"/>
                <w:lang w:val="en-CA"/>
              </w:rPr>
              <w:t>3</w:t>
            </w:r>
          </w:p>
        </w:tc>
      </w:tr>
    </w:tbl>
    <w:p w14:paraId="111638AA" w14:textId="77777777" w:rsidR="002D23D6" w:rsidRDefault="002D23D6" w:rsidP="002D23D6"/>
    <w:p w14:paraId="225889AA" w14:textId="3D494244" w:rsidR="009001EA" w:rsidRDefault="00051FC1" w:rsidP="000C382A">
      <w:pPr>
        <w:pStyle w:val="Paragraph"/>
        <w:ind w:firstLine="0"/>
        <w:jc w:val="center"/>
      </w:pPr>
      <w:r>
        <w:rPr>
          <w:noProof/>
        </w:rPr>
        <w:drawing>
          <wp:inline distT="0" distB="0" distL="0" distR="0" wp14:anchorId="628D164F" wp14:editId="748F09CB">
            <wp:extent cx="5394960" cy="4147185"/>
            <wp:effectExtent l="0" t="0" r="0" b="5715"/>
            <wp:docPr id="32" name="Picture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394960" cy="4147185"/>
                    </a:xfrm>
                    <a:prstGeom prst="rect">
                      <a:avLst/>
                    </a:prstGeom>
                    <a:noFill/>
                    <a:ln>
                      <a:noFill/>
                    </a:ln>
                  </pic:spPr>
                </pic:pic>
              </a:graphicData>
            </a:graphic>
          </wp:inline>
        </w:drawing>
      </w:r>
    </w:p>
    <w:p w14:paraId="40118F5A" w14:textId="6C18A683" w:rsidR="009001EA" w:rsidRPr="008F50AF" w:rsidRDefault="00F87F6B" w:rsidP="000C382A">
      <w:pPr>
        <w:pStyle w:val="Caption"/>
        <w:spacing w:line="480" w:lineRule="auto"/>
        <w:jc w:val="center"/>
      </w:pPr>
      <w:bookmarkStart w:id="164" w:name="_Toc71334105"/>
      <w:r>
        <w:t xml:space="preserve">Figure </w:t>
      </w:r>
      <w:fldSimple w:instr=" STYLEREF 1 \s ">
        <w:r w:rsidR="005050F0">
          <w:rPr>
            <w:noProof/>
          </w:rPr>
          <w:t>5</w:t>
        </w:r>
      </w:fldSimple>
      <w:r>
        <w:t>.</w:t>
      </w:r>
      <w:fldSimple w:instr=" SEQ Figure \* ARABIC \s 1 ">
        <w:r w:rsidR="005050F0">
          <w:rPr>
            <w:noProof/>
          </w:rPr>
          <w:t>1</w:t>
        </w:r>
      </w:fldSimple>
      <w:r w:rsidR="009001EA" w:rsidRPr="008F50AF">
        <w:t xml:space="preserve"> Workflow diagram for the study</w:t>
      </w:r>
      <w:bookmarkEnd w:id="164"/>
    </w:p>
    <w:p w14:paraId="4FCD4484" w14:textId="77777777" w:rsidR="00051FC1" w:rsidRDefault="00051FC1" w:rsidP="009001EA">
      <w:pPr>
        <w:pStyle w:val="References"/>
        <w:spacing w:line="480" w:lineRule="auto"/>
        <w:ind w:left="0" w:firstLine="0"/>
        <w:rPr>
          <w:lang w:bidi="en-US"/>
        </w:rPr>
      </w:pPr>
    </w:p>
    <w:p w14:paraId="35C4799F" w14:textId="6465D458" w:rsidR="002A4161" w:rsidRDefault="002A4161" w:rsidP="000C382A">
      <w:pPr>
        <w:pStyle w:val="References"/>
        <w:spacing w:line="480" w:lineRule="auto"/>
        <w:ind w:left="0" w:firstLine="0"/>
        <w:jc w:val="center"/>
        <w:rPr>
          <w:lang w:bidi="en-US"/>
        </w:rPr>
      </w:pPr>
      <w:r>
        <w:rPr>
          <w:noProof/>
        </w:rPr>
        <w:drawing>
          <wp:inline distT="0" distB="0" distL="0" distR="0" wp14:anchorId="0FF3CC14" wp14:editId="2B4E87A5">
            <wp:extent cx="5394960" cy="2958465"/>
            <wp:effectExtent l="0" t="0" r="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5394960" cy="2958465"/>
                    </a:xfrm>
                    <a:prstGeom prst="rect">
                      <a:avLst/>
                    </a:prstGeom>
                    <a:noFill/>
                    <a:ln>
                      <a:noFill/>
                    </a:ln>
                  </pic:spPr>
                </pic:pic>
              </a:graphicData>
            </a:graphic>
          </wp:inline>
        </w:drawing>
      </w:r>
    </w:p>
    <w:p w14:paraId="7CB536F3" w14:textId="615E3316" w:rsidR="009001EA" w:rsidRDefault="00F87F6B" w:rsidP="000C382A">
      <w:pPr>
        <w:pStyle w:val="Caption"/>
        <w:spacing w:line="480" w:lineRule="auto"/>
        <w:jc w:val="center"/>
      </w:pPr>
      <w:bookmarkStart w:id="165" w:name="_Toc71334106"/>
      <w:r>
        <w:t xml:space="preserve">Figure </w:t>
      </w:r>
      <w:fldSimple w:instr=" STYLEREF 1 \s ">
        <w:r w:rsidR="005050F0">
          <w:rPr>
            <w:noProof/>
          </w:rPr>
          <w:t>5</w:t>
        </w:r>
      </w:fldSimple>
      <w:r>
        <w:t>.</w:t>
      </w:r>
      <w:fldSimple w:instr=" SEQ Figure \* ARABIC \s 1 ">
        <w:r w:rsidR="005050F0">
          <w:rPr>
            <w:noProof/>
          </w:rPr>
          <w:t>2</w:t>
        </w:r>
      </w:fldSimple>
      <w:r>
        <w:t xml:space="preserve"> </w:t>
      </w:r>
      <w:r w:rsidR="009001EA" w:rsidRPr="008F50AF">
        <w:t>Rut depths vs. wheel passes from HWT test</w:t>
      </w:r>
      <w:bookmarkEnd w:id="165"/>
    </w:p>
    <w:p w14:paraId="6ADBB1C5" w14:textId="093FC85B" w:rsidR="000C382A" w:rsidRDefault="000C382A" w:rsidP="000C382A">
      <w:pPr>
        <w:rPr>
          <w:lang w:bidi="en-US"/>
        </w:rPr>
      </w:pPr>
    </w:p>
    <w:p w14:paraId="6EF61336" w14:textId="714BFBBF" w:rsidR="000C382A" w:rsidRDefault="000C382A" w:rsidP="000C382A">
      <w:pPr>
        <w:rPr>
          <w:lang w:bidi="en-US"/>
        </w:rPr>
      </w:pPr>
    </w:p>
    <w:p w14:paraId="0B05B56B" w14:textId="750D740E" w:rsidR="000C382A" w:rsidRDefault="000C382A" w:rsidP="000C382A">
      <w:pPr>
        <w:rPr>
          <w:lang w:bidi="en-US"/>
        </w:rPr>
      </w:pPr>
    </w:p>
    <w:p w14:paraId="202A210B" w14:textId="0B426277" w:rsidR="000C382A" w:rsidRDefault="000C382A" w:rsidP="000C382A">
      <w:pPr>
        <w:rPr>
          <w:lang w:bidi="en-US"/>
        </w:rPr>
      </w:pPr>
    </w:p>
    <w:p w14:paraId="0CC81CF1" w14:textId="77777777" w:rsidR="000C382A" w:rsidRPr="000C382A" w:rsidRDefault="000C382A" w:rsidP="000C382A">
      <w:pPr>
        <w:rPr>
          <w:lang w:bidi="en-US"/>
        </w:rPr>
      </w:pPr>
    </w:p>
    <w:p w14:paraId="3CE553A0" w14:textId="743E24D4" w:rsidR="002A4161" w:rsidRDefault="002A4161" w:rsidP="000C382A">
      <w:pPr>
        <w:jc w:val="center"/>
        <w:rPr>
          <w:szCs w:val="24"/>
          <w:lang w:val="en-CA"/>
        </w:rPr>
      </w:pPr>
      <w:r>
        <w:rPr>
          <w:noProof/>
        </w:rPr>
        <w:drawing>
          <wp:inline distT="0" distB="0" distL="0" distR="0" wp14:anchorId="2E8F08B2" wp14:editId="15D1B280">
            <wp:extent cx="5120640" cy="3108960"/>
            <wp:effectExtent l="0" t="0" r="3810" b="0"/>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5120640" cy="3108960"/>
                    </a:xfrm>
                    <a:prstGeom prst="rect">
                      <a:avLst/>
                    </a:prstGeom>
                    <a:noFill/>
                    <a:ln>
                      <a:noFill/>
                    </a:ln>
                  </pic:spPr>
                </pic:pic>
              </a:graphicData>
            </a:graphic>
          </wp:inline>
        </w:drawing>
      </w:r>
    </w:p>
    <w:p w14:paraId="0F17E0DD" w14:textId="6A40ED4F" w:rsidR="002A4161" w:rsidRDefault="002A4161" w:rsidP="000C382A">
      <w:pPr>
        <w:jc w:val="center"/>
        <w:rPr>
          <w:szCs w:val="24"/>
          <w:lang w:val="en-CA"/>
        </w:rPr>
      </w:pPr>
      <w:r>
        <w:rPr>
          <w:szCs w:val="24"/>
          <w:lang w:val="en-CA"/>
        </w:rPr>
        <w:t>(a)</w:t>
      </w:r>
    </w:p>
    <w:p w14:paraId="57DCDCF2" w14:textId="1F548ABE" w:rsidR="002A4161" w:rsidRDefault="002A4161" w:rsidP="000C382A">
      <w:pPr>
        <w:jc w:val="center"/>
        <w:rPr>
          <w:szCs w:val="24"/>
          <w:lang w:val="en-CA"/>
        </w:rPr>
      </w:pPr>
      <w:r>
        <w:rPr>
          <w:noProof/>
        </w:rPr>
        <w:drawing>
          <wp:inline distT="0" distB="0" distL="0" distR="0" wp14:anchorId="4BA54302" wp14:editId="465CB007">
            <wp:extent cx="5120640" cy="3108960"/>
            <wp:effectExtent l="19050" t="19050" r="22860" b="1524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5120640" cy="3108960"/>
                    </a:xfrm>
                    <a:prstGeom prst="rect">
                      <a:avLst/>
                    </a:prstGeom>
                    <a:noFill/>
                    <a:ln>
                      <a:solidFill>
                        <a:schemeClr val="tx1"/>
                      </a:solidFill>
                    </a:ln>
                  </pic:spPr>
                </pic:pic>
              </a:graphicData>
            </a:graphic>
          </wp:inline>
        </w:drawing>
      </w:r>
    </w:p>
    <w:p w14:paraId="095B5D7D" w14:textId="363BD1A3" w:rsidR="002A4161" w:rsidRDefault="002A4161" w:rsidP="000C382A">
      <w:pPr>
        <w:jc w:val="center"/>
        <w:rPr>
          <w:szCs w:val="24"/>
          <w:lang w:val="en-CA"/>
        </w:rPr>
      </w:pPr>
      <w:r>
        <w:rPr>
          <w:szCs w:val="24"/>
          <w:lang w:val="en-CA"/>
        </w:rPr>
        <w:t>(b)</w:t>
      </w:r>
    </w:p>
    <w:p w14:paraId="4F09FE83" w14:textId="147D8E8B" w:rsidR="009001EA" w:rsidRPr="008F50AF" w:rsidRDefault="00F87F6B" w:rsidP="000C382A">
      <w:pPr>
        <w:pStyle w:val="Caption"/>
        <w:spacing w:line="480" w:lineRule="auto"/>
        <w:jc w:val="center"/>
        <w:rPr>
          <w:szCs w:val="24"/>
          <w:lang w:val="en-CA"/>
        </w:rPr>
      </w:pPr>
      <w:bookmarkStart w:id="166" w:name="_Toc71334107"/>
      <w:r>
        <w:t xml:space="preserve">Figure </w:t>
      </w:r>
      <w:fldSimple w:instr=" STYLEREF 1 \s ">
        <w:r w:rsidR="005050F0">
          <w:rPr>
            <w:noProof/>
          </w:rPr>
          <w:t>5</w:t>
        </w:r>
      </w:fldSimple>
      <w:r>
        <w:t>.</w:t>
      </w:r>
      <w:fldSimple w:instr=" SEQ Figure \* ARABIC \s 1 ">
        <w:r w:rsidR="005050F0">
          <w:rPr>
            <w:noProof/>
          </w:rPr>
          <w:t>3</w:t>
        </w:r>
      </w:fldSimple>
      <w:r w:rsidR="009001EA" w:rsidRPr="008F50AF">
        <w:rPr>
          <w:szCs w:val="24"/>
          <w:lang w:val="en-CA"/>
        </w:rPr>
        <w:t xml:space="preserve"> (a) Indirect tensile strength (</w:t>
      </w:r>
      <w:r w:rsidR="009001EA" w:rsidRPr="008F50AF">
        <w:rPr>
          <w:i/>
          <w:iCs/>
          <w:szCs w:val="24"/>
          <w:lang w:val="en-CA"/>
        </w:rPr>
        <w:t>ITS</w:t>
      </w:r>
      <w:r w:rsidR="009001EA" w:rsidRPr="008F50AF">
        <w:rPr>
          <w:i/>
          <w:iCs/>
          <w:szCs w:val="24"/>
          <w:vertAlign w:val="subscript"/>
          <w:lang w:val="en-CA"/>
        </w:rPr>
        <w:t>dry</w:t>
      </w:r>
      <w:r w:rsidR="009001EA" w:rsidRPr="008F50AF">
        <w:rPr>
          <w:szCs w:val="24"/>
          <w:lang w:val="en-CA"/>
        </w:rPr>
        <w:t xml:space="preserve"> and </w:t>
      </w:r>
      <w:r w:rsidR="009001EA" w:rsidRPr="008F50AF">
        <w:rPr>
          <w:i/>
          <w:iCs/>
          <w:szCs w:val="24"/>
          <w:lang w:val="en-CA"/>
        </w:rPr>
        <w:t>ITS</w:t>
      </w:r>
      <w:r w:rsidR="009001EA" w:rsidRPr="008F50AF">
        <w:rPr>
          <w:i/>
          <w:iCs/>
          <w:szCs w:val="24"/>
          <w:vertAlign w:val="subscript"/>
          <w:lang w:val="en-CA"/>
        </w:rPr>
        <w:t>wet</w:t>
      </w:r>
      <w:r w:rsidR="009001EA" w:rsidRPr="008F50AF">
        <w:rPr>
          <w:szCs w:val="24"/>
          <w:lang w:val="en-CA"/>
        </w:rPr>
        <w:t xml:space="preserve">) and </w:t>
      </w:r>
      <w:r w:rsidR="009001EA" w:rsidRPr="008F50AF">
        <w:rPr>
          <w:i/>
          <w:iCs/>
          <w:szCs w:val="24"/>
          <w:lang w:val="en-CA"/>
        </w:rPr>
        <w:t>TSR</w:t>
      </w:r>
      <w:r w:rsidR="009001EA" w:rsidRPr="008F50AF">
        <w:rPr>
          <w:szCs w:val="24"/>
          <w:lang w:val="en-CA"/>
        </w:rPr>
        <w:t xml:space="preserve"> values; (b) toughness index (</w:t>
      </w:r>
      <w:r w:rsidR="009001EA" w:rsidRPr="008F50AF">
        <w:rPr>
          <w:i/>
          <w:iCs/>
          <w:szCs w:val="24"/>
          <w:lang w:val="en-CA"/>
        </w:rPr>
        <w:t>TI</w:t>
      </w:r>
      <w:r w:rsidR="009001EA" w:rsidRPr="008F50AF">
        <w:rPr>
          <w:i/>
          <w:iCs/>
          <w:szCs w:val="24"/>
          <w:vertAlign w:val="subscript"/>
          <w:lang w:val="en-CA"/>
        </w:rPr>
        <w:t>dry</w:t>
      </w:r>
      <w:r w:rsidR="009001EA" w:rsidRPr="008F50AF">
        <w:rPr>
          <w:szCs w:val="24"/>
          <w:lang w:val="en-CA"/>
        </w:rPr>
        <w:t xml:space="preserve"> and </w:t>
      </w:r>
      <w:r w:rsidR="009001EA" w:rsidRPr="008F50AF">
        <w:rPr>
          <w:i/>
          <w:iCs/>
          <w:szCs w:val="24"/>
          <w:lang w:val="en-CA"/>
        </w:rPr>
        <w:t>TI</w:t>
      </w:r>
      <w:r w:rsidR="009001EA" w:rsidRPr="008F50AF">
        <w:rPr>
          <w:i/>
          <w:iCs/>
          <w:szCs w:val="24"/>
          <w:vertAlign w:val="subscript"/>
          <w:lang w:val="en-CA"/>
        </w:rPr>
        <w:t>wet</w:t>
      </w:r>
      <w:r w:rsidR="009001EA" w:rsidRPr="008F50AF">
        <w:rPr>
          <w:szCs w:val="24"/>
          <w:lang w:val="en-CA"/>
        </w:rPr>
        <w:t xml:space="preserve">) and </w:t>
      </w:r>
      <w:r w:rsidR="009001EA" w:rsidRPr="008F50AF">
        <w:rPr>
          <w:i/>
          <w:iCs/>
          <w:szCs w:val="24"/>
          <w:lang w:val="en-CA"/>
        </w:rPr>
        <w:t>TI ratios</w:t>
      </w:r>
      <w:r w:rsidR="009001EA" w:rsidRPr="008F50AF">
        <w:rPr>
          <w:szCs w:val="24"/>
          <w:lang w:val="en-CA"/>
        </w:rPr>
        <w:t xml:space="preserve"> of asphalt mixes from ITS test</w:t>
      </w:r>
      <w:bookmarkEnd w:id="166"/>
    </w:p>
    <w:p w14:paraId="2DC98A5D" w14:textId="79C852E1" w:rsidR="002A4161" w:rsidRDefault="002A4161" w:rsidP="000C382A">
      <w:pPr>
        <w:jc w:val="center"/>
        <w:rPr>
          <w:szCs w:val="24"/>
          <w:lang w:val="en-CA"/>
        </w:rPr>
      </w:pPr>
      <w:r>
        <w:rPr>
          <w:noProof/>
        </w:rPr>
        <w:drawing>
          <wp:inline distT="0" distB="0" distL="0" distR="0" wp14:anchorId="50CD50C9" wp14:editId="6AD1481C">
            <wp:extent cx="5255895" cy="3792855"/>
            <wp:effectExtent l="0" t="0" r="1905" b="0"/>
            <wp:docPr id="36" name="Picture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255895" cy="3792855"/>
                    </a:xfrm>
                    <a:prstGeom prst="rect">
                      <a:avLst/>
                    </a:prstGeom>
                    <a:noFill/>
                    <a:ln>
                      <a:noFill/>
                    </a:ln>
                  </pic:spPr>
                </pic:pic>
              </a:graphicData>
            </a:graphic>
          </wp:inline>
        </w:drawing>
      </w:r>
    </w:p>
    <w:p w14:paraId="4D75D9B5" w14:textId="10F0AF66" w:rsidR="009001EA" w:rsidRDefault="00F87F6B" w:rsidP="000C382A">
      <w:pPr>
        <w:pStyle w:val="Caption"/>
        <w:spacing w:line="480" w:lineRule="auto"/>
        <w:jc w:val="center"/>
        <w:rPr>
          <w:szCs w:val="24"/>
          <w:lang w:val="en-CA"/>
        </w:rPr>
      </w:pPr>
      <w:bookmarkStart w:id="167" w:name="_Toc71334108"/>
      <w:r>
        <w:t xml:space="preserve">Figure </w:t>
      </w:r>
      <w:fldSimple w:instr=" STYLEREF 1 \s ">
        <w:r w:rsidR="005050F0">
          <w:rPr>
            <w:noProof/>
          </w:rPr>
          <w:t>5</w:t>
        </w:r>
      </w:fldSimple>
      <w:r>
        <w:t>.</w:t>
      </w:r>
      <w:fldSimple w:instr=" SEQ Figure \* ARABIC \s 1 ">
        <w:r w:rsidR="005050F0">
          <w:rPr>
            <w:noProof/>
          </w:rPr>
          <w:t>4</w:t>
        </w:r>
      </w:fldSimple>
      <w:r w:rsidR="009001EA" w:rsidRPr="008F50AF">
        <w:rPr>
          <w:szCs w:val="24"/>
          <w:lang w:val="en-CA"/>
        </w:rPr>
        <w:t xml:space="preserve"> </w:t>
      </w:r>
      <w:r w:rsidR="009001EA" w:rsidRPr="008F50AF">
        <w:rPr>
          <w:i/>
          <w:iCs/>
          <w:szCs w:val="24"/>
          <w:lang w:val="en-CA"/>
        </w:rPr>
        <w:t>J</w:t>
      </w:r>
      <w:r w:rsidR="009001EA" w:rsidRPr="008F50AF">
        <w:rPr>
          <w:i/>
          <w:iCs/>
          <w:szCs w:val="24"/>
          <w:vertAlign w:val="subscript"/>
          <w:lang w:val="en-CA"/>
        </w:rPr>
        <w:t>c-dry</w:t>
      </w:r>
      <w:r w:rsidR="009001EA" w:rsidRPr="008F50AF">
        <w:rPr>
          <w:szCs w:val="24"/>
          <w:lang w:val="en-CA"/>
        </w:rPr>
        <w:t xml:space="preserve"> and </w:t>
      </w:r>
      <w:r w:rsidR="009001EA" w:rsidRPr="008F50AF">
        <w:rPr>
          <w:i/>
          <w:iCs/>
          <w:szCs w:val="24"/>
          <w:lang w:val="en-CA"/>
        </w:rPr>
        <w:t>J</w:t>
      </w:r>
      <w:r w:rsidR="009001EA" w:rsidRPr="008F50AF">
        <w:rPr>
          <w:i/>
          <w:iCs/>
          <w:szCs w:val="24"/>
          <w:vertAlign w:val="subscript"/>
          <w:lang w:val="en-CA"/>
        </w:rPr>
        <w:t>c-MIST</w:t>
      </w:r>
      <w:r w:rsidR="009001EA" w:rsidRPr="008F50AF">
        <w:rPr>
          <w:szCs w:val="24"/>
          <w:lang w:val="en-CA"/>
        </w:rPr>
        <w:t xml:space="preserve"> values and </w:t>
      </w:r>
      <w:r w:rsidR="009001EA" w:rsidRPr="008F50AF">
        <w:rPr>
          <w:i/>
          <w:iCs/>
          <w:szCs w:val="24"/>
          <w:lang w:val="en-CA"/>
        </w:rPr>
        <w:t>J</w:t>
      </w:r>
      <w:r w:rsidR="009001EA" w:rsidRPr="008F50AF">
        <w:rPr>
          <w:i/>
          <w:iCs/>
          <w:szCs w:val="24"/>
          <w:vertAlign w:val="subscript"/>
          <w:lang w:val="en-CA"/>
        </w:rPr>
        <w:t>c</w:t>
      </w:r>
      <w:r w:rsidR="009001EA" w:rsidRPr="008F50AF">
        <w:rPr>
          <w:i/>
          <w:iCs/>
          <w:szCs w:val="24"/>
          <w:lang w:val="en-CA"/>
        </w:rPr>
        <w:t xml:space="preserve"> ratio</w:t>
      </w:r>
      <w:r w:rsidR="009001EA" w:rsidRPr="008F50AF">
        <w:rPr>
          <w:szCs w:val="24"/>
          <w:lang w:val="en-CA"/>
        </w:rPr>
        <w:t xml:space="preserve"> of asphalt mixes from LA-SCB test</w:t>
      </w:r>
      <w:bookmarkEnd w:id="167"/>
    </w:p>
    <w:p w14:paraId="202E9305" w14:textId="77777777" w:rsidR="000C382A" w:rsidRPr="000C382A" w:rsidRDefault="000C382A" w:rsidP="000C382A">
      <w:pPr>
        <w:rPr>
          <w:lang w:val="en-CA" w:bidi="en-US"/>
        </w:rPr>
      </w:pPr>
    </w:p>
    <w:p w14:paraId="18FDE521" w14:textId="14483675" w:rsidR="002A4161" w:rsidRDefault="002A4161" w:rsidP="000C382A">
      <w:pPr>
        <w:jc w:val="center"/>
        <w:rPr>
          <w:szCs w:val="24"/>
          <w:lang w:val="en-CA"/>
        </w:rPr>
      </w:pPr>
      <w:r>
        <w:rPr>
          <w:noProof/>
        </w:rPr>
        <w:drawing>
          <wp:inline distT="0" distB="0" distL="0" distR="0" wp14:anchorId="089DE675" wp14:editId="73D006A1">
            <wp:extent cx="5394960" cy="3726180"/>
            <wp:effectExtent l="0" t="0" r="0" b="762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394960" cy="3726180"/>
                    </a:xfrm>
                    <a:prstGeom prst="rect">
                      <a:avLst/>
                    </a:prstGeom>
                    <a:noFill/>
                    <a:ln>
                      <a:noFill/>
                    </a:ln>
                  </pic:spPr>
                </pic:pic>
              </a:graphicData>
            </a:graphic>
          </wp:inline>
        </w:drawing>
      </w:r>
    </w:p>
    <w:p w14:paraId="3D2DC0BB" w14:textId="5B2DA8DB" w:rsidR="009001EA" w:rsidRPr="008F50AF" w:rsidRDefault="00F87F6B" w:rsidP="000C382A">
      <w:pPr>
        <w:pStyle w:val="Caption"/>
        <w:spacing w:line="480" w:lineRule="auto"/>
        <w:jc w:val="center"/>
        <w:rPr>
          <w:szCs w:val="24"/>
          <w:lang w:val="en-CA"/>
        </w:rPr>
      </w:pPr>
      <w:bookmarkStart w:id="168" w:name="_Toc71334109"/>
      <w:r>
        <w:t xml:space="preserve">Figure </w:t>
      </w:r>
      <w:fldSimple w:instr=" STYLEREF 1 \s ">
        <w:r w:rsidR="005050F0">
          <w:rPr>
            <w:noProof/>
          </w:rPr>
          <w:t>5</w:t>
        </w:r>
      </w:fldSimple>
      <w:r>
        <w:t>.</w:t>
      </w:r>
      <w:fldSimple w:instr=" SEQ Figure \* ARABIC \s 1 ">
        <w:r w:rsidR="005050F0">
          <w:rPr>
            <w:noProof/>
          </w:rPr>
          <w:t>5</w:t>
        </w:r>
      </w:fldSimple>
      <w:r w:rsidR="009001EA" w:rsidRPr="008F50AF">
        <w:rPr>
          <w:szCs w:val="24"/>
          <w:lang w:val="en-CA"/>
        </w:rPr>
        <w:t xml:space="preserve"> Work of adhesion (</w:t>
      </w:r>
      <w:r w:rsidR="009001EA" w:rsidRPr="008F50AF">
        <w:rPr>
          <w:i/>
          <w:iCs/>
          <w:szCs w:val="24"/>
          <w:lang w:val="en-CA"/>
        </w:rPr>
        <w:t>W</w:t>
      </w:r>
      <w:r w:rsidR="009001EA" w:rsidRPr="008F50AF">
        <w:rPr>
          <w:i/>
          <w:iCs/>
          <w:szCs w:val="24"/>
          <w:vertAlign w:val="subscript"/>
          <w:lang w:val="en-CA"/>
        </w:rPr>
        <w:t>AS</w:t>
      </w:r>
      <w:r w:rsidR="009001EA" w:rsidRPr="008F50AF">
        <w:rPr>
          <w:i/>
          <w:iCs/>
          <w:szCs w:val="24"/>
          <w:lang w:val="en-CA"/>
        </w:rPr>
        <w:t>)</w:t>
      </w:r>
      <w:r w:rsidR="009001EA" w:rsidRPr="008F50AF">
        <w:rPr>
          <w:szCs w:val="24"/>
          <w:lang w:val="en-CA"/>
        </w:rPr>
        <w:t>, work of debonding (</w:t>
      </w:r>
      <m:oMath>
        <m:sSubSup>
          <m:sSubSupPr>
            <m:ctrlPr>
              <w:rPr>
                <w:rFonts w:ascii="Cambria Math" w:hAnsi="Cambria Math"/>
                <w:i/>
                <w:szCs w:val="24"/>
                <w:lang w:val="en-GB" w:eastAsia="en-GB"/>
              </w:rPr>
            </m:ctrlPr>
          </m:sSubSupPr>
          <m:e>
            <m:r>
              <m:rPr>
                <m:sty m:val="bi"/>
              </m:rPr>
              <w:rPr>
                <w:rFonts w:ascii="Cambria Math" w:hAnsi="Cambria Math"/>
                <w:szCs w:val="24"/>
              </w:rPr>
              <m:t>W</m:t>
            </m:r>
          </m:e>
          <m:sub>
            <m:r>
              <m:rPr>
                <m:sty m:val="bi"/>
              </m:rPr>
              <w:rPr>
                <w:rFonts w:ascii="Cambria Math" w:hAnsi="Cambria Math"/>
                <w:szCs w:val="24"/>
              </w:rPr>
              <m:t>ASW</m:t>
            </m:r>
          </m:sub>
          <m:sup>
            <m:r>
              <m:rPr>
                <m:sty m:val="bi"/>
              </m:rPr>
              <w:rPr>
                <w:rFonts w:ascii="Cambria Math" w:hAnsi="Cambria Math"/>
                <w:szCs w:val="24"/>
              </w:rPr>
              <m:t>wet</m:t>
            </m:r>
          </m:sup>
        </m:sSubSup>
        <m:r>
          <m:rPr>
            <m:sty m:val="bi"/>
          </m:rPr>
          <w:rPr>
            <w:rFonts w:ascii="Cambria Math" w:hAnsi="Cambria Math"/>
            <w:szCs w:val="24"/>
          </w:rPr>
          <m:t>)</m:t>
        </m:r>
      </m:oMath>
      <w:r w:rsidR="009001EA" w:rsidRPr="008F50AF">
        <w:rPr>
          <w:szCs w:val="24"/>
          <w:lang w:val="en-CA"/>
        </w:rPr>
        <w:t xml:space="preserve"> and energy ratio (</w:t>
      </w:r>
      <w:r w:rsidR="009001EA" w:rsidRPr="008F50AF">
        <w:rPr>
          <w:i/>
          <w:szCs w:val="24"/>
        </w:rPr>
        <w:t>ER</w:t>
      </w:r>
      <w:r w:rsidR="009001EA" w:rsidRPr="008F50AF">
        <w:rPr>
          <w:i/>
          <w:szCs w:val="24"/>
          <w:vertAlign w:val="subscript"/>
        </w:rPr>
        <w:t>1</w:t>
      </w:r>
      <w:r w:rsidR="009001EA" w:rsidRPr="008F50AF">
        <w:rPr>
          <w:i/>
          <w:szCs w:val="24"/>
        </w:rPr>
        <w:t>)</w:t>
      </w:r>
      <w:r w:rsidR="009001EA" w:rsidRPr="008F50AF">
        <w:rPr>
          <w:szCs w:val="24"/>
          <w:lang w:val="en-CA"/>
        </w:rPr>
        <w:t xml:space="preserve"> of binder blends with rhyolite aggregate</w:t>
      </w:r>
      <w:bookmarkEnd w:id="168"/>
    </w:p>
    <w:p w14:paraId="32F5E493" w14:textId="13BF9AE9" w:rsidR="002C359C" w:rsidRDefault="002C359C" w:rsidP="000C382A">
      <w:pPr>
        <w:jc w:val="center"/>
        <w:rPr>
          <w:szCs w:val="24"/>
          <w:lang w:val="en-CA"/>
        </w:rPr>
      </w:pPr>
      <w:r>
        <w:rPr>
          <w:noProof/>
        </w:rPr>
        <w:drawing>
          <wp:inline distT="0" distB="0" distL="0" distR="0" wp14:anchorId="1F9594DB" wp14:editId="17ED89A8">
            <wp:extent cx="4251854" cy="6858000"/>
            <wp:effectExtent l="0" t="0" r="0" b="0"/>
            <wp:docPr id="43" name="Picture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251854" cy="6858000"/>
                    </a:xfrm>
                    <a:prstGeom prst="rect">
                      <a:avLst/>
                    </a:prstGeom>
                    <a:noFill/>
                    <a:ln>
                      <a:noFill/>
                    </a:ln>
                  </pic:spPr>
                </pic:pic>
              </a:graphicData>
            </a:graphic>
          </wp:inline>
        </w:drawing>
      </w:r>
    </w:p>
    <w:p w14:paraId="1F47A6D1" w14:textId="53AA5922" w:rsidR="009001EA" w:rsidRPr="00434DC6" w:rsidRDefault="00F87F6B" w:rsidP="000C382A">
      <w:pPr>
        <w:pStyle w:val="Caption"/>
        <w:spacing w:line="480" w:lineRule="auto"/>
        <w:jc w:val="center"/>
        <w:rPr>
          <w:szCs w:val="24"/>
          <w:lang w:val="en-CA"/>
        </w:rPr>
      </w:pPr>
      <w:bookmarkStart w:id="169" w:name="_Toc71334110"/>
      <w:r>
        <w:t xml:space="preserve">Figure </w:t>
      </w:r>
      <w:fldSimple w:instr=" STYLEREF 1 \s ">
        <w:r w:rsidR="005050F0">
          <w:rPr>
            <w:noProof/>
          </w:rPr>
          <w:t>5</w:t>
        </w:r>
      </w:fldSimple>
      <w:r>
        <w:t>.</w:t>
      </w:r>
      <w:fldSimple w:instr=" SEQ Figure \* ARABIC \s 1 ">
        <w:r w:rsidR="005050F0">
          <w:rPr>
            <w:noProof/>
          </w:rPr>
          <w:t>6</w:t>
        </w:r>
      </w:fldSimple>
      <w:r w:rsidR="009001EA" w:rsidRPr="008F50AF">
        <w:rPr>
          <w:szCs w:val="24"/>
          <w:lang w:val="en-CA"/>
        </w:rPr>
        <w:t xml:space="preserve"> Comparison of different laboratory performance parameters with SFE parameter; (a) </w:t>
      </w:r>
      <w:r w:rsidR="009001EA" w:rsidRPr="008F50AF">
        <w:rPr>
          <w:i/>
          <w:iCs/>
          <w:szCs w:val="24"/>
          <w:lang w:val="en-CA"/>
        </w:rPr>
        <w:t>SIP vs ER</w:t>
      </w:r>
      <w:r w:rsidR="009001EA" w:rsidRPr="008F50AF">
        <w:rPr>
          <w:i/>
          <w:iCs/>
          <w:szCs w:val="24"/>
          <w:vertAlign w:val="subscript"/>
          <w:lang w:val="en-CA"/>
        </w:rPr>
        <w:t>1</w:t>
      </w:r>
      <w:r w:rsidR="009001EA" w:rsidRPr="008F50AF">
        <w:rPr>
          <w:szCs w:val="24"/>
          <w:lang w:val="en-CA"/>
        </w:rPr>
        <w:t xml:space="preserve">, (b) </w:t>
      </w:r>
      <w:r w:rsidR="009001EA" w:rsidRPr="008F50AF">
        <w:rPr>
          <w:i/>
          <w:iCs/>
          <w:szCs w:val="24"/>
          <w:lang w:val="en-CA"/>
        </w:rPr>
        <w:t>LC</w:t>
      </w:r>
      <w:r w:rsidR="009001EA" w:rsidRPr="008F50AF">
        <w:rPr>
          <w:i/>
          <w:iCs/>
          <w:szCs w:val="24"/>
          <w:vertAlign w:val="subscript"/>
          <w:lang w:val="en-CA"/>
        </w:rPr>
        <w:t>SN</w:t>
      </w:r>
      <w:r w:rsidR="009001EA" w:rsidRPr="008F50AF">
        <w:rPr>
          <w:i/>
          <w:iCs/>
          <w:szCs w:val="24"/>
          <w:lang w:val="en-CA"/>
        </w:rPr>
        <w:t xml:space="preserve"> vs ER</w:t>
      </w:r>
      <w:r w:rsidR="009001EA" w:rsidRPr="008F50AF">
        <w:rPr>
          <w:i/>
          <w:iCs/>
          <w:szCs w:val="24"/>
          <w:vertAlign w:val="subscript"/>
          <w:lang w:val="en-CA"/>
        </w:rPr>
        <w:t>1</w:t>
      </w:r>
      <w:r w:rsidR="009001EA" w:rsidRPr="008F50AF">
        <w:rPr>
          <w:szCs w:val="24"/>
          <w:lang w:val="en-CA"/>
        </w:rPr>
        <w:t>; (c)</w:t>
      </w:r>
      <w:r w:rsidR="009001EA" w:rsidRPr="008F50AF">
        <w:rPr>
          <w:i/>
          <w:iCs/>
          <w:szCs w:val="24"/>
          <w:lang w:val="en-CA"/>
        </w:rPr>
        <w:t>TSR vs ER</w:t>
      </w:r>
      <w:r w:rsidR="009001EA" w:rsidRPr="008F50AF">
        <w:rPr>
          <w:i/>
          <w:iCs/>
          <w:szCs w:val="24"/>
          <w:vertAlign w:val="subscript"/>
          <w:lang w:val="en-CA"/>
        </w:rPr>
        <w:t>1</w:t>
      </w:r>
      <w:r w:rsidR="009001EA" w:rsidRPr="008F50AF">
        <w:rPr>
          <w:szCs w:val="24"/>
          <w:lang w:val="en-CA"/>
        </w:rPr>
        <w:t xml:space="preserve">; (d) </w:t>
      </w:r>
      <w:r w:rsidR="009001EA" w:rsidRPr="008F50AF">
        <w:rPr>
          <w:i/>
          <w:iCs/>
          <w:szCs w:val="24"/>
          <w:lang w:val="en-CA"/>
        </w:rPr>
        <w:t>TI ratio vs ER</w:t>
      </w:r>
      <w:r w:rsidR="009001EA" w:rsidRPr="008F50AF">
        <w:rPr>
          <w:i/>
          <w:iCs/>
          <w:szCs w:val="24"/>
          <w:vertAlign w:val="subscript"/>
          <w:lang w:val="en-CA"/>
        </w:rPr>
        <w:t>1</w:t>
      </w:r>
      <w:r w:rsidR="009001EA" w:rsidRPr="008F50AF">
        <w:rPr>
          <w:szCs w:val="24"/>
          <w:lang w:val="en-CA"/>
        </w:rPr>
        <w:t xml:space="preserve"> and (e) </w:t>
      </w:r>
      <w:r w:rsidR="009001EA" w:rsidRPr="008F50AF">
        <w:rPr>
          <w:i/>
          <w:iCs/>
          <w:szCs w:val="24"/>
          <w:lang w:val="en-CA"/>
        </w:rPr>
        <w:t>J</w:t>
      </w:r>
      <w:r w:rsidR="009001EA" w:rsidRPr="008F50AF">
        <w:rPr>
          <w:i/>
          <w:iCs/>
          <w:szCs w:val="24"/>
          <w:vertAlign w:val="subscript"/>
          <w:lang w:val="en-CA"/>
        </w:rPr>
        <w:t>c</w:t>
      </w:r>
      <w:r w:rsidR="009001EA" w:rsidRPr="008F50AF">
        <w:rPr>
          <w:i/>
          <w:iCs/>
          <w:szCs w:val="24"/>
          <w:lang w:val="en-CA"/>
        </w:rPr>
        <w:t xml:space="preserve"> ratio vs ER</w:t>
      </w:r>
      <w:r w:rsidR="009001EA" w:rsidRPr="008F50AF">
        <w:rPr>
          <w:i/>
          <w:iCs/>
          <w:szCs w:val="24"/>
          <w:vertAlign w:val="subscript"/>
          <w:lang w:val="en-CA"/>
        </w:rPr>
        <w:t>1</w:t>
      </w:r>
      <w:bookmarkEnd w:id="169"/>
    </w:p>
    <w:p w14:paraId="09697C75" w14:textId="77777777" w:rsidR="00CF51AE" w:rsidRPr="002C7331" w:rsidRDefault="00CF51AE" w:rsidP="00CF51AE">
      <w:pPr>
        <w:spacing w:line="240" w:lineRule="auto"/>
        <w:rPr>
          <w:rFonts w:ascii="Mongolian Baiti" w:hAnsi="Mongolian Baiti" w:cs="Mongolian Baiti"/>
          <w:b/>
          <w:bCs/>
        </w:rPr>
      </w:pPr>
      <w:r w:rsidRPr="002C7331">
        <w:rPr>
          <w:rFonts w:ascii="Mongolian Baiti" w:hAnsi="Mongolian Baiti" w:cs="Mongolian Baiti"/>
          <w:b/>
          <w:bCs/>
        </w:rPr>
        <w:t>CHAPTER</w:t>
      </w:r>
    </w:p>
    <w:p w14:paraId="2ED84DD3" w14:textId="17AEEF3D" w:rsidR="00CF51AE" w:rsidRPr="002C7331" w:rsidRDefault="008B479E" w:rsidP="00CF51AE">
      <w:pPr>
        <w:pBdr>
          <w:bottom w:val="double" w:sz="4" w:space="0" w:color="auto"/>
        </w:pBdr>
        <w:spacing w:line="240" w:lineRule="auto"/>
        <w:rPr>
          <w:rFonts w:ascii="Mongolian Baiti" w:hAnsi="Mongolian Baiti" w:cs="Mongolian Baiti"/>
          <w:b/>
          <w:bCs/>
          <w:i/>
          <w:iCs/>
          <w:sz w:val="110"/>
          <w:szCs w:val="108"/>
        </w:rPr>
      </w:pPr>
      <w:r>
        <w:rPr>
          <w:rFonts w:ascii="Mongolian Baiti" w:hAnsi="Mongolian Baiti" w:cs="Mongolian Baiti"/>
          <w:b/>
          <w:bCs/>
          <w:i/>
          <w:iCs/>
          <w:sz w:val="110"/>
          <w:szCs w:val="108"/>
        </w:rPr>
        <w:t>6</w:t>
      </w:r>
    </w:p>
    <w:p w14:paraId="19D55ABB" w14:textId="5EF96989" w:rsidR="00B555D8" w:rsidRPr="00B555D8" w:rsidRDefault="00B555D8" w:rsidP="008B479E">
      <w:pPr>
        <w:pStyle w:val="Heading1"/>
      </w:pPr>
      <w:bookmarkStart w:id="170" w:name="_Toc465759816"/>
      <w:bookmarkStart w:id="171" w:name="_Toc469234994"/>
      <w:bookmarkStart w:id="172" w:name="_Toc71728466"/>
      <w:r w:rsidRPr="00B555D8">
        <w:t>CONCLUSIONS AND RECOMMENDATIONS</w:t>
      </w:r>
      <w:bookmarkEnd w:id="170"/>
      <w:bookmarkEnd w:id="171"/>
      <w:bookmarkEnd w:id="172"/>
    </w:p>
    <w:p w14:paraId="7FFFBB3C" w14:textId="747AEDF1" w:rsidR="00517121" w:rsidRDefault="00517121" w:rsidP="00E57694">
      <w:pPr>
        <w:pStyle w:val="Heading2"/>
      </w:pPr>
      <w:bookmarkStart w:id="173" w:name="_Toc71728467"/>
      <w:r>
        <w:t>CONCLUSIONS</w:t>
      </w:r>
      <w:bookmarkEnd w:id="173"/>
    </w:p>
    <w:p w14:paraId="0576E2D5" w14:textId="1D505B64" w:rsidR="004D3678" w:rsidRPr="00486D8A" w:rsidRDefault="004D3678" w:rsidP="000330D0">
      <w:pPr>
        <w:ind w:firstLine="720"/>
      </w:pPr>
      <w:r w:rsidRPr="00ED0D9F">
        <w:t xml:space="preserve">In this study, the effects </w:t>
      </w:r>
      <w:r w:rsidR="00C0661A">
        <w:t xml:space="preserve">of </w:t>
      </w:r>
      <w:r w:rsidRPr="00ED0D9F">
        <w:t>additives</w:t>
      </w:r>
      <w:r>
        <w:t xml:space="preserve">, </w:t>
      </w:r>
      <w:r w:rsidRPr="00ED0D9F">
        <w:t xml:space="preserve">aggregate types and aging on the moisture-induced damage potential of asphalt mixes were studied by using the thermodynamic approach, chemical analysis and laboratory-based performance tests. </w:t>
      </w:r>
      <w:r>
        <w:t xml:space="preserve">In Chapter 2, attempts were made to </w:t>
      </w:r>
      <w:r w:rsidRPr="00A8199A">
        <w:t>understand the differences in the surface free energy estimation of binders using different methods, namely the GvOC, Owens-Wendt, Wu and Neumann methods. Also, the effect of probe liquid sets on the calculation of SFE components by the GvOC, Owens-Wendt and Wu method w</w:t>
      </w:r>
      <w:r w:rsidR="00C0661A">
        <w:t>as</w:t>
      </w:r>
      <w:r w:rsidRPr="00A8199A">
        <w:t xml:space="preserve"> evaluated. Furthermore, attempts were made to identify the probe liquid sets that produce consistent energy parameters for a binder-aggregate system. </w:t>
      </w:r>
      <w:r w:rsidRPr="00CB7728">
        <w:t xml:space="preserve">In </w:t>
      </w:r>
      <w:r>
        <w:t>Chapter 3</w:t>
      </w:r>
      <w:r w:rsidRPr="00CB7728">
        <w:t xml:space="preserve">, chemical and thermodynamic properties of asphalt binder and aggregates were used to evaluate the compatibility of binder-aggregate system. The FTIR test was used to characterize the functional groups of the binder blends. The XRF </w:t>
      </w:r>
      <w:r w:rsidR="00C0661A">
        <w:t xml:space="preserve">test </w:t>
      </w:r>
      <w:r w:rsidRPr="00CB7728">
        <w:t xml:space="preserve">was used to determine the elemental compositions of both binders and aggregates. The SFE components of the binder blends and aggregates were determined using </w:t>
      </w:r>
      <w:r w:rsidR="00C0661A">
        <w:t xml:space="preserve">the </w:t>
      </w:r>
      <w:r w:rsidRPr="00CB7728">
        <w:t xml:space="preserve">dynamic Wilhelmy plate and </w:t>
      </w:r>
      <w:r w:rsidR="00C0661A">
        <w:t xml:space="preserve">the </w:t>
      </w:r>
      <w:r w:rsidRPr="00CB7728">
        <w:t xml:space="preserve">universal sorption device test. Effects of aggregate types, aging and additives on the moisture-induced damage potential were identified by investigating the changes in chemical and thermodynamic properties. </w:t>
      </w:r>
      <w:r>
        <w:t xml:space="preserve">In Chapter 4, </w:t>
      </w:r>
      <w:r w:rsidRPr="008D5BE0">
        <w:t xml:space="preserve">the effect of aging on the moisture-induced damage performance of the binder-aggregate system was assessed by evaluating the changes in the energy parameters from </w:t>
      </w:r>
      <w:r w:rsidR="00C0661A">
        <w:t xml:space="preserve">the </w:t>
      </w:r>
      <w:r w:rsidRPr="008D5BE0">
        <w:t xml:space="preserve">SFE method. In addition, the moisture-induced damage potentials of short-term and long-term aged asphalt mixes were evaluated using </w:t>
      </w:r>
      <w:r>
        <w:t xml:space="preserve">the </w:t>
      </w:r>
      <w:r w:rsidRPr="008D5BE0">
        <w:rPr>
          <w:i/>
          <w:iCs/>
        </w:rPr>
        <w:t>TSR</w:t>
      </w:r>
      <w:r w:rsidRPr="008D5BE0">
        <w:t xml:space="preserve"> and </w:t>
      </w:r>
      <w:r>
        <w:t xml:space="preserve">the </w:t>
      </w:r>
      <w:r w:rsidRPr="008D5BE0">
        <w:rPr>
          <w:i/>
          <w:iCs/>
        </w:rPr>
        <w:t>G</w:t>
      </w:r>
      <w:r w:rsidRPr="008D5BE0">
        <w:rPr>
          <w:i/>
          <w:iCs/>
          <w:vertAlign w:val="subscript"/>
        </w:rPr>
        <w:t>f</w:t>
      </w:r>
      <w:r w:rsidRPr="008D5BE0">
        <w:rPr>
          <w:i/>
          <w:iCs/>
        </w:rPr>
        <w:t xml:space="preserve"> ratio</w:t>
      </w:r>
      <w:r w:rsidRPr="008D5BE0">
        <w:t xml:space="preserve"> parameter</w:t>
      </w:r>
      <w:r w:rsidR="00C0661A">
        <w:t>s</w:t>
      </w:r>
      <w:r w:rsidRPr="008D5BE0">
        <w:t xml:space="preserve">. Correlations between the moisture-induced damage performance parameters from laboratory performance tests and the SFE </w:t>
      </w:r>
      <w:r>
        <w:t>method</w:t>
      </w:r>
      <w:r w:rsidRPr="008D5BE0">
        <w:t xml:space="preserve"> were also investigated.</w:t>
      </w:r>
      <w:r>
        <w:t xml:space="preserve"> In Chapter 5, </w:t>
      </w:r>
      <w:r w:rsidRPr="00C41288">
        <w:t>the effects of the addition of different additives on the moisture susceptibility of asphalt mixes were evaluated using laboratory performance tests, namely the HWT, ITS and SCB</w:t>
      </w:r>
      <w:r>
        <w:t xml:space="preserve"> test</w:t>
      </w:r>
      <w:r w:rsidR="00C0661A">
        <w:t>s</w:t>
      </w:r>
      <w:r>
        <w:t xml:space="preserve">. </w:t>
      </w:r>
      <w:r w:rsidRPr="00C41288">
        <w:t xml:space="preserve">A new method of data analysis, known as the TAMU method, was used for evaluating the moisture-induced damage potential from the HWT test. The moisture-induced damage potentials of the asphalt mixes were also evaluated using the </w:t>
      </w:r>
      <w:r w:rsidRPr="00D80E2C">
        <w:rPr>
          <w:i/>
          <w:iCs/>
        </w:rPr>
        <w:t>TSR</w:t>
      </w:r>
      <w:r w:rsidRPr="00C41288">
        <w:t xml:space="preserve"> and </w:t>
      </w:r>
      <w:r w:rsidRPr="00D80E2C">
        <w:rPr>
          <w:i/>
          <w:iCs/>
        </w:rPr>
        <w:t>TI ratio</w:t>
      </w:r>
      <w:r w:rsidRPr="00C41288">
        <w:t xml:space="preserve"> by conducting ITS test on dry- and moisture-conditioned </w:t>
      </w:r>
      <w:r>
        <w:t>specimens</w:t>
      </w:r>
      <w:r w:rsidRPr="00C41288">
        <w:t xml:space="preserve">. A new parameter, called the </w:t>
      </w:r>
      <w:r w:rsidRPr="00D80E2C">
        <w:rPr>
          <w:i/>
          <w:iCs/>
        </w:rPr>
        <w:t>J</w:t>
      </w:r>
      <w:r w:rsidRPr="00D80E2C">
        <w:rPr>
          <w:i/>
          <w:iCs/>
          <w:vertAlign w:val="subscript"/>
        </w:rPr>
        <w:t>c</w:t>
      </w:r>
      <w:r w:rsidRPr="00D80E2C">
        <w:rPr>
          <w:i/>
          <w:iCs/>
        </w:rPr>
        <w:t xml:space="preserve"> ratio</w:t>
      </w:r>
      <w:r w:rsidRPr="00C41288">
        <w:t xml:space="preserve"> based on the LA-SCB test for evaluating the moisture-induced damage potential was introduced. </w:t>
      </w:r>
      <w:r w:rsidR="00C0661A">
        <w:t>T</w:t>
      </w:r>
      <w:r w:rsidRPr="00C41288">
        <w:t xml:space="preserve">he conventional and unconventional performance-based </w:t>
      </w:r>
      <w:r w:rsidRPr="00486D8A">
        <w:t xml:space="preserve">parameters were compared with the SFE parameters. </w:t>
      </w:r>
      <w:r w:rsidR="00C0661A">
        <w:t>The i</w:t>
      </w:r>
      <w:r w:rsidRPr="00486D8A">
        <w:t>mportant findings from th</w:t>
      </w:r>
      <w:r>
        <w:t xml:space="preserve">is </w:t>
      </w:r>
      <w:r w:rsidRPr="00486D8A">
        <w:t xml:space="preserve">study are </w:t>
      </w:r>
      <w:r w:rsidR="00C0661A">
        <w:t>listed below</w:t>
      </w:r>
      <w:r w:rsidRPr="00486D8A">
        <w:t>:</w:t>
      </w:r>
    </w:p>
    <w:p w14:paraId="3CE8BB7A" w14:textId="6028DCFF" w:rsidR="004D3678" w:rsidRPr="00517121" w:rsidRDefault="004D3678" w:rsidP="00517121">
      <w:pPr>
        <w:pStyle w:val="ListParagraph"/>
        <w:numPr>
          <w:ilvl w:val="0"/>
          <w:numId w:val="42"/>
        </w:numPr>
        <w:rPr>
          <w:color w:val="FF0000"/>
        </w:rPr>
      </w:pPr>
      <w:r w:rsidRPr="00486D8A">
        <w:t xml:space="preserve">Different SFE estimation methods were found to characterize binders differently. The differences in the </w:t>
      </w:r>
      <w:r w:rsidRPr="00A8199A">
        <w:t>SFE</w:t>
      </w:r>
      <w:r w:rsidR="00C0661A">
        <w:t xml:space="preserve"> components</w:t>
      </w:r>
      <w:r w:rsidRPr="00A8199A">
        <w:t xml:space="preserve"> </w:t>
      </w:r>
      <w:r w:rsidR="00C0661A">
        <w:t xml:space="preserve">resulting </w:t>
      </w:r>
      <w:r w:rsidRPr="00A8199A">
        <w:t>from the assumptions and mathematical formulations used by different methods</w:t>
      </w:r>
      <w:r w:rsidR="00C0661A">
        <w:t xml:space="preserve"> were responsible for different </w:t>
      </w:r>
      <w:r w:rsidR="00B71E9D">
        <w:t>characterization of binders</w:t>
      </w:r>
      <w:r w:rsidRPr="00A8199A">
        <w:t>. The difference</w:t>
      </w:r>
      <w:r w:rsidR="00B71E9D">
        <w:t>s</w:t>
      </w:r>
      <w:r w:rsidRPr="00A8199A">
        <w:t xml:space="preserve"> in the SFE w</w:t>
      </w:r>
      <w:r w:rsidR="00B71E9D">
        <w:t>ere</w:t>
      </w:r>
      <w:r w:rsidRPr="00A8199A">
        <w:t xml:space="preserve"> reflected in the energy parameters of the binder-aggregate system</w:t>
      </w:r>
      <w:r w:rsidR="00B71E9D">
        <w:t xml:space="preserve"> as well</w:t>
      </w:r>
      <w:r w:rsidRPr="00A8199A">
        <w:t xml:space="preserve">. </w:t>
      </w:r>
    </w:p>
    <w:p w14:paraId="476D16B4" w14:textId="57897F1C" w:rsidR="004D3678" w:rsidRPr="00A8199A" w:rsidRDefault="004D3678" w:rsidP="00517121">
      <w:pPr>
        <w:pStyle w:val="ListParagraph"/>
        <w:numPr>
          <w:ilvl w:val="0"/>
          <w:numId w:val="42"/>
        </w:numPr>
      </w:pPr>
      <w:r w:rsidRPr="00A8199A">
        <w:t>The WGFDE, WGDE and WFDE probe liquid sets were found to provide consistent energy parameters for the GvOC method. Similar probe liquid sets are expected to produce consistent energy parameter</w:t>
      </w:r>
      <w:r w:rsidR="00B71E9D">
        <w:t>s</w:t>
      </w:r>
      <w:r w:rsidRPr="00A8199A">
        <w:t xml:space="preserve"> for the OW method as well. In case of the Wu method, the WGFDE, WFGD and WFED probe liquid sets can be used to obtain consistent SFE of binders.</w:t>
      </w:r>
    </w:p>
    <w:p w14:paraId="3F0CD9FF" w14:textId="77777777" w:rsidR="004D3678" w:rsidRPr="00CB7728" w:rsidRDefault="004D3678" w:rsidP="00517121">
      <w:pPr>
        <w:pStyle w:val="ListParagraph"/>
        <w:numPr>
          <w:ilvl w:val="0"/>
          <w:numId w:val="42"/>
        </w:numPr>
      </w:pPr>
      <w:r w:rsidRPr="00A8199A">
        <w:t xml:space="preserve">Among different component-based approaches, only the GvOC method was found to characterize asphalt mixes similar to the Neumann method. </w:t>
      </w:r>
    </w:p>
    <w:p w14:paraId="6B13E6F9" w14:textId="77777777" w:rsidR="004D3678" w:rsidRPr="00CB7728" w:rsidRDefault="004D3678" w:rsidP="00517121">
      <w:pPr>
        <w:pStyle w:val="ListParagraph"/>
        <w:numPr>
          <w:ilvl w:val="0"/>
          <w:numId w:val="42"/>
        </w:numPr>
      </w:pPr>
      <w:r>
        <w:t>The results of the SFE method indicated that t</w:t>
      </w:r>
      <w:r w:rsidRPr="00CB7728">
        <w:t>he properties of aggregates have significantly higher influence on the moisture-induced damage potential of a mix than the properties of binder.</w:t>
      </w:r>
    </w:p>
    <w:p w14:paraId="7590C867" w14:textId="2B1B2A88" w:rsidR="004D3678" w:rsidRPr="00CB7728" w:rsidRDefault="004D3678" w:rsidP="00517121">
      <w:pPr>
        <w:pStyle w:val="ListParagraph"/>
        <w:numPr>
          <w:ilvl w:val="0"/>
          <w:numId w:val="42"/>
        </w:numPr>
      </w:pPr>
      <w:r w:rsidRPr="00CB7728">
        <w:t xml:space="preserve">Based on the chemical analysis and </w:t>
      </w:r>
      <w:r w:rsidR="00B71E9D">
        <w:t xml:space="preserve">the </w:t>
      </w:r>
      <w:r w:rsidRPr="00CB7728">
        <w:t>surface free energy method, the rhyolite (R1) and limestone (L1 and L3) aggregates are expected to exhibit good resistance to moisture-induced damage when used in a mix. The test results indicated poor moisture-induced damage resistance for L2 limestone and G1 granite aggregate.</w:t>
      </w:r>
    </w:p>
    <w:p w14:paraId="4E6511A0" w14:textId="4CA63A74" w:rsidR="004D3678" w:rsidRPr="00CB7728" w:rsidRDefault="004D3678" w:rsidP="00517121">
      <w:pPr>
        <w:pStyle w:val="ListParagraph"/>
        <w:numPr>
          <w:ilvl w:val="0"/>
          <w:numId w:val="42"/>
        </w:numPr>
      </w:pPr>
      <w:r w:rsidRPr="00CB7728">
        <w:t>The analyses of FTIR spectra w</w:t>
      </w:r>
      <w:r w:rsidR="00B71E9D">
        <w:t>ere</w:t>
      </w:r>
      <w:r w:rsidRPr="00CB7728">
        <w:t xml:space="preserve"> found to provide valuable information on the functional groups present in the binders. Also, the FTIR test was able to detect the additives and modifiers used in binders.</w:t>
      </w:r>
    </w:p>
    <w:p w14:paraId="16620ADB" w14:textId="79DDA2E9" w:rsidR="004D3678" w:rsidRDefault="004D3678" w:rsidP="00517121">
      <w:pPr>
        <w:pStyle w:val="ListParagraph"/>
        <w:numPr>
          <w:ilvl w:val="0"/>
          <w:numId w:val="42"/>
        </w:numPr>
      </w:pPr>
      <w:r w:rsidRPr="00CB7728">
        <w:t>A general increasing trend of the carbonyl and sulfoxide functionalities for binders with short and long-term aging w</w:t>
      </w:r>
      <w:r w:rsidR="00B71E9D">
        <w:t>as</w:t>
      </w:r>
      <w:r w:rsidRPr="00CB7728">
        <w:t xml:space="preserve"> observed from the FTIR analyses. The increase in these functional groups may produce water soluble bonds at the interface making it susceptible to moisture.</w:t>
      </w:r>
    </w:p>
    <w:p w14:paraId="4A474455" w14:textId="77777777" w:rsidR="004D3678" w:rsidRPr="008D5BE0" w:rsidRDefault="004D3678" w:rsidP="00517121">
      <w:pPr>
        <w:pStyle w:val="ListParagraph"/>
        <w:numPr>
          <w:ilvl w:val="0"/>
          <w:numId w:val="42"/>
        </w:numPr>
      </w:pPr>
      <w:r w:rsidRPr="008D5BE0">
        <w:t xml:space="preserve">Asphalt mixes, in general, were found to become more prone to moisture-induced damage with long-term aging. Significant changes in the SFE components, </w:t>
      </w:r>
      <w:r w:rsidRPr="00517121">
        <w:rPr>
          <w:i/>
          <w:iCs/>
        </w:rPr>
        <w:t>ITS</w:t>
      </w:r>
      <w:r w:rsidRPr="008D5BE0">
        <w:t xml:space="preserve"> and </w:t>
      </w:r>
      <w:r w:rsidRPr="00517121">
        <w:rPr>
          <w:i/>
          <w:iCs/>
        </w:rPr>
        <w:t>G</w:t>
      </w:r>
      <w:r w:rsidRPr="00517121">
        <w:rPr>
          <w:i/>
          <w:iCs/>
          <w:vertAlign w:val="subscript"/>
        </w:rPr>
        <w:t>f</w:t>
      </w:r>
      <w:r w:rsidRPr="00517121">
        <w:rPr>
          <w:vertAlign w:val="subscript"/>
        </w:rPr>
        <w:t xml:space="preserve"> </w:t>
      </w:r>
      <w:r w:rsidRPr="008D5BE0">
        <w:t>values were observed due to the thermal degradation of the constituents of binder and additives.</w:t>
      </w:r>
    </w:p>
    <w:p w14:paraId="2B154360" w14:textId="77777777" w:rsidR="004D3678" w:rsidRPr="003E20F0" w:rsidRDefault="004D3678" w:rsidP="00517121">
      <w:pPr>
        <w:pStyle w:val="ListParagraph"/>
        <w:numPr>
          <w:ilvl w:val="0"/>
          <w:numId w:val="42"/>
        </w:numPr>
      </w:pPr>
      <w:r>
        <w:t>From SFE method and chemical analysis, t</w:t>
      </w:r>
      <w:r w:rsidRPr="00CB7728">
        <w:t xml:space="preserve">he addition of WMA and ASA are expected to reduce moisture susceptibility of asphalt mix. </w:t>
      </w:r>
      <w:r w:rsidRPr="008D5BE0">
        <w:t xml:space="preserve">Similar improvements were also observed from the </w:t>
      </w:r>
      <w:r w:rsidRPr="00517121">
        <w:rPr>
          <w:i/>
          <w:iCs/>
        </w:rPr>
        <w:t>TSR</w:t>
      </w:r>
      <w:r w:rsidRPr="008D5BE0">
        <w:t xml:space="preserve"> and </w:t>
      </w:r>
      <w:r w:rsidRPr="00517121">
        <w:rPr>
          <w:i/>
          <w:iCs/>
        </w:rPr>
        <w:t>G</w:t>
      </w:r>
      <w:r w:rsidRPr="00517121">
        <w:rPr>
          <w:i/>
          <w:iCs/>
          <w:vertAlign w:val="subscript"/>
        </w:rPr>
        <w:t xml:space="preserve">f </w:t>
      </w:r>
      <w:r w:rsidRPr="00517121">
        <w:rPr>
          <w:i/>
          <w:iCs/>
        </w:rPr>
        <w:t>ratio</w:t>
      </w:r>
      <w:r w:rsidRPr="008D5BE0">
        <w:t xml:space="preserve"> parameters. </w:t>
      </w:r>
      <w:r w:rsidRPr="00CB7728">
        <w:t xml:space="preserve">The presence of amine group in both WMA and ASA is expected to enhance bonding between </w:t>
      </w:r>
      <w:r w:rsidRPr="003E20F0">
        <w:t>binder and aggregate.</w:t>
      </w:r>
    </w:p>
    <w:p w14:paraId="69C69330" w14:textId="77777777" w:rsidR="004D3678" w:rsidRPr="003E20F0" w:rsidRDefault="004D3678" w:rsidP="00517121">
      <w:pPr>
        <w:pStyle w:val="ListParagraph"/>
        <w:numPr>
          <w:ilvl w:val="0"/>
          <w:numId w:val="42"/>
        </w:numPr>
      </w:pPr>
      <w:r w:rsidRPr="003E20F0">
        <w:t xml:space="preserve">The use of 20% RAP is expected to improve the resistance to moisture-induced damage. However, the performance of the binder blend with RAP may deteriorate with aging. </w:t>
      </w:r>
    </w:p>
    <w:p w14:paraId="02098610" w14:textId="77777777" w:rsidR="004D3678" w:rsidRPr="003E20F0" w:rsidRDefault="004D3678" w:rsidP="00517121">
      <w:pPr>
        <w:pStyle w:val="ListParagraph"/>
        <w:numPr>
          <w:ilvl w:val="0"/>
          <w:numId w:val="42"/>
        </w:numPr>
      </w:pPr>
      <w:r w:rsidRPr="003E20F0">
        <w:t xml:space="preserve">In general (except L2 aggregate), PPA modification increased the potential for moisture-induced damage of a binder-aggregate system. From laboratory-based performance test, the mix containing PPA was found to exhibit the lowest </w:t>
      </w:r>
      <w:r w:rsidRPr="003E20F0">
        <w:rPr>
          <w:i/>
          <w:iCs/>
        </w:rPr>
        <w:t>TSR</w:t>
      </w:r>
      <w:r w:rsidRPr="003E20F0">
        <w:t xml:space="preserve"> values among all mixes indicating the highest susceptibility to moisture-induced damage.</w:t>
      </w:r>
    </w:p>
    <w:p w14:paraId="4268BD53" w14:textId="77777777" w:rsidR="004D3678" w:rsidRPr="003E20F0" w:rsidRDefault="004D3678" w:rsidP="00517121">
      <w:pPr>
        <w:pStyle w:val="ListParagraph"/>
        <w:numPr>
          <w:ilvl w:val="0"/>
          <w:numId w:val="42"/>
        </w:numPr>
      </w:pPr>
      <w:r w:rsidRPr="003E20F0">
        <w:t>The stripping number (</w:t>
      </w:r>
      <w:r w:rsidRPr="003E20F0">
        <w:rPr>
          <w:i/>
          <w:iCs/>
        </w:rPr>
        <w:t>LC</w:t>
      </w:r>
      <w:r w:rsidRPr="003E20F0">
        <w:rPr>
          <w:i/>
          <w:iCs/>
          <w:vertAlign w:val="subscript"/>
        </w:rPr>
        <w:t>SN</w:t>
      </w:r>
      <w:r w:rsidRPr="003E20F0">
        <w:t xml:space="preserve">) from the HWT test showed a better correlation with the </w:t>
      </w:r>
      <w:r w:rsidRPr="003E20F0">
        <w:rPr>
          <w:i/>
          <w:iCs/>
        </w:rPr>
        <w:t>ER</w:t>
      </w:r>
      <w:r w:rsidRPr="003E20F0">
        <w:rPr>
          <w:i/>
          <w:iCs/>
          <w:vertAlign w:val="subscript"/>
        </w:rPr>
        <w:t>1</w:t>
      </w:r>
      <w:r w:rsidRPr="003E20F0">
        <w:t xml:space="preserve"> indicating a higher potential to identify moisture-induced damage susceptible mixes.</w:t>
      </w:r>
    </w:p>
    <w:p w14:paraId="4733E4C2" w14:textId="77777777" w:rsidR="004D3678" w:rsidRPr="003E20F0" w:rsidRDefault="004D3678" w:rsidP="00517121">
      <w:pPr>
        <w:pStyle w:val="ListParagraph"/>
        <w:numPr>
          <w:ilvl w:val="0"/>
          <w:numId w:val="42"/>
        </w:numPr>
      </w:pPr>
      <w:r w:rsidRPr="003E20F0">
        <w:rPr>
          <w:lang w:val="en-CA"/>
        </w:rPr>
        <w:t xml:space="preserve">The </w:t>
      </w:r>
      <w:r w:rsidRPr="003E20F0">
        <w:rPr>
          <w:i/>
          <w:iCs/>
          <w:lang w:val="en-CA"/>
        </w:rPr>
        <w:t>TI</w:t>
      </w:r>
      <w:r w:rsidRPr="003E20F0">
        <w:rPr>
          <w:lang w:val="en-CA"/>
        </w:rPr>
        <w:t xml:space="preserve"> results indicated that the moisture conditioning process increased the plastic behavior in all mixes. Also, </w:t>
      </w:r>
      <w:r w:rsidRPr="003E20F0">
        <w:rPr>
          <w:i/>
          <w:iCs/>
          <w:lang w:val="en-CA"/>
        </w:rPr>
        <w:t>TI ratio</w:t>
      </w:r>
      <w:r w:rsidRPr="003E20F0">
        <w:rPr>
          <w:lang w:val="en-CA"/>
        </w:rPr>
        <w:t xml:space="preserve"> exhibited a good correlation with the SFE parameter.</w:t>
      </w:r>
    </w:p>
    <w:p w14:paraId="2CDBBB86" w14:textId="77777777" w:rsidR="004D3678" w:rsidRPr="003E20F0" w:rsidRDefault="004D3678" w:rsidP="00517121">
      <w:pPr>
        <w:pStyle w:val="ListParagraph"/>
        <w:numPr>
          <w:ilvl w:val="0"/>
          <w:numId w:val="42"/>
        </w:numPr>
      </w:pPr>
      <w:r w:rsidRPr="003E20F0">
        <w:t xml:space="preserve">The </w:t>
      </w:r>
      <w:r w:rsidRPr="003E20F0">
        <w:rPr>
          <w:i/>
          <w:iCs/>
        </w:rPr>
        <w:t>G</w:t>
      </w:r>
      <w:r w:rsidRPr="003E20F0">
        <w:rPr>
          <w:i/>
          <w:iCs/>
          <w:vertAlign w:val="subscript"/>
        </w:rPr>
        <w:t>f</w:t>
      </w:r>
      <w:r w:rsidRPr="003E20F0">
        <w:rPr>
          <w:i/>
          <w:iCs/>
        </w:rPr>
        <w:t xml:space="preserve"> ratio</w:t>
      </w:r>
      <w:r w:rsidRPr="003E20F0">
        <w:t xml:space="preserve"> from IL-SCB and </w:t>
      </w:r>
      <w:r w:rsidRPr="003E20F0">
        <w:rPr>
          <w:i/>
          <w:iCs/>
          <w:lang w:val="en-CA"/>
        </w:rPr>
        <w:t>J</w:t>
      </w:r>
      <w:r w:rsidRPr="003E20F0">
        <w:rPr>
          <w:i/>
          <w:iCs/>
          <w:vertAlign w:val="subscript"/>
          <w:lang w:val="en-CA"/>
        </w:rPr>
        <w:t>c</w:t>
      </w:r>
      <w:r w:rsidRPr="003E20F0">
        <w:rPr>
          <w:i/>
          <w:iCs/>
          <w:lang w:val="en-CA"/>
        </w:rPr>
        <w:t xml:space="preserve"> ratio</w:t>
      </w:r>
      <w:r w:rsidRPr="003E20F0">
        <w:rPr>
          <w:lang w:val="en-CA"/>
        </w:rPr>
        <w:t xml:space="preserve"> from LA-SCB </w:t>
      </w:r>
      <w:r w:rsidRPr="003E20F0">
        <w:t xml:space="preserve">test </w:t>
      </w:r>
      <w:r w:rsidRPr="003E20F0">
        <w:rPr>
          <w:lang w:val="en-CA"/>
        </w:rPr>
        <w:t>exhibited the potential for use as a laboratory performance test for screening of asphalt mixes in the mix design phase.</w:t>
      </w:r>
    </w:p>
    <w:p w14:paraId="04B5BD61" w14:textId="7F91D1CD" w:rsidR="004D3678" w:rsidRPr="003E20F0" w:rsidRDefault="00517121" w:rsidP="00E57694">
      <w:pPr>
        <w:pStyle w:val="Heading2"/>
        <w:rPr>
          <w:lang w:val="en-CA"/>
        </w:rPr>
      </w:pPr>
      <w:bookmarkStart w:id="174" w:name="_Toc71728468"/>
      <w:r w:rsidRPr="003E20F0">
        <w:rPr>
          <w:lang w:val="en-CA"/>
        </w:rPr>
        <w:t>RECOMMENDATIONS</w:t>
      </w:r>
      <w:bookmarkEnd w:id="174"/>
    </w:p>
    <w:p w14:paraId="4B2EE078" w14:textId="77777777" w:rsidR="004D3678" w:rsidRPr="003E20F0" w:rsidRDefault="004D3678" w:rsidP="000330D0">
      <w:pPr>
        <w:rPr>
          <w:lang w:val="en-CA"/>
        </w:rPr>
      </w:pPr>
      <w:r w:rsidRPr="003E20F0">
        <w:rPr>
          <w:lang w:val="en-CA"/>
        </w:rPr>
        <w:t>Considering the limited scope of this study, future studies are recommended to address the following issues:</w:t>
      </w:r>
    </w:p>
    <w:p w14:paraId="05F15EFF" w14:textId="6265DDF0" w:rsidR="00DC4C58" w:rsidRPr="003E20F0" w:rsidRDefault="00DC4C58" w:rsidP="00517121">
      <w:pPr>
        <w:pStyle w:val="ListParagraph"/>
        <w:numPr>
          <w:ilvl w:val="0"/>
          <w:numId w:val="43"/>
        </w:numPr>
        <w:rPr>
          <w:lang w:val="en-CA"/>
        </w:rPr>
      </w:pPr>
      <w:r w:rsidRPr="003E20F0">
        <w:t>The moisture-induced damage p</w:t>
      </w:r>
      <w:r w:rsidR="00915B56" w:rsidRPr="003E20F0">
        <w:t>otential</w:t>
      </w:r>
      <w:r w:rsidRPr="003E20F0">
        <w:t xml:space="preserve"> of asphalt mixes produced with aggregates from sources </w:t>
      </w:r>
      <w:r w:rsidR="000E29E3" w:rsidRPr="003E20F0">
        <w:t xml:space="preserve">different than the ones used in </w:t>
      </w:r>
      <w:r w:rsidR="00EB521D" w:rsidRPr="003E20F0">
        <w:t xml:space="preserve">the current study </w:t>
      </w:r>
      <w:r w:rsidRPr="003E20F0">
        <w:t xml:space="preserve">can </w:t>
      </w:r>
      <w:r w:rsidR="00741EBF" w:rsidRPr="003E20F0">
        <w:t>vary</w:t>
      </w:r>
      <w:r w:rsidRPr="003E20F0">
        <w:t xml:space="preserve"> depending on their mineralogical and surface compositions. Therefore, </w:t>
      </w:r>
      <w:r w:rsidR="00613E1F" w:rsidRPr="003E20F0">
        <w:t>future studies should address moisture-induced damage evaluation of other aggregates and selection of  binder-aggregate combinations</w:t>
      </w:r>
      <w:r w:rsidRPr="003E20F0">
        <w:t>.</w:t>
      </w:r>
    </w:p>
    <w:p w14:paraId="60663834" w14:textId="159F9CF3" w:rsidR="004D3678" w:rsidRPr="003E20F0" w:rsidRDefault="00C70586" w:rsidP="00517121">
      <w:pPr>
        <w:pStyle w:val="ListParagraph"/>
        <w:numPr>
          <w:ilvl w:val="0"/>
          <w:numId w:val="43"/>
        </w:numPr>
        <w:rPr>
          <w:lang w:val="en-CA"/>
        </w:rPr>
      </w:pPr>
      <w:r w:rsidRPr="003E20F0">
        <w:t>In t</w:t>
      </w:r>
      <w:r w:rsidR="004D3678" w:rsidRPr="003E20F0">
        <w:t>he current study</w:t>
      </w:r>
      <w:r w:rsidRPr="003E20F0">
        <w:t xml:space="preserve">, </w:t>
      </w:r>
      <w:r w:rsidR="000433BF" w:rsidRPr="003E20F0">
        <w:t>performance of asphalt mixes</w:t>
      </w:r>
      <w:r w:rsidR="004D3678" w:rsidRPr="003E20F0">
        <w:t xml:space="preserve"> was </w:t>
      </w:r>
      <w:r w:rsidR="00DC4C58" w:rsidRPr="003E20F0">
        <w:t>evaluated for</w:t>
      </w:r>
      <w:r w:rsidR="004D3678" w:rsidRPr="003E20F0">
        <w:t xml:space="preserve"> one type of aggregate (rhyolite). Therefore, future studies in</w:t>
      </w:r>
      <w:r w:rsidR="00915B56" w:rsidRPr="003E20F0">
        <w:t>volving</w:t>
      </w:r>
      <w:r w:rsidR="004D3678" w:rsidRPr="003E20F0">
        <w:t xml:space="preserve"> other types of aggregates such as limestone, granite and dolomite </w:t>
      </w:r>
      <w:r w:rsidR="00915B56" w:rsidRPr="003E20F0">
        <w:t>may</w:t>
      </w:r>
      <w:r w:rsidR="004D3678" w:rsidRPr="003E20F0">
        <w:t xml:space="preserve"> be conducted to obtain a better understanding of additives and aging for different binder-aggregate combinations.</w:t>
      </w:r>
      <w:r w:rsidR="004D3678" w:rsidRPr="003E20F0">
        <w:rPr>
          <w:lang w:val="en-CA"/>
        </w:rPr>
        <w:t xml:space="preserve"> </w:t>
      </w:r>
    </w:p>
    <w:p w14:paraId="2A6D5FBF" w14:textId="2A262349" w:rsidR="006253CE" w:rsidRPr="003E20F0" w:rsidRDefault="006253CE" w:rsidP="00517121">
      <w:pPr>
        <w:pStyle w:val="ListParagraph"/>
        <w:numPr>
          <w:ilvl w:val="0"/>
          <w:numId w:val="43"/>
        </w:numPr>
        <w:rPr>
          <w:lang w:val="en-CA"/>
        </w:rPr>
      </w:pPr>
      <w:r w:rsidRPr="003E20F0">
        <w:rPr>
          <w:lang w:val="en-CA"/>
        </w:rPr>
        <w:t xml:space="preserve">The correlations between different laboratory-based performance parameters and </w:t>
      </w:r>
      <w:r w:rsidRPr="003E20F0">
        <w:rPr>
          <w:i/>
          <w:iCs/>
          <w:lang w:val="en-CA"/>
        </w:rPr>
        <w:t>ER</w:t>
      </w:r>
      <w:r w:rsidRPr="003E20F0">
        <w:rPr>
          <w:i/>
          <w:iCs/>
          <w:vertAlign w:val="subscript"/>
          <w:lang w:val="en-CA"/>
        </w:rPr>
        <w:t>1</w:t>
      </w:r>
      <w:r w:rsidRPr="003E20F0">
        <w:rPr>
          <w:lang w:val="en-CA"/>
        </w:rPr>
        <w:t xml:space="preserve"> were developed based on </w:t>
      </w:r>
      <w:r w:rsidR="00372DFB" w:rsidRPr="003E20F0">
        <w:rPr>
          <w:lang w:val="en-CA"/>
        </w:rPr>
        <w:t xml:space="preserve">a </w:t>
      </w:r>
      <w:r w:rsidR="00915B56" w:rsidRPr="003E20F0">
        <w:rPr>
          <w:lang w:val="en-CA"/>
        </w:rPr>
        <w:t xml:space="preserve">relatively </w:t>
      </w:r>
      <w:r w:rsidR="00372DFB" w:rsidRPr="003E20F0">
        <w:rPr>
          <w:lang w:val="en-CA"/>
        </w:rPr>
        <w:t>small dataset.</w:t>
      </w:r>
      <w:r w:rsidRPr="003E20F0">
        <w:rPr>
          <w:lang w:val="en-CA"/>
        </w:rPr>
        <w:t xml:space="preserve"> Future stud</w:t>
      </w:r>
      <w:r w:rsidR="00915B56" w:rsidRPr="003E20F0">
        <w:rPr>
          <w:lang w:val="en-CA"/>
        </w:rPr>
        <w:t>ies</w:t>
      </w:r>
      <w:r w:rsidRPr="003E20F0">
        <w:rPr>
          <w:lang w:val="en-CA"/>
        </w:rPr>
        <w:t xml:space="preserve"> </w:t>
      </w:r>
      <w:r w:rsidR="00CC0122" w:rsidRPr="003E20F0">
        <w:rPr>
          <w:lang w:val="en-CA"/>
        </w:rPr>
        <w:t>may</w:t>
      </w:r>
      <w:r w:rsidRPr="003E20F0">
        <w:rPr>
          <w:lang w:val="en-CA"/>
        </w:rPr>
        <w:t xml:space="preserve"> evaluate these relationships with a larger dataset consisting of different binder-aggregate combinations.</w:t>
      </w:r>
    </w:p>
    <w:p w14:paraId="0DB41021" w14:textId="59DAA2D5" w:rsidR="00C557B7" w:rsidRPr="003E20F0" w:rsidRDefault="00CC0122" w:rsidP="00517121">
      <w:pPr>
        <w:pStyle w:val="ListParagraph"/>
        <w:numPr>
          <w:ilvl w:val="0"/>
          <w:numId w:val="43"/>
        </w:numPr>
        <w:rPr>
          <w:lang w:val="en-CA"/>
        </w:rPr>
      </w:pPr>
      <w:r w:rsidRPr="003E20F0">
        <w:rPr>
          <w:lang w:val="en-CA"/>
        </w:rPr>
        <w:t>In the present study, s</w:t>
      </w:r>
      <w:r w:rsidR="00A65502" w:rsidRPr="003E20F0">
        <w:rPr>
          <w:lang w:val="en-CA"/>
        </w:rPr>
        <w:t>tandard test methods and loading rate</w:t>
      </w:r>
      <w:r w:rsidR="00F86CB7" w:rsidRPr="003E20F0">
        <w:rPr>
          <w:lang w:val="en-CA"/>
        </w:rPr>
        <w:t>s were used to conduct t</w:t>
      </w:r>
      <w:r w:rsidR="001B23B6" w:rsidRPr="003E20F0">
        <w:rPr>
          <w:lang w:val="en-CA"/>
        </w:rPr>
        <w:t>he laboratory-performance tests</w:t>
      </w:r>
      <w:r w:rsidR="00F86CB7" w:rsidRPr="003E20F0">
        <w:rPr>
          <w:lang w:val="en-CA"/>
        </w:rPr>
        <w:t>. Future stud</w:t>
      </w:r>
      <w:r w:rsidRPr="003E20F0">
        <w:rPr>
          <w:lang w:val="en-CA"/>
        </w:rPr>
        <w:t>ies</w:t>
      </w:r>
      <w:r w:rsidR="0083357F" w:rsidRPr="003E20F0">
        <w:rPr>
          <w:lang w:val="en-CA"/>
        </w:rPr>
        <w:t xml:space="preserve"> </w:t>
      </w:r>
      <w:r w:rsidRPr="003E20F0">
        <w:rPr>
          <w:lang w:val="en-CA"/>
        </w:rPr>
        <w:t>may consider</w:t>
      </w:r>
      <w:r w:rsidR="0083357F" w:rsidRPr="003E20F0">
        <w:rPr>
          <w:lang w:val="en-CA"/>
        </w:rPr>
        <w:t xml:space="preserve"> the effect</w:t>
      </w:r>
      <w:r w:rsidR="00F23220" w:rsidRPr="003E20F0">
        <w:rPr>
          <w:lang w:val="en-CA"/>
        </w:rPr>
        <w:t>s</w:t>
      </w:r>
      <w:r w:rsidR="0083357F" w:rsidRPr="003E20F0">
        <w:rPr>
          <w:lang w:val="en-CA"/>
        </w:rPr>
        <w:t xml:space="preserve"> of </w:t>
      </w:r>
      <w:r w:rsidR="0010574E" w:rsidRPr="003E20F0">
        <w:rPr>
          <w:lang w:val="en-CA"/>
        </w:rPr>
        <w:t xml:space="preserve">loading </w:t>
      </w:r>
      <w:r w:rsidR="00A1387B" w:rsidRPr="003E20F0">
        <w:rPr>
          <w:lang w:val="en-CA"/>
        </w:rPr>
        <w:t xml:space="preserve">rate and </w:t>
      </w:r>
      <w:r w:rsidR="0083357F" w:rsidRPr="003E20F0">
        <w:rPr>
          <w:lang w:val="en-CA"/>
        </w:rPr>
        <w:t xml:space="preserve">displacement </w:t>
      </w:r>
      <w:r w:rsidR="00A1387B" w:rsidRPr="003E20F0">
        <w:rPr>
          <w:lang w:val="en-CA"/>
        </w:rPr>
        <w:t xml:space="preserve">on the </w:t>
      </w:r>
      <w:r w:rsidRPr="003E20F0">
        <w:rPr>
          <w:lang w:val="en-CA"/>
        </w:rPr>
        <w:t xml:space="preserve">evaluation of </w:t>
      </w:r>
      <w:r w:rsidR="00A1387B" w:rsidRPr="003E20F0">
        <w:rPr>
          <w:lang w:val="en-CA"/>
        </w:rPr>
        <w:t xml:space="preserve">moisture-induced damage </w:t>
      </w:r>
      <w:r w:rsidRPr="003E20F0">
        <w:rPr>
          <w:lang w:val="en-CA"/>
        </w:rPr>
        <w:t>potential</w:t>
      </w:r>
      <w:r w:rsidR="00A1387B" w:rsidRPr="003E20F0">
        <w:rPr>
          <w:lang w:val="en-CA"/>
        </w:rPr>
        <w:t xml:space="preserve"> of asphalt mixes</w:t>
      </w:r>
      <w:r w:rsidR="00F23220" w:rsidRPr="003E20F0">
        <w:rPr>
          <w:lang w:val="en-CA"/>
        </w:rPr>
        <w:t>.</w:t>
      </w:r>
    </w:p>
    <w:p w14:paraId="4C871036" w14:textId="77777777" w:rsidR="004D3678" w:rsidRPr="003E20F0" w:rsidRDefault="004D3678" w:rsidP="00517121">
      <w:pPr>
        <w:pStyle w:val="ListParagraph"/>
        <w:numPr>
          <w:ilvl w:val="0"/>
          <w:numId w:val="43"/>
        </w:numPr>
        <w:rPr>
          <w:lang w:val="en-CA"/>
        </w:rPr>
      </w:pPr>
      <w:r w:rsidRPr="003E20F0">
        <w:rPr>
          <w:lang w:val="en-CA"/>
        </w:rPr>
        <w:t>The surface chemistry related to the adsorption and desorption of binders with different additives on the surface of different aggregates needs further investigation.</w:t>
      </w:r>
    </w:p>
    <w:p w14:paraId="7485C1FA" w14:textId="492084FC" w:rsidR="004D3678" w:rsidRPr="003E20F0" w:rsidRDefault="004D3678" w:rsidP="00517121">
      <w:pPr>
        <w:pStyle w:val="ListParagraph"/>
        <w:numPr>
          <w:ilvl w:val="0"/>
          <w:numId w:val="43"/>
        </w:numPr>
      </w:pPr>
      <w:r w:rsidRPr="003E20F0">
        <w:rPr>
          <w:lang w:val="en-CA"/>
        </w:rPr>
        <w:t>The study was limited to 20% RAP. The effect of the addition of higher amount</w:t>
      </w:r>
      <w:r w:rsidR="00CC0122" w:rsidRPr="003E20F0">
        <w:rPr>
          <w:lang w:val="en-CA"/>
        </w:rPr>
        <w:t>s</w:t>
      </w:r>
      <w:r w:rsidRPr="003E20F0">
        <w:rPr>
          <w:lang w:val="en-CA"/>
        </w:rPr>
        <w:t xml:space="preserve"> of RAP (&gt; 20%) to the moisture-induced damage potential of asphalt mixes should be investigated.</w:t>
      </w:r>
    </w:p>
    <w:p w14:paraId="3744F7E5" w14:textId="05901065" w:rsidR="0090157D" w:rsidRPr="003E20F0" w:rsidRDefault="0090157D" w:rsidP="00517121">
      <w:pPr>
        <w:pStyle w:val="ListParagraph"/>
        <w:numPr>
          <w:ilvl w:val="0"/>
          <w:numId w:val="43"/>
        </w:numPr>
      </w:pPr>
      <w:r w:rsidRPr="003E20F0">
        <w:rPr>
          <w:lang w:val="en-CA"/>
        </w:rPr>
        <w:t xml:space="preserve">In this study, the </w:t>
      </w:r>
      <w:r w:rsidR="00643B5E" w:rsidRPr="003E20F0">
        <w:rPr>
          <w:lang w:val="en-CA"/>
        </w:rPr>
        <w:t xml:space="preserve">roughness of the binder surface was not considered in the calculation of contact angle with probe liquids. </w:t>
      </w:r>
      <w:r w:rsidR="00CC0122" w:rsidRPr="003E20F0">
        <w:rPr>
          <w:lang w:val="en-CA"/>
        </w:rPr>
        <w:t>Effect of</w:t>
      </w:r>
      <w:r w:rsidR="00FC42F3" w:rsidRPr="003E20F0">
        <w:rPr>
          <w:lang w:val="en-CA"/>
        </w:rPr>
        <w:t xml:space="preserve"> </w:t>
      </w:r>
      <w:r w:rsidR="004960B6" w:rsidRPr="003E20F0">
        <w:rPr>
          <w:lang w:val="en-CA"/>
        </w:rPr>
        <w:t>rou</w:t>
      </w:r>
      <w:r w:rsidR="00A97F71" w:rsidRPr="003E20F0">
        <w:rPr>
          <w:lang w:val="en-CA"/>
        </w:rPr>
        <w:t xml:space="preserve">ghness of </w:t>
      </w:r>
      <w:r w:rsidR="00546E00" w:rsidRPr="003E20F0">
        <w:rPr>
          <w:lang w:val="en-CA"/>
        </w:rPr>
        <w:t xml:space="preserve">binder </w:t>
      </w:r>
      <w:r w:rsidR="00A97F71" w:rsidRPr="003E20F0">
        <w:rPr>
          <w:lang w:val="en-CA"/>
        </w:rPr>
        <w:t xml:space="preserve">surface </w:t>
      </w:r>
      <w:r w:rsidR="00CC0122" w:rsidRPr="003E20F0">
        <w:rPr>
          <w:lang w:val="en-CA"/>
        </w:rPr>
        <w:t>may be addressed in future studies</w:t>
      </w:r>
      <w:r w:rsidR="005E4231" w:rsidRPr="003E20F0">
        <w:rPr>
          <w:lang w:val="en-CA"/>
        </w:rPr>
        <w:t>.</w:t>
      </w:r>
    </w:p>
    <w:p w14:paraId="4A6F9645" w14:textId="77777777" w:rsidR="004D3678" w:rsidRPr="00517121" w:rsidRDefault="004D3678" w:rsidP="00517121">
      <w:pPr>
        <w:pStyle w:val="ListParagraph"/>
        <w:numPr>
          <w:ilvl w:val="0"/>
          <w:numId w:val="43"/>
        </w:numPr>
        <w:rPr>
          <w:lang w:val="en-CA"/>
        </w:rPr>
      </w:pPr>
      <w:r w:rsidRPr="003E20F0">
        <w:t>In this study, the influence of filler was considered insignificant in the calculation of moisture-induced damage of a binder-aggregate</w:t>
      </w:r>
      <w:r w:rsidRPr="00A9317A">
        <w:t xml:space="preserve"> system. Future study is needed to quantify the SFE components of fillers and </w:t>
      </w:r>
      <w:r>
        <w:t>its contribution to</w:t>
      </w:r>
      <w:r w:rsidRPr="00A9317A">
        <w:t xml:space="preserve"> the calculations of adhesive bond</w:t>
      </w:r>
      <w:r>
        <w:t xml:space="preserve"> of a binder-aggregate system</w:t>
      </w:r>
      <w:r w:rsidRPr="00A9317A">
        <w:t>.</w:t>
      </w:r>
    </w:p>
    <w:p w14:paraId="682CF01C" w14:textId="77777777" w:rsidR="00CC0122" w:rsidRDefault="004D3678" w:rsidP="00517121">
      <w:pPr>
        <w:pStyle w:val="ListParagraph"/>
        <w:numPr>
          <w:ilvl w:val="0"/>
          <w:numId w:val="43"/>
        </w:numPr>
        <w:rPr>
          <w:lang w:val="en-CA"/>
        </w:rPr>
      </w:pPr>
      <w:r w:rsidRPr="00517121">
        <w:rPr>
          <w:lang w:val="en-CA"/>
        </w:rPr>
        <w:t>Considering the limited scope of the present study, future studies are needed to determine correlations between and among the HWT, ITS and SCB parameters with field moisture-induced damage performance.</w:t>
      </w:r>
    </w:p>
    <w:p w14:paraId="35E4B80C" w14:textId="7E9A2FEA" w:rsidR="004D3678" w:rsidRPr="00517121" w:rsidRDefault="00CC0122" w:rsidP="00517121">
      <w:pPr>
        <w:pStyle w:val="ListParagraph"/>
        <w:numPr>
          <w:ilvl w:val="0"/>
          <w:numId w:val="43"/>
        </w:numPr>
        <w:rPr>
          <w:lang w:val="en-CA"/>
        </w:rPr>
      </w:pPr>
      <w:r>
        <w:rPr>
          <w:lang w:val="en-CA"/>
        </w:rPr>
        <w:t>The present study was limited to laboratory test-based assessment of moisture-induced damage potential of asphalt mixes. Correlations between field performance and laboratory assessment may be pursued in future studies.</w:t>
      </w:r>
      <w:r w:rsidR="004D3678" w:rsidRPr="00517121">
        <w:rPr>
          <w:lang w:val="en-CA"/>
        </w:rPr>
        <w:t xml:space="preserve"> </w:t>
      </w:r>
    </w:p>
    <w:p w14:paraId="08101D49" w14:textId="2D0C374E" w:rsidR="00344557" w:rsidRDefault="00344557" w:rsidP="00344557">
      <w:pPr>
        <w:tabs>
          <w:tab w:val="left" w:pos="720"/>
        </w:tabs>
        <w:contextualSpacing/>
        <w:rPr>
          <w:rFonts w:eastAsia="Times New Roman" w:cs="Times New Roman"/>
          <w:szCs w:val="24"/>
          <w:lang w:bidi="en-US"/>
        </w:rPr>
      </w:pPr>
    </w:p>
    <w:p w14:paraId="48B27ECE" w14:textId="1ED7EA76" w:rsidR="00344557" w:rsidRDefault="00344557" w:rsidP="00344557">
      <w:pPr>
        <w:tabs>
          <w:tab w:val="left" w:pos="720"/>
        </w:tabs>
        <w:contextualSpacing/>
        <w:rPr>
          <w:rFonts w:eastAsia="Times New Roman" w:cs="Times New Roman"/>
          <w:szCs w:val="24"/>
          <w:lang w:bidi="en-US"/>
        </w:rPr>
      </w:pPr>
    </w:p>
    <w:p w14:paraId="5C4A61DE" w14:textId="482B2441" w:rsidR="00344557" w:rsidRDefault="00344557" w:rsidP="00344557">
      <w:pPr>
        <w:tabs>
          <w:tab w:val="left" w:pos="720"/>
        </w:tabs>
        <w:contextualSpacing/>
        <w:rPr>
          <w:rFonts w:eastAsia="Times New Roman" w:cs="Times New Roman"/>
          <w:szCs w:val="24"/>
          <w:lang w:bidi="en-US"/>
        </w:rPr>
      </w:pPr>
    </w:p>
    <w:p w14:paraId="3A1AAFB9" w14:textId="2CD42B71" w:rsidR="00C56696" w:rsidRDefault="00C56696" w:rsidP="00344557">
      <w:pPr>
        <w:tabs>
          <w:tab w:val="left" w:pos="720"/>
        </w:tabs>
        <w:contextualSpacing/>
        <w:rPr>
          <w:rFonts w:eastAsia="Times New Roman" w:cs="Times New Roman"/>
          <w:szCs w:val="24"/>
          <w:lang w:bidi="en-US"/>
        </w:rPr>
      </w:pPr>
    </w:p>
    <w:p w14:paraId="6049E6B5" w14:textId="039A44AE" w:rsidR="00B96C8D" w:rsidRDefault="003B746F" w:rsidP="005670AB">
      <w:pPr>
        <w:pStyle w:val="Chapter"/>
      </w:pPr>
      <w:bookmarkStart w:id="175" w:name="_Toc457499905"/>
      <w:bookmarkStart w:id="176" w:name="_Toc469235001"/>
      <w:bookmarkStart w:id="177" w:name="_Toc71728469"/>
      <w:r w:rsidRPr="00B555D8">
        <w:t>REFERENCES</w:t>
      </w:r>
      <w:bookmarkEnd w:id="175"/>
      <w:bookmarkEnd w:id="176"/>
      <w:bookmarkEnd w:id="177"/>
    </w:p>
    <w:p w14:paraId="3BB3AFE2" w14:textId="77777777" w:rsidR="00C6718B" w:rsidRPr="0052740C" w:rsidRDefault="00B96C8D" w:rsidP="0052740C">
      <w:pPr>
        <w:pStyle w:val="EndNoteBibliography"/>
        <w:spacing w:line="480" w:lineRule="auto"/>
        <w:ind w:left="720" w:hanging="720"/>
        <w:rPr>
          <w:sz w:val="24"/>
          <w:szCs w:val="24"/>
        </w:rPr>
      </w:pPr>
      <w:r w:rsidRPr="0052740C">
        <w:rPr>
          <w:sz w:val="24"/>
          <w:szCs w:val="24"/>
        </w:rPr>
        <w:fldChar w:fldCharType="begin"/>
      </w:r>
      <w:r w:rsidRPr="0052740C">
        <w:rPr>
          <w:sz w:val="24"/>
          <w:szCs w:val="24"/>
        </w:rPr>
        <w:instrText xml:space="preserve"> ADDIN EN.REFLIST </w:instrText>
      </w:r>
      <w:r w:rsidRPr="0052740C">
        <w:rPr>
          <w:sz w:val="24"/>
          <w:szCs w:val="24"/>
        </w:rPr>
        <w:fldChar w:fldCharType="separate"/>
      </w:r>
      <w:r w:rsidR="00C6718B" w:rsidRPr="0052740C">
        <w:rPr>
          <w:sz w:val="24"/>
          <w:szCs w:val="24"/>
        </w:rPr>
        <w:t>AASHTO, 2013. ASTM D7870: Standard practice for moisture conditioning compacted asphalt mixture specimens by using hydrostatic pore pressure. West Conshohocken, PA: ASTM International.</w:t>
      </w:r>
    </w:p>
    <w:p w14:paraId="35E13B09" w14:textId="77777777" w:rsidR="00C6718B" w:rsidRPr="0052740C" w:rsidRDefault="00C6718B" w:rsidP="0052740C">
      <w:pPr>
        <w:pStyle w:val="EndNoteBibliography"/>
        <w:spacing w:line="480" w:lineRule="auto"/>
        <w:ind w:left="720" w:hanging="720"/>
        <w:rPr>
          <w:sz w:val="24"/>
          <w:szCs w:val="24"/>
        </w:rPr>
      </w:pPr>
      <w:r w:rsidRPr="0052740C">
        <w:rPr>
          <w:sz w:val="24"/>
          <w:szCs w:val="24"/>
        </w:rPr>
        <w:t>AASHTO, 2014a. AASHTO T 283: Standard Method of Test for Resistance of Compacted Asphalt Mixtures to Moisture-induced Damage. Washington, DC: American Association of State Highway and Transportation Officials.</w:t>
      </w:r>
    </w:p>
    <w:p w14:paraId="32DEA4F0" w14:textId="77777777" w:rsidR="00C6718B" w:rsidRPr="0052740C" w:rsidRDefault="00C6718B" w:rsidP="0052740C">
      <w:pPr>
        <w:pStyle w:val="EndNoteBibliography"/>
        <w:spacing w:line="480" w:lineRule="auto"/>
        <w:ind w:left="720" w:hanging="720"/>
        <w:rPr>
          <w:sz w:val="24"/>
          <w:szCs w:val="24"/>
        </w:rPr>
      </w:pPr>
      <w:r w:rsidRPr="0052740C">
        <w:rPr>
          <w:sz w:val="24"/>
          <w:szCs w:val="24"/>
        </w:rPr>
        <w:t>AASHTO, 2014b. AASHTO T 324: Standard Method of Test for Hamburg Wheel-track Testing of Compacted Asphalt Mixtures Washington, DC: American Association of State Highway and Transportation Officials.</w:t>
      </w:r>
    </w:p>
    <w:p w14:paraId="3A69A1B4" w14:textId="77777777" w:rsidR="00C6718B" w:rsidRPr="0052740C" w:rsidRDefault="00C6718B" w:rsidP="0052740C">
      <w:pPr>
        <w:pStyle w:val="EndNoteBibliography"/>
        <w:spacing w:line="480" w:lineRule="auto"/>
        <w:ind w:left="720" w:hanging="720"/>
        <w:rPr>
          <w:sz w:val="24"/>
          <w:szCs w:val="24"/>
        </w:rPr>
      </w:pPr>
      <w:r w:rsidRPr="0052740C">
        <w:rPr>
          <w:sz w:val="24"/>
          <w:szCs w:val="24"/>
        </w:rPr>
        <w:t>AASHTO, 2015a. AASHTO R 30: Standard Practice for Mixture Conditioning of Hot Mix Asphalt (HMA). Washington, D.C.: American Association of State Highway and Transportation Officials.</w:t>
      </w:r>
    </w:p>
    <w:p w14:paraId="19F149E1" w14:textId="77777777" w:rsidR="00C6718B" w:rsidRPr="0052740C" w:rsidRDefault="00C6718B" w:rsidP="0052740C">
      <w:pPr>
        <w:pStyle w:val="EndNoteBibliography"/>
        <w:spacing w:line="480" w:lineRule="auto"/>
        <w:ind w:left="720" w:hanging="720"/>
        <w:rPr>
          <w:sz w:val="24"/>
          <w:szCs w:val="24"/>
        </w:rPr>
      </w:pPr>
      <w:r w:rsidRPr="0052740C">
        <w:rPr>
          <w:sz w:val="24"/>
          <w:szCs w:val="24"/>
        </w:rPr>
        <w:t>AASHTO, 2015b. AASHTO T 312: Standard Method of Test for Preparing and Determining the Density of Asphalt Mixture Specimens by Means of the Superpave Gyratory Compactor. Washington, D.C.: American Association of State Highway and Transportation Officials.</w:t>
      </w:r>
    </w:p>
    <w:p w14:paraId="58C08D6B" w14:textId="77777777" w:rsidR="00C6718B" w:rsidRPr="0052740C" w:rsidRDefault="00C6718B" w:rsidP="0052740C">
      <w:pPr>
        <w:pStyle w:val="EndNoteBibliography"/>
        <w:spacing w:line="480" w:lineRule="auto"/>
        <w:ind w:left="720" w:hanging="720"/>
        <w:rPr>
          <w:sz w:val="24"/>
          <w:szCs w:val="24"/>
        </w:rPr>
      </w:pPr>
      <w:r w:rsidRPr="0052740C">
        <w:rPr>
          <w:sz w:val="24"/>
          <w:szCs w:val="24"/>
        </w:rPr>
        <w:t>AASHTO, 2016. AASHTO R 28: Standard Practice for Accelerated Aging of Asphalt Binder Using a Pressurized Aging Vessel (PAV) Washington, D.C.: American Association of State Highway and Transportation Officials.</w:t>
      </w:r>
    </w:p>
    <w:p w14:paraId="23502BB5" w14:textId="77777777" w:rsidR="00C6718B" w:rsidRPr="0052740C" w:rsidRDefault="00C6718B" w:rsidP="0052740C">
      <w:pPr>
        <w:pStyle w:val="EndNoteBibliography"/>
        <w:spacing w:line="480" w:lineRule="auto"/>
        <w:ind w:left="720" w:hanging="720"/>
        <w:rPr>
          <w:sz w:val="24"/>
          <w:szCs w:val="24"/>
        </w:rPr>
      </w:pPr>
      <w:r w:rsidRPr="0052740C">
        <w:rPr>
          <w:sz w:val="24"/>
          <w:szCs w:val="24"/>
        </w:rPr>
        <w:t>AASHTO, 2017. AASHTO T 240: Standard Method of Test for Effect of Heat and Air on a Moving Film of Asphalt Binder (Rolling Thin-Film Oven Test) Washington, D.C.: American Association of State Highway and Transportation Officials.</w:t>
      </w:r>
    </w:p>
    <w:p w14:paraId="749A6946" w14:textId="77777777" w:rsidR="00C6718B" w:rsidRPr="0052740C" w:rsidRDefault="00C6718B" w:rsidP="0052740C">
      <w:pPr>
        <w:pStyle w:val="EndNoteBibliography"/>
        <w:spacing w:line="480" w:lineRule="auto"/>
        <w:ind w:left="720" w:hanging="720"/>
        <w:rPr>
          <w:sz w:val="24"/>
          <w:szCs w:val="24"/>
        </w:rPr>
      </w:pPr>
      <w:r w:rsidRPr="0052740C">
        <w:rPr>
          <w:sz w:val="24"/>
          <w:szCs w:val="24"/>
        </w:rPr>
        <w:t>AASHTO, 2018. AASHTO TP 124: Standard Method of Test for Determining the Fracture Potential of Asphalt Mixtures Using the Flexibility Index Test (FIT). Washington, D.C.: American Association of State Highway and Transportation Officials.</w:t>
      </w:r>
    </w:p>
    <w:p w14:paraId="7434AC49"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Abo-Qudais, S. and Al-Shweily, H. 2007. Effect of aggregate properties on asphalt mixtures stripping and creep behavior. </w:t>
      </w:r>
      <w:r w:rsidRPr="0052740C">
        <w:rPr>
          <w:i/>
          <w:sz w:val="24"/>
          <w:szCs w:val="24"/>
        </w:rPr>
        <w:t>Construction and Building Materials,</w:t>
      </w:r>
      <w:r w:rsidRPr="0052740C">
        <w:rPr>
          <w:sz w:val="24"/>
          <w:szCs w:val="24"/>
        </w:rPr>
        <w:t xml:space="preserve"> 21(9), 1886-1898.</w:t>
      </w:r>
    </w:p>
    <w:p w14:paraId="70787FAB"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Abuawad, I. M., Al-Qadi, I. L. and Trepanier, J. S. 2015. Mitigation of Moisture Damage in Asphalt Concrete: Testing Techniques and Additives/Modifiers Effectiveness. </w:t>
      </w:r>
      <w:r w:rsidRPr="0052740C">
        <w:rPr>
          <w:i/>
          <w:sz w:val="24"/>
          <w:szCs w:val="24"/>
        </w:rPr>
        <w:t>Construction and Building Materials,</w:t>
      </w:r>
      <w:r w:rsidRPr="0052740C">
        <w:rPr>
          <w:sz w:val="24"/>
          <w:szCs w:val="24"/>
        </w:rPr>
        <w:t xml:space="preserve"> 84, 437-443.</w:t>
      </w:r>
    </w:p>
    <w:p w14:paraId="4D87CA19"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Aguiar-Moya, J. P., Salazar-Delgado, J., Baldi-Sevilla, A., Leiva-Villacorta, F. and Loria-Salazar, L. 2015. Effect of aging on adhesion properties of asphalt mixtures with the use of bitumen bond strength and surface energy measurement tests. </w:t>
      </w:r>
      <w:r w:rsidRPr="0052740C">
        <w:rPr>
          <w:i/>
          <w:sz w:val="24"/>
          <w:szCs w:val="24"/>
        </w:rPr>
        <w:t>Transportation Research Record,</w:t>
      </w:r>
      <w:r w:rsidRPr="0052740C">
        <w:rPr>
          <w:sz w:val="24"/>
          <w:szCs w:val="24"/>
        </w:rPr>
        <w:t xml:space="preserve"> 2505(1), 57-65.</w:t>
      </w:r>
    </w:p>
    <w:p w14:paraId="3ECBA748" w14:textId="77777777" w:rsidR="00C6718B" w:rsidRPr="0052740C" w:rsidRDefault="00C6718B" w:rsidP="0052740C">
      <w:pPr>
        <w:pStyle w:val="EndNoteBibliography"/>
        <w:spacing w:line="480" w:lineRule="auto"/>
        <w:ind w:left="720" w:hanging="720"/>
        <w:rPr>
          <w:sz w:val="24"/>
          <w:szCs w:val="24"/>
        </w:rPr>
      </w:pPr>
      <w:r w:rsidRPr="0052740C">
        <w:rPr>
          <w:sz w:val="24"/>
          <w:szCs w:val="24"/>
        </w:rPr>
        <w:t>Airey, G. D. 2003. Rheological properties of styrene butadiene styrene polymer modified road bitumens</w:t>
      </w:r>
      <w:r w:rsidRPr="0052740C">
        <w:rPr>
          <w:rFonts w:ascii="Segoe UI Symbol" w:hAnsi="Segoe UI Symbol" w:cs="Segoe UI Symbol"/>
          <w:sz w:val="24"/>
          <w:szCs w:val="24"/>
        </w:rPr>
        <w:t>☆</w:t>
      </w:r>
      <w:r w:rsidRPr="0052740C">
        <w:rPr>
          <w:sz w:val="24"/>
          <w:szCs w:val="24"/>
        </w:rPr>
        <w:t xml:space="preserve">. </w:t>
      </w:r>
      <w:r w:rsidRPr="0052740C">
        <w:rPr>
          <w:i/>
          <w:sz w:val="24"/>
          <w:szCs w:val="24"/>
        </w:rPr>
        <w:t>Fuel,</w:t>
      </w:r>
      <w:r w:rsidRPr="0052740C">
        <w:rPr>
          <w:sz w:val="24"/>
          <w:szCs w:val="24"/>
        </w:rPr>
        <w:t xml:space="preserve"> 82(14), 1709-1719.</w:t>
      </w:r>
    </w:p>
    <w:p w14:paraId="1FE00DE9"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Aksoy, A., Şamlioglu, K., Tayfur, S. and Özen, H. 2005. Effects of various additives on the moisture damage sensitivity of asphalt mixtures. </w:t>
      </w:r>
      <w:r w:rsidRPr="0052740C">
        <w:rPr>
          <w:i/>
          <w:sz w:val="24"/>
          <w:szCs w:val="24"/>
        </w:rPr>
        <w:t>Construction and Building Materials,</w:t>
      </w:r>
      <w:r w:rsidRPr="0052740C">
        <w:rPr>
          <w:sz w:val="24"/>
          <w:szCs w:val="24"/>
        </w:rPr>
        <w:t xml:space="preserve"> 19(1), 11-18.</w:t>
      </w:r>
    </w:p>
    <w:p w14:paraId="3CB2094F"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Al-Qadi, I. L., Abauwad, I. M., Dhasmana, H. and Coenen, A. R., 2014. </w:t>
      </w:r>
      <w:r w:rsidRPr="0052740C">
        <w:rPr>
          <w:i/>
          <w:sz w:val="24"/>
          <w:szCs w:val="24"/>
        </w:rPr>
        <w:t>Effects of Various Asphalt Binder Additives/Modifiers on Moisture-Susceptible Asphaltic Mixtures.</w:t>
      </w:r>
      <w:r w:rsidRPr="0052740C">
        <w:rPr>
          <w:sz w:val="24"/>
          <w:szCs w:val="24"/>
        </w:rPr>
        <w:t xml:space="preserve"> Illinois Center for Transportation, 0197-9191.</w:t>
      </w:r>
    </w:p>
    <w:p w14:paraId="6988C513"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Al-Qadi, I. L., Aurangzeb, Q., Carpenter, S. H., Pine, W. J. and Trepanier, J., 2012. </w:t>
      </w:r>
      <w:r w:rsidRPr="0052740C">
        <w:rPr>
          <w:i/>
          <w:sz w:val="24"/>
          <w:szCs w:val="24"/>
        </w:rPr>
        <w:t>Impact of high RAP contents on structural and performance properties of asphalt mixtures.</w:t>
      </w:r>
      <w:r w:rsidRPr="0052740C">
        <w:rPr>
          <w:sz w:val="24"/>
          <w:szCs w:val="24"/>
        </w:rPr>
        <w:t xml:space="preserve"> Illinois: Illinois Center for Transportation, Research Report FHWA-ICT-12-002.</w:t>
      </w:r>
    </w:p>
    <w:p w14:paraId="42DEFE51"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Al-Qadi, I. L., Fini, E. H., Masson, J.-F. and McGhee, K. M. 2008. Effect of bituminous material rheology on adhesion. </w:t>
      </w:r>
      <w:r w:rsidRPr="0052740C">
        <w:rPr>
          <w:i/>
          <w:sz w:val="24"/>
          <w:szCs w:val="24"/>
        </w:rPr>
        <w:t>Transportation Research Record,</w:t>
      </w:r>
      <w:r w:rsidRPr="0052740C">
        <w:rPr>
          <w:sz w:val="24"/>
          <w:szCs w:val="24"/>
        </w:rPr>
        <w:t xml:space="preserve"> 2044(1), 96-104.</w:t>
      </w:r>
    </w:p>
    <w:p w14:paraId="7AEF048A"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Al-Qadi, I. L., Ozer, H., Lambros, J., El Khatib, A., Singhvi, P., Khan, T., Rivera-Perez, J. and Doll, B., 2015. </w:t>
      </w:r>
      <w:r w:rsidRPr="0052740C">
        <w:rPr>
          <w:i/>
          <w:sz w:val="24"/>
          <w:szCs w:val="24"/>
        </w:rPr>
        <w:t>Testing Protocols to Ensure Performance of High Asphalt Binder Replacement Mixes Using RAP and RAS.</w:t>
      </w:r>
      <w:r w:rsidRPr="0052740C">
        <w:rPr>
          <w:sz w:val="24"/>
          <w:szCs w:val="24"/>
        </w:rPr>
        <w:t xml:space="preserve"> Illinois Center for Transportation/Illinois Department of Transportation, 0197-9191.</w:t>
      </w:r>
    </w:p>
    <w:p w14:paraId="6C77BE31" w14:textId="77777777" w:rsidR="00C6718B" w:rsidRPr="0052740C" w:rsidRDefault="00C6718B" w:rsidP="0052740C">
      <w:pPr>
        <w:pStyle w:val="EndNoteBibliography"/>
        <w:spacing w:line="480" w:lineRule="auto"/>
        <w:ind w:left="720" w:hanging="720"/>
        <w:rPr>
          <w:i/>
          <w:sz w:val="24"/>
          <w:szCs w:val="24"/>
        </w:rPr>
      </w:pPr>
      <w:r w:rsidRPr="0052740C">
        <w:rPr>
          <w:sz w:val="24"/>
          <w:szCs w:val="24"/>
        </w:rPr>
        <w:t xml:space="preserve">Ali, S. A., Ghabchi, R., Zaman, M. and Bulut, R., 2019. </w:t>
      </w:r>
      <w:r w:rsidRPr="0052740C">
        <w:rPr>
          <w:i/>
          <w:sz w:val="24"/>
          <w:szCs w:val="24"/>
        </w:rPr>
        <w:t>Development of a SFE Database for Screening of Mixes for Moisture Damage in Oklahoma.</w:t>
      </w:r>
    </w:p>
    <w:p w14:paraId="670AE2E2"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Ali, S. A., Zaman, M., Ghabchi, R., Rahman, M. A., Ghos, S. and Rani, S. 2020. Effect of Additives and Aging on Moisture-induced Damage Potential of Asphalt Mixes using Surface Free Energy and Laboratory-based Performance Tests. </w:t>
      </w:r>
      <w:r w:rsidRPr="0052740C">
        <w:rPr>
          <w:i/>
          <w:sz w:val="24"/>
          <w:szCs w:val="24"/>
        </w:rPr>
        <w:t>Int. J. of Pave. Eng.</w:t>
      </w:r>
      <w:r w:rsidRPr="0052740C">
        <w:rPr>
          <w:sz w:val="24"/>
          <w:szCs w:val="24"/>
        </w:rPr>
        <w:t>, 1-12.</w:t>
      </w:r>
    </w:p>
    <w:p w14:paraId="7E72AF80"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Alvarez, A. E., Ovalles, E. and Caro, S. 2012a. Assessment of the effect of mineral filler on asphalt–aggregate interfaces based on thermodynamic properties. </w:t>
      </w:r>
      <w:r w:rsidRPr="0052740C">
        <w:rPr>
          <w:i/>
          <w:sz w:val="24"/>
          <w:szCs w:val="24"/>
        </w:rPr>
        <w:t>Construction and Building Materials,</w:t>
      </w:r>
      <w:r w:rsidRPr="0052740C">
        <w:rPr>
          <w:sz w:val="24"/>
          <w:szCs w:val="24"/>
        </w:rPr>
        <w:t xml:space="preserve"> 28(1), 599-606.</w:t>
      </w:r>
    </w:p>
    <w:p w14:paraId="2E3F90F4"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Alvarez, A. E., Ovalles, E. and Epps Martin, A. 2012b. Comparison of asphalt rubber-aggregate and polymer modified asphalt–aggregate systems in terms of surface free energy and energy indices. </w:t>
      </w:r>
      <w:r w:rsidRPr="0052740C">
        <w:rPr>
          <w:i/>
          <w:sz w:val="24"/>
          <w:szCs w:val="24"/>
        </w:rPr>
        <w:t>Construction and Building Materials,</w:t>
      </w:r>
      <w:r w:rsidRPr="0052740C">
        <w:rPr>
          <w:sz w:val="24"/>
          <w:szCs w:val="24"/>
        </w:rPr>
        <w:t xml:space="preserve"> 35, 385-392.</w:t>
      </w:r>
    </w:p>
    <w:p w14:paraId="5E2DF2C6"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Arabani, M. and Hamedi, G. H. 2010. Using the Surface Free Energy Method to Evaluate the Effects of Polymeric Aggregate Treatment on Moisture Damage in Hot-Mix Asphalt. </w:t>
      </w:r>
      <w:r w:rsidRPr="0052740C">
        <w:rPr>
          <w:i/>
          <w:sz w:val="24"/>
          <w:szCs w:val="24"/>
        </w:rPr>
        <w:t>Journal of Materials in Civil Engineering,</w:t>
      </w:r>
      <w:r w:rsidRPr="0052740C">
        <w:rPr>
          <w:sz w:val="24"/>
          <w:szCs w:val="24"/>
        </w:rPr>
        <w:t xml:space="preserve"> 23(6), 802-811.</w:t>
      </w:r>
    </w:p>
    <w:p w14:paraId="55D3D21E"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Arabani, M. and Hamedi, G. H. 2014. Using the Surface Free Energy Method to Evaluate the Effects of Polymeric Aggregate Treatment on Moisture Damage in Hot-Mix Asphalt. </w:t>
      </w:r>
      <w:r w:rsidRPr="0052740C">
        <w:rPr>
          <w:i/>
          <w:sz w:val="24"/>
          <w:szCs w:val="24"/>
        </w:rPr>
        <w:t>International Journal of Pavement Engineering,</w:t>
      </w:r>
      <w:r w:rsidRPr="0052740C">
        <w:rPr>
          <w:sz w:val="24"/>
          <w:szCs w:val="24"/>
        </w:rPr>
        <w:t xml:space="preserve"> 15(1), 66-78.</w:t>
      </w:r>
    </w:p>
    <w:p w14:paraId="5E44540B"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Arabani, M., Roshani, H. and Hamedi, G. H. 2011. Estimating moisture sensitivity of warm mix asphalt modified with zycosoil as an antistrip agent using surface free energy method. </w:t>
      </w:r>
      <w:r w:rsidRPr="0052740C">
        <w:rPr>
          <w:i/>
          <w:sz w:val="24"/>
          <w:szCs w:val="24"/>
        </w:rPr>
        <w:t>Journal of Materials in Civil Engineering,</w:t>
      </w:r>
      <w:r w:rsidRPr="0052740C">
        <w:rPr>
          <w:sz w:val="24"/>
          <w:szCs w:val="24"/>
        </w:rPr>
        <w:t xml:space="preserve"> 24(7), 889-897.</w:t>
      </w:r>
    </w:p>
    <w:p w14:paraId="6EF00B9F"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Arafat, S., Noor, L., Wasiuddin, N. M. and Salomon, D. 2020. Development of a Test Method to Measure RAP Percentage in Asphalt Mixes in the Field Using a Handheld FT-IR Spectrometer. </w:t>
      </w:r>
      <w:r w:rsidRPr="0052740C">
        <w:rPr>
          <w:i/>
          <w:sz w:val="24"/>
          <w:szCs w:val="24"/>
        </w:rPr>
        <w:t>Journal of Materials in Civil Engineering,</w:t>
      </w:r>
      <w:r w:rsidRPr="0052740C">
        <w:rPr>
          <w:sz w:val="24"/>
          <w:szCs w:val="24"/>
        </w:rPr>
        <w:t xml:space="preserve"> 32(12), 04020352.</w:t>
      </w:r>
    </w:p>
    <w:p w14:paraId="67A571F7"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Arnold, T. S., Needham, S. and Youtcheff Jr, J. 2009. Use of phosphoric acid as a modifier for hot-mix asphalt. </w:t>
      </w:r>
      <w:r w:rsidRPr="0052740C">
        <w:rPr>
          <w:i/>
          <w:sz w:val="24"/>
          <w:szCs w:val="24"/>
        </w:rPr>
        <w:t>Transportation Research Circular E-C160, Polyphosphoric Acid Modification of Asphalt Binders</w:t>
      </w:r>
      <w:r w:rsidRPr="0052740C">
        <w:rPr>
          <w:sz w:val="24"/>
          <w:szCs w:val="24"/>
        </w:rPr>
        <w:t>, 40-51.</w:t>
      </w:r>
    </w:p>
    <w:p w14:paraId="3B998416" w14:textId="77777777" w:rsidR="00C6718B" w:rsidRPr="0052740C" w:rsidRDefault="00C6718B" w:rsidP="0052740C">
      <w:pPr>
        <w:pStyle w:val="EndNoteBibliography"/>
        <w:spacing w:line="480" w:lineRule="auto"/>
        <w:ind w:left="720" w:hanging="720"/>
        <w:rPr>
          <w:sz w:val="24"/>
          <w:szCs w:val="24"/>
        </w:rPr>
      </w:pPr>
      <w:r w:rsidRPr="0052740C">
        <w:rPr>
          <w:sz w:val="24"/>
          <w:szCs w:val="24"/>
        </w:rPr>
        <w:t>ASTM, 2013. ASTM D7870: Standard Practice for Moisture Conditioning Compacted Asphalt Mixture Specimens by Using Hydrostatic Pore Pressure. West Conshohocken, Pennsylvania: ASTM International.</w:t>
      </w:r>
    </w:p>
    <w:p w14:paraId="0CD1E0A4"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Bagampadde, U., Isacsson, U. and Kiggundu, B. 2006. Impact of Bitumen and Aggregate Composition on Stripping in Bituminous Mixtures. </w:t>
      </w:r>
      <w:r w:rsidRPr="0052740C">
        <w:rPr>
          <w:i/>
          <w:sz w:val="24"/>
          <w:szCs w:val="24"/>
        </w:rPr>
        <w:t>Materials and structures,</w:t>
      </w:r>
      <w:r w:rsidRPr="0052740C">
        <w:rPr>
          <w:sz w:val="24"/>
          <w:szCs w:val="24"/>
        </w:rPr>
        <w:t xml:space="preserve"> 39(3), 303-315.</w:t>
      </w:r>
    </w:p>
    <w:p w14:paraId="6017DE5C"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Baldi-Sevilla, A., Montero, M. L., Aguiar-Moya, J. P., Loria-Salazar, L. G. and Bhasin, A. 2017. Influence of bitumen and aggregate polarity on interfacial adhesion. </w:t>
      </w:r>
      <w:r w:rsidRPr="0052740C">
        <w:rPr>
          <w:i/>
          <w:sz w:val="24"/>
          <w:szCs w:val="24"/>
        </w:rPr>
        <w:t>Road Materials and Pavement Design,</w:t>
      </w:r>
      <w:r w:rsidRPr="0052740C">
        <w:rPr>
          <w:sz w:val="24"/>
          <w:szCs w:val="24"/>
        </w:rPr>
        <w:t xml:space="preserve"> 18(sup2), 304-317.</w:t>
      </w:r>
    </w:p>
    <w:p w14:paraId="1F2613F0"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Baumgardner, G. L. 2010. Why and how of polyphosphoric acid modification–an industry perspective. </w:t>
      </w:r>
      <w:r w:rsidRPr="0052740C">
        <w:rPr>
          <w:i/>
          <w:sz w:val="24"/>
          <w:szCs w:val="24"/>
        </w:rPr>
        <w:t>Journal of the Association of Asphalt Paving Technologists,</w:t>
      </w:r>
      <w:r w:rsidRPr="0052740C">
        <w:rPr>
          <w:sz w:val="24"/>
          <w:szCs w:val="24"/>
        </w:rPr>
        <w:t xml:space="preserve"> 79.</w:t>
      </w:r>
    </w:p>
    <w:p w14:paraId="1FB90494"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Baumgardner, G. L., Masson, J., Hardee, J. R., Menapace, A. M. and Williams, A. G. 2005. Polyphosphoric acid modified asphalt: proposed mechanisms. </w:t>
      </w:r>
      <w:r w:rsidRPr="0052740C">
        <w:rPr>
          <w:i/>
          <w:sz w:val="24"/>
          <w:szCs w:val="24"/>
        </w:rPr>
        <w:t>Journal of the Association of Asphalt Paving Technologists,</w:t>
      </w:r>
      <w:r w:rsidRPr="0052740C">
        <w:rPr>
          <w:sz w:val="24"/>
          <w:szCs w:val="24"/>
        </w:rPr>
        <w:t xml:space="preserve"> 74, 283-305.</w:t>
      </w:r>
    </w:p>
    <w:p w14:paraId="23905878"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Behnood, A. and Gharehveran, M. M. 2019. Morphology, rheology, and physical properties of polymer-modified asphalt binders. </w:t>
      </w:r>
      <w:r w:rsidRPr="0052740C">
        <w:rPr>
          <w:i/>
          <w:sz w:val="24"/>
          <w:szCs w:val="24"/>
        </w:rPr>
        <w:t>European Polymer Journal,</w:t>
      </w:r>
      <w:r w:rsidRPr="0052740C">
        <w:rPr>
          <w:sz w:val="24"/>
          <w:szCs w:val="24"/>
        </w:rPr>
        <w:t xml:space="preserve"> 112, 766-791.</w:t>
      </w:r>
    </w:p>
    <w:p w14:paraId="36D5C51C"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Bhasin, A., 2007. </w:t>
      </w:r>
      <w:r w:rsidRPr="0052740C">
        <w:rPr>
          <w:i/>
          <w:sz w:val="24"/>
          <w:szCs w:val="24"/>
        </w:rPr>
        <w:t>Development of Methods to Quantify Bitumen-Aggregate Adhesion and Loss of Adhesion Due to Water.</w:t>
      </w:r>
      <w:r w:rsidRPr="0052740C">
        <w:rPr>
          <w:sz w:val="24"/>
          <w:szCs w:val="24"/>
        </w:rPr>
        <w:t xml:space="preserve"> Texas A&amp;M University.</w:t>
      </w:r>
    </w:p>
    <w:p w14:paraId="1C6E23A8"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Bhasin, A., Howson, J., Masad, E., Little, D. and Lytton, R. 2007a. Effect of Modification Processes on Bond Energy of Asphalt Binders. </w:t>
      </w:r>
      <w:r w:rsidRPr="0052740C">
        <w:rPr>
          <w:i/>
          <w:sz w:val="24"/>
          <w:szCs w:val="24"/>
        </w:rPr>
        <w:t>Transportation Research Record: Journal of the Transportation Research Board,</w:t>
      </w:r>
      <w:r w:rsidRPr="0052740C">
        <w:rPr>
          <w:sz w:val="24"/>
          <w:szCs w:val="24"/>
        </w:rPr>
        <w:t xml:space="preserve"> (1998), 29-37.</w:t>
      </w:r>
    </w:p>
    <w:p w14:paraId="2E4FD903"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Bhasin, A., Little, D., Vasconcelos, K. and Masad, E. 2007b. Surface Free Energy to Identify Moisture Sensitivity of Materials for Asphalt Mixes. </w:t>
      </w:r>
      <w:r w:rsidRPr="0052740C">
        <w:rPr>
          <w:i/>
          <w:sz w:val="24"/>
          <w:szCs w:val="24"/>
        </w:rPr>
        <w:t>Transportation Research Record: Journal of the Transportation Research Board,</w:t>
      </w:r>
      <w:r w:rsidRPr="0052740C">
        <w:rPr>
          <w:sz w:val="24"/>
          <w:szCs w:val="24"/>
        </w:rPr>
        <w:t xml:space="preserve"> (2001), 37-45.</w:t>
      </w:r>
    </w:p>
    <w:p w14:paraId="1D536EBC" w14:textId="77777777" w:rsidR="00C6718B" w:rsidRPr="0052740C" w:rsidRDefault="00C6718B" w:rsidP="0052740C">
      <w:pPr>
        <w:pStyle w:val="EndNoteBibliography"/>
        <w:spacing w:line="480" w:lineRule="auto"/>
        <w:ind w:left="720" w:hanging="720"/>
        <w:rPr>
          <w:i/>
          <w:sz w:val="24"/>
          <w:szCs w:val="24"/>
        </w:rPr>
      </w:pPr>
      <w:r w:rsidRPr="0052740C">
        <w:rPr>
          <w:sz w:val="24"/>
          <w:szCs w:val="24"/>
        </w:rPr>
        <w:t xml:space="preserve">Bhasin, A. and Little, D. N., 2006. </w:t>
      </w:r>
      <w:r w:rsidRPr="0052740C">
        <w:rPr>
          <w:i/>
          <w:sz w:val="24"/>
          <w:szCs w:val="24"/>
        </w:rPr>
        <w:t>Characterizing Surface Properties of Aggregates Used in Hot Mix Asphalt.</w:t>
      </w:r>
    </w:p>
    <w:p w14:paraId="233F4562"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Bhasin, A. and Little, D. N. 2007. Characterization of aggregate surface energy using the universal sorption device. </w:t>
      </w:r>
      <w:r w:rsidRPr="0052740C">
        <w:rPr>
          <w:i/>
          <w:sz w:val="24"/>
          <w:szCs w:val="24"/>
        </w:rPr>
        <w:t>Journal of Materials in Civil Engineering,</w:t>
      </w:r>
      <w:r w:rsidRPr="0052740C">
        <w:rPr>
          <w:sz w:val="24"/>
          <w:szCs w:val="24"/>
        </w:rPr>
        <w:t xml:space="preserve"> 19(8), 634-641.</w:t>
      </w:r>
    </w:p>
    <w:p w14:paraId="3ADA99C6"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Bhasin, A., Masad, E., Little, D. and Lytton, R. 2006. Limits on Adhesive Bond Energy for Improved Resistance of Hot-Mix Asphalt to Moisture Damage. </w:t>
      </w:r>
      <w:r w:rsidRPr="0052740C">
        <w:rPr>
          <w:i/>
          <w:sz w:val="24"/>
          <w:szCs w:val="24"/>
        </w:rPr>
        <w:t>Transportation Research Record: Journal of the Transportation Research Board,</w:t>
      </w:r>
      <w:r w:rsidRPr="0052740C">
        <w:rPr>
          <w:sz w:val="24"/>
          <w:szCs w:val="24"/>
        </w:rPr>
        <w:t xml:space="preserve"> (1970), 3-13.</w:t>
      </w:r>
    </w:p>
    <w:p w14:paraId="055CD27F"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Bonemazzi, F., Braga, V., Corrieri, R., Giavarini, C. and Sartori, F. 1996. Characteristics of polymers and polymer-modified binders. </w:t>
      </w:r>
      <w:r w:rsidRPr="0052740C">
        <w:rPr>
          <w:i/>
          <w:sz w:val="24"/>
          <w:szCs w:val="24"/>
        </w:rPr>
        <w:t>Transportation Research Record,</w:t>
      </w:r>
      <w:r w:rsidRPr="0052740C">
        <w:rPr>
          <w:sz w:val="24"/>
          <w:szCs w:val="24"/>
        </w:rPr>
        <w:t xml:space="preserve"> 1535(1), 36-47.</w:t>
      </w:r>
    </w:p>
    <w:p w14:paraId="2B9377B6"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Buddhala, A., Hossain, Z., Wasiuddin, N. M., Zaman, M. and Edgar, A. 2011. Effects of an Amine Anti-stripping Agent on Moisture Susceptibility of Sasobit and Aspha-min Mixes by Surface Free Energy Analysis. </w:t>
      </w:r>
      <w:r w:rsidRPr="0052740C">
        <w:rPr>
          <w:i/>
          <w:sz w:val="24"/>
          <w:szCs w:val="24"/>
        </w:rPr>
        <w:t>Journal of Testing and Evaluation,</w:t>
      </w:r>
      <w:r w:rsidRPr="0052740C">
        <w:rPr>
          <w:sz w:val="24"/>
          <w:szCs w:val="24"/>
        </w:rPr>
        <w:t xml:space="preserve"> 40(1), 91-99.</w:t>
      </w:r>
    </w:p>
    <w:p w14:paraId="08A4F302"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Caro, S., Masad, E., Bhasin, A. and Little, D. N. 2008a. Moisture Susceptibility of Asphalt Mixtures, Part 1: Mechanisms. </w:t>
      </w:r>
      <w:r w:rsidRPr="0052740C">
        <w:rPr>
          <w:i/>
          <w:sz w:val="24"/>
          <w:szCs w:val="24"/>
        </w:rPr>
        <w:t>International Journal of Pavement Engineering,</w:t>
      </w:r>
      <w:r w:rsidRPr="0052740C">
        <w:rPr>
          <w:sz w:val="24"/>
          <w:szCs w:val="24"/>
        </w:rPr>
        <w:t xml:space="preserve"> 9(2), 81-98.</w:t>
      </w:r>
    </w:p>
    <w:p w14:paraId="50CA417A"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Caro, S., Masad, E., Bhasin, A. and Little, D. N. 2008b. Moisture Susceptibility of Asphalt Mixtures, Part 2: Characterisation and Modelling. </w:t>
      </w:r>
      <w:r w:rsidRPr="0052740C">
        <w:rPr>
          <w:i/>
          <w:sz w:val="24"/>
          <w:szCs w:val="24"/>
        </w:rPr>
        <w:t>International Journal of Pavement Engineering,</w:t>
      </w:r>
      <w:r w:rsidRPr="0052740C">
        <w:rPr>
          <w:sz w:val="24"/>
          <w:szCs w:val="24"/>
        </w:rPr>
        <w:t xml:space="preserve"> 9(2), 99-114.</w:t>
      </w:r>
    </w:p>
    <w:p w14:paraId="534F840A"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Chibowski, E. and Perea-Carpio, R. 2002. Problems of contact angle and solid surface free energy determination. </w:t>
      </w:r>
      <w:r w:rsidRPr="0052740C">
        <w:rPr>
          <w:i/>
          <w:sz w:val="24"/>
          <w:szCs w:val="24"/>
        </w:rPr>
        <w:t>Advances in Colloid and Interface Science,</w:t>
      </w:r>
      <w:r w:rsidRPr="0052740C">
        <w:rPr>
          <w:sz w:val="24"/>
          <w:szCs w:val="24"/>
        </w:rPr>
        <w:t xml:space="preserve"> 98(2), 245-264.</w:t>
      </w:r>
    </w:p>
    <w:p w14:paraId="537A232C"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Cooper III, S. B., Mohammad, L. N., Kabir, S. and King Jr, W. 2014. Balanced asphalt mixture design through specification modification: Louisiana's experience. </w:t>
      </w:r>
      <w:r w:rsidRPr="0052740C">
        <w:rPr>
          <w:i/>
          <w:sz w:val="24"/>
          <w:szCs w:val="24"/>
        </w:rPr>
        <w:t>Transportation Research Record,</w:t>
      </w:r>
      <w:r w:rsidRPr="0052740C">
        <w:rPr>
          <w:sz w:val="24"/>
          <w:szCs w:val="24"/>
        </w:rPr>
        <w:t xml:space="preserve"> 2447(1), 92-100.</w:t>
      </w:r>
    </w:p>
    <w:p w14:paraId="6C040EE7"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Cooper Jr, S. B., Cooper III, S. B., Mohammad, L. N. and Elseifi, M. A. 2016. Development of a Predictive Model Based on an Artificial Neural Network for the Semicircular Bend Test. </w:t>
      </w:r>
      <w:r w:rsidRPr="0052740C">
        <w:rPr>
          <w:i/>
          <w:sz w:val="24"/>
          <w:szCs w:val="24"/>
        </w:rPr>
        <w:t>Transportation Research Record: Journal of the Transportation Research Board,</w:t>
      </w:r>
      <w:r w:rsidRPr="0052740C">
        <w:rPr>
          <w:sz w:val="24"/>
          <w:szCs w:val="24"/>
        </w:rPr>
        <w:t xml:space="preserve"> (2576), 83-90.</w:t>
      </w:r>
    </w:p>
    <w:p w14:paraId="104C39E7"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Copeland, A. R., Youtcheff, J. and Shenoy, A. 2007. Moisture sensitivity of modified asphalt binders: factors influencing bond strength. </w:t>
      </w:r>
      <w:r w:rsidRPr="0052740C">
        <w:rPr>
          <w:i/>
          <w:sz w:val="24"/>
          <w:szCs w:val="24"/>
        </w:rPr>
        <w:t>Transportation Research Record,</w:t>
      </w:r>
      <w:r w:rsidRPr="0052740C">
        <w:rPr>
          <w:sz w:val="24"/>
          <w:szCs w:val="24"/>
        </w:rPr>
        <w:t xml:space="preserve"> 1998(1), 18-28.</w:t>
      </w:r>
    </w:p>
    <w:p w14:paraId="13AD8ABA"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Cui, S., Blackman, B. R., Kinloch, A. J. and Taylor, A. C. 2014. Durability of asphalt mixtures: Effect of aggregate type and adhesion promoters. </w:t>
      </w:r>
      <w:r w:rsidRPr="0052740C">
        <w:rPr>
          <w:i/>
          <w:sz w:val="24"/>
          <w:szCs w:val="24"/>
        </w:rPr>
        <w:t>International Journal of Adhesion and Adhesives,</w:t>
      </w:r>
      <w:r w:rsidRPr="0052740C">
        <w:rPr>
          <w:sz w:val="24"/>
          <w:szCs w:val="24"/>
        </w:rPr>
        <w:t xml:space="preserve"> 54, 100-111.</w:t>
      </w:r>
    </w:p>
    <w:p w14:paraId="11E977FE"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Curtis, C., Lytton, R. and Brannan, C. 1992. Influence of aggregate chemistry on the adsorption and desorption of asphalt. </w:t>
      </w:r>
      <w:r w:rsidRPr="0052740C">
        <w:rPr>
          <w:i/>
          <w:sz w:val="24"/>
          <w:szCs w:val="24"/>
        </w:rPr>
        <w:t>Transportation Research Record,</w:t>
      </w:r>
      <w:r w:rsidRPr="0052740C">
        <w:rPr>
          <w:sz w:val="24"/>
          <w:szCs w:val="24"/>
        </w:rPr>
        <w:t xml:space="preserve"> (1362).</w:t>
      </w:r>
    </w:p>
    <w:p w14:paraId="3C14B928"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Curtis, C. W., Ensley, K. and Epps, J., 1993. </w:t>
      </w:r>
      <w:r w:rsidRPr="0052740C">
        <w:rPr>
          <w:i/>
          <w:sz w:val="24"/>
          <w:szCs w:val="24"/>
        </w:rPr>
        <w:t>Fundamental properties of asphalt-aggregate interactions including adhesion and absorption (SHRP-A-341).</w:t>
      </w:r>
      <w:r w:rsidRPr="0052740C">
        <w:rPr>
          <w:sz w:val="24"/>
          <w:szCs w:val="24"/>
        </w:rPr>
        <w:t xml:space="preserve"> Washington, DC.</w:t>
      </w:r>
    </w:p>
    <w:p w14:paraId="5ECB4CA0" w14:textId="77777777" w:rsidR="00C6718B" w:rsidRPr="0052740C" w:rsidRDefault="00C6718B" w:rsidP="0052740C">
      <w:pPr>
        <w:pStyle w:val="EndNoteBibliography"/>
        <w:spacing w:line="480" w:lineRule="auto"/>
        <w:ind w:left="720" w:hanging="720"/>
        <w:rPr>
          <w:i/>
          <w:sz w:val="24"/>
          <w:szCs w:val="24"/>
        </w:rPr>
      </w:pPr>
      <w:r w:rsidRPr="0052740C">
        <w:rPr>
          <w:sz w:val="24"/>
          <w:szCs w:val="24"/>
        </w:rPr>
        <w:t xml:space="preserve">D'Angelo, J. A., Harm, E. E., Bartoszek, J. C., Baumgardner, G. L., Corrigan, M. R., Cowsert, J. E., Harman, T. P., Jamshidi, M., Jones, H. W. and Newcomb, D. E., 2008. </w:t>
      </w:r>
      <w:r w:rsidRPr="0052740C">
        <w:rPr>
          <w:i/>
          <w:sz w:val="24"/>
          <w:szCs w:val="24"/>
        </w:rPr>
        <w:t>Warm-mix asphalt: European practice.</w:t>
      </w:r>
    </w:p>
    <w:p w14:paraId="6A349A0D"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D’Angelo, J. A. 2010. Effect of poly phosphoric acid on asphalt binder properties. </w:t>
      </w:r>
      <w:r w:rsidRPr="0052740C">
        <w:rPr>
          <w:i/>
          <w:sz w:val="24"/>
          <w:szCs w:val="24"/>
        </w:rPr>
        <w:t>Journal of the Association of Asphalt Paving Technologists,</w:t>
      </w:r>
      <w:r w:rsidRPr="0052740C">
        <w:rPr>
          <w:sz w:val="24"/>
          <w:szCs w:val="24"/>
        </w:rPr>
        <w:t xml:space="preserve"> 79.</w:t>
      </w:r>
    </w:p>
    <w:p w14:paraId="42505A65"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Della Volpe, C., Maniglio, D., Brugnara, M., Siboni, S. and Morra, M. 2004. The solid surface free energy calculation: I. In defense of the multicomponent approach. </w:t>
      </w:r>
      <w:r w:rsidRPr="0052740C">
        <w:rPr>
          <w:i/>
          <w:sz w:val="24"/>
          <w:szCs w:val="24"/>
        </w:rPr>
        <w:t>Journal of colloid and interface science,</w:t>
      </w:r>
      <w:r w:rsidRPr="0052740C">
        <w:rPr>
          <w:sz w:val="24"/>
          <w:szCs w:val="24"/>
        </w:rPr>
        <w:t xml:space="preserve"> 271(2), 434-453.</w:t>
      </w:r>
    </w:p>
    <w:p w14:paraId="0781103B"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Della Volpe, C. and Siboni, S. 2000. Acid–base surface free energies of solids and the definition of scales in the Good–van Oss–Chaudhury theory. </w:t>
      </w:r>
      <w:r w:rsidRPr="0052740C">
        <w:rPr>
          <w:i/>
          <w:sz w:val="24"/>
          <w:szCs w:val="24"/>
        </w:rPr>
        <w:t>Journal of Adhesion Science and Technology,</w:t>
      </w:r>
      <w:r w:rsidRPr="0052740C">
        <w:rPr>
          <w:sz w:val="24"/>
          <w:szCs w:val="24"/>
        </w:rPr>
        <w:t xml:space="preserve"> 14(2), 235-272.</w:t>
      </w:r>
    </w:p>
    <w:p w14:paraId="236CA2A6"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Doyle, J. D. and Howard, I. L. 2013. Rutting and moisture damage resistance of high reclaimed asphalt pavement warm mixed asphalt: loaded wheel tracking vs. conventional methods. </w:t>
      </w:r>
      <w:r w:rsidRPr="0052740C">
        <w:rPr>
          <w:i/>
          <w:sz w:val="24"/>
          <w:szCs w:val="24"/>
        </w:rPr>
        <w:t>Road Materials and Pavement Design,</w:t>
      </w:r>
      <w:r w:rsidRPr="0052740C">
        <w:rPr>
          <w:sz w:val="24"/>
          <w:szCs w:val="24"/>
        </w:rPr>
        <w:t xml:space="preserve"> 14(sup2), 148-172.</w:t>
      </w:r>
    </w:p>
    <w:p w14:paraId="7A178888"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Dupré, A. and Dupré, P., 1869. </w:t>
      </w:r>
      <w:r w:rsidRPr="0052740C">
        <w:rPr>
          <w:i/>
          <w:sz w:val="24"/>
          <w:szCs w:val="24"/>
        </w:rPr>
        <w:t>Théorie mécanique de la chaleur.</w:t>
      </w:r>
      <w:r w:rsidRPr="0052740C">
        <w:rPr>
          <w:sz w:val="24"/>
          <w:szCs w:val="24"/>
        </w:rPr>
        <w:t xml:space="preserve"> Gauthier-Villars.</w:t>
      </w:r>
    </w:p>
    <w:p w14:paraId="1AF460CE"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Esmaeili, N., Hamedi, G. H. and Khodadadi, M. 2019. Determination of the stripping process of asphalt mixtures and the effective mix design and SFE parameters on its different phases. </w:t>
      </w:r>
      <w:r w:rsidRPr="0052740C">
        <w:rPr>
          <w:i/>
          <w:sz w:val="24"/>
          <w:szCs w:val="24"/>
        </w:rPr>
        <w:t>Construction and Building Materials,</w:t>
      </w:r>
      <w:r w:rsidRPr="0052740C">
        <w:rPr>
          <w:sz w:val="24"/>
          <w:szCs w:val="24"/>
        </w:rPr>
        <w:t xml:space="preserve"> 213, 167-181.</w:t>
      </w:r>
    </w:p>
    <w:p w14:paraId="3E892F13"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Fakhri, M., Ghanizadeh, A. R. and Omrani, H. 2013. Comparison of fatigue resistance of HMA and WMA mixtures modified by SBS. </w:t>
      </w:r>
      <w:r w:rsidRPr="0052740C">
        <w:rPr>
          <w:i/>
          <w:sz w:val="24"/>
          <w:szCs w:val="24"/>
        </w:rPr>
        <w:t>Procedia-Social and Behavioral Sciences,</w:t>
      </w:r>
      <w:r w:rsidRPr="0052740C">
        <w:rPr>
          <w:sz w:val="24"/>
          <w:szCs w:val="24"/>
        </w:rPr>
        <w:t xml:space="preserve"> 104, 168-177.</w:t>
      </w:r>
    </w:p>
    <w:p w14:paraId="063BB6E0"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Fee, D., Maldonado, R., Reinke, G. and Romagosa, H. 2010. Polyphosphoric acid modification of asphalt. </w:t>
      </w:r>
      <w:r w:rsidRPr="0052740C">
        <w:rPr>
          <w:i/>
          <w:sz w:val="24"/>
          <w:szCs w:val="24"/>
        </w:rPr>
        <w:t>Transportation Research Record: Journal of the Transportation Research Board,</w:t>
      </w:r>
      <w:r w:rsidRPr="0052740C">
        <w:rPr>
          <w:sz w:val="24"/>
          <w:szCs w:val="24"/>
        </w:rPr>
        <w:t xml:space="preserve"> (2179), 49-57.</w:t>
      </w:r>
    </w:p>
    <w:p w14:paraId="1C7F6071" w14:textId="77777777" w:rsidR="00C6718B" w:rsidRPr="0052740C" w:rsidRDefault="00C6718B" w:rsidP="0052740C">
      <w:pPr>
        <w:pStyle w:val="EndNoteBibliography"/>
        <w:spacing w:line="480" w:lineRule="auto"/>
        <w:ind w:left="720" w:hanging="720"/>
        <w:rPr>
          <w:sz w:val="24"/>
          <w:szCs w:val="24"/>
        </w:rPr>
      </w:pPr>
      <w:r w:rsidRPr="0052740C">
        <w:rPr>
          <w:sz w:val="24"/>
          <w:szCs w:val="24"/>
        </w:rPr>
        <w:t>Fowkes, F. 1964. Attractive Forces at Interfaces, Ind. Eng. Chem. 56 (12), 40-52.</w:t>
      </w:r>
    </w:p>
    <w:p w14:paraId="4F7F775E"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Fuerstenau, D., Diao, J. and Hanson, J. 1990. Estimation of the distribution of surface sites and contact angles on coal particles from film flotation data. </w:t>
      </w:r>
      <w:r w:rsidRPr="0052740C">
        <w:rPr>
          <w:i/>
          <w:sz w:val="24"/>
          <w:szCs w:val="24"/>
        </w:rPr>
        <w:t>Energy &amp; fuels,</w:t>
      </w:r>
      <w:r w:rsidRPr="0052740C">
        <w:rPr>
          <w:sz w:val="24"/>
          <w:szCs w:val="24"/>
        </w:rPr>
        <w:t xml:space="preserve"> 4(1), 34-37.</w:t>
      </w:r>
    </w:p>
    <w:p w14:paraId="139092FB"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Ge, D., Chen, S., You, Z., Yang, X., Yao, H., Ye, M. and Yap, Y. K. 2019. Correlation of DSR results and FTIR’s carbonyl and sulfoxide indexes: Effect of aging temperature on asphalt rheology. </w:t>
      </w:r>
      <w:r w:rsidRPr="0052740C">
        <w:rPr>
          <w:i/>
          <w:sz w:val="24"/>
          <w:szCs w:val="24"/>
        </w:rPr>
        <w:t>Journal of Materials in Civil Engineering,</w:t>
      </w:r>
      <w:r w:rsidRPr="0052740C">
        <w:rPr>
          <w:sz w:val="24"/>
          <w:szCs w:val="24"/>
        </w:rPr>
        <w:t xml:space="preserve"> 31(7), 04019115.</w:t>
      </w:r>
    </w:p>
    <w:p w14:paraId="765409CB"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Ge, D., Yan, K., You, L. and Wang, Z. 2017. Modification mechanism of asphalt modified with Sasobit and Polyphosphoric acid (PPA). </w:t>
      </w:r>
      <w:r w:rsidRPr="0052740C">
        <w:rPr>
          <w:i/>
          <w:sz w:val="24"/>
          <w:szCs w:val="24"/>
        </w:rPr>
        <w:t>Construction and Building Materials,</w:t>
      </w:r>
      <w:r w:rsidRPr="0052740C">
        <w:rPr>
          <w:sz w:val="24"/>
          <w:szCs w:val="24"/>
        </w:rPr>
        <w:t xml:space="preserve"> 143, 419-428.</w:t>
      </w:r>
    </w:p>
    <w:p w14:paraId="1459B8F6"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Ghabchi, R., 2014. </w:t>
      </w:r>
      <w:r w:rsidRPr="0052740C">
        <w:rPr>
          <w:i/>
          <w:sz w:val="24"/>
          <w:szCs w:val="24"/>
        </w:rPr>
        <w:t xml:space="preserve">Laboratory Characterization of Recycled and Warm Mix Asphalt for Enhanced Pavement Applications. </w:t>
      </w:r>
      <w:r w:rsidRPr="0052740C">
        <w:rPr>
          <w:sz w:val="24"/>
          <w:szCs w:val="24"/>
        </w:rPr>
        <w:t>Dissertation (Ph.D.). University of Oklahoma.</w:t>
      </w:r>
    </w:p>
    <w:p w14:paraId="53F6B963"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Ghabchi, R., Barman, M., Singh, D., Zaman, M. and Mubaraki, M. A. 2016. Comparison of Laboratory Performance of Asphalt Mixes Containing Different Proportions of RAS and RAP. </w:t>
      </w:r>
      <w:r w:rsidRPr="0052740C">
        <w:rPr>
          <w:i/>
          <w:sz w:val="24"/>
          <w:szCs w:val="24"/>
        </w:rPr>
        <w:t>Construction and Building Materials,</w:t>
      </w:r>
      <w:r w:rsidRPr="0052740C">
        <w:rPr>
          <w:sz w:val="24"/>
          <w:szCs w:val="24"/>
        </w:rPr>
        <w:t xml:space="preserve"> 124, 343-351.</w:t>
      </w:r>
    </w:p>
    <w:p w14:paraId="7BB6E22E"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Ghabchi, R., Singh, D. and Zaman, M. 2014. Evaluation of Moisture Susceptibility of Asphalt Mixes Containing RAP and Different Types of Aggregates and Asphalt Binders Using the Surface Free Energy Method. </w:t>
      </w:r>
      <w:r w:rsidRPr="0052740C">
        <w:rPr>
          <w:i/>
          <w:sz w:val="24"/>
          <w:szCs w:val="24"/>
        </w:rPr>
        <w:t>Construction and Building Materials,</w:t>
      </w:r>
      <w:r w:rsidRPr="0052740C">
        <w:rPr>
          <w:sz w:val="24"/>
          <w:szCs w:val="24"/>
        </w:rPr>
        <w:t xml:space="preserve"> 73, 479-489.</w:t>
      </w:r>
    </w:p>
    <w:p w14:paraId="323F8F5E"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Ghabchi, R., Singh, D. and Zaman, M. 2015. Laboratory Evaluation of Stiffness, Low-temperature Cracking, Rutting, Moisture Damage, and Fatigue Performance of WMA Mixes. </w:t>
      </w:r>
      <w:r w:rsidRPr="0052740C">
        <w:rPr>
          <w:i/>
          <w:sz w:val="24"/>
          <w:szCs w:val="24"/>
        </w:rPr>
        <w:t>Road Materials and Pavement Design,</w:t>
      </w:r>
      <w:r w:rsidRPr="0052740C">
        <w:rPr>
          <w:sz w:val="24"/>
          <w:szCs w:val="24"/>
        </w:rPr>
        <w:t xml:space="preserve"> 16(2), 334-357.</w:t>
      </w:r>
    </w:p>
    <w:p w14:paraId="279EF74B"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Ghabchi, R., Singh, D., Zaman, M. and Tian, Q. 2013. Mechanistic Evaluation of the Effect of WMA Additives on Wettability and Moisture Susceptibility Properties of Asphalt Mixes. </w:t>
      </w:r>
      <w:r w:rsidRPr="0052740C">
        <w:rPr>
          <w:i/>
          <w:sz w:val="24"/>
          <w:szCs w:val="24"/>
        </w:rPr>
        <w:t>Journal of Testing and Evaluation,</w:t>
      </w:r>
      <w:r w:rsidRPr="0052740C">
        <w:rPr>
          <w:sz w:val="24"/>
          <w:szCs w:val="24"/>
        </w:rPr>
        <w:t xml:space="preserve"> 41(6), 933-942.</w:t>
      </w:r>
    </w:p>
    <w:p w14:paraId="3771B54D"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Gorkem, C. and Sengoz, B. 2009. Predicting Stripping and Moisture Induced Damage of Asphalt Concrete Prepared with Polymer Modified Bitumen and Hydrated Lime. </w:t>
      </w:r>
      <w:r w:rsidRPr="0052740C">
        <w:rPr>
          <w:i/>
          <w:sz w:val="24"/>
          <w:szCs w:val="24"/>
        </w:rPr>
        <w:t>Construction and Building Materials,</w:t>
      </w:r>
      <w:r w:rsidRPr="0052740C">
        <w:rPr>
          <w:sz w:val="24"/>
          <w:szCs w:val="24"/>
        </w:rPr>
        <w:t xml:space="preserve"> 23(6), 2227-2236.</w:t>
      </w:r>
    </w:p>
    <w:p w14:paraId="4F4EB63B"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Grundke, K., Bogumil, T., Gietzelt, T., Jacobasch, H.-J., Kwok, D. and Neumann, A., 1996. Wetting measurements on smooth, rough and porous solid surfaces. </w:t>
      </w:r>
      <w:r w:rsidRPr="0052740C">
        <w:rPr>
          <w:i/>
          <w:sz w:val="24"/>
          <w:szCs w:val="24"/>
        </w:rPr>
        <w:t>Interfaces, Surfactants and Colloids in Engineering.</w:t>
      </w:r>
      <w:r w:rsidRPr="0052740C">
        <w:rPr>
          <w:sz w:val="24"/>
          <w:szCs w:val="24"/>
        </w:rPr>
        <w:t xml:space="preserve"> Springer, 58-68.</w:t>
      </w:r>
    </w:p>
    <w:p w14:paraId="63001E07"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Guo, F., Pei, J., Zhang, J., Xue, B., Sun, G. and Li, R. 2020. Study on the adhesion property between asphalt binder and aggregate: A state-of-the-art review. </w:t>
      </w:r>
      <w:r w:rsidRPr="0052740C">
        <w:rPr>
          <w:i/>
          <w:sz w:val="24"/>
          <w:szCs w:val="24"/>
        </w:rPr>
        <w:t>Construction and Building Materials,</w:t>
      </w:r>
      <w:r w:rsidRPr="0052740C">
        <w:rPr>
          <w:sz w:val="24"/>
          <w:szCs w:val="24"/>
        </w:rPr>
        <w:t xml:space="preserve"> 256, 119474.</w:t>
      </w:r>
    </w:p>
    <w:p w14:paraId="34B46451"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Haider, S., Hafeez, I. and Ullah, R. 2020. Sustainable use of waste plastic modifiers to strengthen the adhesion properties of asphalt mixtures. </w:t>
      </w:r>
      <w:r w:rsidRPr="0052740C">
        <w:rPr>
          <w:i/>
          <w:sz w:val="24"/>
          <w:szCs w:val="24"/>
        </w:rPr>
        <w:t>Construction and Building Materials,</w:t>
      </w:r>
      <w:r w:rsidRPr="0052740C">
        <w:rPr>
          <w:sz w:val="24"/>
          <w:szCs w:val="24"/>
        </w:rPr>
        <w:t xml:space="preserve"> 235, 117496.</w:t>
      </w:r>
    </w:p>
    <w:p w14:paraId="1C04F6ED"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Hartland, S., 2004. </w:t>
      </w:r>
      <w:r w:rsidRPr="0052740C">
        <w:rPr>
          <w:i/>
          <w:sz w:val="24"/>
          <w:szCs w:val="24"/>
        </w:rPr>
        <w:t>Surface and interfacial tension: measurement, theory, and applications.</w:t>
      </w:r>
      <w:r w:rsidRPr="0052740C">
        <w:rPr>
          <w:sz w:val="24"/>
          <w:szCs w:val="24"/>
        </w:rPr>
        <w:t xml:space="preserve"> CRC Press.</w:t>
      </w:r>
    </w:p>
    <w:p w14:paraId="57317BA0" w14:textId="77777777" w:rsidR="00C6718B" w:rsidRPr="0052740C" w:rsidRDefault="00C6718B" w:rsidP="0052740C">
      <w:pPr>
        <w:pStyle w:val="EndNoteBibliography"/>
        <w:spacing w:line="480" w:lineRule="auto"/>
        <w:ind w:left="720" w:hanging="720"/>
        <w:rPr>
          <w:sz w:val="24"/>
          <w:szCs w:val="24"/>
        </w:rPr>
      </w:pPr>
      <w:r w:rsidRPr="0052740C">
        <w:rPr>
          <w:sz w:val="24"/>
          <w:szCs w:val="24"/>
        </w:rPr>
        <w:t>Harvey, J. T. and Lu, Q. 2005. Investigation of Conditions for Moisture Damage in Asphalt Concrete and Appropriate Laboratory Test Methods.</w:t>
      </w:r>
    </w:p>
    <w:p w14:paraId="36A37848"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Hefer, A. W., Bhasin, A. and Little, D. N. 2006. Bitumen Surface Energy Characterization Using a Contact Angle Approach. </w:t>
      </w:r>
      <w:r w:rsidRPr="0052740C">
        <w:rPr>
          <w:i/>
          <w:sz w:val="24"/>
          <w:szCs w:val="24"/>
        </w:rPr>
        <w:t>Journal of Materials in Civil Engineering,</w:t>
      </w:r>
      <w:r w:rsidRPr="0052740C">
        <w:rPr>
          <w:sz w:val="24"/>
          <w:szCs w:val="24"/>
        </w:rPr>
        <w:t xml:space="preserve"> 18(6), 759-767.</w:t>
      </w:r>
    </w:p>
    <w:p w14:paraId="1A7DB464"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Hefer, A. W., Little, D. N. and Lytton, R. L. 2005. A Synthesis of Theories and Mechanisms of Bitumen-Aggregate Adhesion Including Recent Advances in Quantifying the Effects of Water. </w:t>
      </w:r>
      <w:r w:rsidRPr="0052740C">
        <w:rPr>
          <w:i/>
          <w:sz w:val="24"/>
          <w:szCs w:val="24"/>
        </w:rPr>
        <w:t>Journal of the Association of Asphalt Paving Technologists,</w:t>
      </w:r>
      <w:r w:rsidRPr="0052740C">
        <w:rPr>
          <w:sz w:val="24"/>
          <w:szCs w:val="24"/>
        </w:rPr>
        <w:t xml:space="preserve"> 74, 139-196.</w:t>
      </w:r>
    </w:p>
    <w:p w14:paraId="2DA4010F"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Hesami, S., Roshani, H., Hamedi, G. H. and Azarhoosh, A. 2013. Evaluate the mechanism of the effect of hydrated lime on moisture damage of warm mix asphalt. </w:t>
      </w:r>
      <w:r w:rsidRPr="0052740C">
        <w:rPr>
          <w:i/>
          <w:sz w:val="24"/>
          <w:szCs w:val="24"/>
        </w:rPr>
        <w:t>Construction and Building Materials,</w:t>
      </w:r>
      <w:r w:rsidRPr="0052740C">
        <w:rPr>
          <w:sz w:val="24"/>
          <w:szCs w:val="24"/>
        </w:rPr>
        <w:t xml:space="preserve"> 47, 935-941.</w:t>
      </w:r>
    </w:p>
    <w:p w14:paraId="39E1AAFE"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Hesp, S. A. and Shurvell, H. F. 2010. X-ray fluorescence detection of waste engine oil residue in asphalt and its effect on cracking in service. </w:t>
      </w:r>
      <w:r w:rsidRPr="0052740C">
        <w:rPr>
          <w:i/>
          <w:sz w:val="24"/>
          <w:szCs w:val="24"/>
        </w:rPr>
        <w:t>International Journal of Pavement Engineering,</w:t>
      </w:r>
      <w:r w:rsidRPr="0052740C">
        <w:rPr>
          <w:sz w:val="24"/>
          <w:szCs w:val="24"/>
        </w:rPr>
        <w:t xml:space="preserve"> 11(6), 541-553.</w:t>
      </w:r>
    </w:p>
    <w:p w14:paraId="6EB1BE0F"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Hesp, S. A. and Shurvell, H. F. 2013. Quality assurance testing of asphalt containing waste engine oil. </w:t>
      </w:r>
      <w:r w:rsidRPr="0052740C">
        <w:rPr>
          <w:i/>
          <w:sz w:val="24"/>
          <w:szCs w:val="24"/>
        </w:rPr>
        <w:t>International Journal of Pavements</w:t>
      </w:r>
      <w:r w:rsidRPr="0052740C">
        <w:rPr>
          <w:sz w:val="24"/>
          <w:szCs w:val="24"/>
        </w:rPr>
        <w:t>.</w:t>
      </w:r>
    </w:p>
    <w:p w14:paraId="578E7D9F"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Hofko, B., Porot, L., Cannone, A. F., Poulikakos, L., Huber, L., Lu, X., Mollenhauer, K. and Grothe, H. 2018. FTIR spectral analysis of bituminous binders: reproducibility and impact of ageing temperature. </w:t>
      </w:r>
      <w:r w:rsidRPr="0052740C">
        <w:rPr>
          <w:i/>
          <w:sz w:val="24"/>
          <w:szCs w:val="24"/>
        </w:rPr>
        <w:t>Materials and Structures,</w:t>
      </w:r>
      <w:r w:rsidRPr="0052740C">
        <w:rPr>
          <w:sz w:val="24"/>
          <w:szCs w:val="24"/>
        </w:rPr>
        <w:t xml:space="preserve"> 51(2), 1-16.</w:t>
      </w:r>
    </w:p>
    <w:p w14:paraId="6013CCF0"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Holländer, A. 1995. On the selection of test liquids for the evaluation of acid-base properties of solid surfaces by contact angle goniometry. </w:t>
      </w:r>
      <w:r w:rsidRPr="0052740C">
        <w:rPr>
          <w:i/>
          <w:sz w:val="24"/>
          <w:szCs w:val="24"/>
        </w:rPr>
        <w:t>J. Colloid Interface Sci. ,</w:t>
      </w:r>
      <w:r w:rsidRPr="0052740C">
        <w:rPr>
          <w:sz w:val="24"/>
          <w:szCs w:val="24"/>
        </w:rPr>
        <w:t xml:space="preserve"> 169(2), 493-496.</w:t>
      </w:r>
    </w:p>
    <w:p w14:paraId="71355131"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Hossain, K., Karakas, A. and Hossain, Z. 2019. Effects of aging and rejuvenation on surface-free energy measurements and adhesion of asphalt mixtures. </w:t>
      </w:r>
      <w:r w:rsidRPr="0052740C">
        <w:rPr>
          <w:i/>
          <w:sz w:val="24"/>
          <w:szCs w:val="24"/>
        </w:rPr>
        <w:t>Journal of Materials in Civil Engineering,</w:t>
      </w:r>
      <w:r w:rsidRPr="0052740C">
        <w:rPr>
          <w:sz w:val="24"/>
          <w:szCs w:val="24"/>
        </w:rPr>
        <w:t xml:space="preserve"> 31(7), 04019125.</w:t>
      </w:r>
    </w:p>
    <w:p w14:paraId="297CF5DD"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Hossain, Z., Lewis, S., Zaman, M., Buddhala, A. and O’Rear, E. 2012. Evaluation for warm-mix additive-modified asphalt binders using spectroscopy techniques. </w:t>
      </w:r>
      <w:r w:rsidRPr="0052740C">
        <w:rPr>
          <w:i/>
          <w:sz w:val="24"/>
          <w:szCs w:val="24"/>
        </w:rPr>
        <w:t>Journal of Materials in Civil Engineering,</w:t>
      </w:r>
      <w:r w:rsidRPr="0052740C">
        <w:rPr>
          <w:sz w:val="24"/>
          <w:szCs w:val="24"/>
        </w:rPr>
        <w:t xml:space="preserve"> 25(2), 149-159.</w:t>
      </w:r>
    </w:p>
    <w:p w14:paraId="69D4B1DA"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Howson, J., Masad, E. A., Bhasin, A., Branco, V. C., Arambula, E., Lytton, R. and Little, D. 2007. System for the evaluation of moisture damage using fundamental material properties. </w:t>
      </w:r>
      <w:r w:rsidRPr="0052740C">
        <w:rPr>
          <w:i/>
          <w:sz w:val="24"/>
          <w:szCs w:val="24"/>
        </w:rPr>
        <w:t>The Texas A&amp;M University System</w:t>
      </w:r>
      <w:r w:rsidRPr="0052740C">
        <w:rPr>
          <w:sz w:val="24"/>
          <w:szCs w:val="24"/>
        </w:rPr>
        <w:t>.</w:t>
      </w:r>
    </w:p>
    <w:p w14:paraId="44FE4BCA"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Huang, B., Shu, X. and Vukosavljevic, D. 2010. Laboratory investigation of cracking resistance of hot-mix asphalt field mixtures containing screened reclaimed asphalt pavement. </w:t>
      </w:r>
      <w:r w:rsidRPr="0052740C">
        <w:rPr>
          <w:i/>
          <w:sz w:val="24"/>
          <w:szCs w:val="24"/>
        </w:rPr>
        <w:t>Journal of Materials in Civil Engineering,</w:t>
      </w:r>
      <w:r w:rsidRPr="0052740C">
        <w:rPr>
          <w:sz w:val="24"/>
          <w:szCs w:val="24"/>
        </w:rPr>
        <w:t xml:space="preserve"> 23(11), 1535-1543.</w:t>
      </w:r>
    </w:p>
    <w:p w14:paraId="0AEB15B0"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Huang, S.-C. and Grimes, W. 2010. Influence of aging temperature on rheological and chemical properties of asphalt binders. </w:t>
      </w:r>
      <w:r w:rsidRPr="0052740C">
        <w:rPr>
          <w:i/>
          <w:sz w:val="24"/>
          <w:szCs w:val="24"/>
        </w:rPr>
        <w:t>Transportation Research Record,</w:t>
      </w:r>
      <w:r w:rsidRPr="0052740C">
        <w:rPr>
          <w:sz w:val="24"/>
          <w:szCs w:val="24"/>
        </w:rPr>
        <w:t xml:space="preserve"> 2179(1), 39-48.</w:t>
      </w:r>
    </w:p>
    <w:p w14:paraId="13684673"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Huang, S.-C., Turner, T. F., Miknis, F. P. and Thomas, K. P. 2008. Long-term aging characteristics of polyphosphoric acid-modified asphalts. </w:t>
      </w:r>
      <w:r w:rsidRPr="0052740C">
        <w:rPr>
          <w:i/>
          <w:sz w:val="24"/>
          <w:szCs w:val="24"/>
        </w:rPr>
        <w:t>Transportation Research Record,</w:t>
      </w:r>
      <w:r w:rsidRPr="0052740C">
        <w:rPr>
          <w:sz w:val="24"/>
          <w:szCs w:val="24"/>
        </w:rPr>
        <w:t xml:space="preserve"> 2051(1), 1-7.</w:t>
      </w:r>
    </w:p>
    <w:p w14:paraId="578A88F8"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Hurley, G. C. and Prowell, B. D. 2005. Evaluation of Sasobit for use in warm mix asphalt. </w:t>
      </w:r>
      <w:r w:rsidRPr="0052740C">
        <w:rPr>
          <w:i/>
          <w:sz w:val="24"/>
          <w:szCs w:val="24"/>
        </w:rPr>
        <w:t>NCAT report,</w:t>
      </w:r>
      <w:r w:rsidRPr="0052740C">
        <w:rPr>
          <w:sz w:val="24"/>
          <w:szCs w:val="24"/>
        </w:rPr>
        <w:t xml:space="preserve"> 5(6), 1-27.</w:t>
      </w:r>
    </w:p>
    <w:p w14:paraId="378C113D"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Hurley, G. C. and Prowell, B. D. 2006. Evaluation of potential processes for use in warm mix asphalt. </w:t>
      </w:r>
      <w:r w:rsidRPr="0052740C">
        <w:rPr>
          <w:i/>
          <w:sz w:val="24"/>
          <w:szCs w:val="24"/>
        </w:rPr>
        <w:t>Journal of the Association of Asphalt Paving Technologists,</w:t>
      </w:r>
      <w:r w:rsidRPr="0052740C">
        <w:rPr>
          <w:sz w:val="24"/>
          <w:szCs w:val="24"/>
        </w:rPr>
        <w:t xml:space="preserve"> 75(4).</w:t>
      </w:r>
    </w:p>
    <w:p w14:paraId="6AE2898E"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Isacsson, U. and Lu, X. 1995. Testing and appraisal of polymer modified road bitumens—state of the art. </w:t>
      </w:r>
      <w:r w:rsidRPr="0052740C">
        <w:rPr>
          <w:i/>
          <w:sz w:val="24"/>
          <w:szCs w:val="24"/>
        </w:rPr>
        <w:t>Materials and Structures,</w:t>
      </w:r>
      <w:r w:rsidRPr="0052740C">
        <w:rPr>
          <w:sz w:val="24"/>
          <w:szCs w:val="24"/>
        </w:rPr>
        <w:t xml:space="preserve"> 28(3), 139-159.</w:t>
      </w:r>
    </w:p>
    <w:p w14:paraId="1A30AEFF"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Israelachvili, J. N. and Tabor, D. 1972. The calculation of van der Waals dispersion forces between macroscopic bodies. </w:t>
      </w:r>
      <w:r w:rsidRPr="0052740C">
        <w:rPr>
          <w:i/>
          <w:sz w:val="24"/>
          <w:szCs w:val="24"/>
        </w:rPr>
        <w:t>Proceedings of the royal society of London. A. mathematical and physical sciences,</w:t>
      </w:r>
      <w:r w:rsidRPr="0052740C">
        <w:rPr>
          <w:sz w:val="24"/>
          <w:szCs w:val="24"/>
        </w:rPr>
        <w:t xml:space="preserve"> 331(1584), 39-55.</w:t>
      </w:r>
    </w:p>
    <w:p w14:paraId="5F79AEF5"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Jahromi, S. G. 2009. Estimation of resistance to moisture destruction in asphalt mixtures. </w:t>
      </w:r>
      <w:r w:rsidRPr="0052740C">
        <w:rPr>
          <w:i/>
          <w:sz w:val="24"/>
          <w:szCs w:val="24"/>
        </w:rPr>
        <w:t>Construction and Building Materials,</w:t>
      </w:r>
      <w:r w:rsidRPr="0052740C">
        <w:rPr>
          <w:sz w:val="24"/>
          <w:szCs w:val="24"/>
        </w:rPr>
        <w:t xml:space="preserve"> 23(6), 2324-2331.</w:t>
      </w:r>
    </w:p>
    <w:p w14:paraId="76BBF08F"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Johnson, D. R. and Freeman, R. B., 2002. </w:t>
      </w:r>
      <w:r w:rsidRPr="0052740C">
        <w:rPr>
          <w:i/>
          <w:sz w:val="24"/>
          <w:szCs w:val="24"/>
        </w:rPr>
        <w:t>Rehabilitation techniques for stripped asphalt pavements.</w:t>
      </w:r>
      <w:r w:rsidRPr="0052740C">
        <w:rPr>
          <w:sz w:val="24"/>
          <w:szCs w:val="24"/>
        </w:rPr>
        <w:t xml:space="preserve"> Montana. Department of Transportation.</w:t>
      </w:r>
    </w:p>
    <w:p w14:paraId="477EA287"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Johnson, K. L., Kendall, K. and Roberts, a. 1971. Surface energy and the contact of elastic solids. </w:t>
      </w:r>
      <w:r w:rsidRPr="0052740C">
        <w:rPr>
          <w:i/>
          <w:sz w:val="24"/>
          <w:szCs w:val="24"/>
        </w:rPr>
        <w:t>Proceedings of the royal society of London. A. mathematical and physical sciences,</w:t>
      </w:r>
      <w:r w:rsidRPr="0052740C">
        <w:rPr>
          <w:sz w:val="24"/>
          <w:szCs w:val="24"/>
        </w:rPr>
        <w:t xml:space="preserve"> 324(1558), 301-313.</w:t>
      </w:r>
    </w:p>
    <w:p w14:paraId="6FB9C0C9"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Kakar, M. R., Hamzah, M. O., Akhtar, M. N. and Woodward, D. 2016. Surface free energy and moisture susceptibility evaluation of asphalt binders modified with surfactant-based chemical additive. </w:t>
      </w:r>
      <w:r w:rsidRPr="0052740C">
        <w:rPr>
          <w:i/>
          <w:sz w:val="24"/>
          <w:szCs w:val="24"/>
        </w:rPr>
        <w:t>Journal of cleaner production,</w:t>
      </w:r>
      <w:r w:rsidRPr="0052740C">
        <w:rPr>
          <w:sz w:val="24"/>
          <w:szCs w:val="24"/>
        </w:rPr>
        <w:t xml:space="preserve"> 112, 2342-2353.</w:t>
      </w:r>
    </w:p>
    <w:p w14:paraId="58897CA9"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Kalantar, Z. N., Karim, M. R. and Mahrez, A. 2012. A review of using waste and virgin polymer in pavement. </w:t>
      </w:r>
      <w:r w:rsidRPr="0052740C">
        <w:rPr>
          <w:i/>
          <w:sz w:val="24"/>
          <w:szCs w:val="24"/>
        </w:rPr>
        <w:t>Construction and Building Materials,</w:t>
      </w:r>
      <w:r w:rsidRPr="0052740C">
        <w:rPr>
          <w:sz w:val="24"/>
          <w:szCs w:val="24"/>
        </w:rPr>
        <w:t xml:space="preserve"> 33, 55-62.</w:t>
      </w:r>
    </w:p>
    <w:p w14:paraId="2EE65904"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Kanitpong, K. and Bahia, H. 2005. Relating adhesion and cohesion of asphalts to the effect of moisture on laboratory performance of asphalt mixtures. </w:t>
      </w:r>
      <w:r w:rsidRPr="0052740C">
        <w:rPr>
          <w:i/>
          <w:sz w:val="24"/>
          <w:szCs w:val="24"/>
        </w:rPr>
        <w:t>Transportation Research Record,</w:t>
      </w:r>
      <w:r w:rsidRPr="0052740C">
        <w:rPr>
          <w:sz w:val="24"/>
          <w:szCs w:val="24"/>
        </w:rPr>
        <w:t xml:space="preserve"> 1901(1), 33-43.</w:t>
      </w:r>
    </w:p>
    <w:p w14:paraId="75A4D8A9"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Khodaii, A., Khalifeh, V., Dehnad, M. and Hamedi, G. H. 2013. Evaluating the effect of zycosoil on moisture damage of hot-mix asphalt using the surface energy method. </w:t>
      </w:r>
      <w:r w:rsidRPr="0052740C">
        <w:rPr>
          <w:i/>
          <w:sz w:val="24"/>
          <w:szCs w:val="24"/>
        </w:rPr>
        <w:t>Journal of Materials in Civil Engineering,</w:t>
      </w:r>
      <w:r w:rsidRPr="0052740C">
        <w:rPr>
          <w:sz w:val="24"/>
          <w:szCs w:val="24"/>
        </w:rPr>
        <w:t xml:space="preserve"> 26(2), 259-266.</w:t>
      </w:r>
    </w:p>
    <w:p w14:paraId="65B7193B"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Khodaii, A., Tehrani, H. K. and Haghshenas, H. 2012. Hydrated lime effect on moisture susceptibility of warm mix asphalt. </w:t>
      </w:r>
      <w:r w:rsidRPr="0052740C">
        <w:rPr>
          <w:i/>
          <w:sz w:val="24"/>
          <w:szCs w:val="24"/>
        </w:rPr>
        <w:t>Construction and Building Materials,</w:t>
      </w:r>
      <w:r w:rsidRPr="0052740C">
        <w:rPr>
          <w:sz w:val="24"/>
          <w:szCs w:val="24"/>
        </w:rPr>
        <w:t xml:space="preserve"> 36, 165-170.</w:t>
      </w:r>
    </w:p>
    <w:p w14:paraId="1CD53940"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Kim, M., Mohammad, L. and Elseifi, M. 2012. Characterization of fracture properties of asphalt mixtures as measured by semicircular bend test and indirect tension test. </w:t>
      </w:r>
      <w:r w:rsidRPr="0052740C">
        <w:rPr>
          <w:i/>
          <w:sz w:val="24"/>
          <w:szCs w:val="24"/>
        </w:rPr>
        <w:t>Transportation Research Record: Journal of the Transportation Research Board,</w:t>
      </w:r>
      <w:r w:rsidRPr="0052740C">
        <w:rPr>
          <w:sz w:val="24"/>
          <w:szCs w:val="24"/>
        </w:rPr>
        <w:t xml:space="preserve"> (2296), 115-124.</w:t>
      </w:r>
    </w:p>
    <w:p w14:paraId="664E59E7"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Kim, S., Park, J., Lee, S. and Kim, K. W. 2014. Performance of modified WMA Mixtures prepared using the same class pg binders of HMA mixtures. </w:t>
      </w:r>
      <w:r w:rsidRPr="0052740C">
        <w:rPr>
          <w:i/>
          <w:sz w:val="24"/>
          <w:szCs w:val="24"/>
        </w:rPr>
        <w:t>Journal of Testing and Evaluation,</w:t>
      </w:r>
      <w:r w:rsidRPr="0052740C">
        <w:rPr>
          <w:sz w:val="24"/>
          <w:szCs w:val="24"/>
        </w:rPr>
        <w:t xml:space="preserve"> 42(2), 347-356.</w:t>
      </w:r>
    </w:p>
    <w:p w14:paraId="41882014"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Kim, S., Sholar, G., Byron, T. and Kim, J. 2009. Performance of polymer-modified asphalt mixture with reclaimed asphalt pavement. </w:t>
      </w:r>
      <w:r w:rsidRPr="0052740C">
        <w:rPr>
          <w:i/>
          <w:sz w:val="24"/>
          <w:szCs w:val="24"/>
        </w:rPr>
        <w:t>Transportation Research Record: Journal of the Transportation Research Board,</w:t>
      </w:r>
      <w:r w:rsidRPr="0052740C">
        <w:rPr>
          <w:sz w:val="24"/>
          <w:szCs w:val="24"/>
        </w:rPr>
        <w:t xml:space="preserve"> (2126), 109-114.</w:t>
      </w:r>
    </w:p>
    <w:p w14:paraId="1223CD68"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Kringos, N., Scarpas, A., Copeland, A. and Youtcheff, J. 2008. Modelling of combined physical–mechanical moisture-induced damage in asphaltic mixes Part 2: moisture susceptibility parameters. </w:t>
      </w:r>
      <w:r w:rsidRPr="0052740C">
        <w:rPr>
          <w:i/>
          <w:sz w:val="24"/>
          <w:szCs w:val="24"/>
        </w:rPr>
        <w:t>International Journal of Pavement Engineering,</w:t>
      </w:r>
      <w:r w:rsidRPr="0052740C">
        <w:rPr>
          <w:sz w:val="24"/>
          <w:szCs w:val="24"/>
        </w:rPr>
        <w:t xml:space="preserve"> 9(2), 129-151.</w:t>
      </w:r>
    </w:p>
    <w:p w14:paraId="48575C40"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Kwok, D. Y. and Neumann, A. W. 1999. Contact angle measurement and contact angle interpretation. </w:t>
      </w:r>
      <w:r w:rsidRPr="0052740C">
        <w:rPr>
          <w:i/>
          <w:sz w:val="24"/>
          <w:szCs w:val="24"/>
        </w:rPr>
        <w:t>Advances in colloid and interface science,</w:t>
      </w:r>
      <w:r w:rsidRPr="0052740C">
        <w:rPr>
          <w:sz w:val="24"/>
          <w:szCs w:val="24"/>
        </w:rPr>
        <w:t xml:space="preserve"> 81(3), 167-249.</w:t>
      </w:r>
    </w:p>
    <w:p w14:paraId="6E871E39"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Kwok, D. Y. H., 1998. </w:t>
      </w:r>
      <w:r w:rsidRPr="0052740C">
        <w:rPr>
          <w:i/>
          <w:sz w:val="24"/>
          <w:szCs w:val="24"/>
        </w:rPr>
        <w:t>CONTACT ANGLES AND SURFACE EMRGETICS.</w:t>
      </w:r>
      <w:r w:rsidRPr="0052740C">
        <w:rPr>
          <w:sz w:val="24"/>
          <w:szCs w:val="24"/>
        </w:rPr>
        <w:t xml:space="preserve"> University of Toronto.</w:t>
      </w:r>
    </w:p>
    <w:p w14:paraId="516DF370"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LaCroix, A., Regimand, A. and James, L. 2016. Proposed Approach for Evaluation of Cohesive and Adhesive Properties of Asphalt Mixtures for Determination of Moisture Sensitivity. </w:t>
      </w:r>
      <w:r w:rsidRPr="0052740C">
        <w:rPr>
          <w:i/>
          <w:sz w:val="24"/>
          <w:szCs w:val="24"/>
        </w:rPr>
        <w:t>Transportation Research Record: Journal of the Transportation Research Board,</w:t>
      </w:r>
      <w:r w:rsidRPr="0052740C">
        <w:rPr>
          <w:sz w:val="24"/>
          <w:szCs w:val="24"/>
        </w:rPr>
        <w:t xml:space="preserve"> (2575), 61-69.</w:t>
      </w:r>
    </w:p>
    <w:p w14:paraId="4401EDD6" w14:textId="77777777" w:rsidR="00C6718B" w:rsidRPr="0052740C" w:rsidRDefault="00C6718B" w:rsidP="0052740C">
      <w:pPr>
        <w:pStyle w:val="EndNoteBibliography"/>
        <w:spacing w:line="480" w:lineRule="auto"/>
        <w:ind w:left="720" w:hanging="720"/>
        <w:rPr>
          <w:sz w:val="24"/>
          <w:szCs w:val="24"/>
        </w:rPr>
      </w:pPr>
      <w:r w:rsidRPr="0052740C">
        <w:rPr>
          <w:sz w:val="24"/>
          <w:szCs w:val="24"/>
        </w:rPr>
        <w:t>Lawrence, J. A. 2010. Self-Assembly and Chemical Patterning on Germanium (100).</w:t>
      </w:r>
    </w:p>
    <w:p w14:paraId="01D3FC49"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Le Guern, M., Chailleux, E., Farcas, F., Dreessen, S. and Mabille, I. 2010. Physico-chemical analysis of five hard bitumens: Identification of chemical species and molecular organization before and after artificial aging. </w:t>
      </w:r>
      <w:r w:rsidRPr="0052740C">
        <w:rPr>
          <w:i/>
          <w:sz w:val="24"/>
          <w:szCs w:val="24"/>
        </w:rPr>
        <w:t>Fuel,</w:t>
      </w:r>
      <w:r w:rsidRPr="0052740C">
        <w:rPr>
          <w:sz w:val="24"/>
          <w:szCs w:val="24"/>
        </w:rPr>
        <w:t xml:space="preserve"> 89(11), 3330-3339.</w:t>
      </w:r>
    </w:p>
    <w:p w14:paraId="4FEC9F75"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Li, D. and Neumann, A. 1990. A reformulation of the equation of state for interfacial tensions. </w:t>
      </w:r>
      <w:r w:rsidRPr="0052740C">
        <w:rPr>
          <w:i/>
          <w:sz w:val="24"/>
          <w:szCs w:val="24"/>
        </w:rPr>
        <w:t>Journal of colloid and interface science,</w:t>
      </w:r>
      <w:r w:rsidRPr="0052740C">
        <w:rPr>
          <w:sz w:val="24"/>
          <w:szCs w:val="24"/>
        </w:rPr>
        <w:t xml:space="preserve"> 137(1), 304-307.</w:t>
      </w:r>
    </w:p>
    <w:p w14:paraId="0BFAE5B6"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Li, D. and Neumann, A. 1992. Equation of state for interfacial tensions of solid-liquid systems. </w:t>
      </w:r>
      <w:r w:rsidRPr="0052740C">
        <w:rPr>
          <w:i/>
          <w:sz w:val="24"/>
          <w:szCs w:val="24"/>
        </w:rPr>
        <w:t>Advances in Colloid and Interface Science,</w:t>
      </w:r>
      <w:r w:rsidRPr="0052740C">
        <w:rPr>
          <w:sz w:val="24"/>
          <w:szCs w:val="24"/>
        </w:rPr>
        <w:t xml:space="preserve"> 39, 299-345.</w:t>
      </w:r>
    </w:p>
    <w:p w14:paraId="205B5472"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Li, X.-J. and Marasteanu, M. 2010. Using semi circular bending test to evaluate low temperature fracture resistance for asphalt concrete. </w:t>
      </w:r>
      <w:r w:rsidRPr="0052740C">
        <w:rPr>
          <w:i/>
          <w:sz w:val="24"/>
          <w:szCs w:val="24"/>
        </w:rPr>
        <w:t>Experimental Mechanics,</w:t>
      </w:r>
      <w:r w:rsidRPr="0052740C">
        <w:rPr>
          <w:sz w:val="24"/>
          <w:szCs w:val="24"/>
        </w:rPr>
        <w:t xml:space="preserve"> 50(7), 867-876.</w:t>
      </w:r>
    </w:p>
    <w:p w14:paraId="60FF3D49" w14:textId="77777777" w:rsidR="00C6718B" w:rsidRPr="0052740C" w:rsidRDefault="00C6718B" w:rsidP="0052740C">
      <w:pPr>
        <w:pStyle w:val="EndNoteBibliography"/>
        <w:spacing w:line="480" w:lineRule="auto"/>
        <w:ind w:left="720" w:hanging="720"/>
        <w:rPr>
          <w:i/>
          <w:sz w:val="24"/>
          <w:szCs w:val="24"/>
        </w:rPr>
      </w:pPr>
      <w:r w:rsidRPr="0052740C">
        <w:rPr>
          <w:sz w:val="24"/>
          <w:szCs w:val="24"/>
        </w:rPr>
        <w:t xml:space="preserve">Little, D. N. and Bhasin, A., 2006. </w:t>
      </w:r>
      <w:r w:rsidRPr="0052740C">
        <w:rPr>
          <w:i/>
          <w:sz w:val="24"/>
          <w:szCs w:val="24"/>
        </w:rPr>
        <w:t>Using surface energy measurements to select materials for asphalt pavement.</w:t>
      </w:r>
    </w:p>
    <w:p w14:paraId="56F6B02F"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Liu, F., Zhou, Z. and Wang, Y. 2019. Predict the rheological properties of aged asphalt binders using a universal kinetic model. </w:t>
      </w:r>
      <w:r w:rsidRPr="0052740C">
        <w:rPr>
          <w:i/>
          <w:sz w:val="24"/>
          <w:szCs w:val="24"/>
        </w:rPr>
        <w:t>Construction and Building Materials,</w:t>
      </w:r>
      <w:r w:rsidRPr="0052740C">
        <w:rPr>
          <w:sz w:val="24"/>
          <w:szCs w:val="24"/>
        </w:rPr>
        <w:t xml:space="preserve"> 195, 283-291.</w:t>
      </w:r>
    </w:p>
    <w:p w14:paraId="7D6BD9F3"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Liu, J., Yan, K., You, L., Ge, D. and Wang, Z. 2016. Laboratory performance of warm mix asphalt binder containing polyphosphoric acid. </w:t>
      </w:r>
      <w:r w:rsidRPr="0052740C">
        <w:rPr>
          <w:i/>
          <w:sz w:val="24"/>
          <w:szCs w:val="24"/>
        </w:rPr>
        <w:t>Construction and Building Materials,</w:t>
      </w:r>
      <w:r w:rsidRPr="0052740C">
        <w:rPr>
          <w:sz w:val="24"/>
          <w:szCs w:val="24"/>
        </w:rPr>
        <w:t xml:space="preserve"> 106, 218-227.</w:t>
      </w:r>
    </w:p>
    <w:p w14:paraId="01B422DF"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Liu, Y., Apeagyei, A., Ahmad, N., Grenfell, J. and Airey, G. 2014. Examination of moisture sensitivity of aggregate–bitumen bonding strength using loose asphalt mixture and physico-chemical surface energy property tests. </w:t>
      </w:r>
      <w:r w:rsidRPr="0052740C">
        <w:rPr>
          <w:i/>
          <w:sz w:val="24"/>
          <w:szCs w:val="24"/>
        </w:rPr>
        <w:t>International Journal of Pavement Engineering,</w:t>
      </w:r>
      <w:r w:rsidRPr="0052740C">
        <w:rPr>
          <w:sz w:val="24"/>
          <w:szCs w:val="24"/>
        </w:rPr>
        <w:t xml:space="preserve"> 15(7), 657-670.</w:t>
      </w:r>
    </w:p>
    <w:p w14:paraId="25561070"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Lu, X., Talon, Y. and Redelius, P., 406-001 Aging of Bituminous Binders–Laboratory Tests and Field Data. ed. </w:t>
      </w:r>
      <w:r w:rsidRPr="0052740C">
        <w:rPr>
          <w:i/>
          <w:sz w:val="24"/>
          <w:szCs w:val="24"/>
        </w:rPr>
        <w:t>4th Eurasphalt Eurobitume Congress</w:t>
      </w:r>
      <w:r w:rsidRPr="0052740C">
        <w:rPr>
          <w:sz w:val="24"/>
          <w:szCs w:val="24"/>
        </w:rPr>
        <w:t>, 2008, 1-12.</w:t>
      </w:r>
    </w:p>
    <w:p w14:paraId="222BBB0F"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Luner, P. E. and Ohf, E. 2014. Surface free energies of cellulose ether films. </w:t>
      </w:r>
      <w:r w:rsidRPr="0052740C">
        <w:rPr>
          <w:i/>
          <w:sz w:val="24"/>
          <w:szCs w:val="24"/>
        </w:rPr>
        <w:t>Contact Angle, Wettability and Adhesion, Volume 2,</w:t>
      </w:r>
      <w:r w:rsidRPr="0052740C">
        <w:rPr>
          <w:sz w:val="24"/>
          <w:szCs w:val="24"/>
        </w:rPr>
        <w:t xml:space="preserve"> 2, 299.</w:t>
      </w:r>
    </w:p>
    <w:p w14:paraId="3871231E"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Luo, S., Tian, J., Liu, Z., Lu, Q., Zhong, K. and Yang, X. 2020. Rapid determination of styrene-butadiene-styrene (SBS) content in modified asphalt based on Fourier transform infrared (FTIR) spectrometer and linear regression analysis. </w:t>
      </w:r>
      <w:r w:rsidRPr="0052740C">
        <w:rPr>
          <w:i/>
          <w:sz w:val="24"/>
          <w:szCs w:val="24"/>
        </w:rPr>
        <w:t>Measurement,</w:t>
      </w:r>
      <w:r w:rsidRPr="0052740C">
        <w:rPr>
          <w:sz w:val="24"/>
          <w:szCs w:val="24"/>
        </w:rPr>
        <w:t xml:space="preserve"> 151, 107204.</w:t>
      </w:r>
    </w:p>
    <w:p w14:paraId="6648AB6D"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Mallick, R. B., Teto, M. R. and Mogawer, W. S., 2000. </w:t>
      </w:r>
      <w:r w:rsidRPr="0052740C">
        <w:rPr>
          <w:i/>
          <w:sz w:val="24"/>
          <w:szCs w:val="24"/>
        </w:rPr>
        <w:t>Evaluation of use of manufactured waste asphalt shingles in hot mix asphalt.</w:t>
      </w:r>
      <w:r w:rsidRPr="0052740C">
        <w:rPr>
          <w:sz w:val="24"/>
          <w:szCs w:val="24"/>
        </w:rPr>
        <w:t xml:space="preserve"> Chelsea: University of Massachusettes.</w:t>
      </w:r>
    </w:p>
    <w:p w14:paraId="5751CA14"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Martin, J., Baumgardner, G. L. and Hanrahan, J. 2006. Polyphosphoric acid use in asphalt. </w:t>
      </w:r>
      <w:r w:rsidRPr="0052740C">
        <w:rPr>
          <w:i/>
          <w:sz w:val="24"/>
          <w:szCs w:val="24"/>
        </w:rPr>
        <w:t>Asphalt,</w:t>
      </w:r>
      <w:r w:rsidRPr="0052740C">
        <w:rPr>
          <w:sz w:val="24"/>
          <w:szCs w:val="24"/>
        </w:rPr>
        <w:t xml:space="preserve"> 21(2).</w:t>
      </w:r>
    </w:p>
    <w:p w14:paraId="1A116D5C"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Martin, K., Davison, R., Glover, C. and Bullin, J. 1990. Asphalt aging in Texas roads and test sections. </w:t>
      </w:r>
      <w:r w:rsidRPr="0052740C">
        <w:rPr>
          <w:i/>
          <w:sz w:val="24"/>
          <w:szCs w:val="24"/>
        </w:rPr>
        <w:t>Transportation Research Record,</w:t>
      </w:r>
      <w:r w:rsidRPr="0052740C">
        <w:rPr>
          <w:sz w:val="24"/>
          <w:szCs w:val="24"/>
        </w:rPr>
        <w:t xml:space="preserve"> (1269).</w:t>
      </w:r>
    </w:p>
    <w:p w14:paraId="0E23BEC7"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Masad, E., Arambula, E., Ketcham, R., Abbas, A. and Martin, A. E. 2007. Nondestructive measurements of moisture transport in asphalt mixtures. </w:t>
      </w:r>
      <w:r w:rsidRPr="0052740C">
        <w:rPr>
          <w:i/>
          <w:sz w:val="24"/>
          <w:szCs w:val="24"/>
        </w:rPr>
        <w:t>Asphalt Paving Technology-Proceedings,</w:t>
      </w:r>
      <w:r w:rsidRPr="0052740C">
        <w:rPr>
          <w:sz w:val="24"/>
          <w:szCs w:val="24"/>
        </w:rPr>
        <w:t xml:space="preserve"> 76, 919.</w:t>
      </w:r>
    </w:p>
    <w:p w14:paraId="403D6574"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Masad, E. A., Zollinger, C., Bulut, R., Little, D. N. and Lytton, R. L. 2006. Characterization of HMA Moisture Damage Using Surface Energy and Fracture Properties (with Discussion). </w:t>
      </w:r>
      <w:r w:rsidRPr="0052740C">
        <w:rPr>
          <w:i/>
          <w:sz w:val="24"/>
          <w:szCs w:val="24"/>
        </w:rPr>
        <w:t>Journal of the Association of Asphalt Paving Technologists,</w:t>
      </w:r>
      <w:r w:rsidRPr="0052740C">
        <w:rPr>
          <w:sz w:val="24"/>
          <w:szCs w:val="24"/>
        </w:rPr>
        <w:t xml:space="preserve"> 75.</w:t>
      </w:r>
    </w:p>
    <w:p w14:paraId="0B27E970"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McDaniel, R. S., Soleymani, H. and Shah, A. 2002. Use of reclaimed asphalt pavement (RAP) under Superpave specifications. </w:t>
      </w:r>
      <w:r w:rsidRPr="0052740C">
        <w:rPr>
          <w:i/>
          <w:sz w:val="24"/>
          <w:szCs w:val="24"/>
        </w:rPr>
        <w:t>Washington, DC: Federal Highway Administration (FHWA/IN/JTRP-2002/6)</w:t>
      </w:r>
      <w:r w:rsidRPr="0052740C">
        <w:rPr>
          <w:sz w:val="24"/>
          <w:szCs w:val="24"/>
        </w:rPr>
        <w:t>.</w:t>
      </w:r>
    </w:p>
    <w:p w14:paraId="67CF6A3C"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Mehrara, A. and Khodaii, A. 2013. A review of state of the art on stripping phenomenon in asphalt concrete. </w:t>
      </w:r>
      <w:r w:rsidRPr="0052740C">
        <w:rPr>
          <w:i/>
          <w:sz w:val="24"/>
          <w:szCs w:val="24"/>
        </w:rPr>
        <w:t>Construction and Building Materials,</w:t>
      </w:r>
      <w:r w:rsidRPr="0052740C">
        <w:rPr>
          <w:sz w:val="24"/>
          <w:szCs w:val="24"/>
        </w:rPr>
        <w:t xml:space="preserve"> 38, 423-442.</w:t>
      </w:r>
    </w:p>
    <w:p w14:paraId="6E71AEB0"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Mirzababaei, P. 2016. Effect of Zycotherm on Moisture Susceptibility of Warm Mix Asphalt Mixtures Prepared with Different Aggregate Types and Gradations. </w:t>
      </w:r>
      <w:r w:rsidRPr="0052740C">
        <w:rPr>
          <w:i/>
          <w:sz w:val="24"/>
          <w:szCs w:val="24"/>
        </w:rPr>
        <w:t>Construction and Building Materials,</w:t>
      </w:r>
      <w:r w:rsidRPr="0052740C">
        <w:rPr>
          <w:sz w:val="24"/>
          <w:szCs w:val="24"/>
        </w:rPr>
        <w:t xml:space="preserve"> 116, 403-412.</w:t>
      </w:r>
    </w:p>
    <w:p w14:paraId="06F31AE3"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Moghadas Nejad, F., Hamedi, G. H. and Azarhoosh, A. 2012. Use of Surface Free Energy Method to Evaluate Effect of Hydrate Lime on Moisture Damage in Hot-Mix Asphalt. </w:t>
      </w:r>
      <w:r w:rsidRPr="0052740C">
        <w:rPr>
          <w:i/>
          <w:sz w:val="24"/>
          <w:szCs w:val="24"/>
        </w:rPr>
        <w:t>Journal of Materials in Civil Engineering,</w:t>
      </w:r>
      <w:r w:rsidRPr="0052740C">
        <w:rPr>
          <w:sz w:val="24"/>
          <w:szCs w:val="24"/>
        </w:rPr>
        <w:t xml:space="preserve"> 25(8), 1119-1126.</w:t>
      </w:r>
    </w:p>
    <w:p w14:paraId="3EBE1BB9" w14:textId="77777777" w:rsidR="00C6718B" w:rsidRPr="0052740C" w:rsidRDefault="00C6718B" w:rsidP="0052740C">
      <w:pPr>
        <w:pStyle w:val="EndNoteBibliography"/>
        <w:spacing w:line="480" w:lineRule="auto"/>
        <w:ind w:left="720" w:hanging="720"/>
        <w:rPr>
          <w:i/>
          <w:sz w:val="24"/>
          <w:szCs w:val="24"/>
        </w:rPr>
      </w:pPr>
      <w:r w:rsidRPr="0052740C">
        <w:rPr>
          <w:sz w:val="24"/>
          <w:szCs w:val="24"/>
        </w:rPr>
        <w:t xml:space="preserve">Mohammad, L. N., Kim, M. and Challa, H., 2016. </w:t>
      </w:r>
      <w:r w:rsidRPr="0052740C">
        <w:rPr>
          <w:i/>
          <w:sz w:val="24"/>
          <w:szCs w:val="24"/>
        </w:rPr>
        <w:t>Development of performance-based specifications for Louisiana asphalt mixtures.</w:t>
      </w:r>
    </w:p>
    <w:p w14:paraId="4DD0B80D"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Mohammad, L. N., Negulescu, I. I., Wu, Z., Daranga, C., Daly, W. and Abadie, C. 2003. Investigation of the use of recycled polymer modified asphalt binder in asphalt concrete pavements (with discussion and closure). </w:t>
      </w:r>
      <w:r w:rsidRPr="0052740C">
        <w:rPr>
          <w:i/>
          <w:sz w:val="24"/>
          <w:szCs w:val="24"/>
        </w:rPr>
        <w:t>Journal of the Association of Asphalt Paving Technologists,</w:t>
      </w:r>
      <w:r w:rsidRPr="0052740C">
        <w:rPr>
          <w:sz w:val="24"/>
          <w:szCs w:val="24"/>
        </w:rPr>
        <w:t xml:space="preserve"> 72.</w:t>
      </w:r>
    </w:p>
    <w:p w14:paraId="164ECFA3"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Moraes, R., Velasquez, R. and Bahia, H. 2017. Using bond strength and surface energy to estimate moisture resistance of asphalt-aggregate systems. </w:t>
      </w:r>
      <w:r w:rsidRPr="0052740C">
        <w:rPr>
          <w:i/>
          <w:sz w:val="24"/>
          <w:szCs w:val="24"/>
        </w:rPr>
        <w:t>Construction and Building Materials,</w:t>
      </w:r>
      <w:r w:rsidRPr="0052740C">
        <w:rPr>
          <w:sz w:val="24"/>
          <w:szCs w:val="24"/>
        </w:rPr>
        <w:t xml:space="preserve"> 130, 156-170.</w:t>
      </w:r>
    </w:p>
    <w:p w14:paraId="21D793C8"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Morrison, I. 1991. Does the phase rule for capillary systems really justify an equation of state for interfacial tensions? </w:t>
      </w:r>
      <w:r w:rsidRPr="0052740C">
        <w:rPr>
          <w:i/>
          <w:sz w:val="24"/>
          <w:szCs w:val="24"/>
        </w:rPr>
        <w:t>Langmuir,</w:t>
      </w:r>
      <w:r w:rsidRPr="0052740C">
        <w:rPr>
          <w:sz w:val="24"/>
          <w:szCs w:val="24"/>
        </w:rPr>
        <w:t xml:space="preserve"> 7(8), 1833-1836.</w:t>
      </w:r>
    </w:p>
    <w:p w14:paraId="1F3DD673"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Mothé, M. G., Leite, L. F. and Mothé, C. G. 2008. Thermal characterization of asphalt mixtures by TG/DTG, DTA and FTIR. </w:t>
      </w:r>
      <w:r w:rsidRPr="0052740C">
        <w:rPr>
          <w:i/>
          <w:sz w:val="24"/>
          <w:szCs w:val="24"/>
        </w:rPr>
        <w:t>Journal of Thermal Analysis and Calorimetry,</w:t>
      </w:r>
      <w:r w:rsidRPr="0052740C">
        <w:rPr>
          <w:sz w:val="24"/>
          <w:szCs w:val="24"/>
        </w:rPr>
        <w:t xml:space="preserve"> 93(1), 105-109.</w:t>
      </w:r>
    </w:p>
    <w:p w14:paraId="263E463E"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Mouillet, V., Lamontagne, J., Durrieu, F., Planche, J.-P. and Lapalu, L. 2008. Infrared microscopy investigation of oxidation and phase evolution in bitumen modified with polymers. </w:t>
      </w:r>
      <w:r w:rsidRPr="0052740C">
        <w:rPr>
          <w:i/>
          <w:sz w:val="24"/>
          <w:szCs w:val="24"/>
        </w:rPr>
        <w:t>Fuel,</w:t>
      </w:r>
      <w:r w:rsidRPr="0052740C">
        <w:rPr>
          <w:sz w:val="24"/>
          <w:szCs w:val="24"/>
        </w:rPr>
        <w:t xml:space="preserve"> 87(7), 1270-1280.</w:t>
      </w:r>
    </w:p>
    <w:p w14:paraId="65CCC17C"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Mull, M., Stuart, K. and Yehia, A. 2002. Fracture resistance characterization of chemically modified crumb rubber asphalt pavement. </w:t>
      </w:r>
      <w:r w:rsidRPr="0052740C">
        <w:rPr>
          <w:i/>
          <w:sz w:val="24"/>
          <w:szCs w:val="24"/>
        </w:rPr>
        <w:t>Journal of Materials Science,</w:t>
      </w:r>
      <w:r w:rsidRPr="0052740C">
        <w:rPr>
          <w:sz w:val="24"/>
          <w:szCs w:val="24"/>
        </w:rPr>
        <w:t xml:space="preserve"> 37(3), 557-566.</w:t>
      </w:r>
    </w:p>
    <w:p w14:paraId="38D7C1FF"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Nazzal, M. D., Sargand, S. and Al-Rawashdeh, A. 2011. Evaluation of warm mix asphalt mixtures containing RAP using accelerated loading tests. </w:t>
      </w:r>
      <w:r w:rsidRPr="0052740C">
        <w:rPr>
          <w:i/>
          <w:sz w:val="24"/>
          <w:szCs w:val="24"/>
        </w:rPr>
        <w:t>Journal of Testing and Evaluation,</w:t>
      </w:r>
      <w:r w:rsidRPr="0052740C">
        <w:rPr>
          <w:sz w:val="24"/>
          <w:szCs w:val="24"/>
        </w:rPr>
        <w:t xml:space="preserve"> 39(3), 305-312.</w:t>
      </w:r>
    </w:p>
    <w:p w14:paraId="7C4F2E69"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Neumann, A., Good, R., Hope, C. and Sejpal, M. 1974. An equation-of-state approach to determine surface tensions of low-energy solids from contact angles. </w:t>
      </w:r>
      <w:r w:rsidRPr="0052740C">
        <w:rPr>
          <w:i/>
          <w:sz w:val="24"/>
          <w:szCs w:val="24"/>
        </w:rPr>
        <w:t>Journal of colloid and interface science,</w:t>
      </w:r>
      <w:r w:rsidRPr="0052740C">
        <w:rPr>
          <w:sz w:val="24"/>
          <w:szCs w:val="24"/>
        </w:rPr>
        <w:t xml:space="preserve"> 49(2), 291-304.</w:t>
      </w:r>
    </w:p>
    <w:p w14:paraId="58FF7C38"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Nuñez, J. Y. M., Domingos, M. D. I. and Faxina, A. L. 2014. Susceptibility of low-density polyethylene and polyphosphoric acid-modified asphalt binders to rutting and fatigue cracking. </w:t>
      </w:r>
      <w:r w:rsidRPr="0052740C">
        <w:rPr>
          <w:i/>
          <w:sz w:val="24"/>
          <w:szCs w:val="24"/>
        </w:rPr>
        <w:t>Construction and Building Materials,</w:t>
      </w:r>
      <w:r w:rsidRPr="0052740C">
        <w:rPr>
          <w:sz w:val="24"/>
          <w:szCs w:val="24"/>
        </w:rPr>
        <w:t xml:space="preserve"> 73, 509-514.</w:t>
      </w:r>
    </w:p>
    <w:p w14:paraId="66DC7EB8" w14:textId="77777777" w:rsidR="00C6718B" w:rsidRPr="0052740C" w:rsidRDefault="00C6718B" w:rsidP="0052740C">
      <w:pPr>
        <w:pStyle w:val="EndNoteBibliography"/>
        <w:spacing w:line="480" w:lineRule="auto"/>
        <w:ind w:left="720" w:hanging="720"/>
        <w:rPr>
          <w:sz w:val="24"/>
          <w:szCs w:val="24"/>
        </w:rPr>
      </w:pPr>
      <w:r w:rsidRPr="0052740C">
        <w:rPr>
          <w:sz w:val="24"/>
          <w:szCs w:val="24"/>
        </w:rPr>
        <w:t>ODOT, 2009. 2009 standard specifications for highway construction. Oklahoma City, Oklahoma: Oklahoma Department of Transportation.</w:t>
      </w:r>
    </w:p>
    <w:p w14:paraId="2637A5EF"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Orange, G., Martin, J.-V., Menapace, A., Hemsley, M. and Baumgardner, G. 2004. Rutting and Moisture Resistance of Asphalt Mixtures Containing Polymer and Polyphosphoric Acid Modified Bitumen. </w:t>
      </w:r>
      <w:r w:rsidRPr="0052740C">
        <w:rPr>
          <w:i/>
          <w:sz w:val="24"/>
          <w:szCs w:val="24"/>
        </w:rPr>
        <w:t>Road Materials and Pavement Design,</w:t>
      </w:r>
      <w:r w:rsidRPr="0052740C">
        <w:rPr>
          <w:sz w:val="24"/>
          <w:szCs w:val="24"/>
        </w:rPr>
        <w:t xml:space="preserve"> 5(3), 323-354.</w:t>
      </w:r>
    </w:p>
    <w:p w14:paraId="66245F58"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Othman, A. M. 2009. Effect of moisture-induced damage on fracture resistance of rubber-modified HMA mixtures. </w:t>
      </w:r>
      <w:r w:rsidRPr="0052740C">
        <w:rPr>
          <w:i/>
          <w:sz w:val="24"/>
          <w:szCs w:val="24"/>
        </w:rPr>
        <w:t>Journal of Elastomers &amp; Plastics,</w:t>
      </w:r>
      <w:r w:rsidRPr="0052740C">
        <w:rPr>
          <w:sz w:val="24"/>
          <w:szCs w:val="24"/>
        </w:rPr>
        <w:t xml:space="preserve"> 41(5), 401-414.</w:t>
      </w:r>
    </w:p>
    <w:p w14:paraId="6AC9D276"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Owens, D. K. and Wendt, R. 1969. Estimation of the surface free energy of polymers. </w:t>
      </w:r>
      <w:r w:rsidRPr="0052740C">
        <w:rPr>
          <w:i/>
          <w:sz w:val="24"/>
          <w:szCs w:val="24"/>
        </w:rPr>
        <w:t>Journal of applied polymer science,</w:t>
      </w:r>
      <w:r w:rsidRPr="0052740C">
        <w:rPr>
          <w:sz w:val="24"/>
          <w:szCs w:val="24"/>
        </w:rPr>
        <w:t xml:space="preserve"> 13(8), 1741-1747.</w:t>
      </w:r>
    </w:p>
    <w:p w14:paraId="5D7BBD46"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Ozer, H., Al-Qadi, I. L., Lambros, J., El-Khatib, A., Singhvi, P. and Doll, B. 2016a. Development of the fracture-based flexibility index for asphalt concrete cracking potential using modified semi-circle bending test parameters. </w:t>
      </w:r>
      <w:r w:rsidRPr="0052740C">
        <w:rPr>
          <w:i/>
          <w:sz w:val="24"/>
          <w:szCs w:val="24"/>
        </w:rPr>
        <w:t>Construction and Building Materials,</w:t>
      </w:r>
      <w:r w:rsidRPr="0052740C">
        <w:rPr>
          <w:sz w:val="24"/>
          <w:szCs w:val="24"/>
        </w:rPr>
        <w:t xml:space="preserve"> 115, 390-401.</w:t>
      </w:r>
    </w:p>
    <w:p w14:paraId="25E34B55"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Ozer, H., Al-Qadi, I. L., Singhvi, P., Khan, T., Rivera-Perez, J. and El-Khatib, A. 2016b. Fracture characterization of asphalt mixtures with high recycled content using Illinois semicircular bending test method and flexibility index. </w:t>
      </w:r>
      <w:r w:rsidRPr="0052740C">
        <w:rPr>
          <w:i/>
          <w:sz w:val="24"/>
          <w:szCs w:val="24"/>
        </w:rPr>
        <w:t>Transportation Research Record: Journal of the Transportation Research Board,</w:t>
      </w:r>
      <w:r w:rsidRPr="0052740C">
        <w:rPr>
          <w:sz w:val="24"/>
          <w:szCs w:val="24"/>
        </w:rPr>
        <w:t xml:space="preserve"> (2575), 130-137.</w:t>
      </w:r>
    </w:p>
    <w:p w14:paraId="4B9E09B1"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Park, D.-W., Seo, W.-J., Kim, J. and Vo, H. V. 2017. Evaluation of moisture susceptibility of asphalt mixture using liquid anti-stripping agents. </w:t>
      </w:r>
      <w:r w:rsidRPr="0052740C">
        <w:rPr>
          <w:i/>
          <w:sz w:val="24"/>
          <w:szCs w:val="24"/>
        </w:rPr>
        <w:t>Construction and Building Materials,</w:t>
      </w:r>
      <w:r w:rsidRPr="0052740C">
        <w:rPr>
          <w:sz w:val="24"/>
          <w:szCs w:val="24"/>
        </w:rPr>
        <w:t xml:space="preserve"> 144, 399-405.</w:t>
      </w:r>
    </w:p>
    <w:p w14:paraId="7D1839E1"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Petersen, J. C. 2009. A review of the fundamentals of asphalt oxidation: chemical, physicochemical, physical property, and durability relationships. </w:t>
      </w:r>
      <w:r w:rsidRPr="0052740C">
        <w:rPr>
          <w:i/>
          <w:sz w:val="24"/>
          <w:szCs w:val="24"/>
        </w:rPr>
        <w:t>Transportation Research Circular,</w:t>
      </w:r>
      <w:r w:rsidRPr="0052740C">
        <w:rPr>
          <w:sz w:val="24"/>
          <w:szCs w:val="24"/>
        </w:rPr>
        <w:t xml:space="preserve"> (E-C140).</w:t>
      </w:r>
    </w:p>
    <w:p w14:paraId="251BA4CF"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Prowell, B., Hurley, G. and Crews, E. 2007. Field performance of warm-mix asphalt at national center for asphalt technology test track. </w:t>
      </w:r>
      <w:r w:rsidRPr="0052740C">
        <w:rPr>
          <w:i/>
          <w:sz w:val="24"/>
          <w:szCs w:val="24"/>
        </w:rPr>
        <w:t>Transportation Research Record: Journal of the Transportation Research Board,</w:t>
      </w:r>
      <w:r w:rsidRPr="0052740C">
        <w:rPr>
          <w:sz w:val="24"/>
          <w:szCs w:val="24"/>
        </w:rPr>
        <w:t xml:space="preserve"> (1998), 96-102.</w:t>
      </w:r>
    </w:p>
    <w:p w14:paraId="5F00906E"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Qin, Q., Schabron, J. F., Boysen, R. B. and Farrar, M. J. 2014. Field aging effect on chemistry and rheology of asphalt binders and rheological predictions for field aging. </w:t>
      </w:r>
      <w:r w:rsidRPr="0052740C">
        <w:rPr>
          <w:i/>
          <w:sz w:val="24"/>
          <w:szCs w:val="24"/>
        </w:rPr>
        <w:t>Fuel,</w:t>
      </w:r>
      <w:r w:rsidRPr="0052740C">
        <w:rPr>
          <w:sz w:val="24"/>
          <w:szCs w:val="24"/>
        </w:rPr>
        <w:t xml:space="preserve"> 121, 86-94.</w:t>
      </w:r>
    </w:p>
    <w:p w14:paraId="2E7C21B8"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Rani, S., 2019a. </w:t>
      </w:r>
      <w:r w:rsidRPr="0052740C">
        <w:rPr>
          <w:i/>
          <w:sz w:val="24"/>
          <w:szCs w:val="24"/>
        </w:rPr>
        <w:t xml:space="preserve">Characterization of Rutting in Asphalt Pavements using Laboratory Testing. </w:t>
      </w:r>
      <w:r w:rsidRPr="0052740C">
        <w:rPr>
          <w:sz w:val="24"/>
          <w:szCs w:val="24"/>
        </w:rPr>
        <w:t>Ph.D. Dissertation (Ph.D. Dissertation). University of Oklahoma, Norman.</w:t>
      </w:r>
    </w:p>
    <w:p w14:paraId="298C8AAD"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Rani, S., 2019b. </w:t>
      </w:r>
      <w:r w:rsidRPr="0052740C">
        <w:rPr>
          <w:i/>
          <w:sz w:val="24"/>
          <w:szCs w:val="24"/>
        </w:rPr>
        <w:t xml:space="preserve">Characterization of Rutting in Asphalt Pavements using Laboratory Testing. </w:t>
      </w:r>
      <w:r w:rsidRPr="0052740C">
        <w:rPr>
          <w:sz w:val="24"/>
          <w:szCs w:val="24"/>
        </w:rPr>
        <w:t>Dissertation (Ph.D.). University of Oklahoma.</w:t>
      </w:r>
    </w:p>
    <w:p w14:paraId="0E8E3420"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Rani, S., Ghabchi, R., Ali, S. A. and Zaman, M. 2020. Laboratory Characterization of Asphalt Binders Containing a Chemical-Based Warm Mix Asphalt Additive. </w:t>
      </w:r>
      <w:r w:rsidRPr="0052740C">
        <w:rPr>
          <w:i/>
          <w:sz w:val="24"/>
          <w:szCs w:val="24"/>
        </w:rPr>
        <w:t>Journal of Testing and Evaluation,</w:t>
      </w:r>
      <w:r w:rsidRPr="0052740C">
        <w:rPr>
          <w:sz w:val="24"/>
          <w:szCs w:val="24"/>
        </w:rPr>
        <w:t xml:space="preserve"> 48(2).</w:t>
      </w:r>
    </w:p>
    <w:p w14:paraId="3C949FBE"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Reinke, G. and Glidden, S. 2010. Analytical Procedures for Determining Phosphorus Content in Asphalt Binders and Impact of Aggregate on Quantitative Recovery of Phosphorus from Asphalt Binders. </w:t>
      </w:r>
      <w:r w:rsidRPr="0052740C">
        <w:rPr>
          <w:i/>
          <w:sz w:val="24"/>
          <w:szCs w:val="24"/>
        </w:rPr>
        <w:t>Asphalt Paving Technology-Proceedings Association of Asphalt Technologists,</w:t>
      </w:r>
      <w:r w:rsidRPr="0052740C">
        <w:rPr>
          <w:sz w:val="24"/>
          <w:szCs w:val="24"/>
        </w:rPr>
        <w:t xml:space="preserve"> 79, 695.</w:t>
      </w:r>
    </w:p>
    <w:p w14:paraId="0FC963E2"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Rudawska, A. and Jacniacka, E. 2018. Evaluating uncertainty of surface free energy measurement by the van Oss-Chaudhury-Good method. </w:t>
      </w:r>
      <w:r w:rsidRPr="0052740C">
        <w:rPr>
          <w:i/>
          <w:sz w:val="24"/>
          <w:szCs w:val="24"/>
        </w:rPr>
        <w:t>International Journal of Adhesion and Adhesives,</w:t>
      </w:r>
      <w:r w:rsidRPr="0052740C">
        <w:rPr>
          <w:sz w:val="24"/>
          <w:szCs w:val="24"/>
        </w:rPr>
        <w:t xml:space="preserve"> 82, 139-145.</w:t>
      </w:r>
    </w:p>
    <w:p w14:paraId="12918174"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Rusanov, A. I. and Prokhorov, V. A., 1996. </w:t>
      </w:r>
      <w:r w:rsidRPr="0052740C">
        <w:rPr>
          <w:i/>
          <w:sz w:val="24"/>
          <w:szCs w:val="24"/>
        </w:rPr>
        <w:t>Interfacial tensiometry.</w:t>
      </w:r>
      <w:r w:rsidRPr="0052740C">
        <w:rPr>
          <w:sz w:val="24"/>
          <w:szCs w:val="24"/>
        </w:rPr>
        <w:t xml:space="preserve"> Elsevier.</w:t>
      </w:r>
    </w:p>
    <w:p w14:paraId="2D6EB4C5"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Saeidi, H. and Aghayan, I. 2016. Investigating the effects of aging and loading rate on low-temperature cracking resistance of core-based asphalt samples using semi-circular bending test. </w:t>
      </w:r>
      <w:r w:rsidRPr="0052740C">
        <w:rPr>
          <w:i/>
          <w:sz w:val="24"/>
          <w:szCs w:val="24"/>
        </w:rPr>
        <w:t>Construction and Building Materials,</w:t>
      </w:r>
      <w:r w:rsidRPr="0052740C">
        <w:rPr>
          <w:sz w:val="24"/>
          <w:szCs w:val="24"/>
        </w:rPr>
        <w:t xml:space="preserve"> 126, 682-690.</w:t>
      </w:r>
    </w:p>
    <w:p w14:paraId="5782F1DE" w14:textId="77777777" w:rsidR="00C6718B" w:rsidRPr="0052740C" w:rsidRDefault="00C6718B" w:rsidP="0052740C">
      <w:pPr>
        <w:pStyle w:val="EndNoteBibliography"/>
        <w:spacing w:line="480" w:lineRule="auto"/>
        <w:ind w:left="720" w:hanging="720"/>
        <w:rPr>
          <w:i/>
          <w:sz w:val="24"/>
          <w:szCs w:val="24"/>
        </w:rPr>
      </w:pPr>
      <w:r w:rsidRPr="0052740C">
        <w:rPr>
          <w:sz w:val="24"/>
          <w:szCs w:val="24"/>
        </w:rPr>
        <w:t xml:space="preserve">Schuster, J. M., Schvezov, C. E. and Rosenberger, M. R., 2015. Influence of experimental variables on the measure of contact angle in metals using the sessile drop method. </w:t>
      </w:r>
      <w:r w:rsidRPr="0052740C">
        <w:rPr>
          <w:i/>
          <w:sz w:val="24"/>
          <w:szCs w:val="24"/>
        </w:rPr>
        <w:t>International Congress of Science and Technology of Metallurgy and Materials, SAM - CONAMET 2013.</w:t>
      </w:r>
    </w:p>
    <w:p w14:paraId="03B79018"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Shu, X., Huang, B., Shrum, E. D. and Jia, X. 2012. Laboratory evaluation of moisture susceptibility of foamed warm mix asphalt containing high percentages of RAP. </w:t>
      </w:r>
      <w:r w:rsidRPr="0052740C">
        <w:rPr>
          <w:i/>
          <w:sz w:val="24"/>
          <w:szCs w:val="24"/>
        </w:rPr>
        <w:t>Construction and Building Materials,</w:t>
      </w:r>
      <w:r w:rsidRPr="0052740C">
        <w:rPr>
          <w:sz w:val="24"/>
          <w:szCs w:val="24"/>
        </w:rPr>
        <w:t xml:space="preserve"> 35, 125-130.</w:t>
      </w:r>
    </w:p>
    <w:p w14:paraId="531A864F"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Shu, X., Huang, B. and Vukosavljevic, D. 2008. Laboratory evaluation of fatigue characteristics of recycled asphalt mixture. </w:t>
      </w:r>
      <w:r w:rsidRPr="0052740C">
        <w:rPr>
          <w:i/>
          <w:sz w:val="24"/>
          <w:szCs w:val="24"/>
        </w:rPr>
        <w:t>Construction and Building Materials,</w:t>
      </w:r>
      <w:r w:rsidRPr="0052740C">
        <w:rPr>
          <w:sz w:val="24"/>
          <w:szCs w:val="24"/>
        </w:rPr>
        <w:t xml:space="preserve"> 22(7), 1323-1330.</w:t>
      </w:r>
    </w:p>
    <w:p w14:paraId="4A6CE10B"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Singh, D. and Mishra, V. 2018. Different methods of selecting probe liquids to measure the surface free energy of asphalt binders. </w:t>
      </w:r>
      <w:r w:rsidRPr="0052740C">
        <w:rPr>
          <w:i/>
          <w:sz w:val="24"/>
          <w:szCs w:val="24"/>
        </w:rPr>
        <w:t>Construction and Building Materials,</w:t>
      </w:r>
      <w:r w:rsidRPr="0052740C">
        <w:rPr>
          <w:sz w:val="24"/>
          <w:szCs w:val="24"/>
        </w:rPr>
        <w:t xml:space="preserve"> 175, 448-457.</w:t>
      </w:r>
    </w:p>
    <w:p w14:paraId="2E84EACF"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Soleimani, A., Walsh, S. and Hesp, S. 2009. Asphalt cement loss tangent as surrogate performance indicator for control of thermal cracking. </w:t>
      </w:r>
      <w:r w:rsidRPr="0052740C">
        <w:rPr>
          <w:i/>
          <w:sz w:val="24"/>
          <w:szCs w:val="24"/>
        </w:rPr>
        <w:t>Transportation Research Record: Journal of the Transportation Research Board,</w:t>
      </w:r>
      <w:r w:rsidRPr="0052740C">
        <w:rPr>
          <w:sz w:val="24"/>
          <w:szCs w:val="24"/>
        </w:rPr>
        <w:t xml:space="preserve"> (2126), 39-46.</w:t>
      </w:r>
    </w:p>
    <w:p w14:paraId="36E054B7" w14:textId="77777777" w:rsidR="00C6718B" w:rsidRPr="0052740C" w:rsidRDefault="00C6718B" w:rsidP="0052740C">
      <w:pPr>
        <w:pStyle w:val="EndNoteBibliography"/>
        <w:spacing w:line="480" w:lineRule="auto"/>
        <w:ind w:left="720" w:hanging="720"/>
        <w:rPr>
          <w:i/>
          <w:sz w:val="24"/>
          <w:szCs w:val="24"/>
        </w:rPr>
      </w:pPr>
      <w:r w:rsidRPr="0052740C">
        <w:rPr>
          <w:sz w:val="24"/>
          <w:szCs w:val="24"/>
        </w:rPr>
        <w:t xml:space="preserve">Stuart, K. D., 1990. </w:t>
      </w:r>
      <w:r w:rsidRPr="0052740C">
        <w:rPr>
          <w:i/>
          <w:sz w:val="24"/>
          <w:szCs w:val="24"/>
        </w:rPr>
        <w:t>Moisture damage in asphalt mixtures-a state-of-the-art report.</w:t>
      </w:r>
    </w:p>
    <w:p w14:paraId="546D3145"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Tan, Y. and Guo, M. 2013. Using surface free energy method to study the cohesion and adhesion of asphalt mastic. </w:t>
      </w:r>
      <w:r w:rsidRPr="0052740C">
        <w:rPr>
          <w:i/>
          <w:sz w:val="24"/>
          <w:szCs w:val="24"/>
        </w:rPr>
        <w:t>Construction and Building Materials,</w:t>
      </w:r>
      <w:r w:rsidRPr="0052740C">
        <w:rPr>
          <w:sz w:val="24"/>
          <w:szCs w:val="24"/>
        </w:rPr>
        <w:t xml:space="preserve"> 47, 254-260.</w:t>
      </w:r>
    </w:p>
    <w:p w14:paraId="5A903459"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Tarefder, R. A. and Ahmad, M. 2014. Evaluating the relationship between permeability and moisture damage of asphalt concrete pavements. </w:t>
      </w:r>
      <w:r w:rsidRPr="0052740C">
        <w:rPr>
          <w:i/>
          <w:sz w:val="24"/>
          <w:szCs w:val="24"/>
        </w:rPr>
        <w:t>Journal of Materials in Civil Engineering,</w:t>
      </w:r>
      <w:r w:rsidRPr="0052740C">
        <w:rPr>
          <w:sz w:val="24"/>
          <w:szCs w:val="24"/>
        </w:rPr>
        <w:t xml:space="preserve"> 27(5), 04014172.</w:t>
      </w:r>
    </w:p>
    <w:p w14:paraId="2A87ED5D"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Tarefder, R. A. and Zaman, A. M. 2009. Nanoscale evaluation of moisture damage in polymer modified asphalts. </w:t>
      </w:r>
      <w:r w:rsidRPr="0052740C">
        <w:rPr>
          <w:i/>
          <w:sz w:val="24"/>
          <w:szCs w:val="24"/>
        </w:rPr>
        <w:t>Journal of Materials in Civil Engineering,</w:t>
      </w:r>
      <w:r w:rsidRPr="0052740C">
        <w:rPr>
          <w:sz w:val="24"/>
          <w:szCs w:val="24"/>
        </w:rPr>
        <w:t xml:space="preserve"> 22(7), 714-725.</w:t>
      </w:r>
    </w:p>
    <w:p w14:paraId="24F7FD22"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Tarrer, A. and Wagh, V., 1991. </w:t>
      </w:r>
      <w:r w:rsidRPr="0052740C">
        <w:rPr>
          <w:i/>
          <w:sz w:val="24"/>
          <w:szCs w:val="24"/>
        </w:rPr>
        <w:t>The effect of the physical and chemical characteristics of the aggregate on bonding.</w:t>
      </w:r>
      <w:r w:rsidRPr="0052740C">
        <w:rPr>
          <w:sz w:val="24"/>
          <w:szCs w:val="24"/>
        </w:rPr>
        <w:t xml:space="preserve"> Strategic Highway Research Program, National Research Council Washington, DC ….</w:t>
      </w:r>
    </w:p>
    <w:p w14:paraId="56ACFD47"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Tavana, H. and Neumann, A. 2007. Recent progress in the determination of solid surface tensions from contact angles. </w:t>
      </w:r>
      <w:r w:rsidRPr="0052740C">
        <w:rPr>
          <w:i/>
          <w:sz w:val="24"/>
          <w:szCs w:val="24"/>
        </w:rPr>
        <w:t>Advances in colloid and interface science,</w:t>
      </w:r>
      <w:r w:rsidRPr="0052740C">
        <w:rPr>
          <w:sz w:val="24"/>
          <w:szCs w:val="24"/>
        </w:rPr>
        <w:t xml:space="preserve"> 132(1), 1-32.</w:t>
      </w:r>
    </w:p>
    <w:p w14:paraId="7766E00E" w14:textId="77777777" w:rsidR="00C6718B" w:rsidRPr="0052740C" w:rsidRDefault="00C6718B" w:rsidP="0052740C">
      <w:pPr>
        <w:pStyle w:val="EndNoteBibliography"/>
        <w:spacing w:line="480" w:lineRule="auto"/>
        <w:ind w:left="720" w:hanging="720"/>
        <w:rPr>
          <w:i/>
          <w:sz w:val="24"/>
          <w:szCs w:val="24"/>
        </w:rPr>
      </w:pPr>
      <w:r w:rsidRPr="0052740C">
        <w:rPr>
          <w:sz w:val="24"/>
          <w:szCs w:val="24"/>
        </w:rPr>
        <w:t xml:space="preserve">Taylor, M. A. and Khosla, N. P., 1983. </w:t>
      </w:r>
      <w:r w:rsidRPr="0052740C">
        <w:rPr>
          <w:i/>
          <w:sz w:val="24"/>
          <w:szCs w:val="24"/>
        </w:rPr>
        <w:t>Stripping of asphalt pavements: State of the art (discussion, closure).</w:t>
      </w:r>
    </w:p>
    <w:p w14:paraId="70AD3746"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Tong, Y., Luo, R. and Lytton, R. L. 2015. Moisture and aging damage evaluation of asphalt mixtures using the repeated direct tensional test method. </w:t>
      </w:r>
      <w:r w:rsidRPr="0052740C">
        <w:rPr>
          <w:i/>
          <w:sz w:val="24"/>
          <w:szCs w:val="24"/>
        </w:rPr>
        <w:t>International Journal of Pavement Engineering,</w:t>
      </w:r>
      <w:r w:rsidRPr="0052740C">
        <w:rPr>
          <w:sz w:val="24"/>
          <w:szCs w:val="24"/>
        </w:rPr>
        <w:t xml:space="preserve"> 16(5), 397-410.</w:t>
      </w:r>
    </w:p>
    <w:p w14:paraId="0F25E7E0"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Tunnicliff, D. G. and Root, R. E., Testing asphalt concrete for effectiveness of antistripping additives. ed. </w:t>
      </w:r>
      <w:r w:rsidRPr="0052740C">
        <w:rPr>
          <w:i/>
          <w:sz w:val="24"/>
          <w:szCs w:val="24"/>
        </w:rPr>
        <w:t>Proceedings of the Association of Asphalt Paving Technologists</w:t>
      </w:r>
      <w:r w:rsidRPr="0052740C">
        <w:rPr>
          <w:sz w:val="24"/>
          <w:szCs w:val="24"/>
        </w:rPr>
        <w:t>, 1983, 535-560.</w:t>
      </w:r>
    </w:p>
    <w:p w14:paraId="125050A5"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Van Oss, C. J., Chaudhury, M. K. and Good, R. J. 1988. Interfacial Lifshitz-Van Der Waals and Polar Interactions in Macroscopic Systems. </w:t>
      </w:r>
      <w:r w:rsidRPr="0052740C">
        <w:rPr>
          <w:i/>
          <w:sz w:val="24"/>
          <w:szCs w:val="24"/>
        </w:rPr>
        <w:t>Chemical Reviews,</w:t>
      </w:r>
      <w:r w:rsidRPr="0052740C">
        <w:rPr>
          <w:sz w:val="24"/>
          <w:szCs w:val="24"/>
        </w:rPr>
        <w:t xml:space="preserve"> 88(6), 927-941.</w:t>
      </w:r>
    </w:p>
    <w:p w14:paraId="1D040976"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Vargas-Nordcbeck, A., Leiva-Villacorta, F., Aguiar-Moya, J. P. and Loria-Salazar, L. 2016. Evaluating moisture susceptibility of asphalt concrete mixtures through simple performance tests. </w:t>
      </w:r>
      <w:r w:rsidRPr="0052740C">
        <w:rPr>
          <w:i/>
          <w:sz w:val="24"/>
          <w:szCs w:val="24"/>
        </w:rPr>
        <w:t>Transportation Research Record: Journal of the Transportation Research Board,</w:t>
      </w:r>
      <w:r w:rsidRPr="0052740C">
        <w:rPr>
          <w:sz w:val="24"/>
          <w:szCs w:val="24"/>
        </w:rPr>
        <w:t xml:space="preserve"> (2575), 70-78.</w:t>
      </w:r>
    </w:p>
    <w:p w14:paraId="415B52C0"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Vargha-Butler, E., Zubovits, T., Absolom, D., Neumann, A. and Hamza, H. 1985. Surface tension effects in the sedimentation of coal particles in various liquid mixtures. </w:t>
      </w:r>
      <w:r w:rsidRPr="0052740C">
        <w:rPr>
          <w:i/>
          <w:sz w:val="24"/>
          <w:szCs w:val="24"/>
        </w:rPr>
        <w:t>Chemical engineering communications,</w:t>
      </w:r>
      <w:r w:rsidRPr="0052740C">
        <w:rPr>
          <w:sz w:val="24"/>
          <w:szCs w:val="24"/>
        </w:rPr>
        <w:t xml:space="preserve"> 33(5-6), 255-276.</w:t>
      </w:r>
    </w:p>
    <w:p w14:paraId="56F096FE"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Wasiuddin, N., Zaman, M. and O'Rear, E. 2008. Effect of Sasobit and Aspha-min on Wettability and Adhesion Between Asphalt Binders and Aggregates. </w:t>
      </w:r>
      <w:r w:rsidRPr="0052740C">
        <w:rPr>
          <w:i/>
          <w:sz w:val="24"/>
          <w:szCs w:val="24"/>
        </w:rPr>
        <w:t>Transportation Research Record: Journal of the Transportation Research Board,</w:t>
      </w:r>
      <w:r w:rsidRPr="0052740C">
        <w:rPr>
          <w:sz w:val="24"/>
          <w:szCs w:val="24"/>
        </w:rPr>
        <w:t xml:space="preserve"> (2051), 80-89.</w:t>
      </w:r>
    </w:p>
    <w:p w14:paraId="33DDA56D"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Wasiuddin, N. M., Fogle, C. M., Zaman, M. M. and Edgar, A. 2007a. Characterization of Thermal Degradation of Liquid Amine Anti-Strip Additives in Asphalt Binders Due to RTFO and PAV-Aging. </w:t>
      </w:r>
      <w:r w:rsidRPr="0052740C">
        <w:rPr>
          <w:i/>
          <w:sz w:val="24"/>
          <w:szCs w:val="24"/>
        </w:rPr>
        <w:t>Journal of Testing and Evaluation,</w:t>
      </w:r>
      <w:r w:rsidRPr="0052740C">
        <w:rPr>
          <w:sz w:val="24"/>
          <w:szCs w:val="24"/>
        </w:rPr>
        <w:t xml:space="preserve"> 35(4), 387-394.</w:t>
      </w:r>
    </w:p>
    <w:p w14:paraId="70192B94"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Wasiuddin, N. M., Fogle, C. M., Zaman, M. M. and Edgar, A. 2007b. Characterization of Thermal Degradation of qa Liquid Amine Anti-Strip Additives in Asphalt qa Binders Due to RTFO and PAV-Aging. </w:t>
      </w:r>
      <w:r w:rsidRPr="0052740C">
        <w:rPr>
          <w:i/>
          <w:sz w:val="24"/>
          <w:szCs w:val="24"/>
        </w:rPr>
        <w:t>Journal of Testing and Evaluation,</w:t>
      </w:r>
      <w:r w:rsidRPr="0052740C">
        <w:rPr>
          <w:sz w:val="24"/>
          <w:szCs w:val="24"/>
        </w:rPr>
        <w:t xml:space="preserve"> 35(4), 387-394.</w:t>
      </w:r>
    </w:p>
    <w:p w14:paraId="050AE030"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Wasiuddin, N. M., Fogle, C. M., Zaman, M. M. and O’Rear, E. A. 2007c. Effect of Antistrip Additives on Surface Free Energy Characteristics of Asphalt Binders for Moisture-Induced Damage Potential. </w:t>
      </w:r>
      <w:r w:rsidRPr="0052740C">
        <w:rPr>
          <w:i/>
          <w:sz w:val="24"/>
          <w:szCs w:val="24"/>
        </w:rPr>
        <w:t>Journal of Testing and Evaluation,</w:t>
      </w:r>
      <w:r w:rsidRPr="0052740C">
        <w:rPr>
          <w:sz w:val="24"/>
          <w:szCs w:val="24"/>
        </w:rPr>
        <w:t xml:space="preserve"> 35(1).</w:t>
      </w:r>
    </w:p>
    <w:p w14:paraId="3769E5E4"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Wasiuddin, N. M., Zaman, M. M. and O'Rear, E. A. 2010. Polymeric Aggregate Treatment Using Styrene-Butadiene Rubber (SBR) for Moisture-Induced Damage Potential. </w:t>
      </w:r>
      <w:r w:rsidRPr="0052740C">
        <w:rPr>
          <w:i/>
          <w:sz w:val="24"/>
          <w:szCs w:val="24"/>
        </w:rPr>
        <w:t>International Journal of Pavement Research &amp; Technology,</w:t>
      </w:r>
      <w:r w:rsidRPr="0052740C">
        <w:rPr>
          <w:sz w:val="24"/>
          <w:szCs w:val="24"/>
        </w:rPr>
        <w:t xml:space="preserve"> 3(1).</w:t>
      </w:r>
    </w:p>
    <w:p w14:paraId="2A45AA92"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Wei, J., Dong, F., Li, Y. and Zhang, Y. 2014. Relationship analysis between surface free energy and chemical composition of asphalt binder. </w:t>
      </w:r>
      <w:r w:rsidRPr="0052740C">
        <w:rPr>
          <w:i/>
          <w:sz w:val="24"/>
          <w:szCs w:val="24"/>
        </w:rPr>
        <w:t>Construction and Building Materials,</w:t>
      </w:r>
      <w:r w:rsidRPr="0052740C">
        <w:rPr>
          <w:sz w:val="24"/>
          <w:szCs w:val="24"/>
        </w:rPr>
        <w:t xml:space="preserve"> 71, 116-123.</w:t>
      </w:r>
    </w:p>
    <w:p w14:paraId="3C64F649"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West, R., Rodezno, C., Julian, G., Prowell, B., Frank, B., Osborn, L. and Kriech, T. 2014. NCHRP Report 779: Field Performance of Warm Mix Asphalt Technologies. </w:t>
      </w:r>
      <w:r w:rsidRPr="0052740C">
        <w:rPr>
          <w:i/>
          <w:sz w:val="24"/>
          <w:szCs w:val="24"/>
        </w:rPr>
        <w:t>Transportation Research Board of the National Academies, Washington, DC</w:t>
      </w:r>
      <w:r w:rsidRPr="0052740C">
        <w:rPr>
          <w:sz w:val="24"/>
          <w:szCs w:val="24"/>
        </w:rPr>
        <w:t>.</w:t>
      </w:r>
    </w:p>
    <w:p w14:paraId="7B58CF2D"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Wu, S., Calculation of interfacial tension in polymer systems. ed. </w:t>
      </w:r>
      <w:r w:rsidRPr="0052740C">
        <w:rPr>
          <w:i/>
          <w:sz w:val="24"/>
          <w:szCs w:val="24"/>
        </w:rPr>
        <w:t>Journal of Polymer Science Part C: Polymer Symposia</w:t>
      </w:r>
      <w:r w:rsidRPr="0052740C">
        <w:rPr>
          <w:sz w:val="24"/>
          <w:szCs w:val="24"/>
        </w:rPr>
        <w:t>, 1971, 19-30.</w:t>
      </w:r>
    </w:p>
    <w:p w14:paraId="36DF24B3"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Wu, S. 1973. Polar and nonpolar interactions in adhesion. </w:t>
      </w:r>
      <w:r w:rsidRPr="0052740C">
        <w:rPr>
          <w:i/>
          <w:sz w:val="24"/>
          <w:szCs w:val="24"/>
        </w:rPr>
        <w:t>The Journal of Adhesion,</w:t>
      </w:r>
      <w:r w:rsidRPr="0052740C">
        <w:rPr>
          <w:sz w:val="24"/>
          <w:szCs w:val="24"/>
        </w:rPr>
        <w:t xml:space="preserve"> 5(1), 39-55.</w:t>
      </w:r>
    </w:p>
    <w:p w14:paraId="4156A138"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Wu, Z., Mohammad, L. N., Wang, L. and Mull, M. A. 2005. Fracture resistance characterization of superpave mixtures using the semi-circular bending test. </w:t>
      </w:r>
      <w:r w:rsidRPr="0052740C">
        <w:rPr>
          <w:i/>
          <w:sz w:val="24"/>
          <w:szCs w:val="24"/>
        </w:rPr>
        <w:t>Journal of ASTM International,</w:t>
      </w:r>
      <w:r w:rsidRPr="0052740C">
        <w:rPr>
          <w:sz w:val="24"/>
          <w:szCs w:val="24"/>
        </w:rPr>
        <w:t xml:space="preserve"> 2(3), 1-15.</w:t>
      </w:r>
    </w:p>
    <w:p w14:paraId="340F6AF7"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Xiao, F., Amirkhanian, S. N. and Putman, B. J. 2010a. Evaluation of rutting resistance in warm-mix asphalts containing moist aggregate. </w:t>
      </w:r>
      <w:r w:rsidRPr="0052740C">
        <w:rPr>
          <w:i/>
          <w:sz w:val="24"/>
          <w:szCs w:val="24"/>
        </w:rPr>
        <w:t>Transportation Research Record,</w:t>
      </w:r>
      <w:r w:rsidRPr="0052740C">
        <w:rPr>
          <w:sz w:val="24"/>
          <w:szCs w:val="24"/>
        </w:rPr>
        <w:t xml:space="preserve"> 2180(1), 75-84.</w:t>
      </w:r>
    </w:p>
    <w:p w14:paraId="05C2AD4B"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Xiao, F., Zhao, W., Gandhi, T. and Amirkhanian, S. N. 2010b. Influence of antistripping additives on moisture susceptibility of warm mix asphalt mixtures. </w:t>
      </w:r>
      <w:r w:rsidRPr="0052740C">
        <w:rPr>
          <w:i/>
          <w:sz w:val="24"/>
          <w:szCs w:val="24"/>
        </w:rPr>
        <w:t>Journal of Materials in Civil Engineering,</w:t>
      </w:r>
      <w:r w:rsidRPr="0052740C">
        <w:rPr>
          <w:sz w:val="24"/>
          <w:szCs w:val="24"/>
        </w:rPr>
        <w:t xml:space="preserve"> 22(10), 1047-1055.</w:t>
      </w:r>
    </w:p>
    <w:p w14:paraId="5504993F"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Yildirim, Y. and Kennedy, T. W., 2002. </w:t>
      </w:r>
      <w:r w:rsidRPr="0052740C">
        <w:rPr>
          <w:i/>
          <w:sz w:val="24"/>
          <w:szCs w:val="24"/>
        </w:rPr>
        <w:t>Hamburg wheel tracking device results on plant and field cores produced mixtures.</w:t>
      </w:r>
      <w:r w:rsidRPr="0052740C">
        <w:rPr>
          <w:sz w:val="24"/>
          <w:szCs w:val="24"/>
        </w:rPr>
        <w:t xml:space="preserve"> Citeseer.</w:t>
      </w:r>
    </w:p>
    <w:p w14:paraId="1693A74F"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Yin, F., Arambula, E., Lytton, R., Martin, A. and Cucalon, L. 2014. Novel method for moisture susceptibility and rutting evaluation using Hamburg wheel tracking test. </w:t>
      </w:r>
      <w:r w:rsidRPr="0052740C">
        <w:rPr>
          <w:i/>
          <w:sz w:val="24"/>
          <w:szCs w:val="24"/>
        </w:rPr>
        <w:t>Transportation Research Record: Journal of the Transportation Research Board,</w:t>
      </w:r>
      <w:r w:rsidRPr="0052740C">
        <w:rPr>
          <w:sz w:val="24"/>
          <w:szCs w:val="24"/>
        </w:rPr>
        <w:t xml:space="preserve"> (2446), 1-7.</w:t>
      </w:r>
    </w:p>
    <w:p w14:paraId="49CE0620"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Young, T. 1805. Analysis of Interfacial forces. </w:t>
      </w:r>
      <w:r w:rsidRPr="0052740C">
        <w:rPr>
          <w:i/>
          <w:sz w:val="24"/>
          <w:szCs w:val="24"/>
        </w:rPr>
        <w:t>Philos. Trans. R. Soc. London,</w:t>
      </w:r>
      <w:r w:rsidRPr="0052740C">
        <w:rPr>
          <w:sz w:val="24"/>
          <w:szCs w:val="24"/>
        </w:rPr>
        <w:t xml:space="preserve"> 95, 65-69.</w:t>
      </w:r>
    </w:p>
    <w:p w14:paraId="15C35314"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Yut, I., Bernier, A. and Zofka, A. 2015. Field applications of portable infrared spectroscopy to asphalt products. </w:t>
      </w:r>
      <w:r w:rsidRPr="0052740C">
        <w:rPr>
          <w:i/>
          <w:sz w:val="24"/>
          <w:szCs w:val="24"/>
        </w:rPr>
        <w:t>Introduction to unmanned aircraft systems,</w:t>
      </w:r>
      <w:r w:rsidRPr="0052740C">
        <w:rPr>
          <w:sz w:val="24"/>
          <w:szCs w:val="24"/>
        </w:rPr>
        <w:t xml:space="preserve"> 127(5).</w:t>
      </w:r>
    </w:p>
    <w:p w14:paraId="6D3E00DF"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Żenkiewicz, M. 2006. New method of analysis of the surface free energy of polymeric materials calculated with Owens-Wendt and Neumann methods. </w:t>
      </w:r>
      <w:r w:rsidRPr="0052740C">
        <w:rPr>
          <w:i/>
          <w:sz w:val="24"/>
          <w:szCs w:val="24"/>
        </w:rPr>
        <w:t>Polimery,</w:t>
      </w:r>
      <w:r w:rsidRPr="0052740C">
        <w:rPr>
          <w:sz w:val="24"/>
          <w:szCs w:val="24"/>
        </w:rPr>
        <w:t xml:space="preserve"> 51.</w:t>
      </w:r>
    </w:p>
    <w:p w14:paraId="3F92BD0E"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Żenkiewicz, M. 2007. Methods for the calculation of surface free energy of solids. </w:t>
      </w:r>
      <w:r w:rsidRPr="0052740C">
        <w:rPr>
          <w:i/>
          <w:sz w:val="24"/>
          <w:szCs w:val="24"/>
        </w:rPr>
        <w:t>Journal of Achievements in Materials and Manufacturing Engineering,</w:t>
      </w:r>
      <w:r w:rsidRPr="0052740C">
        <w:rPr>
          <w:sz w:val="24"/>
          <w:szCs w:val="24"/>
        </w:rPr>
        <w:t xml:space="preserve"> 24(1), 137-145.</w:t>
      </w:r>
    </w:p>
    <w:p w14:paraId="6A46C4E6"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Zhang, D. 2020. An Equation-of-State approach to measure the surface free energy (SFE) of bituminous binders. </w:t>
      </w:r>
      <w:r w:rsidRPr="0052740C">
        <w:rPr>
          <w:i/>
          <w:sz w:val="24"/>
          <w:szCs w:val="24"/>
        </w:rPr>
        <w:t>Measurement,</w:t>
      </w:r>
      <w:r w:rsidRPr="0052740C">
        <w:rPr>
          <w:sz w:val="24"/>
          <w:szCs w:val="24"/>
        </w:rPr>
        <w:t xml:space="preserve"> 158, 107715.</w:t>
      </w:r>
    </w:p>
    <w:p w14:paraId="42B088B5"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Zhang, D. and Liu, H. 2018. Proposed Approach for Determining Consistent Energy Parameters Based on the Surface Free Energy Theory. </w:t>
      </w:r>
      <w:r w:rsidRPr="0052740C">
        <w:rPr>
          <w:i/>
          <w:sz w:val="24"/>
          <w:szCs w:val="24"/>
        </w:rPr>
        <w:t>Journal of Materials in Civil Engineering,</w:t>
      </w:r>
      <w:r w:rsidRPr="0052740C">
        <w:rPr>
          <w:sz w:val="24"/>
          <w:szCs w:val="24"/>
        </w:rPr>
        <w:t xml:space="preserve"> 30(11), 04018287.</w:t>
      </w:r>
    </w:p>
    <w:p w14:paraId="05FF1ABA"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Zhang, D. and Luo, R. 2019. Using the surface free energy (SFE) method to investigate the effects of additives on moisture susceptibility of asphalt mixtures. </w:t>
      </w:r>
      <w:r w:rsidRPr="0052740C">
        <w:rPr>
          <w:i/>
          <w:sz w:val="24"/>
          <w:szCs w:val="24"/>
        </w:rPr>
        <w:t>International Journal of Adhesion and Adhesives,</w:t>
      </w:r>
      <w:r w:rsidRPr="0052740C">
        <w:rPr>
          <w:sz w:val="24"/>
          <w:szCs w:val="24"/>
        </w:rPr>
        <w:t xml:space="preserve"> 95, 102437.</w:t>
      </w:r>
    </w:p>
    <w:p w14:paraId="6E01E736"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Zhang, H., Chen, Z., Xu, G. and Shi, C. 2018. Evaluation of aging behaviors of asphalt binders through different rheological indices. </w:t>
      </w:r>
      <w:r w:rsidRPr="0052740C">
        <w:rPr>
          <w:i/>
          <w:sz w:val="24"/>
          <w:szCs w:val="24"/>
        </w:rPr>
        <w:t>Fuel,</w:t>
      </w:r>
      <w:r w:rsidRPr="0052740C">
        <w:rPr>
          <w:sz w:val="24"/>
          <w:szCs w:val="24"/>
        </w:rPr>
        <w:t xml:space="preserve"> 221, 78-88.</w:t>
      </w:r>
    </w:p>
    <w:p w14:paraId="5FE9AF3B" w14:textId="77777777" w:rsidR="00C6718B" w:rsidRPr="0052740C" w:rsidRDefault="00C6718B" w:rsidP="0052740C">
      <w:pPr>
        <w:pStyle w:val="EndNoteBibliography"/>
        <w:spacing w:line="480" w:lineRule="auto"/>
        <w:ind w:left="720" w:hanging="720"/>
        <w:rPr>
          <w:sz w:val="24"/>
          <w:szCs w:val="24"/>
        </w:rPr>
      </w:pPr>
      <w:r w:rsidRPr="0052740C">
        <w:rPr>
          <w:sz w:val="24"/>
          <w:szCs w:val="24"/>
        </w:rPr>
        <w:t xml:space="preserve">Zhang, R., You, Z., Wang, H., Ye, M., Yap, Y. K. and Si, C. 2019. The impact of bio-oil as rejuvenator for aged asphalt binder. </w:t>
      </w:r>
      <w:r w:rsidRPr="0052740C">
        <w:rPr>
          <w:i/>
          <w:sz w:val="24"/>
          <w:szCs w:val="24"/>
        </w:rPr>
        <w:t>Construction and Building Materials,</w:t>
      </w:r>
      <w:r w:rsidRPr="0052740C">
        <w:rPr>
          <w:sz w:val="24"/>
          <w:szCs w:val="24"/>
        </w:rPr>
        <w:t xml:space="preserve"> 196, 134-143.</w:t>
      </w:r>
    </w:p>
    <w:p w14:paraId="6B7C02D9" w14:textId="7ABC2791" w:rsidR="00B555D8" w:rsidRPr="0052740C" w:rsidRDefault="00B96C8D" w:rsidP="0052740C">
      <w:pPr>
        <w:pStyle w:val="References"/>
        <w:spacing w:before="0" w:line="480" w:lineRule="auto"/>
        <w:ind w:left="360" w:hanging="360"/>
      </w:pPr>
      <w:r w:rsidRPr="0052740C">
        <w:fldChar w:fldCharType="end"/>
      </w:r>
    </w:p>
    <w:sectPr w:rsidR="00B555D8" w:rsidRPr="0052740C" w:rsidSect="0089033C">
      <w:footerReference w:type="default" r:id="rId50"/>
      <w:pgSz w:w="12240" w:h="15840" w:code="1"/>
      <w:pgMar w:top="1440" w:right="1440" w:bottom="1440" w:left="2304"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ABC5FB" w14:textId="77777777" w:rsidR="007F7885" w:rsidRDefault="007F7885" w:rsidP="00BE0206">
      <w:pPr>
        <w:spacing w:line="240" w:lineRule="auto"/>
      </w:pPr>
      <w:r>
        <w:separator/>
      </w:r>
    </w:p>
  </w:endnote>
  <w:endnote w:type="continuationSeparator" w:id="0">
    <w:p w14:paraId="523F382A" w14:textId="77777777" w:rsidR="007F7885" w:rsidRDefault="007F7885" w:rsidP="00BE0206">
      <w:pPr>
        <w:spacing w:line="240" w:lineRule="auto"/>
      </w:pPr>
      <w:r>
        <w:continuationSeparator/>
      </w:r>
    </w:p>
  </w:endnote>
  <w:endnote w:type="continuationNotice" w:id="1">
    <w:p w14:paraId="518C390F" w14:textId="77777777" w:rsidR="007F7885" w:rsidRDefault="007F788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Bold">
    <w:altName w:val="Times New Roman"/>
    <w:panose1 w:val="00000000000000000000"/>
    <w:charset w:val="00"/>
    <w:family w:val="roman"/>
    <w:notTrueType/>
    <w:pitch w:val="default"/>
  </w:font>
  <w:font w:name="Myriad Pro">
    <w:panose1 w:val="00000000000000000000"/>
    <w:charset w:val="00"/>
    <w:family w:val="swiss"/>
    <w:notTrueType/>
    <w:pitch w:val="variable"/>
    <w:sig w:usb0="A00002AF" w:usb1="5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ongolian Baiti">
    <w:panose1 w:val="03000500000000000000"/>
    <w:charset w:val="00"/>
    <w:family w:val="script"/>
    <w:pitch w:val="variable"/>
    <w:sig w:usb0="80000023" w:usb1="00000000" w:usb2="00020000" w:usb3="00000000" w:csb0="00000001" w:csb1="00000000"/>
  </w:font>
  <w:font w:name="Segoe UI Symbol">
    <w:panose1 w:val="020B0502040204020203"/>
    <w:charset w:val="00"/>
    <w:family w:val="swiss"/>
    <w:pitch w:val="variable"/>
    <w:sig w:usb0="800001E3" w:usb1="1200FFEF" w:usb2="0004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322A28" w14:textId="1561B7AE" w:rsidR="00607C31" w:rsidRDefault="00607C31">
    <w:pPr>
      <w:pStyle w:val="Footer"/>
      <w:jc w:val="center"/>
    </w:pPr>
  </w:p>
  <w:p w14:paraId="7D6D8D17" w14:textId="77777777" w:rsidR="001A626E" w:rsidRDefault="001A62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73529578"/>
      <w:docPartObj>
        <w:docPartGallery w:val="Page Numbers (Bottom of Page)"/>
        <w:docPartUnique/>
      </w:docPartObj>
    </w:sdtPr>
    <w:sdtEndPr>
      <w:rPr>
        <w:noProof/>
      </w:rPr>
    </w:sdtEndPr>
    <w:sdtContent>
      <w:p w14:paraId="723C8B71" w14:textId="77777777" w:rsidR="00607C31" w:rsidRDefault="00607C3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7BE5887" w14:textId="77777777" w:rsidR="00607C31" w:rsidRDefault="00607C3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371689063"/>
      <w:docPartObj>
        <w:docPartGallery w:val="Page Numbers (Bottom of Page)"/>
        <w:docPartUnique/>
      </w:docPartObj>
    </w:sdtPr>
    <w:sdtEndPr>
      <w:rPr>
        <w:noProof/>
      </w:rPr>
    </w:sdtEndPr>
    <w:sdtContent>
      <w:p w14:paraId="7204692C" w14:textId="2E1C482D" w:rsidR="001A626E" w:rsidRDefault="001A626E">
        <w:pPr>
          <w:pStyle w:val="Footer"/>
          <w:jc w:val="center"/>
        </w:pPr>
        <w:r>
          <w:fldChar w:fldCharType="begin"/>
        </w:r>
        <w:r>
          <w:instrText xml:space="preserve"> PAGE   \* MERGEFORMAT </w:instrText>
        </w:r>
        <w:r>
          <w:fldChar w:fldCharType="separate"/>
        </w:r>
        <w:r>
          <w:rPr>
            <w:noProof/>
          </w:rPr>
          <w:t>xviii</w:t>
        </w:r>
        <w:r>
          <w:rPr>
            <w:noProof/>
          </w:rPr>
          <w:fldChar w:fldCharType="end"/>
        </w:r>
      </w:p>
    </w:sdtContent>
  </w:sdt>
  <w:p w14:paraId="2E43A6B6" w14:textId="77777777" w:rsidR="001A626E" w:rsidRDefault="001A62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562863158"/>
      <w:docPartObj>
        <w:docPartGallery w:val="Page Numbers (Bottom of Page)"/>
        <w:docPartUnique/>
      </w:docPartObj>
    </w:sdtPr>
    <w:sdtEndPr>
      <w:rPr>
        <w:noProof/>
      </w:rPr>
    </w:sdtEndPr>
    <w:sdtContent>
      <w:p w14:paraId="07FF503D" w14:textId="0047CDC5" w:rsidR="001A626E" w:rsidRDefault="001A626E">
        <w:pPr>
          <w:pStyle w:val="Footer"/>
          <w:jc w:val="center"/>
        </w:pPr>
        <w:r>
          <w:fldChar w:fldCharType="begin"/>
        </w:r>
        <w:r>
          <w:instrText xml:space="preserve"> PAGE   \* MERGEFORMAT </w:instrText>
        </w:r>
        <w:r>
          <w:fldChar w:fldCharType="separate"/>
        </w:r>
        <w:r>
          <w:rPr>
            <w:noProof/>
          </w:rPr>
          <w:t>18</w:t>
        </w:r>
        <w:r>
          <w:rPr>
            <w:noProof/>
          </w:rPr>
          <w:fldChar w:fldCharType="end"/>
        </w:r>
      </w:p>
    </w:sdtContent>
  </w:sdt>
  <w:p w14:paraId="68B5DABF" w14:textId="77777777" w:rsidR="001A626E" w:rsidRDefault="001A626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55CB914" w14:textId="77777777" w:rsidR="007F7885" w:rsidRDefault="007F7885" w:rsidP="00BE0206">
      <w:pPr>
        <w:spacing w:line="240" w:lineRule="auto"/>
      </w:pPr>
      <w:r>
        <w:separator/>
      </w:r>
    </w:p>
  </w:footnote>
  <w:footnote w:type="continuationSeparator" w:id="0">
    <w:p w14:paraId="4DD217CE" w14:textId="77777777" w:rsidR="007F7885" w:rsidRDefault="007F7885" w:rsidP="00BE0206">
      <w:pPr>
        <w:spacing w:line="240" w:lineRule="auto"/>
      </w:pPr>
      <w:r>
        <w:continuationSeparator/>
      </w:r>
    </w:p>
  </w:footnote>
  <w:footnote w:type="continuationNotice" w:id="1">
    <w:p w14:paraId="5547A585" w14:textId="77777777" w:rsidR="007F7885" w:rsidRDefault="007F7885">
      <w:pPr>
        <w:spacing w:line="240" w:lineRule="auto"/>
      </w:pPr>
    </w:p>
  </w:footnote>
  <w:footnote w:id="2">
    <w:p w14:paraId="14A36EA7" w14:textId="654628E9" w:rsidR="001A626E" w:rsidRDefault="001A626E">
      <w:pPr>
        <w:pStyle w:val="FootnoteText"/>
      </w:pPr>
      <w:r>
        <w:rPr>
          <w:rStyle w:val="FootnoteReference"/>
        </w:rPr>
        <w:footnoteRef/>
      </w:r>
      <w:r>
        <w:t xml:space="preserve"> </w:t>
      </w:r>
      <w:r>
        <w:rPr>
          <w:rStyle w:val="fontstyle01"/>
        </w:rPr>
        <w:t>This chapter has been submitted to the American Chemical Society (ACS) Omega under the title “</w:t>
      </w:r>
      <w:r w:rsidRPr="00F04615">
        <w:rPr>
          <w:rStyle w:val="fontstyle01"/>
        </w:rPr>
        <w:t xml:space="preserve">Effects </w:t>
      </w:r>
      <w:r>
        <w:rPr>
          <w:rStyle w:val="fontstyle01"/>
        </w:rPr>
        <w:t>o</w:t>
      </w:r>
      <w:r w:rsidRPr="00F04615">
        <w:rPr>
          <w:rStyle w:val="fontstyle01"/>
        </w:rPr>
        <w:t xml:space="preserve">f Surface Free Energy Estimation Methods </w:t>
      </w:r>
      <w:r>
        <w:rPr>
          <w:rStyle w:val="fontstyle01"/>
        </w:rPr>
        <w:t>a</w:t>
      </w:r>
      <w:r w:rsidRPr="00F04615">
        <w:rPr>
          <w:rStyle w:val="fontstyle01"/>
        </w:rPr>
        <w:t xml:space="preserve">nd Probe Liquids </w:t>
      </w:r>
      <w:r>
        <w:rPr>
          <w:rStyle w:val="fontstyle01"/>
        </w:rPr>
        <w:t>o</w:t>
      </w:r>
      <w:r w:rsidRPr="00F04615">
        <w:rPr>
          <w:rStyle w:val="fontstyle01"/>
        </w:rPr>
        <w:t xml:space="preserve">n </w:t>
      </w:r>
      <w:r>
        <w:rPr>
          <w:rStyle w:val="fontstyle01"/>
        </w:rPr>
        <w:t>t</w:t>
      </w:r>
      <w:r w:rsidRPr="00F04615">
        <w:rPr>
          <w:rStyle w:val="fontstyle01"/>
        </w:rPr>
        <w:t xml:space="preserve">he Moisture-Induced Damage Potential </w:t>
      </w:r>
      <w:r>
        <w:rPr>
          <w:rStyle w:val="fontstyle01"/>
        </w:rPr>
        <w:t>o</w:t>
      </w:r>
      <w:r w:rsidRPr="00F04615">
        <w:rPr>
          <w:rStyle w:val="fontstyle01"/>
        </w:rPr>
        <w:t>f Asphalt Mixes</w:t>
      </w:r>
      <w:r>
        <w:rPr>
          <w:rStyle w:val="fontstyle01"/>
        </w:rPr>
        <w:t xml:space="preserve">.” </w:t>
      </w:r>
      <w:r w:rsidRPr="00D3049B">
        <w:rPr>
          <w:rStyle w:val="fontstyle01"/>
        </w:rPr>
        <w:t>The current version has been formatted for this dissertation.</w:t>
      </w:r>
    </w:p>
  </w:footnote>
  <w:footnote w:id="3">
    <w:p w14:paraId="61496E00" w14:textId="063126EA" w:rsidR="001A626E" w:rsidRDefault="001A626E">
      <w:pPr>
        <w:pStyle w:val="FootnoteText"/>
      </w:pPr>
      <w:r>
        <w:rPr>
          <w:rStyle w:val="FootnoteReference"/>
        </w:rPr>
        <w:footnoteRef/>
      </w:r>
      <w:r>
        <w:t xml:space="preserve"> </w:t>
      </w:r>
      <w:r>
        <w:rPr>
          <w:rStyle w:val="fontstyle01"/>
        </w:rPr>
        <w:t xml:space="preserve">This chapter </w:t>
      </w:r>
      <w:r w:rsidR="00FF755F">
        <w:rPr>
          <w:rStyle w:val="fontstyle01"/>
        </w:rPr>
        <w:t>has been</w:t>
      </w:r>
      <w:r>
        <w:rPr>
          <w:rStyle w:val="fontstyle01"/>
        </w:rPr>
        <w:t xml:space="preserve"> submitted </w:t>
      </w:r>
      <w:r w:rsidRPr="00A25AC4">
        <w:rPr>
          <w:rStyle w:val="fontstyle01"/>
          <w:color w:val="auto"/>
        </w:rPr>
        <w:t xml:space="preserve">to the International Journal of Adhesions and Adhesives under the title “Micro-Structural Evaluation of the Effects of Aggregate Type, Aging </w:t>
      </w:r>
      <w:r>
        <w:rPr>
          <w:rStyle w:val="fontstyle01"/>
        </w:rPr>
        <w:t>a</w:t>
      </w:r>
      <w:r w:rsidRPr="00E36BF5">
        <w:rPr>
          <w:rStyle w:val="fontstyle01"/>
        </w:rPr>
        <w:t xml:space="preserve">nd Additives </w:t>
      </w:r>
      <w:r>
        <w:rPr>
          <w:rStyle w:val="fontstyle01"/>
        </w:rPr>
        <w:t>o</w:t>
      </w:r>
      <w:r w:rsidRPr="00E36BF5">
        <w:rPr>
          <w:rStyle w:val="fontstyle01"/>
        </w:rPr>
        <w:t xml:space="preserve">n </w:t>
      </w:r>
      <w:r>
        <w:rPr>
          <w:rStyle w:val="fontstyle01"/>
        </w:rPr>
        <w:t>t</w:t>
      </w:r>
      <w:r w:rsidRPr="00E36BF5">
        <w:rPr>
          <w:rStyle w:val="fontstyle01"/>
        </w:rPr>
        <w:t xml:space="preserve">he Moisture Susceptibility </w:t>
      </w:r>
      <w:r>
        <w:rPr>
          <w:rStyle w:val="fontstyle01"/>
        </w:rPr>
        <w:t>o</w:t>
      </w:r>
      <w:r w:rsidRPr="00E36BF5">
        <w:rPr>
          <w:rStyle w:val="fontstyle01"/>
        </w:rPr>
        <w:t xml:space="preserve">f Binder-Aggregate Systems </w:t>
      </w:r>
      <w:r>
        <w:rPr>
          <w:rStyle w:val="fontstyle01"/>
        </w:rPr>
        <w:t>u</w:t>
      </w:r>
      <w:r w:rsidRPr="00E36BF5">
        <w:rPr>
          <w:rStyle w:val="fontstyle01"/>
        </w:rPr>
        <w:t xml:space="preserve">sing Chemical </w:t>
      </w:r>
      <w:r>
        <w:rPr>
          <w:rStyle w:val="fontstyle01"/>
        </w:rPr>
        <w:t>a</w:t>
      </w:r>
      <w:r w:rsidRPr="00E36BF5">
        <w:rPr>
          <w:rStyle w:val="fontstyle01"/>
        </w:rPr>
        <w:t>nd Thermodynamic Approaches</w:t>
      </w:r>
      <w:r>
        <w:rPr>
          <w:rStyle w:val="fontstyle01"/>
        </w:rPr>
        <w:t xml:space="preserve">.” </w:t>
      </w:r>
      <w:r w:rsidRPr="00D3049B">
        <w:rPr>
          <w:rStyle w:val="fontstyle01"/>
        </w:rPr>
        <w:t>The current version has been formatted for this dissertation.</w:t>
      </w:r>
    </w:p>
  </w:footnote>
  <w:footnote w:id="4">
    <w:p w14:paraId="2E244D90" w14:textId="4E3FD608" w:rsidR="001A626E" w:rsidRDefault="001A626E">
      <w:pPr>
        <w:pStyle w:val="FootnoteText"/>
      </w:pPr>
      <w:r>
        <w:rPr>
          <w:rStyle w:val="FootnoteReference"/>
        </w:rPr>
        <w:footnoteRef/>
      </w:r>
      <w:r>
        <w:t xml:space="preserve"> </w:t>
      </w:r>
      <w:r>
        <w:rPr>
          <w:rStyle w:val="fontstyle01"/>
        </w:rPr>
        <w:t xml:space="preserve">This chapter was published in </w:t>
      </w:r>
      <w:r w:rsidRPr="00F508A1">
        <w:rPr>
          <w:rStyle w:val="fontstyle01"/>
          <w:color w:val="auto"/>
        </w:rPr>
        <w:t xml:space="preserve">the International Journal of Pavement Engineering under </w:t>
      </w:r>
      <w:r>
        <w:rPr>
          <w:rStyle w:val="fontstyle01"/>
        </w:rPr>
        <w:t>the title “</w:t>
      </w:r>
      <w:r w:rsidRPr="00FF06A3">
        <w:rPr>
          <w:rStyle w:val="fontstyle01"/>
        </w:rPr>
        <w:t>Effect of Additives and Aging on Moisture-induced Damage Potential of Asphalt Mixes Using Surface Free Energy and Laboratory-Based Performance Tests</w:t>
      </w:r>
      <w:r>
        <w:rPr>
          <w:rStyle w:val="fontstyle01"/>
        </w:rPr>
        <w:t xml:space="preserve">.” </w:t>
      </w:r>
      <w:r w:rsidRPr="00D3049B">
        <w:rPr>
          <w:rStyle w:val="fontstyle01"/>
        </w:rPr>
        <w:t>The current version has been formatted for this dissertation.</w:t>
      </w:r>
    </w:p>
  </w:footnote>
  <w:footnote w:id="5">
    <w:p w14:paraId="61973FF2" w14:textId="5DDFB7D5" w:rsidR="001A626E" w:rsidRDefault="001A626E">
      <w:pPr>
        <w:pStyle w:val="FootnoteText"/>
      </w:pPr>
      <w:r>
        <w:rPr>
          <w:rStyle w:val="FootnoteReference"/>
        </w:rPr>
        <w:footnoteRef/>
      </w:r>
      <w:r>
        <w:t xml:space="preserve"> </w:t>
      </w:r>
      <w:r>
        <w:rPr>
          <w:rStyle w:val="fontstyle01"/>
        </w:rPr>
        <w:t xml:space="preserve">This chapter has been submitted to </w:t>
      </w:r>
      <w:r w:rsidRPr="00F508A1">
        <w:rPr>
          <w:rStyle w:val="fontstyle01"/>
          <w:color w:val="auto"/>
        </w:rPr>
        <w:t xml:space="preserve">the International Journal of Pavement </w:t>
      </w:r>
      <w:r>
        <w:rPr>
          <w:rStyle w:val="fontstyle01"/>
          <w:color w:val="auto"/>
        </w:rPr>
        <w:t xml:space="preserve">Research and Technology </w:t>
      </w:r>
      <w:r w:rsidRPr="00F508A1">
        <w:rPr>
          <w:rStyle w:val="fontstyle01"/>
          <w:color w:val="auto"/>
        </w:rPr>
        <w:t xml:space="preserve">under </w:t>
      </w:r>
      <w:r>
        <w:rPr>
          <w:rStyle w:val="fontstyle01"/>
        </w:rPr>
        <w:t>the title “</w:t>
      </w:r>
      <w:r w:rsidRPr="00094D11">
        <w:rPr>
          <w:rStyle w:val="fontstyle01"/>
        </w:rPr>
        <w:t xml:space="preserve">Laboratory Characterization </w:t>
      </w:r>
      <w:r>
        <w:rPr>
          <w:rStyle w:val="fontstyle01"/>
        </w:rPr>
        <w:t>o</w:t>
      </w:r>
      <w:r w:rsidRPr="00094D11">
        <w:rPr>
          <w:rStyle w:val="fontstyle01"/>
        </w:rPr>
        <w:t xml:space="preserve">f Moisture-Induced Damage Potential </w:t>
      </w:r>
      <w:r>
        <w:rPr>
          <w:rStyle w:val="fontstyle01"/>
        </w:rPr>
        <w:t>o</w:t>
      </w:r>
      <w:r w:rsidRPr="00094D11">
        <w:rPr>
          <w:rStyle w:val="fontstyle01"/>
        </w:rPr>
        <w:t xml:space="preserve">f Asphalt Mixes </w:t>
      </w:r>
      <w:r>
        <w:rPr>
          <w:rStyle w:val="fontstyle01"/>
        </w:rPr>
        <w:t>u</w:t>
      </w:r>
      <w:r w:rsidRPr="00094D11">
        <w:rPr>
          <w:rStyle w:val="fontstyle01"/>
        </w:rPr>
        <w:t xml:space="preserve">sing Conventional </w:t>
      </w:r>
      <w:r>
        <w:rPr>
          <w:rStyle w:val="fontstyle01"/>
        </w:rPr>
        <w:t>a</w:t>
      </w:r>
      <w:r w:rsidRPr="00094D11">
        <w:rPr>
          <w:rStyle w:val="fontstyle01"/>
        </w:rPr>
        <w:t>nd Unconventional Performance-Based Tests</w:t>
      </w:r>
      <w:r>
        <w:rPr>
          <w:rStyle w:val="fontstyle01"/>
        </w:rPr>
        <w:t xml:space="preserve">.” </w:t>
      </w:r>
      <w:r w:rsidRPr="00D3049B">
        <w:rPr>
          <w:rStyle w:val="fontstyle01"/>
        </w:rPr>
        <w:t>The current version has been formatted for this dissertation.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5840C3"/>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33A7182"/>
    <w:multiLevelType w:val="hybridMultilevel"/>
    <w:tmpl w:val="0B04E220"/>
    <w:lvl w:ilvl="0" w:tplc="8E84F2B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7D3810"/>
    <w:multiLevelType w:val="hybridMultilevel"/>
    <w:tmpl w:val="D722D618"/>
    <w:lvl w:ilvl="0" w:tplc="04090001">
      <w:start w:val="1"/>
      <w:numFmt w:val="bullet"/>
      <w:lvlText w:val=""/>
      <w:lvlJc w:val="left"/>
      <w:pPr>
        <w:ind w:left="1440" w:hanging="72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084B4DE6"/>
    <w:multiLevelType w:val="hybridMultilevel"/>
    <w:tmpl w:val="6B6C95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8A96BBC"/>
    <w:multiLevelType w:val="hybridMultilevel"/>
    <w:tmpl w:val="B274B72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59F1D47"/>
    <w:multiLevelType w:val="hybridMultilevel"/>
    <w:tmpl w:val="D6B2E4A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921419A"/>
    <w:multiLevelType w:val="hybridMultilevel"/>
    <w:tmpl w:val="D03641E8"/>
    <w:lvl w:ilvl="0" w:tplc="0409001B">
      <w:start w:val="1"/>
      <w:numFmt w:val="lowerRoman"/>
      <w:lvlText w:val="%1."/>
      <w:lvlJc w:val="right"/>
      <w:pPr>
        <w:tabs>
          <w:tab w:val="num" w:pos="720"/>
        </w:tabs>
        <w:ind w:left="720" w:hanging="360"/>
      </w:pPr>
      <w:rPr>
        <w:rFonts w:hint="default"/>
      </w:rPr>
    </w:lvl>
    <w:lvl w:ilvl="1" w:tplc="240898B2" w:tentative="1">
      <w:start w:val="1"/>
      <w:numFmt w:val="bullet"/>
      <w:lvlText w:val=""/>
      <w:lvlJc w:val="left"/>
      <w:pPr>
        <w:tabs>
          <w:tab w:val="num" w:pos="1440"/>
        </w:tabs>
        <w:ind w:left="1440" w:hanging="360"/>
      </w:pPr>
      <w:rPr>
        <w:rFonts w:ascii="Wingdings" w:hAnsi="Wingdings" w:hint="default"/>
      </w:rPr>
    </w:lvl>
    <w:lvl w:ilvl="2" w:tplc="514AD398" w:tentative="1">
      <w:start w:val="1"/>
      <w:numFmt w:val="bullet"/>
      <w:lvlText w:val=""/>
      <w:lvlJc w:val="left"/>
      <w:pPr>
        <w:tabs>
          <w:tab w:val="num" w:pos="2160"/>
        </w:tabs>
        <w:ind w:left="2160" w:hanging="360"/>
      </w:pPr>
      <w:rPr>
        <w:rFonts w:ascii="Wingdings" w:hAnsi="Wingdings" w:hint="default"/>
      </w:rPr>
    </w:lvl>
    <w:lvl w:ilvl="3" w:tplc="093C84CA" w:tentative="1">
      <w:start w:val="1"/>
      <w:numFmt w:val="bullet"/>
      <w:lvlText w:val=""/>
      <w:lvlJc w:val="left"/>
      <w:pPr>
        <w:tabs>
          <w:tab w:val="num" w:pos="2880"/>
        </w:tabs>
        <w:ind w:left="2880" w:hanging="360"/>
      </w:pPr>
      <w:rPr>
        <w:rFonts w:ascii="Wingdings" w:hAnsi="Wingdings" w:hint="default"/>
      </w:rPr>
    </w:lvl>
    <w:lvl w:ilvl="4" w:tplc="DBF035BE" w:tentative="1">
      <w:start w:val="1"/>
      <w:numFmt w:val="bullet"/>
      <w:lvlText w:val=""/>
      <w:lvlJc w:val="left"/>
      <w:pPr>
        <w:tabs>
          <w:tab w:val="num" w:pos="3600"/>
        </w:tabs>
        <w:ind w:left="3600" w:hanging="360"/>
      </w:pPr>
      <w:rPr>
        <w:rFonts w:ascii="Wingdings" w:hAnsi="Wingdings" w:hint="default"/>
      </w:rPr>
    </w:lvl>
    <w:lvl w:ilvl="5" w:tplc="45900142" w:tentative="1">
      <w:start w:val="1"/>
      <w:numFmt w:val="bullet"/>
      <w:lvlText w:val=""/>
      <w:lvlJc w:val="left"/>
      <w:pPr>
        <w:tabs>
          <w:tab w:val="num" w:pos="4320"/>
        </w:tabs>
        <w:ind w:left="4320" w:hanging="360"/>
      </w:pPr>
      <w:rPr>
        <w:rFonts w:ascii="Wingdings" w:hAnsi="Wingdings" w:hint="default"/>
      </w:rPr>
    </w:lvl>
    <w:lvl w:ilvl="6" w:tplc="8C4E1224" w:tentative="1">
      <w:start w:val="1"/>
      <w:numFmt w:val="bullet"/>
      <w:lvlText w:val=""/>
      <w:lvlJc w:val="left"/>
      <w:pPr>
        <w:tabs>
          <w:tab w:val="num" w:pos="5040"/>
        </w:tabs>
        <w:ind w:left="5040" w:hanging="360"/>
      </w:pPr>
      <w:rPr>
        <w:rFonts w:ascii="Wingdings" w:hAnsi="Wingdings" w:hint="default"/>
      </w:rPr>
    </w:lvl>
    <w:lvl w:ilvl="7" w:tplc="7502345C" w:tentative="1">
      <w:start w:val="1"/>
      <w:numFmt w:val="bullet"/>
      <w:lvlText w:val=""/>
      <w:lvlJc w:val="left"/>
      <w:pPr>
        <w:tabs>
          <w:tab w:val="num" w:pos="5760"/>
        </w:tabs>
        <w:ind w:left="5760" w:hanging="360"/>
      </w:pPr>
      <w:rPr>
        <w:rFonts w:ascii="Wingdings" w:hAnsi="Wingdings" w:hint="default"/>
      </w:rPr>
    </w:lvl>
    <w:lvl w:ilvl="8" w:tplc="1760459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463300B"/>
    <w:multiLevelType w:val="multilevel"/>
    <w:tmpl w:val="665650FE"/>
    <w:lvl w:ilvl="0">
      <w:start w:val="1"/>
      <w:numFmt w:val="decimal"/>
      <w:pStyle w:val="Heading1"/>
      <w:suff w:val="space"/>
      <w:lvlText w:val="%1."/>
      <w:lvlJc w:val="center"/>
      <w:pPr>
        <w:ind w:left="0" w:firstLine="0"/>
      </w:pPr>
      <w:rPr>
        <w:rFonts w:ascii="Times New Roman" w:hAnsi="Times New Roman" w:hint="default"/>
        <w:color w:val="FFFFFF" w:themeColor="background1"/>
        <w:sz w:val="28"/>
      </w:rPr>
    </w:lvl>
    <w:lvl w:ilvl="1">
      <w:start w:val="1"/>
      <w:numFmt w:val="decimal"/>
      <w:pStyle w:val="Heading2"/>
      <w:suff w:val="space"/>
      <w:lvlText w:val="%1.%2"/>
      <w:lvlJc w:val="left"/>
      <w:pPr>
        <w:ind w:left="0" w:firstLine="0"/>
      </w:pPr>
      <w:rPr>
        <w:rFonts w:hint="default"/>
        <w:b/>
        <w:bCs/>
      </w:rPr>
    </w:lvl>
    <w:lvl w:ilvl="2">
      <w:start w:val="1"/>
      <w:numFmt w:val="decimal"/>
      <w:pStyle w:val="Heading3"/>
      <w:suff w:val="space"/>
      <w:lvlText w:val="%1.%2.%3"/>
      <w:lvlJc w:val="left"/>
      <w:pPr>
        <w:ind w:left="0" w:firstLine="0"/>
      </w:pPr>
      <w:rPr>
        <w:rFonts w:hint="default"/>
        <w:b/>
        <w:bCs/>
        <w:color w:val="auto"/>
      </w:rPr>
    </w:lvl>
    <w:lvl w:ilvl="3">
      <w:start w:val="1"/>
      <w:numFmt w:val="decimal"/>
      <w:pStyle w:val="Heading4"/>
      <w:suff w:val="space"/>
      <w:lvlText w:val="%1.%2.%3.%4"/>
      <w:lvlJc w:val="left"/>
      <w:pPr>
        <w:ind w:left="0" w:firstLine="0"/>
      </w:pPr>
      <w:rPr>
        <w:rFonts w:hint="default"/>
      </w:rPr>
    </w:lvl>
    <w:lvl w:ilvl="4">
      <w:start w:val="1"/>
      <w:numFmt w:val="decimal"/>
      <w:pStyle w:val="Heading5"/>
      <w:suff w:val="space"/>
      <w:lvlText w:val="%1.%2.%3.%4.%5"/>
      <w:lvlJc w:val="left"/>
      <w:pPr>
        <w:ind w:left="0" w:firstLine="0"/>
      </w:pPr>
      <w:rPr>
        <w:rFonts w:hint="default"/>
      </w:rPr>
    </w:lvl>
    <w:lvl w:ilvl="5">
      <w:start w:val="1"/>
      <w:numFmt w:val="decimal"/>
      <w:pStyle w:val="Heading6"/>
      <w:suff w:val="space"/>
      <w:lvlText w:val="%1.%2.%3.%4.%5.%6"/>
      <w:lvlJc w:val="left"/>
      <w:pPr>
        <w:ind w:left="0" w:firstLine="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8" w15:restartNumberingAfterBreak="0">
    <w:nsid w:val="26344E40"/>
    <w:multiLevelType w:val="hybridMultilevel"/>
    <w:tmpl w:val="CA44187C"/>
    <w:lvl w:ilvl="0" w:tplc="62164E0E">
      <w:start w:val="2"/>
      <w:numFmt w:val="bullet"/>
      <w:lvlText w:val=""/>
      <w:lvlJc w:val="left"/>
      <w:pPr>
        <w:ind w:left="1080" w:hanging="360"/>
      </w:pPr>
      <w:rPr>
        <w:rFonts w:ascii="Wingdings" w:eastAsia="Times New Roman" w:hAnsi="Wingdings"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29822DC4"/>
    <w:multiLevelType w:val="multilevel"/>
    <w:tmpl w:val="0A48CF7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B3B425A"/>
    <w:multiLevelType w:val="multilevel"/>
    <w:tmpl w:val="E5907C66"/>
    <w:lvl w:ilvl="0">
      <w:start w:val="1"/>
      <w:numFmt w:val="decimal"/>
      <w:suff w:val="space"/>
      <w:lvlText w:val="%1."/>
      <w:lvlJc w:val="left"/>
      <w:pPr>
        <w:ind w:left="360" w:hanging="360"/>
      </w:pPr>
      <w:rPr>
        <w:rFonts w:hint="default"/>
      </w:rPr>
    </w:lvl>
    <w:lvl w:ilvl="1">
      <w:start w:val="1"/>
      <w:numFmt w:val="decimal"/>
      <w:suff w:val="space"/>
      <w:lvlText w:val="%1.%2."/>
      <w:lvlJc w:val="left"/>
      <w:pPr>
        <w:ind w:left="720" w:hanging="360"/>
      </w:pPr>
      <w:rPr>
        <w:rFonts w:hint="default"/>
      </w:rPr>
    </w:lvl>
    <w:lvl w:ilvl="2">
      <w:start w:val="1"/>
      <w:numFmt w:val="decimal"/>
      <w:suff w:val="space"/>
      <w:lvlText w:val="%1.%2.%3."/>
      <w:lvlJc w:val="left"/>
      <w:pPr>
        <w:ind w:left="1080" w:hanging="360"/>
      </w:pPr>
      <w:rPr>
        <w:rFonts w:hint="default"/>
        <w:sz w:val="22"/>
      </w:rPr>
    </w:lvl>
    <w:lvl w:ilvl="3">
      <w:start w:val="1"/>
      <w:numFmt w:val="decimal"/>
      <w:suff w:val="space"/>
      <w:lvlText w:val="%1.%2.%3.%4."/>
      <w:lvlJc w:val="left"/>
      <w:pPr>
        <w:ind w:left="1440" w:hanging="360"/>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DA13F02"/>
    <w:multiLevelType w:val="hybridMultilevel"/>
    <w:tmpl w:val="3C1ECCE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2B5F1E"/>
    <w:multiLevelType w:val="hybridMultilevel"/>
    <w:tmpl w:val="0E60D4FE"/>
    <w:lvl w:ilvl="0" w:tplc="9416BED6">
      <w:start w:val="1"/>
      <w:numFmt w:val="lowerRoman"/>
      <w:lvlText w:val="%1."/>
      <w:lvlJc w:val="right"/>
      <w:pPr>
        <w:ind w:left="720" w:hanging="360"/>
      </w:pPr>
      <w:rPr>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E7B5586"/>
    <w:multiLevelType w:val="hybridMultilevel"/>
    <w:tmpl w:val="616491C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4873BD"/>
    <w:multiLevelType w:val="hybridMultilevel"/>
    <w:tmpl w:val="38B865DC"/>
    <w:lvl w:ilvl="0" w:tplc="CB868BDE">
      <w:numFmt w:val="bullet"/>
      <w:lvlText w:val=""/>
      <w:lvlJc w:val="left"/>
      <w:pPr>
        <w:ind w:left="720" w:hanging="360"/>
      </w:pPr>
      <w:rPr>
        <w:rFonts w:ascii="Symbol" w:eastAsia="Malgun Gothic"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77E268D"/>
    <w:multiLevelType w:val="hybridMultilevel"/>
    <w:tmpl w:val="623ABB6C"/>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3C5D0C07"/>
    <w:multiLevelType w:val="hybridMultilevel"/>
    <w:tmpl w:val="4CA02766"/>
    <w:lvl w:ilvl="0" w:tplc="79367BA0">
      <w:start w:val="1"/>
      <w:numFmt w:val="decimal"/>
      <w:pStyle w:val="Numberedlist"/>
      <w:lvlText w:val="(%1)"/>
      <w:lvlJc w:val="right"/>
      <w:pPr>
        <w:ind w:left="720" w:hanging="153"/>
      </w:pPr>
      <w:rPr>
        <w:rFonts w:hint="default"/>
      </w:rPr>
    </w:lvl>
    <w:lvl w:ilvl="1" w:tplc="FE3AC208">
      <w:start w:val="1"/>
      <w:numFmt w:val="lowerLetter"/>
      <w:lvlText w:val="(%2)"/>
      <w:lvlJc w:val="left"/>
      <w:pPr>
        <w:ind w:left="1440" w:hanging="360"/>
      </w:pPr>
      <w:rPr>
        <w:rFonts w:hint="default"/>
      </w:rPr>
    </w:lvl>
    <w:lvl w:ilvl="2" w:tplc="77E4D7DE">
      <w:start w:val="1"/>
      <w:numFmt w:val="lowerRoman"/>
      <w:lvlText w:val="(%3)"/>
      <w:lvlJc w:val="right"/>
      <w:pPr>
        <w:ind w:left="2160" w:hanging="180"/>
      </w:pPr>
      <w:rPr>
        <w:rFonts w:hint="default"/>
      </w:r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E045AAE"/>
    <w:multiLevelType w:val="hybridMultilevel"/>
    <w:tmpl w:val="8236FB14"/>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43920574"/>
    <w:multiLevelType w:val="hybridMultilevel"/>
    <w:tmpl w:val="AF0CD39E"/>
    <w:lvl w:ilvl="0" w:tplc="CC9AAEF2">
      <w:start w:val="1"/>
      <w:numFmt w:val="lowerRoman"/>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9" w15:restartNumberingAfterBreak="0">
    <w:nsid w:val="46770582"/>
    <w:multiLevelType w:val="hybridMultilevel"/>
    <w:tmpl w:val="F98C1E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A346ADB"/>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BC80EE5"/>
    <w:multiLevelType w:val="hybridMultilevel"/>
    <w:tmpl w:val="182485CC"/>
    <w:lvl w:ilvl="0" w:tplc="DB32C1FC">
      <w:start w:val="1"/>
      <w:numFmt w:val="decimal"/>
      <w:pStyle w:val="Style2"/>
      <w:lvlText w:val="%1.1.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540D38D9"/>
    <w:multiLevelType w:val="hybridMultilevel"/>
    <w:tmpl w:val="E7927D08"/>
    <w:lvl w:ilvl="0" w:tplc="EBA2573A">
      <w:numFmt w:val="bullet"/>
      <w:lvlText w:val=""/>
      <w:lvlJc w:val="left"/>
      <w:pPr>
        <w:ind w:left="720" w:hanging="360"/>
      </w:pPr>
      <w:rPr>
        <w:rFonts w:ascii="Symbol" w:eastAsia="Malgun Gothic"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60962CE"/>
    <w:multiLevelType w:val="hybridMultilevel"/>
    <w:tmpl w:val="A074029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57092BD9"/>
    <w:multiLevelType w:val="hybridMultilevel"/>
    <w:tmpl w:val="0400ADDA"/>
    <w:lvl w:ilvl="0" w:tplc="E56E5360">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5AAB15F3"/>
    <w:multiLevelType w:val="hybridMultilevel"/>
    <w:tmpl w:val="6C56BD28"/>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15:restartNumberingAfterBreak="0">
    <w:nsid w:val="5B1046DA"/>
    <w:multiLevelType w:val="hybridMultilevel"/>
    <w:tmpl w:val="C7827A1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BC3167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5BD96BF8"/>
    <w:multiLevelType w:val="hybridMultilevel"/>
    <w:tmpl w:val="76D2C65A"/>
    <w:lvl w:ilvl="0" w:tplc="0456C424">
      <w:start w:val="1"/>
      <w:numFmt w:val="bullet"/>
      <w:pStyle w:val="Bulletedlis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Arial"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Arial"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Arial"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E2F773E"/>
    <w:multiLevelType w:val="hybridMultilevel"/>
    <w:tmpl w:val="C2CCC12E"/>
    <w:lvl w:ilvl="0" w:tplc="520880B2">
      <w:start w:val="1"/>
      <w:numFmt w:val="decimal"/>
      <w:lvlText w:val="%1."/>
      <w:lvlJc w:val="left"/>
      <w:pPr>
        <w:ind w:left="720" w:hanging="360"/>
      </w:pPr>
      <w:rPr>
        <w:rFonts w:eastAsia="Calibri"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06C512C"/>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665A5596"/>
    <w:multiLevelType w:val="multilevel"/>
    <w:tmpl w:val="1E8C2F20"/>
    <w:lvl w:ilvl="0">
      <w:start w:val="1"/>
      <w:numFmt w:val="decimal"/>
      <w:pStyle w:val="Heading9"/>
      <w:suff w:val="space"/>
      <w:lvlText w:val="%1."/>
      <w:lvlJc w:val="left"/>
      <w:pPr>
        <w:ind w:left="0" w:firstLine="0"/>
      </w:pPr>
      <w:rPr>
        <w:rFonts w:hint="default"/>
        <w:sz w:val="28"/>
      </w:rPr>
    </w:lvl>
    <w:lvl w:ilvl="1">
      <w:start w:val="1"/>
      <w:numFmt w:val="decimal"/>
      <w:suff w:val="space"/>
      <w:lvlText w:val="%1.%2"/>
      <w:lvlJc w:val="left"/>
      <w:pPr>
        <w:ind w:left="0" w:firstLine="0"/>
      </w:pPr>
      <w:rPr>
        <w:rFonts w:hint="default"/>
        <w:b/>
        <w:bCs/>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67EC1CC9"/>
    <w:multiLevelType w:val="hybridMultilevel"/>
    <w:tmpl w:val="75862E0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CDC029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2E800D5"/>
    <w:multiLevelType w:val="hybridMultilevel"/>
    <w:tmpl w:val="1666A03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34D238B"/>
    <w:multiLevelType w:val="hybridMultilevel"/>
    <w:tmpl w:val="A6268590"/>
    <w:lvl w:ilvl="0" w:tplc="0409001B">
      <w:start w:val="1"/>
      <w:numFmt w:val="lowerRoman"/>
      <w:lvlText w:val="%1."/>
      <w:lvlJc w:val="right"/>
      <w:pPr>
        <w:ind w:left="2880" w:hanging="360"/>
      </w:pPr>
    </w:lvl>
    <w:lvl w:ilvl="1" w:tplc="04090019" w:tentative="1">
      <w:start w:val="1"/>
      <w:numFmt w:val="lowerLetter"/>
      <w:lvlText w:val="%2."/>
      <w:lvlJc w:val="left"/>
      <w:pPr>
        <w:ind w:left="3600" w:hanging="360"/>
      </w:pPr>
    </w:lvl>
    <w:lvl w:ilvl="2" w:tplc="0409001B" w:tentative="1">
      <w:start w:val="1"/>
      <w:numFmt w:val="lowerRoman"/>
      <w:lvlText w:val="%3."/>
      <w:lvlJc w:val="right"/>
      <w:pPr>
        <w:ind w:left="4320" w:hanging="180"/>
      </w:pPr>
    </w:lvl>
    <w:lvl w:ilvl="3" w:tplc="0409000F" w:tentative="1">
      <w:start w:val="1"/>
      <w:numFmt w:val="decimal"/>
      <w:lvlText w:val="%4."/>
      <w:lvlJc w:val="left"/>
      <w:pPr>
        <w:ind w:left="5040" w:hanging="360"/>
      </w:pPr>
    </w:lvl>
    <w:lvl w:ilvl="4" w:tplc="04090019" w:tentative="1">
      <w:start w:val="1"/>
      <w:numFmt w:val="lowerLetter"/>
      <w:lvlText w:val="%5."/>
      <w:lvlJc w:val="left"/>
      <w:pPr>
        <w:ind w:left="5760" w:hanging="360"/>
      </w:pPr>
    </w:lvl>
    <w:lvl w:ilvl="5" w:tplc="0409001B" w:tentative="1">
      <w:start w:val="1"/>
      <w:numFmt w:val="lowerRoman"/>
      <w:lvlText w:val="%6."/>
      <w:lvlJc w:val="right"/>
      <w:pPr>
        <w:ind w:left="6480" w:hanging="180"/>
      </w:pPr>
    </w:lvl>
    <w:lvl w:ilvl="6" w:tplc="0409000F" w:tentative="1">
      <w:start w:val="1"/>
      <w:numFmt w:val="decimal"/>
      <w:lvlText w:val="%7."/>
      <w:lvlJc w:val="left"/>
      <w:pPr>
        <w:ind w:left="7200" w:hanging="360"/>
      </w:pPr>
    </w:lvl>
    <w:lvl w:ilvl="7" w:tplc="04090019" w:tentative="1">
      <w:start w:val="1"/>
      <w:numFmt w:val="lowerLetter"/>
      <w:lvlText w:val="%8."/>
      <w:lvlJc w:val="left"/>
      <w:pPr>
        <w:ind w:left="7920" w:hanging="360"/>
      </w:pPr>
    </w:lvl>
    <w:lvl w:ilvl="8" w:tplc="0409001B" w:tentative="1">
      <w:start w:val="1"/>
      <w:numFmt w:val="lowerRoman"/>
      <w:lvlText w:val="%9."/>
      <w:lvlJc w:val="right"/>
      <w:pPr>
        <w:ind w:left="8640" w:hanging="180"/>
      </w:pPr>
    </w:lvl>
  </w:abstractNum>
  <w:abstractNum w:abstractNumId="36" w15:restartNumberingAfterBreak="0">
    <w:nsid w:val="74BF17E1"/>
    <w:multiLevelType w:val="multilevel"/>
    <w:tmpl w:val="998ADF7A"/>
    <w:lvl w:ilvl="0">
      <w:start w:val="1"/>
      <w:numFmt w:val="bullet"/>
      <w:lvlText w:val=""/>
      <w:lvlJc w:val="left"/>
      <w:pPr>
        <w:ind w:left="1080" w:hanging="360"/>
      </w:pPr>
      <w:rPr>
        <w:rFonts w:ascii="Symbol" w:hAnsi="Symbol" w:hint="default"/>
      </w:rPr>
    </w:lvl>
    <w:lvl w:ilvl="1">
      <w:start w:val="1"/>
      <w:numFmt w:val="decimal"/>
      <w:isLgl/>
      <w:lvlText w:val="%1.%2"/>
      <w:lvlJc w:val="left"/>
      <w:pPr>
        <w:ind w:left="1152" w:hanging="360"/>
      </w:pPr>
      <w:rPr>
        <w:rFonts w:hint="default"/>
      </w:rPr>
    </w:lvl>
    <w:lvl w:ilvl="2">
      <w:start w:val="1"/>
      <w:numFmt w:val="decimal"/>
      <w:isLgl/>
      <w:lvlText w:val="%1.%2.%3"/>
      <w:lvlJc w:val="left"/>
      <w:pPr>
        <w:ind w:left="1584" w:hanging="720"/>
      </w:pPr>
      <w:rPr>
        <w:rFonts w:hint="default"/>
      </w:rPr>
    </w:lvl>
    <w:lvl w:ilvl="3">
      <w:start w:val="1"/>
      <w:numFmt w:val="decimal"/>
      <w:isLgl/>
      <w:lvlText w:val="%1.%2.%3.%4"/>
      <w:lvlJc w:val="left"/>
      <w:pPr>
        <w:ind w:left="1656" w:hanging="720"/>
      </w:pPr>
      <w:rPr>
        <w:rFonts w:hint="default"/>
      </w:rPr>
    </w:lvl>
    <w:lvl w:ilvl="4">
      <w:start w:val="1"/>
      <w:numFmt w:val="decimal"/>
      <w:isLgl/>
      <w:lvlText w:val="%1.%2.%3.%4.%5"/>
      <w:lvlJc w:val="left"/>
      <w:pPr>
        <w:ind w:left="2088" w:hanging="1080"/>
      </w:pPr>
      <w:rPr>
        <w:rFonts w:hint="default"/>
      </w:rPr>
    </w:lvl>
    <w:lvl w:ilvl="5">
      <w:start w:val="1"/>
      <w:numFmt w:val="decimal"/>
      <w:isLgl/>
      <w:lvlText w:val="%1.%2.%3.%4.%5.%6"/>
      <w:lvlJc w:val="left"/>
      <w:pPr>
        <w:ind w:left="2160" w:hanging="1080"/>
      </w:pPr>
      <w:rPr>
        <w:rFonts w:hint="default"/>
      </w:rPr>
    </w:lvl>
    <w:lvl w:ilvl="6">
      <w:start w:val="1"/>
      <w:numFmt w:val="decimal"/>
      <w:isLgl/>
      <w:lvlText w:val="%1.%2.%3.%4.%5.%6.%7"/>
      <w:lvlJc w:val="left"/>
      <w:pPr>
        <w:ind w:left="2592" w:hanging="1440"/>
      </w:pPr>
      <w:rPr>
        <w:rFonts w:hint="default"/>
      </w:rPr>
    </w:lvl>
    <w:lvl w:ilvl="7">
      <w:start w:val="1"/>
      <w:numFmt w:val="decimal"/>
      <w:isLgl/>
      <w:lvlText w:val="%1.%2.%3.%4.%5.%6.%7.%8"/>
      <w:lvlJc w:val="left"/>
      <w:pPr>
        <w:ind w:left="2664" w:hanging="1440"/>
      </w:pPr>
      <w:rPr>
        <w:rFonts w:hint="default"/>
      </w:rPr>
    </w:lvl>
    <w:lvl w:ilvl="8">
      <w:start w:val="1"/>
      <w:numFmt w:val="decimal"/>
      <w:isLgl/>
      <w:lvlText w:val="%1.%2.%3.%4.%5.%6.%7.%8.%9"/>
      <w:lvlJc w:val="left"/>
      <w:pPr>
        <w:ind w:left="3096" w:hanging="1800"/>
      </w:pPr>
      <w:rPr>
        <w:rFonts w:hint="default"/>
      </w:rPr>
    </w:lvl>
  </w:abstractNum>
  <w:abstractNum w:abstractNumId="37" w15:restartNumberingAfterBreak="0">
    <w:nsid w:val="76D64D22"/>
    <w:multiLevelType w:val="hybridMultilevel"/>
    <w:tmpl w:val="D59A0816"/>
    <w:lvl w:ilvl="0" w:tplc="094ADF0E">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38" w15:restartNumberingAfterBreak="0">
    <w:nsid w:val="7B1408B1"/>
    <w:multiLevelType w:val="hybridMultilevel"/>
    <w:tmpl w:val="13F4CE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CD95B14"/>
    <w:multiLevelType w:val="multilevel"/>
    <w:tmpl w:val="0A48CF7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iCs/>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3"/>
  </w:num>
  <w:num w:numId="2">
    <w:abstractNumId w:val="13"/>
  </w:num>
  <w:num w:numId="3">
    <w:abstractNumId w:val="31"/>
  </w:num>
  <w:num w:numId="4">
    <w:abstractNumId w:val="26"/>
  </w:num>
  <w:num w:numId="5">
    <w:abstractNumId w:val="11"/>
  </w:num>
  <w:num w:numId="6">
    <w:abstractNumId w:val="7"/>
  </w:num>
  <w:num w:numId="7">
    <w:abstractNumId w:val="16"/>
  </w:num>
  <w:num w:numId="8">
    <w:abstractNumId w:val="28"/>
  </w:num>
  <w:num w:numId="9">
    <w:abstractNumId w:val="32"/>
  </w:num>
  <w:num w:numId="10">
    <w:abstractNumId w:val="17"/>
  </w:num>
  <w:num w:numId="11">
    <w:abstractNumId w:val="8"/>
  </w:num>
  <w:num w:numId="12">
    <w:abstractNumId w:val="29"/>
  </w:num>
  <w:num w:numId="13">
    <w:abstractNumId w:val="18"/>
  </w:num>
  <w:num w:numId="14">
    <w:abstractNumId w:val="23"/>
  </w:num>
  <w:num w:numId="15">
    <w:abstractNumId w:val="4"/>
  </w:num>
  <w:num w:numId="16">
    <w:abstractNumId w:val="1"/>
  </w:num>
  <w:num w:numId="17">
    <w:abstractNumId w:val="35"/>
  </w:num>
  <w:num w:numId="18">
    <w:abstractNumId w:val="14"/>
  </w:num>
  <w:num w:numId="19">
    <w:abstractNumId w:val="22"/>
  </w:num>
  <w:num w:numId="20">
    <w:abstractNumId w:val="24"/>
  </w:num>
  <w:num w:numId="21">
    <w:abstractNumId w:val="9"/>
  </w:num>
  <w:num w:numId="22">
    <w:abstractNumId w:val="33"/>
  </w:num>
  <w:num w:numId="23">
    <w:abstractNumId w:val="30"/>
  </w:num>
  <w:num w:numId="24">
    <w:abstractNumId w:val="0"/>
  </w:num>
  <w:num w:numId="25">
    <w:abstractNumId w:val="27"/>
  </w:num>
  <w:num w:numId="26">
    <w:abstractNumId w:val="20"/>
  </w:num>
  <w:num w:numId="27">
    <w:abstractNumId w:val="39"/>
  </w:num>
  <w:num w:numId="28">
    <w:abstractNumId w:val="10"/>
  </w:num>
  <w:num w:numId="29">
    <w:abstractNumId w:val="25"/>
  </w:num>
  <w:num w:numId="30">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9"/>
  </w:num>
  <w:num w:numId="3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38"/>
  </w:num>
  <w:num w:numId="36">
    <w:abstractNumId w:val="2"/>
  </w:num>
  <w:num w:numId="37">
    <w:abstractNumId w:val="36"/>
  </w:num>
  <w:num w:numId="38">
    <w:abstractNumId w:val="6"/>
  </w:num>
  <w:num w:numId="3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5"/>
  </w:num>
  <w:num w:numId="41">
    <w:abstractNumId w:val="15"/>
  </w:num>
  <w:num w:numId="42">
    <w:abstractNumId w:val="12"/>
  </w:num>
  <w:num w:numId="43">
    <w:abstractNumId w:val="3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7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TF-V HarvardB&lt;/Style&gt;&lt;LeftDelim&gt;{&lt;/LeftDelim&gt;&lt;RightDelim&gt;}&lt;/RightDelim&gt;&lt;FontName&gt;Times New Roman&lt;/FontName&gt;&lt;FontSize&gt;14&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55vzfpwawdafteedfoxsf0lv0v0wp5va2aa&quot;&gt;Ashik&amp;apos;s EndNote Library&lt;record-ids&gt;&lt;item&gt;3&lt;/item&gt;&lt;item&gt;6&lt;/item&gt;&lt;item&gt;7&lt;/item&gt;&lt;item&gt;10&lt;/item&gt;&lt;item&gt;11&lt;/item&gt;&lt;item&gt;21&lt;/item&gt;&lt;item&gt;22&lt;/item&gt;&lt;item&gt;23&lt;/item&gt;&lt;item&gt;24&lt;/item&gt;&lt;item&gt;25&lt;/item&gt;&lt;item&gt;26&lt;/item&gt;&lt;item&gt;31&lt;/item&gt;&lt;item&gt;33&lt;/item&gt;&lt;item&gt;35&lt;/item&gt;&lt;item&gt;36&lt;/item&gt;&lt;item&gt;37&lt;/item&gt;&lt;item&gt;41&lt;/item&gt;&lt;item&gt;42&lt;/item&gt;&lt;item&gt;44&lt;/item&gt;&lt;item&gt;45&lt;/item&gt;&lt;item&gt;47&lt;/item&gt;&lt;item&gt;49&lt;/item&gt;&lt;item&gt;50&lt;/item&gt;&lt;item&gt;51&lt;/item&gt;&lt;item&gt;52&lt;/item&gt;&lt;item&gt;58&lt;/item&gt;&lt;item&gt;59&lt;/item&gt;&lt;item&gt;62&lt;/item&gt;&lt;item&gt;64&lt;/item&gt;&lt;item&gt;78&lt;/item&gt;&lt;item&gt;79&lt;/item&gt;&lt;item&gt;80&lt;/item&gt;&lt;item&gt;81&lt;/item&gt;&lt;item&gt;82&lt;/item&gt;&lt;item&gt;83&lt;/item&gt;&lt;item&gt;84&lt;/item&gt;&lt;item&gt;86&lt;/item&gt;&lt;item&gt;87&lt;/item&gt;&lt;item&gt;88&lt;/item&gt;&lt;item&gt;89&lt;/item&gt;&lt;item&gt;90&lt;/item&gt;&lt;item&gt;91&lt;/item&gt;&lt;item&gt;92&lt;/item&gt;&lt;item&gt;93&lt;/item&gt;&lt;item&gt;94&lt;/item&gt;&lt;item&gt;95&lt;/item&gt;&lt;item&gt;96&lt;/item&gt;&lt;item&gt;97&lt;/item&gt;&lt;item&gt;98&lt;/item&gt;&lt;item&gt;99&lt;/item&gt;&lt;item&gt;100&lt;/item&gt;&lt;item&gt;102&lt;/item&gt;&lt;item&gt;103&lt;/item&gt;&lt;item&gt;104&lt;/item&gt;&lt;item&gt;105&lt;/item&gt;&lt;item&gt;106&lt;/item&gt;&lt;item&gt;107&lt;/item&gt;&lt;item&gt;108&lt;/item&gt;&lt;item&gt;109&lt;/item&gt;&lt;item&gt;110&lt;/item&gt;&lt;item&gt;111&lt;/item&gt;&lt;item&gt;112&lt;/item&gt;&lt;item&gt;113&lt;/item&gt;&lt;item&gt;114&lt;/item&gt;&lt;item&gt;115&lt;/item&gt;&lt;item&gt;116&lt;/item&gt;&lt;item&gt;119&lt;/item&gt;&lt;item&gt;120&lt;/item&gt;&lt;item&gt;122&lt;/item&gt;&lt;item&gt;123&lt;/item&gt;&lt;item&gt;124&lt;/item&gt;&lt;item&gt;125&lt;/item&gt;&lt;item&gt;126&lt;/item&gt;&lt;item&gt;127&lt;/item&gt;&lt;item&gt;128&lt;/item&gt;&lt;item&gt;129&lt;/item&gt;&lt;item&gt;132&lt;/item&gt;&lt;item&gt;133&lt;/item&gt;&lt;item&gt;135&lt;/item&gt;&lt;item&gt;143&lt;/item&gt;&lt;item&gt;151&lt;/item&gt;&lt;item&gt;154&lt;/item&gt;&lt;item&gt;156&lt;/item&gt;&lt;item&gt;158&lt;/item&gt;&lt;item&gt;159&lt;/item&gt;&lt;item&gt;160&lt;/item&gt;&lt;item&gt;161&lt;/item&gt;&lt;item&gt;165&lt;/item&gt;&lt;item&gt;178&lt;/item&gt;&lt;item&gt;186&lt;/item&gt;&lt;item&gt;193&lt;/item&gt;&lt;item&gt;210&lt;/item&gt;&lt;item&gt;215&lt;/item&gt;&lt;item&gt;216&lt;/item&gt;&lt;item&gt;217&lt;/item&gt;&lt;item&gt;227&lt;/item&gt;&lt;item&gt;228&lt;/item&gt;&lt;item&gt;229&lt;/item&gt;&lt;item&gt;230&lt;/item&gt;&lt;item&gt;231&lt;/item&gt;&lt;item&gt;232&lt;/item&gt;&lt;item&gt;233&lt;/item&gt;&lt;item&gt;234&lt;/item&gt;&lt;item&gt;235&lt;/item&gt;&lt;item&gt;236&lt;/item&gt;&lt;item&gt;237&lt;/item&gt;&lt;item&gt;238&lt;/item&gt;&lt;/record-ids&gt;&lt;/item&gt;&lt;/Libraries&gt;"/>
  </w:docVars>
  <w:rsids>
    <w:rsidRoot w:val="0043441F"/>
    <w:rsid w:val="00002C1D"/>
    <w:rsid w:val="00002F2F"/>
    <w:rsid w:val="00003FE5"/>
    <w:rsid w:val="000040EF"/>
    <w:rsid w:val="000071CC"/>
    <w:rsid w:val="00010B17"/>
    <w:rsid w:val="0001189A"/>
    <w:rsid w:val="00011A17"/>
    <w:rsid w:val="00011B59"/>
    <w:rsid w:val="00012F23"/>
    <w:rsid w:val="00013BC1"/>
    <w:rsid w:val="00013FD0"/>
    <w:rsid w:val="00016A67"/>
    <w:rsid w:val="00017270"/>
    <w:rsid w:val="00021E60"/>
    <w:rsid w:val="000238C4"/>
    <w:rsid w:val="00023DEC"/>
    <w:rsid w:val="00023E02"/>
    <w:rsid w:val="000247E7"/>
    <w:rsid w:val="0002515E"/>
    <w:rsid w:val="000254AF"/>
    <w:rsid w:val="00027548"/>
    <w:rsid w:val="00030FA5"/>
    <w:rsid w:val="00032003"/>
    <w:rsid w:val="000330D0"/>
    <w:rsid w:val="00033359"/>
    <w:rsid w:val="0003345B"/>
    <w:rsid w:val="000346A4"/>
    <w:rsid w:val="00034711"/>
    <w:rsid w:val="0003506A"/>
    <w:rsid w:val="000357B1"/>
    <w:rsid w:val="000370BD"/>
    <w:rsid w:val="0004129C"/>
    <w:rsid w:val="00042520"/>
    <w:rsid w:val="000433BF"/>
    <w:rsid w:val="000450F7"/>
    <w:rsid w:val="00045596"/>
    <w:rsid w:val="00047B58"/>
    <w:rsid w:val="00050D3B"/>
    <w:rsid w:val="000513E3"/>
    <w:rsid w:val="00051FC1"/>
    <w:rsid w:val="00052786"/>
    <w:rsid w:val="00052870"/>
    <w:rsid w:val="000535AB"/>
    <w:rsid w:val="00053F3A"/>
    <w:rsid w:val="0005450A"/>
    <w:rsid w:val="000555F1"/>
    <w:rsid w:val="00056709"/>
    <w:rsid w:val="00056A56"/>
    <w:rsid w:val="00056F18"/>
    <w:rsid w:val="00057475"/>
    <w:rsid w:val="000579B6"/>
    <w:rsid w:val="0006026D"/>
    <w:rsid w:val="000618AD"/>
    <w:rsid w:val="00062845"/>
    <w:rsid w:val="00062CA8"/>
    <w:rsid w:val="00062CEC"/>
    <w:rsid w:val="00066590"/>
    <w:rsid w:val="000667B4"/>
    <w:rsid w:val="00066CC7"/>
    <w:rsid w:val="000677E2"/>
    <w:rsid w:val="000723A8"/>
    <w:rsid w:val="000725EB"/>
    <w:rsid w:val="00073C49"/>
    <w:rsid w:val="000744CC"/>
    <w:rsid w:val="00074B8E"/>
    <w:rsid w:val="00075B2F"/>
    <w:rsid w:val="000800B3"/>
    <w:rsid w:val="00080A56"/>
    <w:rsid w:val="00082C74"/>
    <w:rsid w:val="00082ED4"/>
    <w:rsid w:val="00083492"/>
    <w:rsid w:val="00083D54"/>
    <w:rsid w:val="000841F1"/>
    <w:rsid w:val="00084A1E"/>
    <w:rsid w:val="00084D37"/>
    <w:rsid w:val="0008619A"/>
    <w:rsid w:val="00086552"/>
    <w:rsid w:val="000903D8"/>
    <w:rsid w:val="000926F3"/>
    <w:rsid w:val="00094D11"/>
    <w:rsid w:val="00096BE7"/>
    <w:rsid w:val="000A02D1"/>
    <w:rsid w:val="000A0CEE"/>
    <w:rsid w:val="000A0F9B"/>
    <w:rsid w:val="000A1237"/>
    <w:rsid w:val="000A16C6"/>
    <w:rsid w:val="000A23C5"/>
    <w:rsid w:val="000A33E8"/>
    <w:rsid w:val="000A3ABF"/>
    <w:rsid w:val="000A75D3"/>
    <w:rsid w:val="000A763F"/>
    <w:rsid w:val="000B0F61"/>
    <w:rsid w:val="000B111A"/>
    <w:rsid w:val="000B12E3"/>
    <w:rsid w:val="000B3158"/>
    <w:rsid w:val="000B3E3F"/>
    <w:rsid w:val="000B512D"/>
    <w:rsid w:val="000B6332"/>
    <w:rsid w:val="000B736D"/>
    <w:rsid w:val="000B742D"/>
    <w:rsid w:val="000B7498"/>
    <w:rsid w:val="000C2517"/>
    <w:rsid w:val="000C2745"/>
    <w:rsid w:val="000C328B"/>
    <w:rsid w:val="000C382A"/>
    <w:rsid w:val="000C3B12"/>
    <w:rsid w:val="000C3C9F"/>
    <w:rsid w:val="000C3D17"/>
    <w:rsid w:val="000C71B1"/>
    <w:rsid w:val="000C77B6"/>
    <w:rsid w:val="000D0BC7"/>
    <w:rsid w:val="000D0D0E"/>
    <w:rsid w:val="000D1019"/>
    <w:rsid w:val="000D351A"/>
    <w:rsid w:val="000D3D9A"/>
    <w:rsid w:val="000D4CEF"/>
    <w:rsid w:val="000D6908"/>
    <w:rsid w:val="000D7D9F"/>
    <w:rsid w:val="000E1272"/>
    <w:rsid w:val="000E2206"/>
    <w:rsid w:val="000E269D"/>
    <w:rsid w:val="000E29E3"/>
    <w:rsid w:val="000E2CA1"/>
    <w:rsid w:val="000E480E"/>
    <w:rsid w:val="000E4BF5"/>
    <w:rsid w:val="000E4CAE"/>
    <w:rsid w:val="000E5376"/>
    <w:rsid w:val="000E6DFD"/>
    <w:rsid w:val="000E7C38"/>
    <w:rsid w:val="000F1374"/>
    <w:rsid w:val="000F153A"/>
    <w:rsid w:val="000F307C"/>
    <w:rsid w:val="000F3C06"/>
    <w:rsid w:val="000F3D6F"/>
    <w:rsid w:val="000F63CA"/>
    <w:rsid w:val="000F6971"/>
    <w:rsid w:val="000F71B5"/>
    <w:rsid w:val="000F75AD"/>
    <w:rsid w:val="0010030C"/>
    <w:rsid w:val="00101322"/>
    <w:rsid w:val="00102A22"/>
    <w:rsid w:val="00102CEF"/>
    <w:rsid w:val="0010321D"/>
    <w:rsid w:val="001049E7"/>
    <w:rsid w:val="001055E5"/>
    <w:rsid w:val="0010574E"/>
    <w:rsid w:val="001071FB"/>
    <w:rsid w:val="00107554"/>
    <w:rsid w:val="00112426"/>
    <w:rsid w:val="001140ED"/>
    <w:rsid w:val="00114C87"/>
    <w:rsid w:val="00115F28"/>
    <w:rsid w:val="001216B5"/>
    <w:rsid w:val="00121967"/>
    <w:rsid w:val="00122009"/>
    <w:rsid w:val="00123192"/>
    <w:rsid w:val="001241B7"/>
    <w:rsid w:val="001245E9"/>
    <w:rsid w:val="00126035"/>
    <w:rsid w:val="001264B3"/>
    <w:rsid w:val="00127CF3"/>
    <w:rsid w:val="001310A7"/>
    <w:rsid w:val="00132185"/>
    <w:rsid w:val="00132621"/>
    <w:rsid w:val="001327A8"/>
    <w:rsid w:val="00132E7B"/>
    <w:rsid w:val="001347BC"/>
    <w:rsid w:val="00135DE4"/>
    <w:rsid w:val="00136C9D"/>
    <w:rsid w:val="00136D3F"/>
    <w:rsid w:val="00140584"/>
    <w:rsid w:val="00140876"/>
    <w:rsid w:val="00140C79"/>
    <w:rsid w:val="00142A5C"/>
    <w:rsid w:val="0014332A"/>
    <w:rsid w:val="001433CA"/>
    <w:rsid w:val="00143CA9"/>
    <w:rsid w:val="001452DC"/>
    <w:rsid w:val="001453AB"/>
    <w:rsid w:val="0014702F"/>
    <w:rsid w:val="001470ED"/>
    <w:rsid w:val="00150C19"/>
    <w:rsid w:val="00154C00"/>
    <w:rsid w:val="00157334"/>
    <w:rsid w:val="00162DAE"/>
    <w:rsid w:val="001643F2"/>
    <w:rsid w:val="00165518"/>
    <w:rsid w:val="001669D0"/>
    <w:rsid w:val="00170C3E"/>
    <w:rsid w:val="0017133B"/>
    <w:rsid w:val="001722C7"/>
    <w:rsid w:val="001728B6"/>
    <w:rsid w:val="001733BA"/>
    <w:rsid w:val="00173D4D"/>
    <w:rsid w:val="0017400C"/>
    <w:rsid w:val="00174423"/>
    <w:rsid w:val="00177FDA"/>
    <w:rsid w:val="00180030"/>
    <w:rsid w:val="0018050F"/>
    <w:rsid w:val="00180607"/>
    <w:rsid w:val="0018376F"/>
    <w:rsid w:val="00183E1B"/>
    <w:rsid w:val="00185EA6"/>
    <w:rsid w:val="00186AFE"/>
    <w:rsid w:val="00187EB8"/>
    <w:rsid w:val="00190E74"/>
    <w:rsid w:val="00192B2B"/>
    <w:rsid w:val="00192B69"/>
    <w:rsid w:val="0019547A"/>
    <w:rsid w:val="00196671"/>
    <w:rsid w:val="00196ECE"/>
    <w:rsid w:val="001970AE"/>
    <w:rsid w:val="00197D34"/>
    <w:rsid w:val="001A066D"/>
    <w:rsid w:val="001A1120"/>
    <w:rsid w:val="001A17B6"/>
    <w:rsid w:val="001A2C3C"/>
    <w:rsid w:val="001A2F39"/>
    <w:rsid w:val="001A2F61"/>
    <w:rsid w:val="001A4F67"/>
    <w:rsid w:val="001A5AE6"/>
    <w:rsid w:val="001A626E"/>
    <w:rsid w:val="001A62D0"/>
    <w:rsid w:val="001A6717"/>
    <w:rsid w:val="001A6C17"/>
    <w:rsid w:val="001B1902"/>
    <w:rsid w:val="001B23B6"/>
    <w:rsid w:val="001B27DD"/>
    <w:rsid w:val="001B28F9"/>
    <w:rsid w:val="001B5401"/>
    <w:rsid w:val="001B73D7"/>
    <w:rsid w:val="001B75D3"/>
    <w:rsid w:val="001B7696"/>
    <w:rsid w:val="001C0371"/>
    <w:rsid w:val="001C10BD"/>
    <w:rsid w:val="001C1E09"/>
    <w:rsid w:val="001C5A56"/>
    <w:rsid w:val="001C5D3B"/>
    <w:rsid w:val="001C6093"/>
    <w:rsid w:val="001D0700"/>
    <w:rsid w:val="001D08FC"/>
    <w:rsid w:val="001D12BB"/>
    <w:rsid w:val="001D1E23"/>
    <w:rsid w:val="001E005A"/>
    <w:rsid w:val="001E0FE0"/>
    <w:rsid w:val="001E12A8"/>
    <w:rsid w:val="001E4B30"/>
    <w:rsid w:val="001E72AE"/>
    <w:rsid w:val="001E7461"/>
    <w:rsid w:val="001E7CDF"/>
    <w:rsid w:val="001F020C"/>
    <w:rsid w:val="001F0D35"/>
    <w:rsid w:val="001F1542"/>
    <w:rsid w:val="001F189F"/>
    <w:rsid w:val="001F20DB"/>
    <w:rsid w:val="001F2AC2"/>
    <w:rsid w:val="001F3338"/>
    <w:rsid w:val="001F7253"/>
    <w:rsid w:val="00200135"/>
    <w:rsid w:val="00200B67"/>
    <w:rsid w:val="00201B6E"/>
    <w:rsid w:val="002039C9"/>
    <w:rsid w:val="002043A1"/>
    <w:rsid w:val="0020489A"/>
    <w:rsid w:val="002053A3"/>
    <w:rsid w:val="00206044"/>
    <w:rsid w:val="00206DCC"/>
    <w:rsid w:val="00206F78"/>
    <w:rsid w:val="00207A51"/>
    <w:rsid w:val="002109A4"/>
    <w:rsid w:val="00212D80"/>
    <w:rsid w:val="00214641"/>
    <w:rsid w:val="00214696"/>
    <w:rsid w:val="00215DDB"/>
    <w:rsid w:val="00216B25"/>
    <w:rsid w:val="00220E13"/>
    <w:rsid w:val="00222DA5"/>
    <w:rsid w:val="00222E2A"/>
    <w:rsid w:val="0022421A"/>
    <w:rsid w:val="00226394"/>
    <w:rsid w:val="00226758"/>
    <w:rsid w:val="00227F26"/>
    <w:rsid w:val="00231599"/>
    <w:rsid w:val="002339A7"/>
    <w:rsid w:val="0023482F"/>
    <w:rsid w:val="00236F04"/>
    <w:rsid w:val="00240319"/>
    <w:rsid w:val="002407DF"/>
    <w:rsid w:val="00240AF0"/>
    <w:rsid w:val="00243214"/>
    <w:rsid w:val="002438A2"/>
    <w:rsid w:val="00244902"/>
    <w:rsid w:val="00246A34"/>
    <w:rsid w:val="00247285"/>
    <w:rsid w:val="002514E6"/>
    <w:rsid w:val="002516E8"/>
    <w:rsid w:val="00252A18"/>
    <w:rsid w:val="00252E73"/>
    <w:rsid w:val="00253582"/>
    <w:rsid w:val="0025403F"/>
    <w:rsid w:val="00255AF9"/>
    <w:rsid w:val="0026103C"/>
    <w:rsid w:val="00262EF3"/>
    <w:rsid w:val="00265055"/>
    <w:rsid w:val="0026784F"/>
    <w:rsid w:val="00267E2B"/>
    <w:rsid w:val="0027035F"/>
    <w:rsid w:val="00270A26"/>
    <w:rsid w:val="002710C1"/>
    <w:rsid w:val="002716DD"/>
    <w:rsid w:val="0027520A"/>
    <w:rsid w:val="00276122"/>
    <w:rsid w:val="002768C2"/>
    <w:rsid w:val="00277668"/>
    <w:rsid w:val="002801A6"/>
    <w:rsid w:val="00281080"/>
    <w:rsid w:val="00281666"/>
    <w:rsid w:val="00281A36"/>
    <w:rsid w:val="00282238"/>
    <w:rsid w:val="00284664"/>
    <w:rsid w:val="0028672A"/>
    <w:rsid w:val="0028710D"/>
    <w:rsid w:val="002875AB"/>
    <w:rsid w:val="00287EAB"/>
    <w:rsid w:val="002909EC"/>
    <w:rsid w:val="00291048"/>
    <w:rsid w:val="00291B9D"/>
    <w:rsid w:val="00291C12"/>
    <w:rsid w:val="00291D2E"/>
    <w:rsid w:val="00293C47"/>
    <w:rsid w:val="00293E72"/>
    <w:rsid w:val="00294831"/>
    <w:rsid w:val="00295521"/>
    <w:rsid w:val="0029657D"/>
    <w:rsid w:val="00296E3A"/>
    <w:rsid w:val="00297785"/>
    <w:rsid w:val="00297981"/>
    <w:rsid w:val="002A4161"/>
    <w:rsid w:val="002A5A8D"/>
    <w:rsid w:val="002B038B"/>
    <w:rsid w:val="002B05AE"/>
    <w:rsid w:val="002B0891"/>
    <w:rsid w:val="002B0960"/>
    <w:rsid w:val="002B0BDD"/>
    <w:rsid w:val="002B0F6A"/>
    <w:rsid w:val="002B13FD"/>
    <w:rsid w:val="002B3D0E"/>
    <w:rsid w:val="002B3E81"/>
    <w:rsid w:val="002B4479"/>
    <w:rsid w:val="002B735E"/>
    <w:rsid w:val="002B76EF"/>
    <w:rsid w:val="002B7DF6"/>
    <w:rsid w:val="002C0840"/>
    <w:rsid w:val="002C2523"/>
    <w:rsid w:val="002C30CA"/>
    <w:rsid w:val="002C359C"/>
    <w:rsid w:val="002C7331"/>
    <w:rsid w:val="002D0934"/>
    <w:rsid w:val="002D23D6"/>
    <w:rsid w:val="002D250C"/>
    <w:rsid w:val="002D3686"/>
    <w:rsid w:val="002D3AD9"/>
    <w:rsid w:val="002D4578"/>
    <w:rsid w:val="002D4628"/>
    <w:rsid w:val="002D497F"/>
    <w:rsid w:val="002D5240"/>
    <w:rsid w:val="002D55B6"/>
    <w:rsid w:val="002D57FE"/>
    <w:rsid w:val="002D799D"/>
    <w:rsid w:val="002E0958"/>
    <w:rsid w:val="002E1C05"/>
    <w:rsid w:val="002E1CA3"/>
    <w:rsid w:val="002E3661"/>
    <w:rsid w:val="002E3BE1"/>
    <w:rsid w:val="002E68A9"/>
    <w:rsid w:val="002F1823"/>
    <w:rsid w:val="002F2CB8"/>
    <w:rsid w:val="002F39DA"/>
    <w:rsid w:val="002F560C"/>
    <w:rsid w:val="002F5C90"/>
    <w:rsid w:val="002F7DC3"/>
    <w:rsid w:val="00300762"/>
    <w:rsid w:val="00301BCA"/>
    <w:rsid w:val="00302A2D"/>
    <w:rsid w:val="003045B9"/>
    <w:rsid w:val="0030529E"/>
    <w:rsid w:val="00305A82"/>
    <w:rsid w:val="00306B66"/>
    <w:rsid w:val="003077F1"/>
    <w:rsid w:val="00311F6B"/>
    <w:rsid w:val="00313BA2"/>
    <w:rsid w:val="003168FB"/>
    <w:rsid w:val="00321ADB"/>
    <w:rsid w:val="003226BB"/>
    <w:rsid w:val="00323A59"/>
    <w:rsid w:val="003241F3"/>
    <w:rsid w:val="003265D8"/>
    <w:rsid w:val="003308E7"/>
    <w:rsid w:val="00330BBD"/>
    <w:rsid w:val="00330DCD"/>
    <w:rsid w:val="003351B6"/>
    <w:rsid w:val="00337483"/>
    <w:rsid w:val="003375A2"/>
    <w:rsid w:val="00341919"/>
    <w:rsid w:val="00341BBE"/>
    <w:rsid w:val="0034276C"/>
    <w:rsid w:val="00343661"/>
    <w:rsid w:val="00344557"/>
    <w:rsid w:val="00344D53"/>
    <w:rsid w:val="00347C21"/>
    <w:rsid w:val="0035043F"/>
    <w:rsid w:val="00350FA6"/>
    <w:rsid w:val="00351104"/>
    <w:rsid w:val="00356C3C"/>
    <w:rsid w:val="0035794A"/>
    <w:rsid w:val="00357DC8"/>
    <w:rsid w:val="0036054B"/>
    <w:rsid w:val="0036082E"/>
    <w:rsid w:val="0036294F"/>
    <w:rsid w:val="0036454F"/>
    <w:rsid w:val="00370913"/>
    <w:rsid w:val="00372DFB"/>
    <w:rsid w:val="00373084"/>
    <w:rsid w:val="003730ED"/>
    <w:rsid w:val="00373EF0"/>
    <w:rsid w:val="00375B7C"/>
    <w:rsid w:val="0037686A"/>
    <w:rsid w:val="00376908"/>
    <w:rsid w:val="00380523"/>
    <w:rsid w:val="00380567"/>
    <w:rsid w:val="0038132E"/>
    <w:rsid w:val="00381851"/>
    <w:rsid w:val="00381EF5"/>
    <w:rsid w:val="00381F0D"/>
    <w:rsid w:val="00382053"/>
    <w:rsid w:val="00383F03"/>
    <w:rsid w:val="00385AFF"/>
    <w:rsid w:val="00390F1E"/>
    <w:rsid w:val="00390F36"/>
    <w:rsid w:val="003910FB"/>
    <w:rsid w:val="00391D78"/>
    <w:rsid w:val="003922DF"/>
    <w:rsid w:val="00392B2C"/>
    <w:rsid w:val="00394C73"/>
    <w:rsid w:val="00395CB7"/>
    <w:rsid w:val="00395FF8"/>
    <w:rsid w:val="003A08FB"/>
    <w:rsid w:val="003A136A"/>
    <w:rsid w:val="003A1ACE"/>
    <w:rsid w:val="003A2939"/>
    <w:rsid w:val="003A31E8"/>
    <w:rsid w:val="003A435D"/>
    <w:rsid w:val="003A501E"/>
    <w:rsid w:val="003A614C"/>
    <w:rsid w:val="003A6192"/>
    <w:rsid w:val="003A7A8D"/>
    <w:rsid w:val="003B0C2F"/>
    <w:rsid w:val="003B1D75"/>
    <w:rsid w:val="003B2384"/>
    <w:rsid w:val="003B2C1C"/>
    <w:rsid w:val="003B2DBE"/>
    <w:rsid w:val="003B3263"/>
    <w:rsid w:val="003B4CBD"/>
    <w:rsid w:val="003B5790"/>
    <w:rsid w:val="003B59C8"/>
    <w:rsid w:val="003B746F"/>
    <w:rsid w:val="003C0104"/>
    <w:rsid w:val="003C287F"/>
    <w:rsid w:val="003C2A7E"/>
    <w:rsid w:val="003C3066"/>
    <w:rsid w:val="003C3D5E"/>
    <w:rsid w:val="003C3E28"/>
    <w:rsid w:val="003C4D0A"/>
    <w:rsid w:val="003C4E6F"/>
    <w:rsid w:val="003C6235"/>
    <w:rsid w:val="003D0490"/>
    <w:rsid w:val="003D64F8"/>
    <w:rsid w:val="003D66EC"/>
    <w:rsid w:val="003D70B9"/>
    <w:rsid w:val="003D7756"/>
    <w:rsid w:val="003D7A09"/>
    <w:rsid w:val="003E12A8"/>
    <w:rsid w:val="003E1349"/>
    <w:rsid w:val="003E17C8"/>
    <w:rsid w:val="003E20F0"/>
    <w:rsid w:val="003E21E9"/>
    <w:rsid w:val="003E2E68"/>
    <w:rsid w:val="003E2F85"/>
    <w:rsid w:val="003E4F57"/>
    <w:rsid w:val="003E528C"/>
    <w:rsid w:val="003E70EB"/>
    <w:rsid w:val="003E7E86"/>
    <w:rsid w:val="003F0F93"/>
    <w:rsid w:val="003F1726"/>
    <w:rsid w:val="003F1F4D"/>
    <w:rsid w:val="003F25F9"/>
    <w:rsid w:val="003F2BA2"/>
    <w:rsid w:val="003F330B"/>
    <w:rsid w:val="003F3335"/>
    <w:rsid w:val="003F6F31"/>
    <w:rsid w:val="003F7E75"/>
    <w:rsid w:val="004003A3"/>
    <w:rsid w:val="0040249B"/>
    <w:rsid w:val="00403FB4"/>
    <w:rsid w:val="004042E2"/>
    <w:rsid w:val="0040564D"/>
    <w:rsid w:val="00406333"/>
    <w:rsid w:val="0040686F"/>
    <w:rsid w:val="00406A2A"/>
    <w:rsid w:val="00412081"/>
    <w:rsid w:val="004128C3"/>
    <w:rsid w:val="004145F7"/>
    <w:rsid w:val="00415145"/>
    <w:rsid w:val="004159E8"/>
    <w:rsid w:val="00415AEF"/>
    <w:rsid w:val="00417CB2"/>
    <w:rsid w:val="0042277F"/>
    <w:rsid w:val="00423F97"/>
    <w:rsid w:val="00425F99"/>
    <w:rsid w:val="00426B0B"/>
    <w:rsid w:val="004275D4"/>
    <w:rsid w:val="004309CE"/>
    <w:rsid w:val="00434359"/>
    <w:rsid w:val="0043441F"/>
    <w:rsid w:val="00437EFE"/>
    <w:rsid w:val="00441BCA"/>
    <w:rsid w:val="00441E92"/>
    <w:rsid w:val="00442039"/>
    <w:rsid w:val="004424D2"/>
    <w:rsid w:val="0044323A"/>
    <w:rsid w:val="004447B9"/>
    <w:rsid w:val="0044605A"/>
    <w:rsid w:val="00447C5B"/>
    <w:rsid w:val="00450523"/>
    <w:rsid w:val="00450533"/>
    <w:rsid w:val="00452120"/>
    <w:rsid w:val="00453CBC"/>
    <w:rsid w:val="00454785"/>
    <w:rsid w:val="00455566"/>
    <w:rsid w:val="00457731"/>
    <w:rsid w:val="00457A11"/>
    <w:rsid w:val="004608B3"/>
    <w:rsid w:val="00460B8B"/>
    <w:rsid w:val="004618B2"/>
    <w:rsid w:val="00461B5F"/>
    <w:rsid w:val="00463446"/>
    <w:rsid w:val="0046382E"/>
    <w:rsid w:val="004728D7"/>
    <w:rsid w:val="00472B97"/>
    <w:rsid w:val="00472EBC"/>
    <w:rsid w:val="00473AC7"/>
    <w:rsid w:val="00475551"/>
    <w:rsid w:val="004755E6"/>
    <w:rsid w:val="0047700C"/>
    <w:rsid w:val="0047710E"/>
    <w:rsid w:val="00477A32"/>
    <w:rsid w:val="00480C40"/>
    <w:rsid w:val="00481524"/>
    <w:rsid w:val="00485AA7"/>
    <w:rsid w:val="00486023"/>
    <w:rsid w:val="00486362"/>
    <w:rsid w:val="004875E0"/>
    <w:rsid w:val="00491146"/>
    <w:rsid w:val="00492001"/>
    <w:rsid w:val="00492237"/>
    <w:rsid w:val="00493F3C"/>
    <w:rsid w:val="004944CD"/>
    <w:rsid w:val="00495A59"/>
    <w:rsid w:val="004960B6"/>
    <w:rsid w:val="00496C8D"/>
    <w:rsid w:val="00497CA8"/>
    <w:rsid w:val="00497E54"/>
    <w:rsid w:val="00497EE3"/>
    <w:rsid w:val="004A1D67"/>
    <w:rsid w:val="004A21A4"/>
    <w:rsid w:val="004A554D"/>
    <w:rsid w:val="004B1FFB"/>
    <w:rsid w:val="004B4C29"/>
    <w:rsid w:val="004B50C7"/>
    <w:rsid w:val="004B566A"/>
    <w:rsid w:val="004B6B60"/>
    <w:rsid w:val="004B7ACE"/>
    <w:rsid w:val="004B7EAB"/>
    <w:rsid w:val="004C029F"/>
    <w:rsid w:val="004C0615"/>
    <w:rsid w:val="004C1DD6"/>
    <w:rsid w:val="004C2360"/>
    <w:rsid w:val="004C311C"/>
    <w:rsid w:val="004C48BF"/>
    <w:rsid w:val="004C7DD6"/>
    <w:rsid w:val="004D3678"/>
    <w:rsid w:val="004D495D"/>
    <w:rsid w:val="004D4F36"/>
    <w:rsid w:val="004D604F"/>
    <w:rsid w:val="004E19CB"/>
    <w:rsid w:val="004E25E6"/>
    <w:rsid w:val="004E36EA"/>
    <w:rsid w:val="004E476A"/>
    <w:rsid w:val="004E4858"/>
    <w:rsid w:val="004E558C"/>
    <w:rsid w:val="004E60B0"/>
    <w:rsid w:val="004E69B7"/>
    <w:rsid w:val="004E6EC1"/>
    <w:rsid w:val="004E71C6"/>
    <w:rsid w:val="004E75E9"/>
    <w:rsid w:val="004F0363"/>
    <w:rsid w:val="004F2B8E"/>
    <w:rsid w:val="004F2F53"/>
    <w:rsid w:val="004F6665"/>
    <w:rsid w:val="004F7BC7"/>
    <w:rsid w:val="0050089A"/>
    <w:rsid w:val="00501B56"/>
    <w:rsid w:val="00503111"/>
    <w:rsid w:val="00503FE7"/>
    <w:rsid w:val="0050508D"/>
    <w:rsid w:val="005050F0"/>
    <w:rsid w:val="005062A5"/>
    <w:rsid w:val="0050680C"/>
    <w:rsid w:val="00506875"/>
    <w:rsid w:val="0051293F"/>
    <w:rsid w:val="00512AB1"/>
    <w:rsid w:val="00513598"/>
    <w:rsid w:val="005141AF"/>
    <w:rsid w:val="005141E3"/>
    <w:rsid w:val="00514D41"/>
    <w:rsid w:val="005153D0"/>
    <w:rsid w:val="00517121"/>
    <w:rsid w:val="00517BB4"/>
    <w:rsid w:val="00520690"/>
    <w:rsid w:val="005213CA"/>
    <w:rsid w:val="00521B9B"/>
    <w:rsid w:val="00521F79"/>
    <w:rsid w:val="00522B70"/>
    <w:rsid w:val="00522E98"/>
    <w:rsid w:val="005235D2"/>
    <w:rsid w:val="005256B4"/>
    <w:rsid w:val="005264A1"/>
    <w:rsid w:val="005272F5"/>
    <w:rsid w:val="0052740C"/>
    <w:rsid w:val="0053004B"/>
    <w:rsid w:val="00530CD4"/>
    <w:rsid w:val="00531FE2"/>
    <w:rsid w:val="00533E19"/>
    <w:rsid w:val="00535704"/>
    <w:rsid w:val="00535733"/>
    <w:rsid w:val="00537152"/>
    <w:rsid w:val="0053740D"/>
    <w:rsid w:val="00537471"/>
    <w:rsid w:val="0054009C"/>
    <w:rsid w:val="00540673"/>
    <w:rsid w:val="00542820"/>
    <w:rsid w:val="00544C0D"/>
    <w:rsid w:val="00544CA0"/>
    <w:rsid w:val="00544E8C"/>
    <w:rsid w:val="00546E00"/>
    <w:rsid w:val="00547EE6"/>
    <w:rsid w:val="005501E3"/>
    <w:rsid w:val="005507C6"/>
    <w:rsid w:val="0055481F"/>
    <w:rsid w:val="00555517"/>
    <w:rsid w:val="00555D3F"/>
    <w:rsid w:val="005560B8"/>
    <w:rsid w:val="0055690E"/>
    <w:rsid w:val="00556D10"/>
    <w:rsid w:val="005601CA"/>
    <w:rsid w:val="00560424"/>
    <w:rsid w:val="00562CCE"/>
    <w:rsid w:val="00563BAC"/>
    <w:rsid w:val="00564DA2"/>
    <w:rsid w:val="005670AB"/>
    <w:rsid w:val="00567C0D"/>
    <w:rsid w:val="0057004B"/>
    <w:rsid w:val="00570E67"/>
    <w:rsid w:val="005714AC"/>
    <w:rsid w:val="00573C52"/>
    <w:rsid w:val="00577459"/>
    <w:rsid w:val="00577D82"/>
    <w:rsid w:val="00580F1A"/>
    <w:rsid w:val="005818AF"/>
    <w:rsid w:val="00582690"/>
    <w:rsid w:val="005838BD"/>
    <w:rsid w:val="00583A16"/>
    <w:rsid w:val="00584653"/>
    <w:rsid w:val="00585379"/>
    <w:rsid w:val="00594AD3"/>
    <w:rsid w:val="005A0491"/>
    <w:rsid w:val="005A06BA"/>
    <w:rsid w:val="005A115A"/>
    <w:rsid w:val="005A1819"/>
    <w:rsid w:val="005A1936"/>
    <w:rsid w:val="005A1C0F"/>
    <w:rsid w:val="005A4D62"/>
    <w:rsid w:val="005A7B1A"/>
    <w:rsid w:val="005B02ED"/>
    <w:rsid w:val="005B09F3"/>
    <w:rsid w:val="005B0B02"/>
    <w:rsid w:val="005B3342"/>
    <w:rsid w:val="005B417F"/>
    <w:rsid w:val="005B4717"/>
    <w:rsid w:val="005B5974"/>
    <w:rsid w:val="005B6226"/>
    <w:rsid w:val="005B7D8F"/>
    <w:rsid w:val="005C12D4"/>
    <w:rsid w:val="005C1AB3"/>
    <w:rsid w:val="005C1E45"/>
    <w:rsid w:val="005C4B86"/>
    <w:rsid w:val="005C57F1"/>
    <w:rsid w:val="005D0620"/>
    <w:rsid w:val="005D1EA5"/>
    <w:rsid w:val="005D78EE"/>
    <w:rsid w:val="005E2A9D"/>
    <w:rsid w:val="005E3F3A"/>
    <w:rsid w:val="005E4231"/>
    <w:rsid w:val="005E4941"/>
    <w:rsid w:val="005E6568"/>
    <w:rsid w:val="005E7A80"/>
    <w:rsid w:val="005E7C7E"/>
    <w:rsid w:val="005E7D40"/>
    <w:rsid w:val="005F2603"/>
    <w:rsid w:val="005F271B"/>
    <w:rsid w:val="005F29EF"/>
    <w:rsid w:val="005F4204"/>
    <w:rsid w:val="005F433F"/>
    <w:rsid w:val="005F43AB"/>
    <w:rsid w:val="005F5F10"/>
    <w:rsid w:val="005F716D"/>
    <w:rsid w:val="005F72F3"/>
    <w:rsid w:val="00600CF9"/>
    <w:rsid w:val="006010D1"/>
    <w:rsid w:val="00602C40"/>
    <w:rsid w:val="00604784"/>
    <w:rsid w:val="00607C31"/>
    <w:rsid w:val="00607E89"/>
    <w:rsid w:val="00610AAD"/>
    <w:rsid w:val="006117B8"/>
    <w:rsid w:val="00613E1F"/>
    <w:rsid w:val="00613EE6"/>
    <w:rsid w:val="006143ED"/>
    <w:rsid w:val="006148CA"/>
    <w:rsid w:val="006163C6"/>
    <w:rsid w:val="00616921"/>
    <w:rsid w:val="00616ED3"/>
    <w:rsid w:val="00616EE1"/>
    <w:rsid w:val="0061747F"/>
    <w:rsid w:val="0061760B"/>
    <w:rsid w:val="00617A25"/>
    <w:rsid w:val="00620722"/>
    <w:rsid w:val="00620F79"/>
    <w:rsid w:val="006227EB"/>
    <w:rsid w:val="006233B6"/>
    <w:rsid w:val="006253CE"/>
    <w:rsid w:val="00625AFA"/>
    <w:rsid w:val="00625DC1"/>
    <w:rsid w:val="006300FC"/>
    <w:rsid w:val="00630C42"/>
    <w:rsid w:val="0063212F"/>
    <w:rsid w:val="0063297B"/>
    <w:rsid w:val="006350AE"/>
    <w:rsid w:val="0063574F"/>
    <w:rsid w:val="006378AA"/>
    <w:rsid w:val="0064038E"/>
    <w:rsid w:val="006405E3"/>
    <w:rsid w:val="0064181F"/>
    <w:rsid w:val="00643B5E"/>
    <w:rsid w:val="00644172"/>
    <w:rsid w:val="0064712B"/>
    <w:rsid w:val="00647BCD"/>
    <w:rsid w:val="00647F53"/>
    <w:rsid w:val="00650395"/>
    <w:rsid w:val="0065064B"/>
    <w:rsid w:val="00651730"/>
    <w:rsid w:val="0065265F"/>
    <w:rsid w:val="0065663F"/>
    <w:rsid w:val="00656B48"/>
    <w:rsid w:val="00657956"/>
    <w:rsid w:val="00661DDB"/>
    <w:rsid w:val="006636F0"/>
    <w:rsid w:val="00664505"/>
    <w:rsid w:val="00664D39"/>
    <w:rsid w:val="006652A8"/>
    <w:rsid w:val="00667814"/>
    <w:rsid w:val="006712F3"/>
    <w:rsid w:val="00671306"/>
    <w:rsid w:val="00671532"/>
    <w:rsid w:val="00671F95"/>
    <w:rsid w:val="0067252F"/>
    <w:rsid w:val="00672637"/>
    <w:rsid w:val="00673FB5"/>
    <w:rsid w:val="00674029"/>
    <w:rsid w:val="006744D7"/>
    <w:rsid w:val="00677BC2"/>
    <w:rsid w:val="00677CFE"/>
    <w:rsid w:val="006815B5"/>
    <w:rsid w:val="00681BC2"/>
    <w:rsid w:val="00681CFB"/>
    <w:rsid w:val="0068233F"/>
    <w:rsid w:val="00682725"/>
    <w:rsid w:val="006832A1"/>
    <w:rsid w:val="00684F7A"/>
    <w:rsid w:val="00685266"/>
    <w:rsid w:val="00685B84"/>
    <w:rsid w:val="006860FB"/>
    <w:rsid w:val="006864E7"/>
    <w:rsid w:val="006904C0"/>
    <w:rsid w:val="00693975"/>
    <w:rsid w:val="00693B25"/>
    <w:rsid w:val="006951F0"/>
    <w:rsid w:val="00695AC6"/>
    <w:rsid w:val="00696759"/>
    <w:rsid w:val="006A0929"/>
    <w:rsid w:val="006A359F"/>
    <w:rsid w:val="006A4147"/>
    <w:rsid w:val="006A4C02"/>
    <w:rsid w:val="006A58F1"/>
    <w:rsid w:val="006A6713"/>
    <w:rsid w:val="006A67A7"/>
    <w:rsid w:val="006A68A7"/>
    <w:rsid w:val="006A73C5"/>
    <w:rsid w:val="006A7790"/>
    <w:rsid w:val="006A780C"/>
    <w:rsid w:val="006B00C7"/>
    <w:rsid w:val="006B26FA"/>
    <w:rsid w:val="006B417C"/>
    <w:rsid w:val="006B4FD7"/>
    <w:rsid w:val="006B629D"/>
    <w:rsid w:val="006B6747"/>
    <w:rsid w:val="006B6EFD"/>
    <w:rsid w:val="006C29F4"/>
    <w:rsid w:val="006C29F6"/>
    <w:rsid w:val="006C2C23"/>
    <w:rsid w:val="006C30DB"/>
    <w:rsid w:val="006C3523"/>
    <w:rsid w:val="006C4387"/>
    <w:rsid w:val="006C4742"/>
    <w:rsid w:val="006C54BA"/>
    <w:rsid w:val="006C5532"/>
    <w:rsid w:val="006C77AB"/>
    <w:rsid w:val="006D034F"/>
    <w:rsid w:val="006D0A6A"/>
    <w:rsid w:val="006D12BD"/>
    <w:rsid w:val="006D2D68"/>
    <w:rsid w:val="006D32F9"/>
    <w:rsid w:val="006D5207"/>
    <w:rsid w:val="006D63E9"/>
    <w:rsid w:val="006D6647"/>
    <w:rsid w:val="006D745C"/>
    <w:rsid w:val="006D7A67"/>
    <w:rsid w:val="006E1BA8"/>
    <w:rsid w:val="006E4A55"/>
    <w:rsid w:val="006E4D11"/>
    <w:rsid w:val="006E6059"/>
    <w:rsid w:val="006E623A"/>
    <w:rsid w:val="006E6CEF"/>
    <w:rsid w:val="006E6FFE"/>
    <w:rsid w:val="006E7EDA"/>
    <w:rsid w:val="006F006B"/>
    <w:rsid w:val="006F0474"/>
    <w:rsid w:val="006F094D"/>
    <w:rsid w:val="006F0AE0"/>
    <w:rsid w:val="006F0F9B"/>
    <w:rsid w:val="006F1004"/>
    <w:rsid w:val="006F1A42"/>
    <w:rsid w:val="006F1ED0"/>
    <w:rsid w:val="006F401D"/>
    <w:rsid w:val="006F4548"/>
    <w:rsid w:val="006F5DB9"/>
    <w:rsid w:val="006F63D7"/>
    <w:rsid w:val="006F6A0A"/>
    <w:rsid w:val="006F79B8"/>
    <w:rsid w:val="00700639"/>
    <w:rsid w:val="00701087"/>
    <w:rsid w:val="007026C5"/>
    <w:rsid w:val="007028F9"/>
    <w:rsid w:val="00704477"/>
    <w:rsid w:val="0070582D"/>
    <w:rsid w:val="007062C2"/>
    <w:rsid w:val="0070644B"/>
    <w:rsid w:val="00706EE8"/>
    <w:rsid w:val="00707021"/>
    <w:rsid w:val="00707B1E"/>
    <w:rsid w:val="0071112C"/>
    <w:rsid w:val="007113BE"/>
    <w:rsid w:val="00711952"/>
    <w:rsid w:val="0071280B"/>
    <w:rsid w:val="007139C4"/>
    <w:rsid w:val="00714185"/>
    <w:rsid w:val="00714E63"/>
    <w:rsid w:val="00716869"/>
    <w:rsid w:val="00717C57"/>
    <w:rsid w:val="00726FAE"/>
    <w:rsid w:val="0072722D"/>
    <w:rsid w:val="0073060A"/>
    <w:rsid w:val="00731713"/>
    <w:rsid w:val="0073361B"/>
    <w:rsid w:val="00734554"/>
    <w:rsid w:val="00734C2E"/>
    <w:rsid w:val="007353A9"/>
    <w:rsid w:val="00735CA0"/>
    <w:rsid w:val="007367C7"/>
    <w:rsid w:val="00737078"/>
    <w:rsid w:val="00741EBF"/>
    <w:rsid w:val="00743FC4"/>
    <w:rsid w:val="007446E3"/>
    <w:rsid w:val="00746144"/>
    <w:rsid w:val="00746328"/>
    <w:rsid w:val="00746C1A"/>
    <w:rsid w:val="00747136"/>
    <w:rsid w:val="007476DF"/>
    <w:rsid w:val="007501C8"/>
    <w:rsid w:val="00750769"/>
    <w:rsid w:val="007509ED"/>
    <w:rsid w:val="00753859"/>
    <w:rsid w:val="00753A11"/>
    <w:rsid w:val="00753A38"/>
    <w:rsid w:val="00754216"/>
    <w:rsid w:val="0075424E"/>
    <w:rsid w:val="00756551"/>
    <w:rsid w:val="00756570"/>
    <w:rsid w:val="00756D77"/>
    <w:rsid w:val="007605D3"/>
    <w:rsid w:val="00762990"/>
    <w:rsid w:val="00763406"/>
    <w:rsid w:val="007649EC"/>
    <w:rsid w:val="007655DB"/>
    <w:rsid w:val="00770AC7"/>
    <w:rsid w:val="0077276B"/>
    <w:rsid w:val="007735EC"/>
    <w:rsid w:val="00774120"/>
    <w:rsid w:val="00774849"/>
    <w:rsid w:val="00775014"/>
    <w:rsid w:val="00776B74"/>
    <w:rsid w:val="007772CE"/>
    <w:rsid w:val="00777752"/>
    <w:rsid w:val="00777B56"/>
    <w:rsid w:val="00780663"/>
    <w:rsid w:val="00780852"/>
    <w:rsid w:val="00780B08"/>
    <w:rsid w:val="00781015"/>
    <w:rsid w:val="007814B8"/>
    <w:rsid w:val="0078234D"/>
    <w:rsid w:val="007839BA"/>
    <w:rsid w:val="00783E42"/>
    <w:rsid w:val="00784AA5"/>
    <w:rsid w:val="00785113"/>
    <w:rsid w:val="00785B10"/>
    <w:rsid w:val="0078603A"/>
    <w:rsid w:val="00791345"/>
    <w:rsid w:val="00792CE4"/>
    <w:rsid w:val="00792E65"/>
    <w:rsid w:val="00793F57"/>
    <w:rsid w:val="00794634"/>
    <w:rsid w:val="00795865"/>
    <w:rsid w:val="00795E5B"/>
    <w:rsid w:val="007977CD"/>
    <w:rsid w:val="007978FA"/>
    <w:rsid w:val="007A053D"/>
    <w:rsid w:val="007A17B4"/>
    <w:rsid w:val="007A18DD"/>
    <w:rsid w:val="007A1913"/>
    <w:rsid w:val="007A23F0"/>
    <w:rsid w:val="007A28E5"/>
    <w:rsid w:val="007A3386"/>
    <w:rsid w:val="007A457A"/>
    <w:rsid w:val="007A5605"/>
    <w:rsid w:val="007A6B11"/>
    <w:rsid w:val="007B0DD3"/>
    <w:rsid w:val="007B1DF3"/>
    <w:rsid w:val="007B47AF"/>
    <w:rsid w:val="007C0060"/>
    <w:rsid w:val="007C1B07"/>
    <w:rsid w:val="007C2CCA"/>
    <w:rsid w:val="007C3C5C"/>
    <w:rsid w:val="007C620C"/>
    <w:rsid w:val="007C6B2E"/>
    <w:rsid w:val="007C77D9"/>
    <w:rsid w:val="007C77F3"/>
    <w:rsid w:val="007C79C7"/>
    <w:rsid w:val="007C7DB1"/>
    <w:rsid w:val="007D1331"/>
    <w:rsid w:val="007D13EB"/>
    <w:rsid w:val="007D1971"/>
    <w:rsid w:val="007D37F0"/>
    <w:rsid w:val="007D400C"/>
    <w:rsid w:val="007D580A"/>
    <w:rsid w:val="007E0C24"/>
    <w:rsid w:val="007E4EA9"/>
    <w:rsid w:val="007F02F6"/>
    <w:rsid w:val="007F0CA8"/>
    <w:rsid w:val="007F0D2A"/>
    <w:rsid w:val="007F1255"/>
    <w:rsid w:val="007F2BCC"/>
    <w:rsid w:val="007F497F"/>
    <w:rsid w:val="007F6454"/>
    <w:rsid w:val="007F6589"/>
    <w:rsid w:val="007F7885"/>
    <w:rsid w:val="00800038"/>
    <w:rsid w:val="00801359"/>
    <w:rsid w:val="00801671"/>
    <w:rsid w:val="00801672"/>
    <w:rsid w:val="0080193F"/>
    <w:rsid w:val="00801BF8"/>
    <w:rsid w:val="00802496"/>
    <w:rsid w:val="00804CBF"/>
    <w:rsid w:val="008053AC"/>
    <w:rsid w:val="00806EE9"/>
    <w:rsid w:val="008075ED"/>
    <w:rsid w:val="00807645"/>
    <w:rsid w:val="00811D8B"/>
    <w:rsid w:val="00812B9E"/>
    <w:rsid w:val="00813A86"/>
    <w:rsid w:val="00814EDA"/>
    <w:rsid w:val="008155AA"/>
    <w:rsid w:val="0081578E"/>
    <w:rsid w:val="0081582E"/>
    <w:rsid w:val="00815B75"/>
    <w:rsid w:val="0081626C"/>
    <w:rsid w:val="00816533"/>
    <w:rsid w:val="00816551"/>
    <w:rsid w:val="00821CE8"/>
    <w:rsid w:val="008231C2"/>
    <w:rsid w:val="00823C3D"/>
    <w:rsid w:val="00824842"/>
    <w:rsid w:val="00824A61"/>
    <w:rsid w:val="00826170"/>
    <w:rsid w:val="0082703F"/>
    <w:rsid w:val="008306FA"/>
    <w:rsid w:val="00830BA7"/>
    <w:rsid w:val="008328DC"/>
    <w:rsid w:val="00832BB7"/>
    <w:rsid w:val="00832E99"/>
    <w:rsid w:val="00833184"/>
    <w:rsid w:val="0083357F"/>
    <w:rsid w:val="0083625B"/>
    <w:rsid w:val="00837ED3"/>
    <w:rsid w:val="00840835"/>
    <w:rsid w:val="0084119E"/>
    <w:rsid w:val="00841EF3"/>
    <w:rsid w:val="008422A1"/>
    <w:rsid w:val="008424F3"/>
    <w:rsid w:val="00842890"/>
    <w:rsid w:val="00843E42"/>
    <w:rsid w:val="0084410F"/>
    <w:rsid w:val="0084445A"/>
    <w:rsid w:val="00844AA0"/>
    <w:rsid w:val="00850CA3"/>
    <w:rsid w:val="008512DD"/>
    <w:rsid w:val="008514D8"/>
    <w:rsid w:val="008519FE"/>
    <w:rsid w:val="00853202"/>
    <w:rsid w:val="00853629"/>
    <w:rsid w:val="00854EE9"/>
    <w:rsid w:val="00855CF1"/>
    <w:rsid w:val="008577E7"/>
    <w:rsid w:val="008603AD"/>
    <w:rsid w:val="008617C3"/>
    <w:rsid w:val="00861D26"/>
    <w:rsid w:val="00863F77"/>
    <w:rsid w:val="00864C8A"/>
    <w:rsid w:val="00864CA8"/>
    <w:rsid w:val="00865631"/>
    <w:rsid w:val="00866B48"/>
    <w:rsid w:val="00870EF7"/>
    <w:rsid w:val="0087332E"/>
    <w:rsid w:val="008753B3"/>
    <w:rsid w:val="00875612"/>
    <w:rsid w:val="00877031"/>
    <w:rsid w:val="00880368"/>
    <w:rsid w:val="00880BBE"/>
    <w:rsid w:val="008810BB"/>
    <w:rsid w:val="00881790"/>
    <w:rsid w:val="00882108"/>
    <w:rsid w:val="00883461"/>
    <w:rsid w:val="00885CA1"/>
    <w:rsid w:val="00886B0D"/>
    <w:rsid w:val="00887D19"/>
    <w:rsid w:val="0089033C"/>
    <w:rsid w:val="008906A8"/>
    <w:rsid w:val="008918B9"/>
    <w:rsid w:val="008922AA"/>
    <w:rsid w:val="00893087"/>
    <w:rsid w:val="00893373"/>
    <w:rsid w:val="00893C60"/>
    <w:rsid w:val="00893E8D"/>
    <w:rsid w:val="00894B79"/>
    <w:rsid w:val="00895A81"/>
    <w:rsid w:val="00896F33"/>
    <w:rsid w:val="00896FBA"/>
    <w:rsid w:val="00897C8E"/>
    <w:rsid w:val="008A0973"/>
    <w:rsid w:val="008A0C66"/>
    <w:rsid w:val="008A2206"/>
    <w:rsid w:val="008A24F0"/>
    <w:rsid w:val="008A289A"/>
    <w:rsid w:val="008A2981"/>
    <w:rsid w:val="008A2DBC"/>
    <w:rsid w:val="008A3B78"/>
    <w:rsid w:val="008A5BC1"/>
    <w:rsid w:val="008A6185"/>
    <w:rsid w:val="008A6822"/>
    <w:rsid w:val="008B03AF"/>
    <w:rsid w:val="008B083E"/>
    <w:rsid w:val="008B0B4E"/>
    <w:rsid w:val="008B1271"/>
    <w:rsid w:val="008B184B"/>
    <w:rsid w:val="008B28A3"/>
    <w:rsid w:val="008B36F4"/>
    <w:rsid w:val="008B4737"/>
    <w:rsid w:val="008B479E"/>
    <w:rsid w:val="008B4ADE"/>
    <w:rsid w:val="008B5115"/>
    <w:rsid w:val="008B5BE8"/>
    <w:rsid w:val="008B6000"/>
    <w:rsid w:val="008B7849"/>
    <w:rsid w:val="008B7CD1"/>
    <w:rsid w:val="008C05DC"/>
    <w:rsid w:val="008C0D4B"/>
    <w:rsid w:val="008C1441"/>
    <w:rsid w:val="008C1AF5"/>
    <w:rsid w:val="008C1CA0"/>
    <w:rsid w:val="008C2A55"/>
    <w:rsid w:val="008C6614"/>
    <w:rsid w:val="008C6683"/>
    <w:rsid w:val="008C7956"/>
    <w:rsid w:val="008D06F9"/>
    <w:rsid w:val="008D082C"/>
    <w:rsid w:val="008D26D7"/>
    <w:rsid w:val="008D275C"/>
    <w:rsid w:val="008D2842"/>
    <w:rsid w:val="008D3317"/>
    <w:rsid w:val="008D39FB"/>
    <w:rsid w:val="008D54C6"/>
    <w:rsid w:val="008D7BC6"/>
    <w:rsid w:val="008E1F8E"/>
    <w:rsid w:val="008E37D6"/>
    <w:rsid w:val="008E51E7"/>
    <w:rsid w:val="008E539A"/>
    <w:rsid w:val="008E76AA"/>
    <w:rsid w:val="008F0B82"/>
    <w:rsid w:val="008F1FD0"/>
    <w:rsid w:val="008F2A95"/>
    <w:rsid w:val="008F2C3D"/>
    <w:rsid w:val="008F4D3B"/>
    <w:rsid w:val="008F6F5F"/>
    <w:rsid w:val="008F738A"/>
    <w:rsid w:val="008F74B6"/>
    <w:rsid w:val="008F79F2"/>
    <w:rsid w:val="008F7E29"/>
    <w:rsid w:val="009001EA"/>
    <w:rsid w:val="009009B7"/>
    <w:rsid w:val="0090157D"/>
    <w:rsid w:val="009024E6"/>
    <w:rsid w:val="00902CE8"/>
    <w:rsid w:val="00905136"/>
    <w:rsid w:val="00905F66"/>
    <w:rsid w:val="00907D7D"/>
    <w:rsid w:val="00910062"/>
    <w:rsid w:val="009104C4"/>
    <w:rsid w:val="0091080E"/>
    <w:rsid w:val="009128DB"/>
    <w:rsid w:val="00912E98"/>
    <w:rsid w:val="0091362E"/>
    <w:rsid w:val="00915B56"/>
    <w:rsid w:val="0091625F"/>
    <w:rsid w:val="00916522"/>
    <w:rsid w:val="0091783F"/>
    <w:rsid w:val="0092150E"/>
    <w:rsid w:val="0092295A"/>
    <w:rsid w:val="00923081"/>
    <w:rsid w:val="00923C7F"/>
    <w:rsid w:val="00924CAE"/>
    <w:rsid w:val="00924E95"/>
    <w:rsid w:val="00925CCA"/>
    <w:rsid w:val="0092717A"/>
    <w:rsid w:val="009303D3"/>
    <w:rsid w:val="009309DA"/>
    <w:rsid w:val="0093158A"/>
    <w:rsid w:val="00931BBA"/>
    <w:rsid w:val="00933E7C"/>
    <w:rsid w:val="00934B1C"/>
    <w:rsid w:val="00935F80"/>
    <w:rsid w:val="00936279"/>
    <w:rsid w:val="00936378"/>
    <w:rsid w:val="00942276"/>
    <w:rsid w:val="009444BA"/>
    <w:rsid w:val="00945A5C"/>
    <w:rsid w:val="00946BFE"/>
    <w:rsid w:val="00947D85"/>
    <w:rsid w:val="00951230"/>
    <w:rsid w:val="00951DFA"/>
    <w:rsid w:val="0095292D"/>
    <w:rsid w:val="00953352"/>
    <w:rsid w:val="0095394E"/>
    <w:rsid w:val="00953DDA"/>
    <w:rsid w:val="00954CCC"/>
    <w:rsid w:val="0095559C"/>
    <w:rsid w:val="00956C67"/>
    <w:rsid w:val="00957132"/>
    <w:rsid w:val="00957364"/>
    <w:rsid w:val="00957CAA"/>
    <w:rsid w:val="00957D6B"/>
    <w:rsid w:val="0096102D"/>
    <w:rsid w:val="00962CDF"/>
    <w:rsid w:val="00963A03"/>
    <w:rsid w:val="00965B5A"/>
    <w:rsid w:val="00965CB1"/>
    <w:rsid w:val="009664B6"/>
    <w:rsid w:val="00966B5E"/>
    <w:rsid w:val="00967027"/>
    <w:rsid w:val="00970BC5"/>
    <w:rsid w:val="0097343C"/>
    <w:rsid w:val="00973998"/>
    <w:rsid w:val="00974B1F"/>
    <w:rsid w:val="00976EA6"/>
    <w:rsid w:val="00976EE9"/>
    <w:rsid w:val="0097708B"/>
    <w:rsid w:val="009771C2"/>
    <w:rsid w:val="009776F3"/>
    <w:rsid w:val="0098054A"/>
    <w:rsid w:val="0098140B"/>
    <w:rsid w:val="00981C32"/>
    <w:rsid w:val="009845E7"/>
    <w:rsid w:val="00985A4A"/>
    <w:rsid w:val="00985F62"/>
    <w:rsid w:val="0098601F"/>
    <w:rsid w:val="00987447"/>
    <w:rsid w:val="009900BB"/>
    <w:rsid w:val="00991971"/>
    <w:rsid w:val="0099553A"/>
    <w:rsid w:val="009A0280"/>
    <w:rsid w:val="009A4DAD"/>
    <w:rsid w:val="009A4E22"/>
    <w:rsid w:val="009A588E"/>
    <w:rsid w:val="009A6363"/>
    <w:rsid w:val="009A760B"/>
    <w:rsid w:val="009B014D"/>
    <w:rsid w:val="009B1B55"/>
    <w:rsid w:val="009B2A4F"/>
    <w:rsid w:val="009B3E1A"/>
    <w:rsid w:val="009B49B2"/>
    <w:rsid w:val="009B4A80"/>
    <w:rsid w:val="009B4D10"/>
    <w:rsid w:val="009B655D"/>
    <w:rsid w:val="009B6874"/>
    <w:rsid w:val="009B79DC"/>
    <w:rsid w:val="009C0C25"/>
    <w:rsid w:val="009C2E0D"/>
    <w:rsid w:val="009C3FA2"/>
    <w:rsid w:val="009C4BC9"/>
    <w:rsid w:val="009C57D2"/>
    <w:rsid w:val="009C70BD"/>
    <w:rsid w:val="009C783A"/>
    <w:rsid w:val="009C7CF6"/>
    <w:rsid w:val="009D0714"/>
    <w:rsid w:val="009D0C4F"/>
    <w:rsid w:val="009D1340"/>
    <w:rsid w:val="009D30CE"/>
    <w:rsid w:val="009D35DE"/>
    <w:rsid w:val="009D3771"/>
    <w:rsid w:val="009D3EDE"/>
    <w:rsid w:val="009D5786"/>
    <w:rsid w:val="009D5D42"/>
    <w:rsid w:val="009D72AE"/>
    <w:rsid w:val="009D7562"/>
    <w:rsid w:val="009D7A0C"/>
    <w:rsid w:val="009E073C"/>
    <w:rsid w:val="009E0C34"/>
    <w:rsid w:val="009E123C"/>
    <w:rsid w:val="009E18C7"/>
    <w:rsid w:val="009E3646"/>
    <w:rsid w:val="009E3D50"/>
    <w:rsid w:val="009E4E0D"/>
    <w:rsid w:val="009E4F0B"/>
    <w:rsid w:val="009E4F37"/>
    <w:rsid w:val="009E55B1"/>
    <w:rsid w:val="009E5F6F"/>
    <w:rsid w:val="009E6D26"/>
    <w:rsid w:val="009E7382"/>
    <w:rsid w:val="009E7711"/>
    <w:rsid w:val="009E7ADB"/>
    <w:rsid w:val="009F0F7B"/>
    <w:rsid w:val="009F14DF"/>
    <w:rsid w:val="009F191C"/>
    <w:rsid w:val="009F302A"/>
    <w:rsid w:val="009F3874"/>
    <w:rsid w:val="009F3E4A"/>
    <w:rsid w:val="009F447C"/>
    <w:rsid w:val="009F4B1D"/>
    <w:rsid w:val="009F583F"/>
    <w:rsid w:val="009F5FD7"/>
    <w:rsid w:val="009F6358"/>
    <w:rsid w:val="009F72C0"/>
    <w:rsid w:val="00A014E6"/>
    <w:rsid w:val="00A0220A"/>
    <w:rsid w:val="00A025EB"/>
    <w:rsid w:val="00A034BA"/>
    <w:rsid w:val="00A03EE3"/>
    <w:rsid w:val="00A0404D"/>
    <w:rsid w:val="00A05EDC"/>
    <w:rsid w:val="00A05F90"/>
    <w:rsid w:val="00A1057D"/>
    <w:rsid w:val="00A1145C"/>
    <w:rsid w:val="00A127BA"/>
    <w:rsid w:val="00A1387B"/>
    <w:rsid w:val="00A14DBC"/>
    <w:rsid w:val="00A15A59"/>
    <w:rsid w:val="00A15FFD"/>
    <w:rsid w:val="00A16859"/>
    <w:rsid w:val="00A16C63"/>
    <w:rsid w:val="00A21167"/>
    <w:rsid w:val="00A212EA"/>
    <w:rsid w:val="00A214A8"/>
    <w:rsid w:val="00A225B5"/>
    <w:rsid w:val="00A225EF"/>
    <w:rsid w:val="00A235FF"/>
    <w:rsid w:val="00A23B5C"/>
    <w:rsid w:val="00A23F11"/>
    <w:rsid w:val="00A259B1"/>
    <w:rsid w:val="00A25AC4"/>
    <w:rsid w:val="00A25AE2"/>
    <w:rsid w:val="00A274C6"/>
    <w:rsid w:val="00A27BB8"/>
    <w:rsid w:val="00A27C1E"/>
    <w:rsid w:val="00A30D10"/>
    <w:rsid w:val="00A31002"/>
    <w:rsid w:val="00A34E0B"/>
    <w:rsid w:val="00A357F5"/>
    <w:rsid w:val="00A35EF3"/>
    <w:rsid w:val="00A40247"/>
    <w:rsid w:val="00A40438"/>
    <w:rsid w:val="00A4104E"/>
    <w:rsid w:val="00A41474"/>
    <w:rsid w:val="00A4576C"/>
    <w:rsid w:val="00A46A8B"/>
    <w:rsid w:val="00A4779C"/>
    <w:rsid w:val="00A47BE7"/>
    <w:rsid w:val="00A51C87"/>
    <w:rsid w:val="00A51DF5"/>
    <w:rsid w:val="00A529D5"/>
    <w:rsid w:val="00A52B02"/>
    <w:rsid w:val="00A533C6"/>
    <w:rsid w:val="00A53848"/>
    <w:rsid w:val="00A5589C"/>
    <w:rsid w:val="00A56903"/>
    <w:rsid w:val="00A572E3"/>
    <w:rsid w:val="00A573D9"/>
    <w:rsid w:val="00A57EB3"/>
    <w:rsid w:val="00A605D6"/>
    <w:rsid w:val="00A608F9"/>
    <w:rsid w:val="00A64641"/>
    <w:rsid w:val="00A64841"/>
    <w:rsid w:val="00A64E0B"/>
    <w:rsid w:val="00A65502"/>
    <w:rsid w:val="00A6597C"/>
    <w:rsid w:val="00A65FEF"/>
    <w:rsid w:val="00A66EC4"/>
    <w:rsid w:val="00A674AB"/>
    <w:rsid w:val="00A70823"/>
    <w:rsid w:val="00A715AE"/>
    <w:rsid w:val="00A71ECD"/>
    <w:rsid w:val="00A76216"/>
    <w:rsid w:val="00A770CB"/>
    <w:rsid w:val="00A777C7"/>
    <w:rsid w:val="00A77975"/>
    <w:rsid w:val="00A77EC6"/>
    <w:rsid w:val="00A80A71"/>
    <w:rsid w:val="00A81869"/>
    <w:rsid w:val="00A822AC"/>
    <w:rsid w:val="00A83068"/>
    <w:rsid w:val="00A83F5B"/>
    <w:rsid w:val="00A847F4"/>
    <w:rsid w:val="00A86A43"/>
    <w:rsid w:val="00A925A1"/>
    <w:rsid w:val="00A92A60"/>
    <w:rsid w:val="00A92FFE"/>
    <w:rsid w:val="00A943C1"/>
    <w:rsid w:val="00A94C4C"/>
    <w:rsid w:val="00A956FB"/>
    <w:rsid w:val="00A96677"/>
    <w:rsid w:val="00A97377"/>
    <w:rsid w:val="00A975ED"/>
    <w:rsid w:val="00A97B42"/>
    <w:rsid w:val="00A97F71"/>
    <w:rsid w:val="00AA2665"/>
    <w:rsid w:val="00AA34D6"/>
    <w:rsid w:val="00AA3765"/>
    <w:rsid w:val="00AA3A0D"/>
    <w:rsid w:val="00AA40B0"/>
    <w:rsid w:val="00AA4779"/>
    <w:rsid w:val="00AA5ACD"/>
    <w:rsid w:val="00AA6095"/>
    <w:rsid w:val="00AA705F"/>
    <w:rsid w:val="00AA7551"/>
    <w:rsid w:val="00AA7A53"/>
    <w:rsid w:val="00AB07F5"/>
    <w:rsid w:val="00AB21C7"/>
    <w:rsid w:val="00AB24A0"/>
    <w:rsid w:val="00AB25E4"/>
    <w:rsid w:val="00AB3A2D"/>
    <w:rsid w:val="00AB55C2"/>
    <w:rsid w:val="00AB6D0F"/>
    <w:rsid w:val="00AB7208"/>
    <w:rsid w:val="00AC0BCE"/>
    <w:rsid w:val="00AC1253"/>
    <w:rsid w:val="00AC1646"/>
    <w:rsid w:val="00AC5BD1"/>
    <w:rsid w:val="00AC5E5C"/>
    <w:rsid w:val="00AD0AD5"/>
    <w:rsid w:val="00AD0DF1"/>
    <w:rsid w:val="00AD27BC"/>
    <w:rsid w:val="00AD2B63"/>
    <w:rsid w:val="00AD36D7"/>
    <w:rsid w:val="00AD42E8"/>
    <w:rsid w:val="00AD43E4"/>
    <w:rsid w:val="00AD4B4A"/>
    <w:rsid w:val="00AD4FE9"/>
    <w:rsid w:val="00AD68D8"/>
    <w:rsid w:val="00AD6B10"/>
    <w:rsid w:val="00AE1461"/>
    <w:rsid w:val="00AE2C31"/>
    <w:rsid w:val="00AE5405"/>
    <w:rsid w:val="00AE57DD"/>
    <w:rsid w:val="00AE5D56"/>
    <w:rsid w:val="00AE6878"/>
    <w:rsid w:val="00AE6F8A"/>
    <w:rsid w:val="00AF47A7"/>
    <w:rsid w:val="00AF5603"/>
    <w:rsid w:val="00B002FC"/>
    <w:rsid w:val="00B009B9"/>
    <w:rsid w:val="00B01969"/>
    <w:rsid w:val="00B01E6C"/>
    <w:rsid w:val="00B02C08"/>
    <w:rsid w:val="00B036C0"/>
    <w:rsid w:val="00B06558"/>
    <w:rsid w:val="00B06745"/>
    <w:rsid w:val="00B077DE"/>
    <w:rsid w:val="00B105DA"/>
    <w:rsid w:val="00B11290"/>
    <w:rsid w:val="00B130EB"/>
    <w:rsid w:val="00B14F91"/>
    <w:rsid w:val="00B15DA8"/>
    <w:rsid w:val="00B15FBD"/>
    <w:rsid w:val="00B173AB"/>
    <w:rsid w:val="00B178D2"/>
    <w:rsid w:val="00B2017B"/>
    <w:rsid w:val="00B25025"/>
    <w:rsid w:val="00B25636"/>
    <w:rsid w:val="00B25A6D"/>
    <w:rsid w:val="00B25F88"/>
    <w:rsid w:val="00B26CC3"/>
    <w:rsid w:val="00B31FF9"/>
    <w:rsid w:val="00B32E76"/>
    <w:rsid w:val="00B34FD0"/>
    <w:rsid w:val="00B35A73"/>
    <w:rsid w:val="00B35C67"/>
    <w:rsid w:val="00B35CF2"/>
    <w:rsid w:val="00B363D1"/>
    <w:rsid w:val="00B40B32"/>
    <w:rsid w:val="00B411DD"/>
    <w:rsid w:val="00B41486"/>
    <w:rsid w:val="00B424CD"/>
    <w:rsid w:val="00B43B44"/>
    <w:rsid w:val="00B47B38"/>
    <w:rsid w:val="00B47E9C"/>
    <w:rsid w:val="00B5044D"/>
    <w:rsid w:val="00B5178C"/>
    <w:rsid w:val="00B53499"/>
    <w:rsid w:val="00B53B5A"/>
    <w:rsid w:val="00B5468D"/>
    <w:rsid w:val="00B555D8"/>
    <w:rsid w:val="00B575A9"/>
    <w:rsid w:val="00B630B8"/>
    <w:rsid w:val="00B63832"/>
    <w:rsid w:val="00B63D3D"/>
    <w:rsid w:val="00B649F2"/>
    <w:rsid w:val="00B653C8"/>
    <w:rsid w:val="00B66EEA"/>
    <w:rsid w:val="00B66FA7"/>
    <w:rsid w:val="00B67D01"/>
    <w:rsid w:val="00B71C44"/>
    <w:rsid w:val="00B71E9D"/>
    <w:rsid w:val="00B753C6"/>
    <w:rsid w:val="00B7589D"/>
    <w:rsid w:val="00B75DC9"/>
    <w:rsid w:val="00B770AB"/>
    <w:rsid w:val="00B77810"/>
    <w:rsid w:val="00B77859"/>
    <w:rsid w:val="00B80273"/>
    <w:rsid w:val="00B817D4"/>
    <w:rsid w:val="00B81CB9"/>
    <w:rsid w:val="00B82E0B"/>
    <w:rsid w:val="00B84AC2"/>
    <w:rsid w:val="00B85816"/>
    <w:rsid w:val="00B8691F"/>
    <w:rsid w:val="00B8721B"/>
    <w:rsid w:val="00B87F0C"/>
    <w:rsid w:val="00B90ACD"/>
    <w:rsid w:val="00B922BD"/>
    <w:rsid w:val="00B928DD"/>
    <w:rsid w:val="00B92EBF"/>
    <w:rsid w:val="00B936DE"/>
    <w:rsid w:val="00B94ADC"/>
    <w:rsid w:val="00B95693"/>
    <w:rsid w:val="00B96C8D"/>
    <w:rsid w:val="00BA0AD2"/>
    <w:rsid w:val="00BA0D35"/>
    <w:rsid w:val="00BA1B41"/>
    <w:rsid w:val="00BA2323"/>
    <w:rsid w:val="00BA23BE"/>
    <w:rsid w:val="00BA276E"/>
    <w:rsid w:val="00BA39A8"/>
    <w:rsid w:val="00BA3E9C"/>
    <w:rsid w:val="00BA40A8"/>
    <w:rsid w:val="00BA5A41"/>
    <w:rsid w:val="00BA68AE"/>
    <w:rsid w:val="00BA6E04"/>
    <w:rsid w:val="00BA6EFD"/>
    <w:rsid w:val="00BB05C0"/>
    <w:rsid w:val="00BB084C"/>
    <w:rsid w:val="00BB0A39"/>
    <w:rsid w:val="00BB250B"/>
    <w:rsid w:val="00BB2CBC"/>
    <w:rsid w:val="00BC025C"/>
    <w:rsid w:val="00BC12E3"/>
    <w:rsid w:val="00BC27BC"/>
    <w:rsid w:val="00BC2D73"/>
    <w:rsid w:val="00BC398D"/>
    <w:rsid w:val="00BC3F1E"/>
    <w:rsid w:val="00BC4527"/>
    <w:rsid w:val="00BC459A"/>
    <w:rsid w:val="00BC4DB1"/>
    <w:rsid w:val="00BC6B71"/>
    <w:rsid w:val="00BC6F25"/>
    <w:rsid w:val="00BC736B"/>
    <w:rsid w:val="00BD00BF"/>
    <w:rsid w:val="00BD1251"/>
    <w:rsid w:val="00BD322F"/>
    <w:rsid w:val="00BD6215"/>
    <w:rsid w:val="00BD6EA1"/>
    <w:rsid w:val="00BD7047"/>
    <w:rsid w:val="00BE0206"/>
    <w:rsid w:val="00BE0B08"/>
    <w:rsid w:val="00BE0BE6"/>
    <w:rsid w:val="00BE1229"/>
    <w:rsid w:val="00BE3FDF"/>
    <w:rsid w:val="00BE4209"/>
    <w:rsid w:val="00BE4B5B"/>
    <w:rsid w:val="00BE4D67"/>
    <w:rsid w:val="00BF071C"/>
    <w:rsid w:val="00BF17E0"/>
    <w:rsid w:val="00BF4525"/>
    <w:rsid w:val="00BF488D"/>
    <w:rsid w:val="00BF5FF8"/>
    <w:rsid w:val="00BF6CEB"/>
    <w:rsid w:val="00C0138A"/>
    <w:rsid w:val="00C02651"/>
    <w:rsid w:val="00C03C39"/>
    <w:rsid w:val="00C0661A"/>
    <w:rsid w:val="00C11BB8"/>
    <w:rsid w:val="00C12701"/>
    <w:rsid w:val="00C12999"/>
    <w:rsid w:val="00C1421D"/>
    <w:rsid w:val="00C14EEF"/>
    <w:rsid w:val="00C15804"/>
    <w:rsid w:val="00C16C87"/>
    <w:rsid w:val="00C16F46"/>
    <w:rsid w:val="00C17FF0"/>
    <w:rsid w:val="00C20B7A"/>
    <w:rsid w:val="00C21E4E"/>
    <w:rsid w:val="00C237B5"/>
    <w:rsid w:val="00C23C31"/>
    <w:rsid w:val="00C25451"/>
    <w:rsid w:val="00C2655B"/>
    <w:rsid w:val="00C26AAB"/>
    <w:rsid w:val="00C26C6C"/>
    <w:rsid w:val="00C271FE"/>
    <w:rsid w:val="00C31E2A"/>
    <w:rsid w:val="00C31E32"/>
    <w:rsid w:val="00C32564"/>
    <w:rsid w:val="00C332B1"/>
    <w:rsid w:val="00C36AF1"/>
    <w:rsid w:val="00C406E6"/>
    <w:rsid w:val="00C407B4"/>
    <w:rsid w:val="00C44946"/>
    <w:rsid w:val="00C44FDC"/>
    <w:rsid w:val="00C45FCD"/>
    <w:rsid w:val="00C46EC3"/>
    <w:rsid w:val="00C52DDD"/>
    <w:rsid w:val="00C53532"/>
    <w:rsid w:val="00C54189"/>
    <w:rsid w:val="00C5437A"/>
    <w:rsid w:val="00C557B7"/>
    <w:rsid w:val="00C55AB3"/>
    <w:rsid w:val="00C56329"/>
    <w:rsid w:val="00C56690"/>
    <w:rsid w:val="00C56696"/>
    <w:rsid w:val="00C60879"/>
    <w:rsid w:val="00C608E5"/>
    <w:rsid w:val="00C617E9"/>
    <w:rsid w:val="00C62F06"/>
    <w:rsid w:val="00C634E8"/>
    <w:rsid w:val="00C65BE3"/>
    <w:rsid w:val="00C6718B"/>
    <w:rsid w:val="00C6771D"/>
    <w:rsid w:val="00C7031A"/>
    <w:rsid w:val="00C70586"/>
    <w:rsid w:val="00C7236A"/>
    <w:rsid w:val="00C7327B"/>
    <w:rsid w:val="00C7348D"/>
    <w:rsid w:val="00C74DFF"/>
    <w:rsid w:val="00C80BD9"/>
    <w:rsid w:val="00C81613"/>
    <w:rsid w:val="00C817A9"/>
    <w:rsid w:val="00C81AB5"/>
    <w:rsid w:val="00C823B3"/>
    <w:rsid w:val="00C8243B"/>
    <w:rsid w:val="00C83483"/>
    <w:rsid w:val="00C87790"/>
    <w:rsid w:val="00C9107A"/>
    <w:rsid w:val="00C92F6E"/>
    <w:rsid w:val="00C946BB"/>
    <w:rsid w:val="00C94B99"/>
    <w:rsid w:val="00C96377"/>
    <w:rsid w:val="00C96874"/>
    <w:rsid w:val="00CA05D5"/>
    <w:rsid w:val="00CA17C9"/>
    <w:rsid w:val="00CA1995"/>
    <w:rsid w:val="00CA31BE"/>
    <w:rsid w:val="00CA6FD1"/>
    <w:rsid w:val="00CA7519"/>
    <w:rsid w:val="00CA7BB9"/>
    <w:rsid w:val="00CB09B5"/>
    <w:rsid w:val="00CB18FF"/>
    <w:rsid w:val="00CB28B7"/>
    <w:rsid w:val="00CB7680"/>
    <w:rsid w:val="00CC0047"/>
    <w:rsid w:val="00CC0122"/>
    <w:rsid w:val="00CC133B"/>
    <w:rsid w:val="00CC20C5"/>
    <w:rsid w:val="00CC2B3E"/>
    <w:rsid w:val="00CC3610"/>
    <w:rsid w:val="00CC47BF"/>
    <w:rsid w:val="00CC5BAB"/>
    <w:rsid w:val="00CC6280"/>
    <w:rsid w:val="00CC65C7"/>
    <w:rsid w:val="00CC7051"/>
    <w:rsid w:val="00CC7EE9"/>
    <w:rsid w:val="00CD0B7D"/>
    <w:rsid w:val="00CD1EB6"/>
    <w:rsid w:val="00CD3539"/>
    <w:rsid w:val="00CD54BA"/>
    <w:rsid w:val="00CD626C"/>
    <w:rsid w:val="00CD696B"/>
    <w:rsid w:val="00CD6D8D"/>
    <w:rsid w:val="00CE0693"/>
    <w:rsid w:val="00CE09BE"/>
    <w:rsid w:val="00CE3126"/>
    <w:rsid w:val="00CE38DF"/>
    <w:rsid w:val="00CE3AFD"/>
    <w:rsid w:val="00CE5203"/>
    <w:rsid w:val="00CE53B0"/>
    <w:rsid w:val="00CE6955"/>
    <w:rsid w:val="00CE72B2"/>
    <w:rsid w:val="00CE7474"/>
    <w:rsid w:val="00CF239B"/>
    <w:rsid w:val="00CF2ABE"/>
    <w:rsid w:val="00CF47AF"/>
    <w:rsid w:val="00CF51AE"/>
    <w:rsid w:val="00CF6D4D"/>
    <w:rsid w:val="00CF7061"/>
    <w:rsid w:val="00CF70FC"/>
    <w:rsid w:val="00CF7EA2"/>
    <w:rsid w:val="00D00498"/>
    <w:rsid w:val="00D0151F"/>
    <w:rsid w:val="00D01C58"/>
    <w:rsid w:val="00D050EF"/>
    <w:rsid w:val="00D06ACA"/>
    <w:rsid w:val="00D06CC5"/>
    <w:rsid w:val="00D1280E"/>
    <w:rsid w:val="00D1424D"/>
    <w:rsid w:val="00D15A84"/>
    <w:rsid w:val="00D178CC"/>
    <w:rsid w:val="00D203A4"/>
    <w:rsid w:val="00D22618"/>
    <w:rsid w:val="00D23A08"/>
    <w:rsid w:val="00D24211"/>
    <w:rsid w:val="00D248EC"/>
    <w:rsid w:val="00D24925"/>
    <w:rsid w:val="00D24CFF"/>
    <w:rsid w:val="00D25556"/>
    <w:rsid w:val="00D268FF"/>
    <w:rsid w:val="00D27620"/>
    <w:rsid w:val="00D27B61"/>
    <w:rsid w:val="00D30188"/>
    <w:rsid w:val="00D3049B"/>
    <w:rsid w:val="00D305F9"/>
    <w:rsid w:val="00D30FBD"/>
    <w:rsid w:val="00D31F2A"/>
    <w:rsid w:val="00D3277B"/>
    <w:rsid w:val="00D32BAA"/>
    <w:rsid w:val="00D344BB"/>
    <w:rsid w:val="00D3589C"/>
    <w:rsid w:val="00D3607E"/>
    <w:rsid w:val="00D377F8"/>
    <w:rsid w:val="00D37C7B"/>
    <w:rsid w:val="00D41066"/>
    <w:rsid w:val="00D410AA"/>
    <w:rsid w:val="00D41ED9"/>
    <w:rsid w:val="00D44078"/>
    <w:rsid w:val="00D44C03"/>
    <w:rsid w:val="00D50429"/>
    <w:rsid w:val="00D50F78"/>
    <w:rsid w:val="00D519A0"/>
    <w:rsid w:val="00D53D40"/>
    <w:rsid w:val="00D542E7"/>
    <w:rsid w:val="00D5584A"/>
    <w:rsid w:val="00D558BB"/>
    <w:rsid w:val="00D60A35"/>
    <w:rsid w:val="00D61625"/>
    <w:rsid w:val="00D61832"/>
    <w:rsid w:val="00D625D8"/>
    <w:rsid w:val="00D62751"/>
    <w:rsid w:val="00D63F48"/>
    <w:rsid w:val="00D64894"/>
    <w:rsid w:val="00D64F7F"/>
    <w:rsid w:val="00D65242"/>
    <w:rsid w:val="00D65DD0"/>
    <w:rsid w:val="00D66769"/>
    <w:rsid w:val="00D66A8F"/>
    <w:rsid w:val="00D70A06"/>
    <w:rsid w:val="00D70AAF"/>
    <w:rsid w:val="00D72692"/>
    <w:rsid w:val="00D730AE"/>
    <w:rsid w:val="00D731C4"/>
    <w:rsid w:val="00D73BEE"/>
    <w:rsid w:val="00D73EC7"/>
    <w:rsid w:val="00D8060A"/>
    <w:rsid w:val="00D82184"/>
    <w:rsid w:val="00D829B2"/>
    <w:rsid w:val="00D85132"/>
    <w:rsid w:val="00D86A83"/>
    <w:rsid w:val="00D87323"/>
    <w:rsid w:val="00D87C74"/>
    <w:rsid w:val="00D9100D"/>
    <w:rsid w:val="00D943BF"/>
    <w:rsid w:val="00D94D70"/>
    <w:rsid w:val="00D951D3"/>
    <w:rsid w:val="00D95588"/>
    <w:rsid w:val="00D9620C"/>
    <w:rsid w:val="00D969E0"/>
    <w:rsid w:val="00D97368"/>
    <w:rsid w:val="00DA0E23"/>
    <w:rsid w:val="00DA0EC3"/>
    <w:rsid w:val="00DA11A3"/>
    <w:rsid w:val="00DA147D"/>
    <w:rsid w:val="00DA65F6"/>
    <w:rsid w:val="00DB0062"/>
    <w:rsid w:val="00DB0660"/>
    <w:rsid w:val="00DB125D"/>
    <w:rsid w:val="00DB1839"/>
    <w:rsid w:val="00DB29D9"/>
    <w:rsid w:val="00DB3101"/>
    <w:rsid w:val="00DB3733"/>
    <w:rsid w:val="00DB4C32"/>
    <w:rsid w:val="00DB613D"/>
    <w:rsid w:val="00DB7621"/>
    <w:rsid w:val="00DC02E4"/>
    <w:rsid w:val="00DC381C"/>
    <w:rsid w:val="00DC3BE9"/>
    <w:rsid w:val="00DC4374"/>
    <w:rsid w:val="00DC4527"/>
    <w:rsid w:val="00DC4C58"/>
    <w:rsid w:val="00DC7FAB"/>
    <w:rsid w:val="00DD0F9A"/>
    <w:rsid w:val="00DD3540"/>
    <w:rsid w:val="00DD3B5E"/>
    <w:rsid w:val="00DD4170"/>
    <w:rsid w:val="00DD4FBE"/>
    <w:rsid w:val="00DD5212"/>
    <w:rsid w:val="00DD5952"/>
    <w:rsid w:val="00DD6905"/>
    <w:rsid w:val="00DD6AEB"/>
    <w:rsid w:val="00DD7B9B"/>
    <w:rsid w:val="00DE0070"/>
    <w:rsid w:val="00DE0647"/>
    <w:rsid w:val="00DE23B4"/>
    <w:rsid w:val="00DE3194"/>
    <w:rsid w:val="00DE426B"/>
    <w:rsid w:val="00DE53A7"/>
    <w:rsid w:val="00DE6A31"/>
    <w:rsid w:val="00DE6A96"/>
    <w:rsid w:val="00DE7D88"/>
    <w:rsid w:val="00DF123D"/>
    <w:rsid w:val="00DF1DA5"/>
    <w:rsid w:val="00DF1E9C"/>
    <w:rsid w:val="00DF3EA7"/>
    <w:rsid w:val="00DF4CA6"/>
    <w:rsid w:val="00DF6721"/>
    <w:rsid w:val="00E00F59"/>
    <w:rsid w:val="00E01FBA"/>
    <w:rsid w:val="00E036AE"/>
    <w:rsid w:val="00E03B88"/>
    <w:rsid w:val="00E05CF4"/>
    <w:rsid w:val="00E06056"/>
    <w:rsid w:val="00E06678"/>
    <w:rsid w:val="00E1072B"/>
    <w:rsid w:val="00E10A1F"/>
    <w:rsid w:val="00E118B0"/>
    <w:rsid w:val="00E13BD4"/>
    <w:rsid w:val="00E13E48"/>
    <w:rsid w:val="00E151D3"/>
    <w:rsid w:val="00E15219"/>
    <w:rsid w:val="00E157F3"/>
    <w:rsid w:val="00E15FBD"/>
    <w:rsid w:val="00E162A6"/>
    <w:rsid w:val="00E17576"/>
    <w:rsid w:val="00E205FD"/>
    <w:rsid w:val="00E21247"/>
    <w:rsid w:val="00E229D5"/>
    <w:rsid w:val="00E245D6"/>
    <w:rsid w:val="00E2754C"/>
    <w:rsid w:val="00E27790"/>
    <w:rsid w:val="00E27BDE"/>
    <w:rsid w:val="00E30214"/>
    <w:rsid w:val="00E315BB"/>
    <w:rsid w:val="00E32333"/>
    <w:rsid w:val="00E32D0D"/>
    <w:rsid w:val="00E3638B"/>
    <w:rsid w:val="00E36BF5"/>
    <w:rsid w:val="00E44786"/>
    <w:rsid w:val="00E44A11"/>
    <w:rsid w:val="00E4532C"/>
    <w:rsid w:val="00E46282"/>
    <w:rsid w:val="00E50494"/>
    <w:rsid w:val="00E506D8"/>
    <w:rsid w:val="00E50935"/>
    <w:rsid w:val="00E50C98"/>
    <w:rsid w:val="00E50F00"/>
    <w:rsid w:val="00E5144D"/>
    <w:rsid w:val="00E525E8"/>
    <w:rsid w:val="00E52686"/>
    <w:rsid w:val="00E55183"/>
    <w:rsid w:val="00E566FB"/>
    <w:rsid w:val="00E57694"/>
    <w:rsid w:val="00E579D8"/>
    <w:rsid w:val="00E60D5F"/>
    <w:rsid w:val="00E631E3"/>
    <w:rsid w:val="00E64D15"/>
    <w:rsid w:val="00E6558D"/>
    <w:rsid w:val="00E65E4C"/>
    <w:rsid w:val="00E664C8"/>
    <w:rsid w:val="00E71FD1"/>
    <w:rsid w:val="00E72AB6"/>
    <w:rsid w:val="00E739D2"/>
    <w:rsid w:val="00E73EA6"/>
    <w:rsid w:val="00E754E3"/>
    <w:rsid w:val="00E77129"/>
    <w:rsid w:val="00E8139D"/>
    <w:rsid w:val="00E82507"/>
    <w:rsid w:val="00E827B5"/>
    <w:rsid w:val="00E829FA"/>
    <w:rsid w:val="00E83B88"/>
    <w:rsid w:val="00E84675"/>
    <w:rsid w:val="00E84D51"/>
    <w:rsid w:val="00E87876"/>
    <w:rsid w:val="00E928E0"/>
    <w:rsid w:val="00E93388"/>
    <w:rsid w:val="00E9425A"/>
    <w:rsid w:val="00E96102"/>
    <w:rsid w:val="00E96855"/>
    <w:rsid w:val="00E974CC"/>
    <w:rsid w:val="00EA0227"/>
    <w:rsid w:val="00EA03EA"/>
    <w:rsid w:val="00EA12A6"/>
    <w:rsid w:val="00EA2127"/>
    <w:rsid w:val="00EA269C"/>
    <w:rsid w:val="00EA49A5"/>
    <w:rsid w:val="00EA4AE3"/>
    <w:rsid w:val="00EA4FEE"/>
    <w:rsid w:val="00EA5F97"/>
    <w:rsid w:val="00EA6390"/>
    <w:rsid w:val="00EB066E"/>
    <w:rsid w:val="00EB2800"/>
    <w:rsid w:val="00EB2B8C"/>
    <w:rsid w:val="00EB2E50"/>
    <w:rsid w:val="00EB3D0B"/>
    <w:rsid w:val="00EB521D"/>
    <w:rsid w:val="00EB5ABA"/>
    <w:rsid w:val="00EB628A"/>
    <w:rsid w:val="00EB795A"/>
    <w:rsid w:val="00EC0026"/>
    <w:rsid w:val="00EC1802"/>
    <w:rsid w:val="00EC2B81"/>
    <w:rsid w:val="00EC5B59"/>
    <w:rsid w:val="00ED06CF"/>
    <w:rsid w:val="00ED10E0"/>
    <w:rsid w:val="00ED1E7F"/>
    <w:rsid w:val="00ED2C6D"/>
    <w:rsid w:val="00ED4AB8"/>
    <w:rsid w:val="00ED6A79"/>
    <w:rsid w:val="00ED7E70"/>
    <w:rsid w:val="00EE042E"/>
    <w:rsid w:val="00EE1422"/>
    <w:rsid w:val="00EE1706"/>
    <w:rsid w:val="00EE4DE1"/>
    <w:rsid w:val="00EE5247"/>
    <w:rsid w:val="00EE59AB"/>
    <w:rsid w:val="00EF3363"/>
    <w:rsid w:val="00EF36E5"/>
    <w:rsid w:val="00EF3C33"/>
    <w:rsid w:val="00EF4B2C"/>
    <w:rsid w:val="00EF505F"/>
    <w:rsid w:val="00EF555D"/>
    <w:rsid w:val="00EF6916"/>
    <w:rsid w:val="00EF6D47"/>
    <w:rsid w:val="00EF7AF2"/>
    <w:rsid w:val="00F0076C"/>
    <w:rsid w:val="00F01575"/>
    <w:rsid w:val="00F03B57"/>
    <w:rsid w:val="00F04615"/>
    <w:rsid w:val="00F065DF"/>
    <w:rsid w:val="00F068F9"/>
    <w:rsid w:val="00F0767A"/>
    <w:rsid w:val="00F161DC"/>
    <w:rsid w:val="00F172A8"/>
    <w:rsid w:val="00F2279A"/>
    <w:rsid w:val="00F23220"/>
    <w:rsid w:val="00F2524D"/>
    <w:rsid w:val="00F26853"/>
    <w:rsid w:val="00F335CB"/>
    <w:rsid w:val="00F33AF3"/>
    <w:rsid w:val="00F34524"/>
    <w:rsid w:val="00F354EC"/>
    <w:rsid w:val="00F35D49"/>
    <w:rsid w:val="00F3642A"/>
    <w:rsid w:val="00F3647D"/>
    <w:rsid w:val="00F36B36"/>
    <w:rsid w:val="00F36D60"/>
    <w:rsid w:val="00F406E7"/>
    <w:rsid w:val="00F42470"/>
    <w:rsid w:val="00F43ABC"/>
    <w:rsid w:val="00F447E8"/>
    <w:rsid w:val="00F45F68"/>
    <w:rsid w:val="00F471AE"/>
    <w:rsid w:val="00F47544"/>
    <w:rsid w:val="00F47B66"/>
    <w:rsid w:val="00F506B0"/>
    <w:rsid w:val="00F508A1"/>
    <w:rsid w:val="00F51933"/>
    <w:rsid w:val="00F51BDC"/>
    <w:rsid w:val="00F52F4B"/>
    <w:rsid w:val="00F5351D"/>
    <w:rsid w:val="00F537E3"/>
    <w:rsid w:val="00F557C8"/>
    <w:rsid w:val="00F567AB"/>
    <w:rsid w:val="00F56E14"/>
    <w:rsid w:val="00F57A99"/>
    <w:rsid w:val="00F57CF3"/>
    <w:rsid w:val="00F61D09"/>
    <w:rsid w:val="00F62722"/>
    <w:rsid w:val="00F641E5"/>
    <w:rsid w:val="00F64CB0"/>
    <w:rsid w:val="00F65790"/>
    <w:rsid w:val="00F66635"/>
    <w:rsid w:val="00F67FE4"/>
    <w:rsid w:val="00F718CD"/>
    <w:rsid w:val="00F72484"/>
    <w:rsid w:val="00F74A29"/>
    <w:rsid w:val="00F7532D"/>
    <w:rsid w:val="00F75C2E"/>
    <w:rsid w:val="00F77539"/>
    <w:rsid w:val="00F77F80"/>
    <w:rsid w:val="00F80E1C"/>
    <w:rsid w:val="00F83A1D"/>
    <w:rsid w:val="00F83D79"/>
    <w:rsid w:val="00F83E07"/>
    <w:rsid w:val="00F85081"/>
    <w:rsid w:val="00F858E3"/>
    <w:rsid w:val="00F85D88"/>
    <w:rsid w:val="00F863CD"/>
    <w:rsid w:val="00F86CB7"/>
    <w:rsid w:val="00F86D76"/>
    <w:rsid w:val="00F87E70"/>
    <w:rsid w:val="00F87F6B"/>
    <w:rsid w:val="00F927C8"/>
    <w:rsid w:val="00F93D5F"/>
    <w:rsid w:val="00F9471E"/>
    <w:rsid w:val="00F94A4D"/>
    <w:rsid w:val="00F956AC"/>
    <w:rsid w:val="00F96659"/>
    <w:rsid w:val="00F97434"/>
    <w:rsid w:val="00FA10FE"/>
    <w:rsid w:val="00FA4204"/>
    <w:rsid w:val="00FA7EE2"/>
    <w:rsid w:val="00FB0346"/>
    <w:rsid w:val="00FB071B"/>
    <w:rsid w:val="00FB0734"/>
    <w:rsid w:val="00FB18C2"/>
    <w:rsid w:val="00FB5825"/>
    <w:rsid w:val="00FB607E"/>
    <w:rsid w:val="00FB748B"/>
    <w:rsid w:val="00FB761C"/>
    <w:rsid w:val="00FC032F"/>
    <w:rsid w:val="00FC129E"/>
    <w:rsid w:val="00FC2361"/>
    <w:rsid w:val="00FC37FD"/>
    <w:rsid w:val="00FC3CC4"/>
    <w:rsid w:val="00FC42F3"/>
    <w:rsid w:val="00FC4B9C"/>
    <w:rsid w:val="00FC52B3"/>
    <w:rsid w:val="00FC58A9"/>
    <w:rsid w:val="00FC6176"/>
    <w:rsid w:val="00FD0EB2"/>
    <w:rsid w:val="00FD1188"/>
    <w:rsid w:val="00FD1454"/>
    <w:rsid w:val="00FD55F0"/>
    <w:rsid w:val="00FD71D8"/>
    <w:rsid w:val="00FD7893"/>
    <w:rsid w:val="00FD78C2"/>
    <w:rsid w:val="00FE0F3D"/>
    <w:rsid w:val="00FE1938"/>
    <w:rsid w:val="00FE403D"/>
    <w:rsid w:val="00FE5E88"/>
    <w:rsid w:val="00FE6283"/>
    <w:rsid w:val="00FE7108"/>
    <w:rsid w:val="00FF065F"/>
    <w:rsid w:val="00FF06A3"/>
    <w:rsid w:val="00FF1504"/>
    <w:rsid w:val="00FF2F13"/>
    <w:rsid w:val="00FF30E0"/>
    <w:rsid w:val="00FF43D6"/>
    <w:rsid w:val="00FF4459"/>
    <w:rsid w:val="00FF755F"/>
    <w:rsid w:val="00FF78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368BD2F"/>
  <w15:chartTrackingRefBased/>
  <w15:docId w15:val="{B46002BD-B4D4-4CB9-A1DF-8D22069D97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ajorHAnsi" w:eastAsiaTheme="minorHAnsi" w:hAnsiTheme="maj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1971"/>
    <w:pPr>
      <w:spacing w:after="0" w:line="480" w:lineRule="auto"/>
    </w:pPr>
    <w:rPr>
      <w:rFonts w:ascii="Times New Roman" w:hAnsi="Times New Roman"/>
      <w:sz w:val="24"/>
    </w:rPr>
  </w:style>
  <w:style w:type="paragraph" w:styleId="Heading1">
    <w:name w:val="heading 1"/>
    <w:aliases w:val="Heading"/>
    <w:next w:val="Normal"/>
    <w:link w:val="Heading1Char"/>
    <w:autoRedefine/>
    <w:uiPriority w:val="2"/>
    <w:qFormat/>
    <w:rsid w:val="00E44786"/>
    <w:pPr>
      <w:numPr>
        <w:numId w:val="6"/>
      </w:numPr>
      <w:spacing w:after="0" w:line="480" w:lineRule="auto"/>
      <w:jc w:val="center"/>
      <w:outlineLvl w:val="0"/>
    </w:pPr>
    <w:rPr>
      <w:rFonts w:ascii="Times New Roman" w:eastAsia="Times New Roman" w:hAnsi="Times New Roman" w:cs="Times New Roman"/>
      <w:b/>
      <w:bCs/>
      <w:sz w:val="28"/>
      <w:szCs w:val="32"/>
      <w:lang w:bidi="en-US"/>
    </w:rPr>
  </w:style>
  <w:style w:type="paragraph" w:styleId="Heading2">
    <w:name w:val="heading 2"/>
    <w:next w:val="Normal"/>
    <w:link w:val="Heading2Char"/>
    <w:autoRedefine/>
    <w:uiPriority w:val="9"/>
    <w:unhideWhenUsed/>
    <w:qFormat/>
    <w:rsid w:val="00E57694"/>
    <w:pPr>
      <w:keepNext/>
      <w:numPr>
        <w:ilvl w:val="1"/>
        <w:numId w:val="6"/>
      </w:numPr>
      <w:spacing w:after="0" w:line="480" w:lineRule="auto"/>
      <w:ind w:left="450" w:hanging="450"/>
      <w:outlineLvl w:val="1"/>
    </w:pPr>
    <w:rPr>
      <w:rFonts w:ascii="Times New Roman" w:eastAsia="Times New Roman" w:hAnsi="Times New Roman" w:cs="Times New Roman"/>
      <w:b/>
      <w:bCs/>
      <w:iCs/>
      <w:sz w:val="24"/>
      <w:szCs w:val="28"/>
      <w:lang w:bidi="en-US"/>
    </w:rPr>
  </w:style>
  <w:style w:type="paragraph" w:styleId="Heading3">
    <w:name w:val="heading 3"/>
    <w:next w:val="Normal"/>
    <w:link w:val="Heading3Char"/>
    <w:autoRedefine/>
    <w:uiPriority w:val="9"/>
    <w:unhideWhenUsed/>
    <w:qFormat/>
    <w:rsid w:val="00985A4A"/>
    <w:pPr>
      <w:keepNext/>
      <w:numPr>
        <w:ilvl w:val="2"/>
        <w:numId w:val="6"/>
      </w:numPr>
      <w:spacing w:after="0" w:line="480" w:lineRule="auto"/>
      <w:ind w:left="540" w:right="562" w:hanging="540"/>
      <w:outlineLvl w:val="2"/>
    </w:pPr>
    <w:rPr>
      <w:rFonts w:ascii="Times New Roman" w:eastAsia="Times New Roman" w:hAnsi="Times New Roman" w:cs="Times New Roman"/>
      <w:b/>
      <w:bCs/>
      <w:sz w:val="24"/>
      <w:szCs w:val="24"/>
      <w:lang w:bidi="en-US"/>
    </w:rPr>
  </w:style>
  <w:style w:type="paragraph" w:styleId="Heading4">
    <w:name w:val="heading 4"/>
    <w:basedOn w:val="Normal"/>
    <w:next w:val="Normal"/>
    <w:link w:val="Heading4Char"/>
    <w:uiPriority w:val="9"/>
    <w:unhideWhenUsed/>
    <w:qFormat/>
    <w:rsid w:val="0002515E"/>
    <w:pPr>
      <w:keepNext/>
      <w:numPr>
        <w:ilvl w:val="3"/>
        <w:numId w:val="6"/>
      </w:numPr>
      <w:spacing w:before="240" w:after="60"/>
      <w:outlineLvl w:val="3"/>
    </w:pPr>
    <w:rPr>
      <w:rFonts w:eastAsia="Times New Roman" w:cs="Times New Roman"/>
      <w:b/>
      <w:bCs/>
      <w:i/>
      <w:szCs w:val="28"/>
      <w:lang w:bidi="en-US"/>
    </w:rPr>
  </w:style>
  <w:style w:type="paragraph" w:styleId="Heading5">
    <w:name w:val="heading 5"/>
    <w:basedOn w:val="Normal"/>
    <w:next w:val="Normal"/>
    <w:link w:val="Heading5Char"/>
    <w:uiPriority w:val="9"/>
    <w:unhideWhenUsed/>
    <w:qFormat/>
    <w:rsid w:val="0002515E"/>
    <w:pPr>
      <w:numPr>
        <w:ilvl w:val="4"/>
        <w:numId w:val="6"/>
      </w:numPr>
      <w:spacing w:before="240" w:after="60"/>
      <w:outlineLvl w:val="4"/>
    </w:pPr>
    <w:rPr>
      <w:rFonts w:eastAsia="Times New Roman" w:cs="Times New Roman"/>
      <w:bCs/>
      <w:i/>
      <w:iCs/>
      <w:szCs w:val="26"/>
      <w:lang w:bidi="en-US"/>
    </w:rPr>
  </w:style>
  <w:style w:type="paragraph" w:styleId="Heading6">
    <w:name w:val="heading 6"/>
    <w:basedOn w:val="Normal"/>
    <w:next w:val="Normal"/>
    <w:link w:val="Heading6Char"/>
    <w:uiPriority w:val="9"/>
    <w:unhideWhenUsed/>
    <w:qFormat/>
    <w:rsid w:val="00220E13"/>
    <w:pPr>
      <w:numPr>
        <w:ilvl w:val="5"/>
        <w:numId w:val="6"/>
      </w:numPr>
      <w:spacing w:before="240" w:after="60"/>
      <w:outlineLvl w:val="5"/>
    </w:pPr>
    <w:rPr>
      <w:rFonts w:eastAsia="Times New Roman" w:cs="Times New Roman"/>
      <w:bCs/>
      <w:lang w:bidi="en-US"/>
    </w:rPr>
  </w:style>
  <w:style w:type="paragraph" w:styleId="Heading7">
    <w:name w:val="heading 7"/>
    <w:basedOn w:val="Normal"/>
    <w:next w:val="Normal"/>
    <w:link w:val="Heading7Char"/>
    <w:uiPriority w:val="9"/>
    <w:semiHidden/>
    <w:unhideWhenUsed/>
    <w:qFormat/>
    <w:rsid w:val="00B555D8"/>
    <w:pPr>
      <w:spacing w:before="240" w:after="60"/>
      <w:outlineLvl w:val="6"/>
    </w:pPr>
    <w:rPr>
      <w:rFonts w:eastAsia="Times New Roman" w:cs="Times New Roman"/>
      <w:szCs w:val="24"/>
      <w:lang w:bidi="en-US"/>
    </w:rPr>
  </w:style>
  <w:style w:type="paragraph" w:styleId="Heading8">
    <w:name w:val="heading 8"/>
    <w:basedOn w:val="Normal"/>
    <w:next w:val="Normal"/>
    <w:link w:val="Heading8Char"/>
    <w:uiPriority w:val="9"/>
    <w:semiHidden/>
    <w:unhideWhenUsed/>
    <w:qFormat/>
    <w:rsid w:val="00B555D8"/>
    <w:pPr>
      <w:spacing w:before="240" w:after="60"/>
      <w:outlineLvl w:val="7"/>
    </w:pPr>
    <w:rPr>
      <w:rFonts w:eastAsia="Times New Roman" w:cs="Times New Roman"/>
      <w:i/>
      <w:iCs/>
      <w:szCs w:val="24"/>
      <w:lang w:bidi="en-US"/>
    </w:rPr>
  </w:style>
  <w:style w:type="paragraph" w:styleId="Heading9">
    <w:name w:val="heading 9"/>
    <w:basedOn w:val="Chapter"/>
    <w:next w:val="Normal"/>
    <w:link w:val="Heading9Char"/>
    <w:uiPriority w:val="9"/>
    <w:qFormat/>
    <w:rsid w:val="00B71C44"/>
    <w:pPr>
      <w:numPr>
        <w:numId w:val="3"/>
      </w:numPr>
      <w:spacing w:before="240" w:after="60"/>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Char"/>
    <w:basedOn w:val="DefaultParagraphFont"/>
    <w:link w:val="Heading1"/>
    <w:uiPriority w:val="2"/>
    <w:rsid w:val="00E44786"/>
    <w:rPr>
      <w:rFonts w:ascii="Times New Roman" w:eastAsia="Times New Roman" w:hAnsi="Times New Roman" w:cs="Times New Roman"/>
      <w:b/>
      <w:bCs/>
      <w:sz w:val="28"/>
      <w:szCs w:val="32"/>
      <w:lang w:bidi="en-US"/>
    </w:rPr>
  </w:style>
  <w:style w:type="character" w:customStyle="1" w:styleId="Heading2Char">
    <w:name w:val="Heading 2 Char"/>
    <w:basedOn w:val="DefaultParagraphFont"/>
    <w:link w:val="Heading2"/>
    <w:uiPriority w:val="9"/>
    <w:rsid w:val="00E57694"/>
    <w:rPr>
      <w:rFonts w:ascii="Times New Roman" w:eastAsia="Times New Roman" w:hAnsi="Times New Roman" w:cs="Times New Roman"/>
      <w:b/>
      <w:bCs/>
      <w:iCs/>
      <w:sz w:val="24"/>
      <w:szCs w:val="28"/>
      <w:lang w:bidi="en-US"/>
    </w:rPr>
  </w:style>
  <w:style w:type="character" w:customStyle="1" w:styleId="Heading3Char">
    <w:name w:val="Heading 3 Char"/>
    <w:basedOn w:val="DefaultParagraphFont"/>
    <w:link w:val="Heading3"/>
    <w:uiPriority w:val="9"/>
    <w:rsid w:val="00985A4A"/>
    <w:rPr>
      <w:rFonts w:ascii="Times New Roman" w:eastAsia="Times New Roman" w:hAnsi="Times New Roman" w:cs="Times New Roman"/>
      <w:b/>
      <w:bCs/>
      <w:sz w:val="24"/>
      <w:szCs w:val="24"/>
      <w:lang w:bidi="en-US"/>
    </w:rPr>
  </w:style>
  <w:style w:type="character" w:customStyle="1" w:styleId="Heading4Char">
    <w:name w:val="Heading 4 Char"/>
    <w:basedOn w:val="DefaultParagraphFont"/>
    <w:link w:val="Heading4"/>
    <w:uiPriority w:val="9"/>
    <w:rsid w:val="0002515E"/>
    <w:rPr>
      <w:rFonts w:ascii="Times New Roman" w:eastAsia="Times New Roman" w:hAnsi="Times New Roman" w:cs="Times New Roman"/>
      <w:b/>
      <w:bCs/>
      <w:i/>
      <w:sz w:val="24"/>
      <w:szCs w:val="28"/>
      <w:lang w:bidi="en-US"/>
    </w:rPr>
  </w:style>
  <w:style w:type="character" w:customStyle="1" w:styleId="Heading5Char">
    <w:name w:val="Heading 5 Char"/>
    <w:basedOn w:val="DefaultParagraphFont"/>
    <w:link w:val="Heading5"/>
    <w:uiPriority w:val="9"/>
    <w:rsid w:val="0002515E"/>
    <w:rPr>
      <w:rFonts w:ascii="Times New Roman" w:eastAsia="Times New Roman" w:hAnsi="Times New Roman" w:cs="Times New Roman"/>
      <w:bCs/>
      <w:i/>
      <w:iCs/>
      <w:sz w:val="24"/>
      <w:szCs w:val="26"/>
      <w:lang w:bidi="en-US"/>
    </w:rPr>
  </w:style>
  <w:style w:type="character" w:customStyle="1" w:styleId="Heading6Char">
    <w:name w:val="Heading 6 Char"/>
    <w:basedOn w:val="DefaultParagraphFont"/>
    <w:link w:val="Heading6"/>
    <w:uiPriority w:val="9"/>
    <w:rsid w:val="00220E13"/>
    <w:rPr>
      <w:rFonts w:ascii="Times New Roman" w:eastAsia="Times New Roman" w:hAnsi="Times New Roman" w:cs="Times New Roman"/>
      <w:bCs/>
      <w:sz w:val="24"/>
      <w:lang w:bidi="en-US"/>
    </w:rPr>
  </w:style>
  <w:style w:type="character" w:customStyle="1" w:styleId="Heading7Char">
    <w:name w:val="Heading 7 Char"/>
    <w:basedOn w:val="DefaultParagraphFont"/>
    <w:link w:val="Heading7"/>
    <w:uiPriority w:val="9"/>
    <w:semiHidden/>
    <w:rsid w:val="00B555D8"/>
    <w:rPr>
      <w:rFonts w:ascii="Times New Roman" w:eastAsia="Times New Roman" w:hAnsi="Times New Roman" w:cs="Times New Roman"/>
      <w:sz w:val="24"/>
      <w:szCs w:val="24"/>
      <w:lang w:bidi="en-US"/>
    </w:rPr>
  </w:style>
  <w:style w:type="character" w:customStyle="1" w:styleId="Heading8Char">
    <w:name w:val="Heading 8 Char"/>
    <w:basedOn w:val="DefaultParagraphFont"/>
    <w:link w:val="Heading8"/>
    <w:uiPriority w:val="9"/>
    <w:semiHidden/>
    <w:rsid w:val="00B555D8"/>
    <w:rPr>
      <w:rFonts w:ascii="Times New Roman" w:eastAsia="Times New Roman" w:hAnsi="Times New Roman" w:cs="Times New Roman"/>
      <w:i/>
      <w:iCs/>
      <w:sz w:val="24"/>
      <w:szCs w:val="24"/>
      <w:lang w:bidi="en-US"/>
    </w:rPr>
  </w:style>
  <w:style w:type="character" w:customStyle="1" w:styleId="Heading9Char">
    <w:name w:val="Heading 9 Char"/>
    <w:basedOn w:val="DefaultParagraphFont"/>
    <w:link w:val="Heading9"/>
    <w:uiPriority w:val="9"/>
    <w:rsid w:val="00B71C44"/>
    <w:rPr>
      <w:rFonts w:ascii="Times New Roman" w:hAnsi="Times New Roman" w:cs="Times New Roman"/>
      <w:b/>
      <w:bCs/>
      <w:sz w:val="24"/>
      <w:szCs w:val="24"/>
      <w:lang w:bidi="en-US"/>
    </w:rPr>
  </w:style>
  <w:style w:type="numbering" w:customStyle="1" w:styleId="NoList1">
    <w:name w:val="No List1"/>
    <w:next w:val="NoList"/>
    <w:uiPriority w:val="99"/>
    <w:semiHidden/>
    <w:unhideWhenUsed/>
    <w:rsid w:val="00B555D8"/>
  </w:style>
  <w:style w:type="character" w:styleId="Hyperlink">
    <w:name w:val="Hyperlink"/>
    <w:basedOn w:val="DefaultParagraphFont"/>
    <w:uiPriority w:val="99"/>
    <w:unhideWhenUsed/>
    <w:rsid w:val="007D1971"/>
    <w:rPr>
      <w:rFonts w:ascii="Times New Roman" w:hAnsi="Times New Roman"/>
      <w:color w:val="auto"/>
      <w:sz w:val="22"/>
      <w:u w:val="none"/>
    </w:rPr>
  </w:style>
  <w:style w:type="character" w:customStyle="1" w:styleId="FollowedHyperlink1">
    <w:name w:val="FollowedHyperlink1"/>
    <w:basedOn w:val="DefaultParagraphFont"/>
    <w:uiPriority w:val="99"/>
    <w:semiHidden/>
    <w:unhideWhenUsed/>
    <w:rsid w:val="00B555D8"/>
    <w:rPr>
      <w:color w:val="800080"/>
      <w:u w:val="single"/>
    </w:rPr>
  </w:style>
  <w:style w:type="character" w:styleId="Emphasis">
    <w:name w:val="Emphasis"/>
    <w:basedOn w:val="DefaultParagraphFont"/>
    <w:uiPriority w:val="20"/>
    <w:qFormat/>
    <w:rsid w:val="00B555D8"/>
    <w:rPr>
      <w:rFonts w:ascii="Times New Roman" w:hAnsi="Times New Roman" w:cs="Times New Roman" w:hint="default"/>
      <w:b/>
      <w:bCs w:val="0"/>
      <w:i/>
      <w:iCs/>
    </w:rPr>
  </w:style>
  <w:style w:type="paragraph" w:customStyle="1" w:styleId="msonormal0">
    <w:name w:val="msonormal"/>
    <w:basedOn w:val="Normal"/>
    <w:uiPriority w:val="99"/>
    <w:semiHidden/>
    <w:rsid w:val="00B555D8"/>
    <w:pPr>
      <w:spacing w:before="100" w:beforeAutospacing="1" w:after="100" w:afterAutospacing="1" w:line="240" w:lineRule="auto"/>
    </w:pPr>
    <w:rPr>
      <w:rFonts w:eastAsia="Times New Roman" w:cs="Times New Roman"/>
      <w:szCs w:val="24"/>
    </w:rPr>
  </w:style>
  <w:style w:type="paragraph" w:styleId="NormalWeb">
    <w:name w:val="Normal (Web)"/>
    <w:basedOn w:val="Normal"/>
    <w:uiPriority w:val="99"/>
    <w:unhideWhenUsed/>
    <w:rsid w:val="00B555D8"/>
    <w:pPr>
      <w:spacing w:before="100" w:beforeAutospacing="1" w:after="100" w:afterAutospacing="1" w:line="240" w:lineRule="auto"/>
    </w:pPr>
    <w:rPr>
      <w:rFonts w:eastAsia="Times New Roman" w:cs="Times New Roman"/>
      <w:szCs w:val="24"/>
    </w:rPr>
  </w:style>
  <w:style w:type="paragraph" w:styleId="TOC1">
    <w:name w:val="toc 1"/>
    <w:basedOn w:val="Normal"/>
    <w:next w:val="Normal"/>
    <w:autoRedefine/>
    <w:uiPriority w:val="39"/>
    <w:unhideWhenUsed/>
    <w:rsid w:val="0092150E"/>
    <w:pPr>
      <w:tabs>
        <w:tab w:val="right" w:leader="dot" w:pos="8460"/>
      </w:tabs>
      <w:spacing w:line="276" w:lineRule="auto"/>
      <w:ind w:left="1350" w:right="486" w:hanging="1350"/>
    </w:pPr>
    <w:rPr>
      <w:rFonts w:asciiTheme="minorHAnsi" w:hAnsiTheme="minorHAnsi" w:cstheme="minorHAnsi"/>
      <w:b/>
      <w:bCs/>
      <w:caps/>
      <w:sz w:val="20"/>
      <w:szCs w:val="20"/>
    </w:rPr>
  </w:style>
  <w:style w:type="paragraph" w:styleId="TOC2">
    <w:name w:val="toc 2"/>
    <w:basedOn w:val="Normal"/>
    <w:next w:val="Normal"/>
    <w:autoRedefine/>
    <w:uiPriority w:val="39"/>
    <w:unhideWhenUsed/>
    <w:rsid w:val="00E4532C"/>
    <w:pPr>
      <w:tabs>
        <w:tab w:val="right" w:leader="dot" w:pos="8460"/>
      </w:tabs>
      <w:spacing w:line="276" w:lineRule="auto"/>
      <w:ind w:left="630" w:right="576" w:hanging="360"/>
    </w:pPr>
    <w:rPr>
      <w:rFonts w:asciiTheme="minorHAnsi" w:hAnsiTheme="minorHAnsi" w:cstheme="minorHAnsi"/>
      <w:smallCaps/>
      <w:sz w:val="20"/>
      <w:szCs w:val="20"/>
    </w:rPr>
  </w:style>
  <w:style w:type="paragraph" w:styleId="TOC3">
    <w:name w:val="toc 3"/>
    <w:basedOn w:val="Normal"/>
    <w:next w:val="Normal"/>
    <w:autoRedefine/>
    <w:uiPriority w:val="39"/>
    <w:unhideWhenUsed/>
    <w:rsid w:val="00734C2E"/>
    <w:pPr>
      <w:tabs>
        <w:tab w:val="right" w:leader="dot" w:pos="8460"/>
      </w:tabs>
      <w:spacing w:line="276" w:lineRule="auto"/>
      <w:ind w:left="990" w:right="666" w:hanging="450"/>
    </w:pPr>
    <w:rPr>
      <w:rFonts w:asciiTheme="minorHAnsi" w:hAnsiTheme="minorHAnsi" w:cstheme="minorHAnsi"/>
      <w:i/>
      <w:iCs/>
      <w:sz w:val="20"/>
      <w:szCs w:val="20"/>
    </w:rPr>
  </w:style>
  <w:style w:type="paragraph" w:styleId="TOC4">
    <w:name w:val="toc 4"/>
    <w:basedOn w:val="Normal"/>
    <w:next w:val="Normal"/>
    <w:autoRedefine/>
    <w:uiPriority w:val="39"/>
    <w:unhideWhenUsed/>
    <w:rsid w:val="00B555D8"/>
    <w:pPr>
      <w:ind w:left="720"/>
    </w:pPr>
    <w:rPr>
      <w:rFonts w:asciiTheme="minorHAnsi" w:hAnsiTheme="minorHAnsi" w:cstheme="minorHAnsi"/>
      <w:sz w:val="18"/>
      <w:szCs w:val="18"/>
    </w:rPr>
  </w:style>
  <w:style w:type="paragraph" w:styleId="TOC5">
    <w:name w:val="toc 5"/>
    <w:basedOn w:val="Normal"/>
    <w:next w:val="Normal"/>
    <w:autoRedefine/>
    <w:uiPriority w:val="39"/>
    <w:unhideWhenUsed/>
    <w:rsid w:val="00B555D8"/>
    <w:pPr>
      <w:ind w:left="960"/>
    </w:pPr>
    <w:rPr>
      <w:rFonts w:asciiTheme="minorHAnsi" w:hAnsiTheme="minorHAnsi" w:cstheme="minorHAnsi"/>
      <w:sz w:val="18"/>
      <w:szCs w:val="18"/>
    </w:rPr>
  </w:style>
  <w:style w:type="paragraph" w:styleId="TOC6">
    <w:name w:val="toc 6"/>
    <w:basedOn w:val="Normal"/>
    <w:next w:val="Normal"/>
    <w:autoRedefine/>
    <w:uiPriority w:val="39"/>
    <w:unhideWhenUsed/>
    <w:rsid w:val="00B555D8"/>
    <w:pPr>
      <w:ind w:left="1200"/>
    </w:pPr>
    <w:rPr>
      <w:rFonts w:asciiTheme="minorHAnsi" w:hAnsiTheme="minorHAnsi" w:cstheme="minorHAnsi"/>
      <w:sz w:val="18"/>
      <w:szCs w:val="18"/>
    </w:rPr>
  </w:style>
  <w:style w:type="paragraph" w:styleId="TOC7">
    <w:name w:val="toc 7"/>
    <w:basedOn w:val="Normal"/>
    <w:next w:val="Normal"/>
    <w:autoRedefine/>
    <w:uiPriority w:val="39"/>
    <w:unhideWhenUsed/>
    <w:rsid w:val="00B555D8"/>
    <w:pPr>
      <w:ind w:left="1440"/>
    </w:pPr>
    <w:rPr>
      <w:rFonts w:asciiTheme="minorHAnsi" w:hAnsiTheme="minorHAnsi" w:cstheme="minorHAnsi"/>
      <w:sz w:val="18"/>
      <w:szCs w:val="18"/>
    </w:rPr>
  </w:style>
  <w:style w:type="paragraph" w:styleId="TOC8">
    <w:name w:val="toc 8"/>
    <w:basedOn w:val="Normal"/>
    <w:next w:val="Normal"/>
    <w:autoRedefine/>
    <w:uiPriority w:val="39"/>
    <w:unhideWhenUsed/>
    <w:rsid w:val="00B555D8"/>
    <w:pPr>
      <w:ind w:left="1680"/>
    </w:pPr>
    <w:rPr>
      <w:rFonts w:asciiTheme="minorHAnsi" w:hAnsiTheme="minorHAnsi" w:cstheme="minorHAnsi"/>
      <w:sz w:val="18"/>
      <w:szCs w:val="18"/>
    </w:rPr>
  </w:style>
  <w:style w:type="paragraph" w:styleId="TOC9">
    <w:name w:val="toc 9"/>
    <w:basedOn w:val="Normal"/>
    <w:next w:val="Normal"/>
    <w:autoRedefine/>
    <w:uiPriority w:val="39"/>
    <w:unhideWhenUsed/>
    <w:rsid w:val="00B555D8"/>
    <w:pPr>
      <w:ind w:left="1920"/>
    </w:pPr>
    <w:rPr>
      <w:rFonts w:asciiTheme="minorHAnsi" w:hAnsiTheme="minorHAnsi" w:cstheme="minorHAnsi"/>
      <w:sz w:val="18"/>
      <w:szCs w:val="18"/>
    </w:rPr>
  </w:style>
  <w:style w:type="paragraph" w:styleId="CommentText">
    <w:name w:val="annotation text"/>
    <w:basedOn w:val="Normal"/>
    <w:link w:val="CommentTextChar"/>
    <w:uiPriority w:val="99"/>
    <w:unhideWhenUsed/>
    <w:rsid w:val="00B555D8"/>
    <w:pPr>
      <w:spacing w:line="240" w:lineRule="auto"/>
    </w:pPr>
    <w:rPr>
      <w:rFonts w:eastAsia="Times New Roman" w:cs="Times New Roman"/>
      <w:sz w:val="20"/>
      <w:szCs w:val="20"/>
    </w:rPr>
  </w:style>
  <w:style w:type="character" w:customStyle="1" w:styleId="CommentTextChar">
    <w:name w:val="Comment Text Char"/>
    <w:basedOn w:val="DefaultParagraphFont"/>
    <w:link w:val="CommentText"/>
    <w:uiPriority w:val="99"/>
    <w:rsid w:val="00B555D8"/>
    <w:rPr>
      <w:rFonts w:ascii="Times New Roman" w:eastAsia="Times New Roman" w:hAnsi="Times New Roman" w:cs="Times New Roman"/>
      <w:sz w:val="20"/>
      <w:szCs w:val="20"/>
    </w:rPr>
  </w:style>
  <w:style w:type="paragraph" w:styleId="Header">
    <w:name w:val="header"/>
    <w:basedOn w:val="Normal"/>
    <w:link w:val="HeaderChar"/>
    <w:uiPriority w:val="99"/>
    <w:unhideWhenUsed/>
    <w:rsid w:val="00B555D8"/>
    <w:pPr>
      <w:tabs>
        <w:tab w:val="center" w:pos="4680"/>
        <w:tab w:val="right" w:pos="9360"/>
      </w:tabs>
    </w:pPr>
    <w:rPr>
      <w:rFonts w:eastAsia="Times New Roman" w:cs="Times New Roman"/>
      <w:szCs w:val="24"/>
      <w:lang w:bidi="en-US"/>
    </w:rPr>
  </w:style>
  <w:style w:type="character" w:customStyle="1" w:styleId="HeaderChar">
    <w:name w:val="Header Char"/>
    <w:basedOn w:val="DefaultParagraphFont"/>
    <w:link w:val="Header"/>
    <w:uiPriority w:val="99"/>
    <w:rsid w:val="00B555D8"/>
    <w:rPr>
      <w:rFonts w:ascii="Times New Roman" w:eastAsia="Times New Roman" w:hAnsi="Times New Roman" w:cs="Times New Roman"/>
      <w:sz w:val="24"/>
      <w:szCs w:val="24"/>
      <w:lang w:bidi="en-US"/>
    </w:rPr>
  </w:style>
  <w:style w:type="paragraph" w:styleId="Footer">
    <w:name w:val="footer"/>
    <w:basedOn w:val="Normal"/>
    <w:link w:val="FooterChar"/>
    <w:uiPriority w:val="99"/>
    <w:unhideWhenUsed/>
    <w:rsid w:val="00B555D8"/>
    <w:pPr>
      <w:tabs>
        <w:tab w:val="center" w:pos="4680"/>
        <w:tab w:val="right" w:pos="9360"/>
      </w:tabs>
    </w:pPr>
    <w:rPr>
      <w:rFonts w:eastAsia="Times New Roman" w:cs="Times New Roman"/>
      <w:szCs w:val="24"/>
      <w:lang w:bidi="en-US"/>
    </w:rPr>
  </w:style>
  <w:style w:type="character" w:customStyle="1" w:styleId="FooterChar">
    <w:name w:val="Footer Char"/>
    <w:basedOn w:val="DefaultParagraphFont"/>
    <w:link w:val="Footer"/>
    <w:uiPriority w:val="99"/>
    <w:rsid w:val="00B555D8"/>
    <w:rPr>
      <w:rFonts w:ascii="Times New Roman" w:eastAsia="Times New Roman" w:hAnsi="Times New Roman" w:cs="Times New Roman"/>
      <w:sz w:val="24"/>
      <w:szCs w:val="24"/>
      <w:lang w:bidi="en-US"/>
    </w:rPr>
  </w:style>
  <w:style w:type="paragraph" w:styleId="Caption">
    <w:name w:val="caption"/>
    <w:basedOn w:val="Normal"/>
    <w:next w:val="Normal"/>
    <w:uiPriority w:val="35"/>
    <w:unhideWhenUsed/>
    <w:qFormat/>
    <w:rsid w:val="00B555D8"/>
    <w:pPr>
      <w:spacing w:line="240" w:lineRule="auto"/>
    </w:pPr>
    <w:rPr>
      <w:rFonts w:eastAsia="Times New Roman" w:cs="Times New Roman"/>
      <w:b/>
      <w:bCs/>
      <w:szCs w:val="18"/>
      <w:lang w:bidi="en-US"/>
    </w:rPr>
  </w:style>
  <w:style w:type="paragraph" w:customStyle="1" w:styleId="Default">
    <w:name w:val="Default"/>
    <w:link w:val="DefaultChar"/>
    <w:rsid w:val="00B555D8"/>
    <w:pPr>
      <w:autoSpaceDE w:val="0"/>
      <w:autoSpaceDN w:val="0"/>
      <w:adjustRightInd w:val="0"/>
      <w:spacing w:after="0" w:line="240" w:lineRule="auto"/>
    </w:pPr>
    <w:rPr>
      <w:rFonts w:ascii="Arial" w:eastAsia="Times New Roman" w:hAnsi="Arial" w:cs="Arial"/>
      <w:color w:val="000000"/>
      <w:sz w:val="24"/>
      <w:szCs w:val="24"/>
    </w:rPr>
  </w:style>
  <w:style w:type="paragraph" w:styleId="TableofFigures">
    <w:name w:val="table of figures"/>
    <w:aliases w:val="List of Figures"/>
    <w:basedOn w:val="Normal"/>
    <w:next w:val="Default"/>
    <w:uiPriority w:val="99"/>
    <w:unhideWhenUsed/>
    <w:rsid w:val="00B555D8"/>
    <w:rPr>
      <w:rFonts w:eastAsia="Times New Roman" w:cs="Times New Roman"/>
      <w:szCs w:val="24"/>
      <w:lang w:bidi="en-US"/>
    </w:rPr>
  </w:style>
  <w:style w:type="paragraph" w:styleId="Subtitle">
    <w:name w:val="Subtitle"/>
    <w:basedOn w:val="Normal"/>
    <w:next w:val="Normal"/>
    <w:link w:val="SubtitleChar"/>
    <w:uiPriority w:val="11"/>
    <w:qFormat/>
    <w:rsid w:val="00B555D8"/>
    <w:pPr>
      <w:spacing w:after="60"/>
      <w:jc w:val="center"/>
      <w:outlineLvl w:val="1"/>
    </w:pPr>
    <w:rPr>
      <w:rFonts w:eastAsia="Times New Roman" w:cs="Times New Roman"/>
      <w:szCs w:val="24"/>
      <w:lang w:bidi="en-US"/>
    </w:rPr>
  </w:style>
  <w:style w:type="character" w:customStyle="1" w:styleId="SubtitleChar">
    <w:name w:val="Subtitle Char"/>
    <w:basedOn w:val="DefaultParagraphFont"/>
    <w:link w:val="Subtitle"/>
    <w:uiPriority w:val="11"/>
    <w:rsid w:val="00B555D8"/>
    <w:rPr>
      <w:rFonts w:ascii="Times New Roman" w:eastAsia="Times New Roman" w:hAnsi="Times New Roman" w:cs="Times New Roman"/>
      <w:sz w:val="24"/>
      <w:szCs w:val="24"/>
      <w:lang w:bidi="en-US"/>
    </w:rPr>
  </w:style>
  <w:style w:type="paragraph" w:styleId="CommentSubject">
    <w:name w:val="annotation subject"/>
    <w:basedOn w:val="CommentText"/>
    <w:next w:val="CommentText"/>
    <w:link w:val="CommentSubjectChar"/>
    <w:uiPriority w:val="99"/>
    <w:semiHidden/>
    <w:unhideWhenUsed/>
    <w:rsid w:val="00B555D8"/>
    <w:rPr>
      <w:b/>
      <w:bCs/>
    </w:rPr>
  </w:style>
  <w:style w:type="character" w:customStyle="1" w:styleId="CommentSubjectChar">
    <w:name w:val="Comment Subject Char"/>
    <w:basedOn w:val="CommentTextChar"/>
    <w:link w:val="CommentSubject"/>
    <w:uiPriority w:val="99"/>
    <w:semiHidden/>
    <w:rsid w:val="00B555D8"/>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B555D8"/>
    <w:rPr>
      <w:rFonts w:ascii="Tahoma" w:eastAsia="Times New Roman" w:hAnsi="Tahoma" w:cs="Tahoma"/>
      <w:sz w:val="16"/>
      <w:szCs w:val="16"/>
      <w:lang w:bidi="en-US"/>
    </w:rPr>
  </w:style>
  <w:style w:type="character" w:customStyle="1" w:styleId="BalloonTextChar">
    <w:name w:val="Balloon Text Char"/>
    <w:basedOn w:val="DefaultParagraphFont"/>
    <w:link w:val="BalloonText"/>
    <w:uiPriority w:val="99"/>
    <w:semiHidden/>
    <w:rsid w:val="00B555D8"/>
    <w:rPr>
      <w:rFonts w:ascii="Tahoma" w:eastAsia="Times New Roman" w:hAnsi="Tahoma" w:cs="Tahoma"/>
      <w:sz w:val="16"/>
      <w:szCs w:val="16"/>
      <w:lang w:bidi="en-US"/>
    </w:rPr>
  </w:style>
  <w:style w:type="character" w:customStyle="1" w:styleId="NoSpacingChar">
    <w:name w:val="No Spacing Char"/>
    <w:basedOn w:val="DefaultParagraphFont"/>
    <w:link w:val="NoSpacing"/>
    <w:uiPriority w:val="1"/>
    <w:locked/>
    <w:rsid w:val="00B555D8"/>
    <w:rPr>
      <w:rFonts w:ascii="Times New Roman" w:hAnsi="Times New Roman" w:cs="Times New Roman"/>
      <w:sz w:val="24"/>
      <w:szCs w:val="32"/>
      <w:lang w:bidi="en-US"/>
    </w:rPr>
  </w:style>
  <w:style w:type="paragraph" w:customStyle="1" w:styleId="NoSpacing1">
    <w:name w:val="No Spacing1"/>
    <w:basedOn w:val="Normal"/>
    <w:next w:val="NoSpacing"/>
    <w:uiPriority w:val="1"/>
    <w:qFormat/>
    <w:rsid w:val="00B555D8"/>
    <w:pPr>
      <w:spacing w:line="240" w:lineRule="auto"/>
    </w:pPr>
    <w:rPr>
      <w:rFonts w:cs="Times New Roman"/>
      <w:szCs w:val="32"/>
      <w:lang w:bidi="en-US"/>
    </w:rPr>
  </w:style>
  <w:style w:type="paragraph" w:styleId="ListParagraph">
    <w:name w:val="List Paragraph"/>
    <w:basedOn w:val="Normal"/>
    <w:link w:val="ListParagraphChar"/>
    <w:uiPriority w:val="34"/>
    <w:qFormat/>
    <w:rsid w:val="00B555D8"/>
    <w:pPr>
      <w:ind w:left="720"/>
      <w:contextualSpacing/>
    </w:pPr>
    <w:rPr>
      <w:rFonts w:eastAsia="Times New Roman" w:cs="Times New Roman"/>
      <w:szCs w:val="24"/>
      <w:lang w:bidi="en-US"/>
    </w:rPr>
  </w:style>
  <w:style w:type="paragraph" w:styleId="Quote">
    <w:name w:val="Quote"/>
    <w:basedOn w:val="Normal"/>
    <w:next w:val="Normal"/>
    <w:link w:val="QuoteChar"/>
    <w:uiPriority w:val="29"/>
    <w:qFormat/>
    <w:rsid w:val="00B555D8"/>
    <w:rPr>
      <w:rFonts w:eastAsia="Times New Roman" w:cs="Times New Roman"/>
      <w:i/>
      <w:szCs w:val="24"/>
      <w:lang w:bidi="en-US"/>
    </w:rPr>
  </w:style>
  <w:style w:type="character" w:customStyle="1" w:styleId="QuoteChar">
    <w:name w:val="Quote Char"/>
    <w:basedOn w:val="DefaultParagraphFont"/>
    <w:link w:val="Quote"/>
    <w:uiPriority w:val="29"/>
    <w:rsid w:val="00B555D8"/>
    <w:rPr>
      <w:rFonts w:ascii="Times New Roman" w:eastAsia="Times New Roman" w:hAnsi="Times New Roman" w:cs="Times New Roman"/>
      <w:i/>
      <w:sz w:val="24"/>
      <w:szCs w:val="24"/>
      <w:lang w:bidi="en-US"/>
    </w:rPr>
  </w:style>
  <w:style w:type="paragraph" w:styleId="IntenseQuote">
    <w:name w:val="Intense Quote"/>
    <w:basedOn w:val="Normal"/>
    <w:next w:val="Normal"/>
    <w:link w:val="IntenseQuoteChar"/>
    <w:uiPriority w:val="30"/>
    <w:qFormat/>
    <w:rsid w:val="00B555D8"/>
    <w:pPr>
      <w:ind w:left="720" w:right="720"/>
    </w:pPr>
    <w:rPr>
      <w:rFonts w:eastAsia="Times New Roman" w:cs="Times New Roman"/>
      <w:b/>
      <w:i/>
      <w:lang w:bidi="en-US"/>
    </w:rPr>
  </w:style>
  <w:style w:type="character" w:customStyle="1" w:styleId="IntenseQuoteChar">
    <w:name w:val="Intense Quote Char"/>
    <w:basedOn w:val="DefaultParagraphFont"/>
    <w:link w:val="IntenseQuote"/>
    <w:uiPriority w:val="30"/>
    <w:rsid w:val="00B555D8"/>
    <w:rPr>
      <w:rFonts w:ascii="Times New Roman" w:eastAsia="Times New Roman" w:hAnsi="Times New Roman" w:cs="Times New Roman"/>
      <w:b/>
      <w:i/>
      <w:sz w:val="24"/>
      <w:lang w:bidi="en-US"/>
    </w:rPr>
  </w:style>
  <w:style w:type="paragraph" w:styleId="Bibliography">
    <w:name w:val="Bibliography"/>
    <w:basedOn w:val="Normal"/>
    <w:next w:val="Normal"/>
    <w:uiPriority w:val="37"/>
    <w:unhideWhenUsed/>
    <w:rsid w:val="00B555D8"/>
    <w:rPr>
      <w:rFonts w:eastAsia="Times New Roman" w:cs="Times New Roman"/>
      <w:szCs w:val="24"/>
      <w:lang w:bidi="en-US"/>
    </w:rPr>
  </w:style>
  <w:style w:type="paragraph" w:styleId="TOCHeading">
    <w:name w:val="TOC Heading"/>
    <w:basedOn w:val="Heading1"/>
    <w:next w:val="Normal"/>
    <w:uiPriority w:val="39"/>
    <w:unhideWhenUsed/>
    <w:qFormat/>
    <w:rsid w:val="00B555D8"/>
    <w:pPr>
      <w:outlineLvl w:val="9"/>
    </w:pPr>
  </w:style>
  <w:style w:type="character" w:customStyle="1" w:styleId="BlockQuotationChar">
    <w:name w:val="Block Quotation Char"/>
    <w:basedOn w:val="NoSpacingChar"/>
    <w:link w:val="BlockQuotation"/>
    <w:semiHidden/>
    <w:locked/>
    <w:rsid w:val="00B555D8"/>
    <w:rPr>
      <w:rFonts w:ascii="Times New Roman" w:hAnsi="Times New Roman" w:cs="Times New Roman"/>
      <w:sz w:val="24"/>
      <w:szCs w:val="24"/>
      <w:lang w:bidi="en-US"/>
    </w:rPr>
  </w:style>
  <w:style w:type="paragraph" w:customStyle="1" w:styleId="BlockQuotation">
    <w:name w:val="Block Quotation"/>
    <w:next w:val="Normal"/>
    <w:link w:val="BlockQuotationChar"/>
    <w:semiHidden/>
    <w:qFormat/>
    <w:rsid w:val="00B555D8"/>
    <w:pPr>
      <w:spacing w:after="240" w:line="240" w:lineRule="auto"/>
      <w:ind w:left="720"/>
    </w:pPr>
    <w:rPr>
      <w:rFonts w:ascii="Times New Roman" w:hAnsi="Times New Roman" w:cs="Times New Roman"/>
      <w:sz w:val="24"/>
      <w:szCs w:val="24"/>
      <w:lang w:bidi="en-US"/>
    </w:rPr>
  </w:style>
  <w:style w:type="character" w:customStyle="1" w:styleId="ChapterChar">
    <w:name w:val="Chapter Char"/>
    <w:basedOn w:val="DefaultParagraphFont"/>
    <w:link w:val="Chapter"/>
    <w:locked/>
    <w:rsid w:val="005670AB"/>
    <w:rPr>
      <w:rFonts w:ascii="Times New Roman" w:hAnsi="Times New Roman" w:cs="Times New Roman"/>
      <w:b/>
      <w:bCs/>
      <w:sz w:val="24"/>
      <w:szCs w:val="24"/>
      <w:lang w:bidi="en-US"/>
    </w:rPr>
  </w:style>
  <w:style w:type="paragraph" w:customStyle="1" w:styleId="Chapter">
    <w:name w:val="Chapter"/>
    <w:basedOn w:val="Heading1"/>
    <w:next w:val="Normal"/>
    <w:link w:val="ChapterChar"/>
    <w:autoRedefine/>
    <w:qFormat/>
    <w:rsid w:val="005670AB"/>
    <w:pPr>
      <w:keepNext/>
      <w:numPr>
        <w:numId w:val="0"/>
      </w:numPr>
      <w:spacing w:after="120" w:line="240" w:lineRule="auto"/>
    </w:pPr>
    <w:rPr>
      <w:rFonts w:eastAsiaTheme="minorHAnsi"/>
      <w:sz w:val="24"/>
      <w:szCs w:val="24"/>
    </w:rPr>
  </w:style>
  <w:style w:type="character" w:customStyle="1" w:styleId="MTDisplayEquationChar">
    <w:name w:val="MTDisplayEquation Char"/>
    <w:basedOn w:val="DefaultParagraphFont"/>
    <w:link w:val="MTDisplayEquation"/>
    <w:locked/>
    <w:rsid w:val="00B555D8"/>
    <w:rPr>
      <w:rFonts w:ascii="Times New Roman" w:eastAsia="Times New Roman" w:hAnsi="Times New Roman" w:cs="Times New Roman"/>
      <w:sz w:val="24"/>
      <w:szCs w:val="24"/>
    </w:rPr>
  </w:style>
  <w:style w:type="paragraph" w:customStyle="1" w:styleId="MTDisplayEquation">
    <w:name w:val="MTDisplayEquation"/>
    <w:basedOn w:val="Normal"/>
    <w:next w:val="Normal"/>
    <w:link w:val="MTDisplayEquationChar"/>
    <w:rsid w:val="00B555D8"/>
    <w:pPr>
      <w:tabs>
        <w:tab w:val="center" w:pos="4680"/>
        <w:tab w:val="right" w:pos="9360"/>
      </w:tabs>
      <w:spacing w:line="360" w:lineRule="auto"/>
      <w:ind w:firstLine="720"/>
      <w:jc w:val="both"/>
    </w:pPr>
    <w:rPr>
      <w:rFonts w:eastAsia="Times New Roman" w:cs="Times New Roman"/>
      <w:szCs w:val="24"/>
    </w:rPr>
  </w:style>
  <w:style w:type="character" w:styleId="CommentReference">
    <w:name w:val="annotation reference"/>
    <w:basedOn w:val="DefaultParagraphFont"/>
    <w:uiPriority w:val="99"/>
    <w:semiHidden/>
    <w:unhideWhenUsed/>
    <w:rsid w:val="00B555D8"/>
    <w:rPr>
      <w:sz w:val="16"/>
      <w:szCs w:val="16"/>
    </w:rPr>
  </w:style>
  <w:style w:type="character" w:styleId="PlaceholderText">
    <w:name w:val="Placeholder Text"/>
    <w:basedOn w:val="DefaultParagraphFont"/>
    <w:uiPriority w:val="99"/>
    <w:semiHidden/>
    <w:rsid w:val="00B555D8"/>
    <w:rPr>
      <w:color w:val="808080"/>
    </w:rPr>
  </w:style>
  <w:style w:type="character" w:styleId="SubtleEmphasis">
    <w:name w:val="Subtle Emphasis"/>
    <w:uiPriority w:val="19"/>
    <w:qFormat/>
    <w:rsid w:val="00B555D8"/>
    <w:rPr>
      <w:i/>
      <w:iCs w:val="0"/>
      <w:color w:val="5A5A5A"/>
    </w:rPr>
  </w:style>
  <w:style w:type="character" w:styleId="IntenseEmphasis">
    <w:name w:val="Intense Emphasis"/>
    <w:basedOn w:val="DefaultParagraphFont"/>
    <w:uiPriority w:val="21"/>
    <w:qFormat/>
    <w:rsid w:val="00B555D8"/>
    <w:rPr>
      <w:b/>
      <w:bCs w:val="0"/>
      <w:i/>
      <w:iCs w:val="0"/>
      <w:sz w:val="24"/>
      <w:szCs w:val="24"/>
      <w:u w:val="single"/>
    </w:rPr>
  </w:style>
  <w:style w:type="character" w:styleId="SubtleReference">
    <w:name w:val="Subtle Reference"/>
    <w:basedOn w:val="DefaultParagraphFont"/>
    <w:uiPriority w:val="31"/>
    <w:qFormat/>
    <w:rsid w:val="00B555D8"/>
    <w:rPr>
      <w:sz w:val="24"/>
      <w:szCs w:val="24"/>
      <w:u w:val="single"/>
    </w:rPr>
  </w:style>
  <w:style w:type="character" w:styleId="IntenseReference">
    <w:name w:val="Intense Reference"/>
    <w:basedOn w:val="DefaultParagraphFont"/>
    <w:uiPriority w:val="32"/>
    <w:qFormat/>
    <w:rsid w:val="00B555D8"/>
    <w:rPr>
      <w:b/>
      <w:bCs w:val="0"/>
      <w:sz w:val="24"/>
      <w:u w:val="single"/>
    </w:rPr>
  </w:style>
  <w:style w:type="character" w:styleId="BookTitle">
    <w:name w:val="Book Title"/>
    <w:basedOn w:val="DefaultParagraphFont"/>
    <w:uiPriority w:val="33"/>
    <w:qFormat/>
    <w:rsid w:val="00B555D8"/>
    <w:rPr>
      <w:rFonts w:ascii="Times New Roman" w:eastAsia="Times New Roman" w:hAnsi="Times New Roman" w:cs="Times New Roman" w:hint="default"/>
      <w:b/>
      <w:bCs w:val="0"/>
      <w:i/>
      <w:iCs w:val="0"/>
      <w:sz w:val="24"/>
      <w:szCs w:val="24"/>
    </w:rPr>
  </w:style>
  <w:style w:type="character" w:customStyle="1" w:styleId="CommentSubjectChar1">
    <w:name w:val="Comment Subject Char1"/>
    <w:basedOn w:val="CommentTextChar"/>
    <w:uiPriority w:val="99"/>
    <w:semiHidden/>
    <w:rsid w:val="00B555D8"/>
    <w:rPr>
      <w:rFonts w:ascii="Times New Roman" w:eastAsia="Times New Roman" w:hAnsi="Times New Roman" w:cs="Times New Roman" w:hint="default"/>
      <w:b/>
      <w:bCs/>
      <w:sz w:val="20"/>
      <w:szCs w:val="20"/>
    </w:rPr>
  </w:style>
  <w:style w:type="character" w:customStyle="1" w:styleId="apple-converted-space">
    <w:name w:val="apple-converted-space"/>
    <w:basedOn w:val="DefaultParagraphFont"/>
    <w:rsid w:val="00B555D8"/>
  </w:style>
  <w:style w:type="character" w:customStyle="1" w:styleId="publication-meta-journal">
    <w:name w:val="publication-meta-journal"/>
    <w:basedOn w:val="DefaultParagraphFont"/>
    <w:rsid w:val="00B555D8"/>
  </w:style>
  <w:style w:type="character" w:customStyle="1" w:styleId="publication-meta-separator">
    <w:name w:val="publication-meta-separator"/>
    <w:basedOn w:val="DefaultParagraphFont"/>
    <w:rsid w:val="00B555D8"/>
  </w:style>
  <w:style w:type="character" w:customStyle="1" w:styleId="contribdegrees">
    <w:name w:val="contribdegrees"/>
    <w:basedOn w:val="DefaultParagraphFont"/>
    <w:rsid w:val="00B555D8"/>
  </w:style>
  <w:style w:type="table" w:styleId="TableGrid">
    <w:name w:val="Table Grid"/>
    <w:basedOn w:val="TableNormal"/>
    <w:rsid w:val="00B555D8"/>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B555D8"/>
    <w:rPr>
      <w:color w:val="954F72" w:themeColor="followedHyperlink"/>
      <w:u w:val="single"/>
    </w:rPr>
  </w:style>
  <w:style w:type="paragraph" w:styleId="NoSpacing">
    <w:name w:val="No Spacing"/>
    <w:link w:val="NoSpacingChar"/>
    <w:uiPriority w:val="1"/>
    <w:qFormat/>
    <w:rsid w:val="00B555D8"/>
    <w:pPr>
      <w:spacing w:after="0" w:line="240" w:lineRule="auto"/>
    </w:pPr>
    <w:rPr>
      <w:rFonts w:ascii="Times New Roman" w:hAnsi="Times New Roman" w:cs="Times New Roman"/>
      <w:sz w:val="24"/>
      <w:szCs w:val="32"/>
      <w:lang w:bidi="en-US"/>
    </w:rPr>
  </w:style>
  <w:style w:type="paragraph" w:customStyle="1" w:styleId="Style1">
    <w:name w:val="Style1"/>
    <w:basedOn w:val="Normal"/>
    <w:link w:val="Style1Char"/>
    <w:qFormat/>
    <w:rsid w:val="00EB5ABA"/>
    <w:pPr>
      <w:keepNext/>
      <w:pBdr>
        <w:bottom w:val="single" w:sz="4" w:space="1" w:color="auto"/>
      </w:pBdr>
      <w:spacing w:after="240" w:line="240" w:lineRule="auto"/>
      <w:jc w:val="center"/>
    </w:pPr>
    <w:rPr>
      <w:rFonts w:cs="Times New Roman"/>
      <w:b/>
      <w:sz w:val="28"/>
      <w:szCs w:val="32"/>
      <w:lang w:bidi="en-US"/>
    </w:rPr>
  </w:style>
  <w:style w:type="character" w:customStyle="1" w:styleId="Style1Char">
    <w:name w:val="Style1 Char"/>
    <w:basedOn w:val="DefaultParagraphFont"/>
    <w:link w:val="Style1"/>
    <w:rsid w:val="00EB5ABA"/>
  </w:style>
  <w:style w:type="paragraph" w:customStyle="1" w:styleId="EndNoteBibliographyTitle">
    <w:name w:val="EndNote Bibliography Title"/>
    <w:basedOn w:val="Normal"/>
    <w:link w:val="EndNoteBibliographyTitleChar"/>
    <w:rsid w:val="0003506A"/>
    <w:pPr>
      <w:jc w:val="center"/>
    </w:pPr>
    <w:rPr>
      <w:rFonts w:cs="Times New Roman"/>
      <w:noProof/>
      <w:sz w:val="28"/>
    </w:rPr>
  </w:style>
  <w:style w:type="character" w:customStyle="1" w:styleId="EndNoteBibliographyTitleChar">
    <w:name w:val="EndNote Bibliography Title Char"/>
    <w:basedOn w:val="DefaultParagraphFont"/>
    <w:link w:val="EndNoteBibliographyTitle"/>
    <w:rsid w:val="0003506A"/>
    <w:rPr>
      <w:rFonts w:ascii="Times New Roman" w:hAnsi="Times New Roman" w:cs="Times New Roman"/>
      <w:noProof/>
      <w:sz w:val="28"/>
    </w:rPr>
  </w:style>
  <w:style w:type="paragraph" w:customStyle="1" w:styleId="EndNoteBibliography">
    <w:name w:val="EndNote Bibliography"/>
    <w:basedOn w:val="Normal"/>
    <w:link w:val="EndNoteBibliographyChar"/>
    <w:rsid w:val="0003506A"/>
    <w:pPr>
      <w:spacing w:line="240" w:lineRule="auto"/>
    </w:pPr>
    <w:rPr>
      <w:rFonts w:cs="Times New Roman"/>
      <w:noProof/>
      <w:sz w:val="28"/>
    </w:rPr>
  </w:style>
  <w:style w:type="character" w:customStyle="1" w:styleId="EndNoteBibliographyChar">
    <w:name w:val="EndNote Bibliography Char"/>
    <w:basedOn w:val="DefaultParagraphFont"/>
    <w:link w:val="EndNoteBibliography"/>
    <w:rsid w:val="0003506A"/>
    <w:rPr>
      <w:rFonts w:ascii="Times New Roman" w:hAnsi="Times New Roman" w:cs="Times New Roman"/>
      <w:noProof/>
      <w:sz w:val="28"/>
    </w:rPr>
  </w:style>
  <w:style w:type="character" w:styleId="LineNumber">
    <w:name w:val="line number"/>
    <w:basedOn w:val="DefaultParagraphFont"/>
    <w:uiPriority w:val="99"/>
    <w:semiHidden/>
    <w:unhideWhenUsed/>
    <w:rsid w:val="0003506A"/>
  </w:style>
  <w:style w:type="character" w:styleId="UnresolvedMention">
    <w:name w:val="Unresolved Mention"/>
    <w:basedOn w:val="DefaultParagraphFont"/>
    <w:uiPriority w:val="99"/>
    <w:semiHidden/>
    <w:unhideWhenUsed/>
    <w:rsid w:val="0003506A"/>
    <w:rPr>
      <w:color w:val="605E5C"/>
      <w:shd w:val="clear" w:color="auto" w:fill="E1DFDD"/>
    </w:rPr>
  </w:style>
  <w:style w:type="paragraph" w:styleId="EndnoteText">
    <w:name w:val="endnote text"/>
    <w:basedOn w:val="Normal"/>
    <w:link w:val="EndnoteTextChar"/>
    <w:unhideWhenUsed/>
    <w:rsid w:val="00D248EC"/>
    <w:pPr>
      <w:spacing w:line="240" w:lineRule="auto"/>
    </w:pPr>
    <w:rPr>
      <w:sz w:val="20"/>
      <w:szCs w:val="20"/>
    </w:rPr>
  </w:style>
  <w:style w:type="character" w:customStyle="1" w:styleId="EndnoteTextChar">
    <w:name w:val="Endnote Text Char"/>
    <w:basedOn w:val="DefaultParagraphFont"/>
    <w:link w:val="EndnoteText"/>
    <w:rsid w:val="00D248EC"/>
    <w:rPr>
      <w:sz w:val="20"/>
      <w:szCs w:val="20"/>
    </w:rPr>
  </w:style>
  <w:style w:type="character" w:styleId="EndnoteReference">
    <w:name w:val="endnote reference"/>
    <w:basedOn w:val="DefaultParagraphFont"/>
    <w:unhideWhenUsed/>
    <w:rsid w:val="00D248EC"/>
    <w:rPr>
      <w:vertAlign w:val="superscript"/>
    </w:rPr>
  </w:style>
  <w:style w:type="paragraph" w:styleId="FootnoteText">
    <w:name w:val="footnote text"/>
    <w:basedOn w:val="Normal"/>
    <w:link w:val="FootnoteTextChar"/>
    <w:unhideWhenUsed/>
    <w:rsid w:val="000E4CAE"/>
    <w:pPr>
      <w:spacing w:line="240" w:lineRule="auto"/>
    </w:pPr>
    <w:rPr>
      <w:sz w:val="20"/>
      <w:szCs w:val="20"/>
    </w:rPr>
  </w:style>
  <w:style w:type="character" w:customStyle="1" w:styleId="FootnoteTextChar">
    <w:name w:val="Footnote Text Char"/>
    <w:basedOn w:val="DefaultParagraphFont"/>
    <w:link w:val="FootnoteText"/>
    <w:rsid w:val="000E4CAE"/>
    <w:rPr>
      <w:sz w:val="20"/>
      <w:szCs w:val="20"/>
    </w:rPr>
  </w:style>
  <w:style w:type="character" w:styleId="FootnoteReference">
    <w:name w:val="footnote reference"/>
    <w:basedOn w:val="DefaultParagraphFont"/>
    <w:uiPriority w:val="99"/>
    <w:unhideWhenUsed/>
    <w:rsid w:val="000E4CAE"/>
    <w:rPr>
      <w:vertAlign w:val="superscript"/>
    </w:rPr>
  </w:style>
  <w:style w:type="character" w:customStyle="1" w:styleId="fontstyle01">
    <w:name w:val="fontstyle01"/>
    <w:basedOn w:val="DefaultParagraphFont"/>
    <w:rsid w:val="00880368"/>
    <w:rPr>
      <w:rFonts w:ascii="Times New Roman" w:hAnsi="Times New Roman" w:cs="Times New Roman" w:hint="default"/>
      <w:b w:val="0"/>
      <w:bCs w:val="0"/>
      <w:i w:val="0"/>
      <w:iCs w:val="0"/>
      <w:color w:val="000000"/>
      <w:sz w:val="20"/>
      <w:szCs w:val="20"/>
    </w:rPr>
  </w:style>
  <w:style w:type="character" w:customStyle="1" w:styleId="ListParagraphChar">
    <w:name w:val="List Paragraph Char"/>
    <w:basedOn w:val="DefaultParagraphFont"/>
    <w:link w:val="ListParagraph"/>
    <w:uiPriority w:val="34"/>
    <w:rsid w:val="0038132E"/>
    <w:rPr>
      <w:rFonts w:ascii="Times New Roman" w:eastAsia="Times New Roman" w:hAnsi="Times New Roman" w:cs="Times New Roman"/>
      <w:sz w:val="24"/>
      <w:szCs w:val="24"/>
      <w:lang w:bidi="en-US"/>
    </w:rPr>
  </w:style>
  <w:style w:type="paragraph" w:customStyle="1" w:styleId="Paragraph">
    <w:name w:val="Paragraph"/>
    <w:basedOn w:val="Normal"/>
    <w:next w:val="Newparagraph"/>
    <w:link w:val="ParagraphChar"/>
    <w:uiPriority w:val="2"/>
    <w:qFormat/>
    <w:rsid w:val="0038132E"/>
    <w:pPr>
      <w:widowControl w:val="0"/>
      <w:spacing w:before="240"/>
      <w:ind w:firstLine="720"/>
    </w:pPr>
    <w:rPr>
      <w:rFonts w:eastAsia="Times New Roman" w:cs="Times New Roman"/>
      <w:szCs w:val="24"/>
      <w:lang w:val="en-GB" w:eastAsia="en-GB"/>
    </w:rPr>
  </w:style>
  <w:style w:type="paragraph" w:customStyle="1" w:styleId="Newparagraph">
    <w:name w:val="New paragraph"/>
    <w:basedOn w:val="Normal"/>
    <w:qFormat/>
    <w:rsid w:val="0038132E"/>
    <w:pPr>
      <w:ind w:firstLine="720"/>
    </w:pPr>
    <w:rPr>
      <w:rFonts w:eastAsia="Times New Roman" w:cs="Times New Roman"/>
      <w:szCs w:val="24"/>
      <w:lang w:val="en-GB" w:eastAsia="en-GB"/>
    </w:rPr>
  </w:style>
  <w:style w:type="character" w:customStyle="1" w:styleId="ParagraphChar">
    <w:name w:val="Paragraph Char"/>
    <w:basedOn w:val="DefaultParagraphFont"/>
    <w:link w:val="Paragraph"/>
    <w:uiPriority w:val="2"/>
    <w:rsid w:val="0038132E"/>
    <w:rPr>
      <w:rFonts w:ascii="Times New Roman" w:eastAsia="Times New Roman" w:hAnsi="Times New Roman" w:cs="Times New Roman"/>
      <w:sz w:val="24"/>
      <w:szCs w:val="24"/>
      <w:lang w:val="en-GB" w:eastAsia="en-GB"/>
    </w:rPr>
  </w:style>
  <w:style w:type="character" w:customStyle="1" w:styleId="fontstyle21">
    <w:name w:val="fontstyle21"/>
    <w:basedOn w:val="DefaultParagraphFont"/>
    <w:rsid w:val="0038132E"/>
    <w:rPr>
      <w:rFonts w:ascii="Times-Bold" w:hAnsi="Times-Bold" w:hint="default"/>
      <w:b/>
      <w:bCs/>
      <w:i w:val="0"/>
      <w:iCs w:val="0"/>
      <w:color w:val="000000"/>
      <w:sz w:val="22"/>
      <w:szCs w:val="22"/>
    </w:rPr>
  </w:style>
  <w:style w:type="paragraph" w:customStyle="1" w:styleId="Displayedequation">
    <w:name w:val="Displayed equation"/>
    <w:basedOn w:val="Normal"/>
    <w:next w:val="Paragraph"/>
    <w:qFormat/>
    <w:rsid w:val="0038132E"/>
    <w:pPr>
      <w:tabs>
        <w:tab w:val="center" w:pos="4253"/>
        <w:tab w:val="right" w:pos="8222"/>
      </w:tabs>
      <w:spacing w:before="240" w:after="240"/>
      <w:jc w:val="center"/>
    </w:pPr>
    <w:rPr>
      <w:rFonts w:eastAsia="Times New Roman" w:cs="Times New Roman"/>
      <w:szCs w:val="24"/>
      <w:lang w:val="en-GB" w:eastAsia="en-GB"/>
    </w:rPr>
  </w:style>
  <w:style w:type="paragraph" w:customStyle="1" w:styleId="Articletitle">
    <w:name w:val="Article title"/>
    <w:basedOn w:val="Normal"/>
    <w:next w:val="Normal"/>
    <w:qFormat/>
    <w:rsid w:val="00C32564"/>
    <w:pPr>
      <w:spacing w:after="120" w:line="360" w:lineRule="auto"/>
    </w:pPr>
    <w:rPr>
      <w:rFonts w:eastAsia="Times New Roman" w:cs="Times New Roman"/>
      <w:b/>
      <w:sz w:val="28"/>
      <w:szCs w:val="24"/>
      <w:lang w:val="en-GB" w:eastAsia="en-GB"/>
    </w:rPr>
  </w:style>
  <w:style w:type="paragraph" w:customStyle="1" w:styleId="Authornames">
    <w:name w:val="Author names"/>
    <w:basedOn w:val="Normal"/>
    <w:next w:val="Normal"/>
    <w:qFormat/>
    <w:rsid w:val="00C32564"/>
    <w:pPr>
      <w:spacing w:before="240" w:line="360" w:lineRule="auto"/>
    </w:pPr>
    <w:rPr>
      <w:rFonts w:eastAsia="Times New Roman" w:cs="Times New Roman"/>
      <w:sz w:val="28"/>
      <w:szCs w:val="24"/>
      <w:lang w:val="en-GB" w:eastAsia="en-GB"/>
    </w:rPr>
  </w:style>
  <w:style w:type="paragraph" w:customStyle="1" w:styleId="Affiliation">
    <w:name w:val="Affiliation"/>
    <w:basedOn w:val="Normal"/>
    <w:qFormat/>
    <w:rsid w:val="00C32564"/>
    <w:pPr>
      <w:spacing w:before="240" w:line="360" w:lineRule="auto"/>
    </w:pPr>
    <w:rPr>
      <w:rFonts w:eastAsia="Times New Roman" w:cs="Times New Roman"/>
      <w:i/>
      <w:szCs w:val="24"/>
      <w:lang w:val="en-GB" w:eastAsia="en-GB"/>
    </w:rPr>
  </w:style>
  <w:style w:type="paragraph" w:customStyle="1" w:styleId="Receiveddates">
    <w:name w:val="Received dates"/>
    <w:basedOn w:val="Affiliation"/>
    <w:next w:val="Normal"/>
    <w:qFormat/>
    <w:rsid w:val="00C32564"/>
  </w:style>
  <w:style w:type="paragraph" w:customStyle="1" w:styleId="Abstract">
    <w:name w:val="Abstract"/>
    <w:basedOn w:val="Normal"/>
    <w:next w:val="Keywords"/>
    <w:qFormat/>
    <w:rsid w:val="00C32564"/>
    <w:pPr>
      <w:spacing w:before="360" w:after="300" w:line="360" w:lineRule="auto"/>
      <w:ind w:left="720" w:right="567"/>
    </w:pPr>
    <w:rPr>
      <w:rFonts w:eastAsia="Times New Roman" w:cs="Times New Roman"/>
      <w:sz w:val="22"/>
      <w:szCs w:val="24"/>
      <w:lang w:val="en-GB" w:eastAsia="en-GB"/>
    </w:rPr>
  </w:style>
  <w:style w:type="paragraph" w:customStyle="1" w:styleId="Keywords">
    <w:name w:val="Keywords"/>
    <w:basedOn w:val="Normal"/>
    <w:next w:val="Paragraph"/>
    <w:qFormat/>
    <w:rsid w:val="00C32564"/>
    <w:pPr>
      <w:spacing w:before="240" w:after="240" w:line="360" w:lineRule="auto"/>
      <w:ind w:left="720" w:right="567"/>
    </w:pPr>
    <w:rPr>
      <w:rFonts w:eastAsia="Times New Roman" w:cs="Times New Roman"/>
      <w:sz w:val="22"/>
      <w:szCs w:val="24"/>
      <w:lang w:val="en-GB" w:eastAsia="en-GB"/>
    </w:rPr>
  </w:style>
  <w:style w:type="paragraph" w:customStyle="1" w:styleId="Correspondencedetails">
    <w:name w:val="Correspondence details"/>
    <w:basedOn w:val="Normal"/>
    <w:qFormat/>
    <w:rsid w:val="00C32564"/>
    <w:pPr>
      <w:spacing w:before="240" w:line="360" w:lineRule="auto"/>
    </w:pPr>
    <w:rPr>
      <w:rFonts w:eastAsia="Times New Roman" w:cs="Times New Roman"/>
      <w:szCs w:val="24"/>
      <w:lang w:val="en-GB" w:eastAsia="en-GB"/>
    </w:rPr>
  </w:style>
  <w:style w:type="paragraph" w:customStyle="1" w:styleId="Displayedquotation">
    <w:name w:val="Displayed quotation"/>
    <w:basedOn w:val="Normal"/>
    <w:qFormat/>
    <w:rsid w:val="00C32564"/>
    <w:pPr>
      <w:tabs>
        <w:tab w:val="left" w:pos="1077"/>
        <w:tab w:val="left" w:pos="1440"/>
        <w:tab w:val="left" w:pos="1797"/>
        <w:tab w:val="left" w:pos="2155"/>
        <w:tab w:val="left" w:pos="2512"/>
      </w:tabs>
      <w:spacing w:before="240" w:after="360" w:line="360" w:lineRule="auto"/>
      <w:ind w:left="709" w:right="425"/>
      <w:contextualSpacing/>
    </w:pPr>
    <w:rPr>
      <w:rFonts w:eastAsia="Times New Roman" w:cs="Times New Roman"/>
      <w:sz w:val="22"/>
      <w:szCs w:val="24"/>
      <w:lang w:val="en-GB" w:eastAsia="en-GB"/>
    </w:rPr>
  </w:style>
  <w:style w:type="paragraph" w:customStyle="1" w:styleId="Numberedlist">
    <w:name w:val="Numbered list"/>
    <w:basedOn w:val="Paragraph"/>
    <w:next w:val="Paragraph"/>
    <w:qFormat/>
    <w:rsid w:val="00C32564"/>
    <w:pPr>
      <w:widowControl/>
      <w:numPr>
        <w:numId w:val="7"/>
      </w:numPr>
      <w:spacing w:after="240"/>
      <w:contextualSpacing/>
    </w:pPr>
  </w:style>
  <w:style w:type="paragraph" w:customStyle="1" w:styleId="Acknowledgements">
    <w:name w:val="Acknowledgements"/>
    <w:basedOn w:val="Normal"/>
    <w:next w:val="Normal"/>
    <w:qFormat/>
    <w:rsid w:val="00C32564"/>
    <w:pPr>
      <w:spacing w:before="120" w:line="360" w:lineRule="auto"/>
    </w:pPr>
    <w:rPr>
      <w:rFonts w:eastAsia="Times New Roman" w:cs="Times New Roman"/>
      <w:sz w:val="22"/>
      <w:szCs w:val="24"/>
      <w:lang w:val="en-GB" w:eastAsia="en-GB"/>
    </w:rPr>
  </w:style>
  <w:style w:type="paragraph" w:customStyle="1" w:styleId="Tabletitle">
    <w:name w:val="Table title"/>
    <w:basedOn w:val="Normal"/>
    <w:next w:val="Normal"/>
    <w:qFormat/>
    <w:rsid w:val="00C32564"/>
    <w:pPr>
      <w:spacing w:before="240" w:line="360" w:lineRule="auto"/>
    </w:pPr>
    <w:rPr>
      <w:rFonts w:eastAsia="Times New Roman" w:cs="Times New Roman"/>
      <w:szCs w:val="24"/>
      <w:lang w:val="en-GB" w:eastAsia="en-GB"/>
    </w:rPr>
  </w:style>
  <w:style w:type="paragraph" w:customStyle="1" w:styleId="Figurecaption">
    <w:name w:val="Figure caption"/>
    <w:basedOn w:val="Normal"/>
    <w:next w:val="Normal"/>
    <w:qFormat/>
    <w:rsid w:val="00C32564"/>
    <w:pPr>
      <w:spacing w:before="240" w:line="360" w:lineRule="auto"/>
    </w:pPr>
    <w:rPr>
      <w:rFonts w:eastAsia="Times New Roman" w:cs="Times New Roman"/>
      <w:szCs w:val="24"/>
      <w:lang w:val="en-GB" w:eastAsia="en-GB"/>
    </w:rPr>
  </w:style>
  <w:style w:type="paragraph" w:customStyle="1" w:styleId="Footnotes">
    <w:name w:val="Footnotes"/>
    <w:basedOn w:val="Normal"/>
    <w:qFormat/>
    <w:rsid w:val="00C32564"/>
    <w:pPr>
      <w:spacing w:before="120" w:line="360" w:lineRule="auto"/>
      <w:ind w:left="482" w:hanging="482"/>
      <w:contextualSpacing/>
    </w:pPr>
    <w:rPr>
      <w:rFonts w:eastAsia="Times New Roman" w:cs="Times New Roman"/>
      <w:sz w:val="22"/>
      <w:szCs w:val="24"/>
      <w:lang w:val="en-GB" w:eastAsia="en-GB"/>
    </w:rPr>
  </w:style>
  <w:style w:type="paragraph" w:customStyle="1" w:styleId="Notesoncontributors">
    <w:name w:val="Notes on contributors"/>
    <w:basedOn w:val="Normal"/>
    <w:qFormat/>
    <w:rsid w:val="00C32564"/>
    <w:pPr>
      <w:spacing w:before="240" w:line="360" w:lineRule="auto"/>
    </w:pPr>
    <w:rPr>
      <w:rFonts w:eastAsia="Times New Roman" w:cs="Times New Roman"/>
      <w:sz w:val="22"/>
      <w:szCs w:val="24"/>
      <w:lang w:val="en-GB" w:eastAsia="en-GB"/>
    </w:rPr>
  </w:style>
  <w:style w:type="paragraph" w:customStyle="1" w:styleId="Normalparagraphstyle">
    <w:name w:val="Normal paragraph style"/>
    <w:basedOn w:val="Normal"/>
    <w:next w:val="Normal"/>
    <w:rsid w:val="00C32564"/>
    <w:rPr>
      <w:rFonts w:eastAsia="Times New Roman" w:cs="Times New Roman"/>
      <w:szCs w:val="24"/>
      <w:lang w:val="en-GB" w:eastAsia="en-GB"/>
    </w:rPr>
  </w:style>
  <w:style w:type="paragraph" w:styleId="NormalIndent">
    <w:name w:val="Normal Indent"/>
    <w:basedOn w:val="Normal"/>
    <w:rsid w:val="00C32564"/>
    <w:pPr>
      <w:ind w:left="720"/>
    </w:pPr>
    <w:rPr>
      <w:rFonts w:eastAsia="Times New Roman" w:cs="Times New Roman"/>
      <w:szCs w:val="24"/>
      <w:lang w:val="en-GB" w:eastAsia="en-GB"/>
    </w:rPr>
  </w:style>
  <w:style w:type="paragraph" w:customStyle="1" w:styleId="References">
    <w:name w:val="References"/>
    <w:basedOn w:val="Normal"/>
    <w:link w:val="ReferencesChar"/>
    <w:uiPriority w:val="2"/>
    <w:qFormat/>
    <w:rsid w:val="00C32564"/>
    <w:pPr>
      <w:spacing w:before="120" w:line="360" w:lineRule="auto"/>
      <w:ind w:left="720" w:hanging="720"/>
      <w:contextualSpacing/>
    </w:pPr>
    <w:rPr>
      <w:rFonts w:eastAsia="Times New Roman" w:cs="Times New Roman"/>
      <w:szCs w:val="24"/>
      <w:lang w:val="en-GB" w:eastAsia="en-GB"/>
    </w:rPr>
  </w:style>
  <w:style w:type="paragraph" w:customStyle="1" w:styleId="Subjectcodes">
    <w:name w:val="Subject codes"/>
    <w:basedOn w:val="Keywords"/>
    <w:next w:val="Paragraph"/>
    <w:qFormat/>
    <w:rsid w:val="00C32564"/>
  </w:style>
  <w:style w:type="paragraph" w:customStyle="1" w:styleId="Bulletedlist">
    <w:name w:val="Bulleted list"/>
    <w:basedOn w:val="Paragraph"/>
    <w:next w:val="Paragraph"/>
    <w:qFormat/>
    <w:rsid w:val="00C32564"/>
    <w:pPr>
      <w:widowControl/>
      <w:numPr>
        <w:numId w:val="8"/>
      </w:numPr>
      <w:spacing w:after="240"/>
      <w:contextualSpacing/>
    </w:pPr>
  </w:style>
  <w:style w:type="paragraph" w:customStyle="1" w:styleId="Heading4Paragraph">
    <w:name w:val="Heading 4 + Paragraph"/>
    <w:basedOn w:val="Paragraph"/>
    <w:next w:val="Newparagraph"/>
    <w:qFormat/>
    <w:rsid w:val="00C32564"/>
    <w:pPr>
      <w:widowControl/>
      <w:spacing w:before="360"/>
      <w:ind w:firstLine="0"/>
    </w:pPr>
  </w:style>
  <w:style w:type="character" w:customStyle="1" w:styleId="DefaultChar">
    <w:name w:val="Default Char"/>
    <w:link w:val="Default"/>
    <w:locked/>
    <w:rsid w:val="00C32564"/>
    <w:rPr>
      <w:rFonts w:ascii="Arial" w:eastAsia="Times New Roman" w:hAnsi="Arial" w:cs="Arial"/>
      <w:color w:val="000000"/>
      <w:sz w:val="24"/>
      <w:szCs w:val="24"/>
    </w:rPr>
  </w:style>
  <w:style w:type="paragraph" w:customStyle="1" w:styleId="CM41">
    <w:name w:val="CM41"/>
    <w:basedOn w:val="Default"/>
    <w:next w:val="Default"/>
    <w:uiPriority w:val="99"/>
    <w:rsid w:val="00C32564"/>
    <w:pPr>
      <w:widowControl w:val="0"/>
    </w:pPr>
    <w:rPr>
      <w:rFonts w:ascii="Myriad Pro" w:hAnsi="Myriad Pro" w:cs="Times New Roman"/>
      <w:color w:val="auto"/>
      <w:lang w:val="en-GB" w:eastAsia="en-GB"/>
    </w:rPr>
  </w:style>
  <w:style w:type="character" w:styleId="PageNumber">
    <w:name w:val="page number"/>
    <w:basedOn w:val="DefaultParagraphFont"/>
    <w:rsid w:val="00DD6905"/>
  </w:style>
  <w:style w:type="paragraph" w:customStyle="1" w:styleId="Subheading">
    <w:name w:val="Subheading"/>
    <w:basedOn w:val="Normal"/>
    <w:rsid w:val="00DD6905"/>
    <w:pPr>
      <w:keepNext/>
      <w:keepLines/>
      <w:tabs>
        <w:tab w:val="left" w:pos="360"/>
      </w:tabs>
      <w:spacing w:before="480" w:after="240" w:line="240" w:lineRule="auto"/>
      <w:ind w:left="360" w:hanging="360"/>
    </w:pPr>
    <w:rPr>
      <w:rFonts w:ascii="Arial" w:eastAsia="Malgun Gothic" w:hAnsi="Arial" w:cs="Arial"/>
      <w:b/>
      <w:sz w:val="20"/>
      <w:szCs w:val="20"/>
      <w:lang w:val="en-CA"/>
    </w:rPr>
  </w:style>
  <w:style w:type="character" w:customStyle="1" w:styleId="apple-style-span">
    <w:name w:val="apple-style-span"/>
    <w:basedOn w:val="DefaultParagraphFont"/>
    <w:rsid w:val="00DD6905"/>
  </w:style>
  <w:style w:type="paragraph" w:customStyle="1" w:styleId="Reference">
    <w:name w:val="Reference"/>
    <w:basedOn w:val="Normal"/>
    <w:rsid w:val="00DD6905"/>
    <w:pPr>
      <w:spacing w:line="240" w:lineRule="auto"/>
      <w:ind w:left="360" w:hanging="360"/>
    </w:pPr>
    <w:rPr>
      <w:rFonts w:ascii="Arial" w:eastAsia="Times New Roman" w:hAnsi="Arial" w:cs="Arial"/>
      <w:sz w:val="20"/>
      <w:szCs w:val="24"/>
      <w:lang w:val="en-CA"/>
    </w:rPr>
  </w:style>
  <w:style w:type="paragraph" w:customStyle="1" w:styleId="Subhead">
    <w:name w:val="Subhead"/>
    <w:basedOn w:val="Normal"/>
    <w:rsid w:val="00DD6905"/>
    <w:pPr>
      <w:spacing w:before="240" w:after="120" w:line="240" w:lineRule="auto"/>
    </w:pPr>
    <w:rPr>
      <w:rFonts w:eastAsia="Times New Roman" w:cs="Times New Roman"/>
      <w:b/>
      <w:bCs/>
      <w:szCs w:val="24"/>
    </w:rPr>
  </w:style>
  <w:style w:type="paragraph" w:styleId="Title">
    <w:name w:val="Title"/>
    <w:basedOn w:val="Normal"/>
    <w:next w:val="Normal"/>
    <w:link w:val="TitleChar"/>
    <w:qFormat/>
    <w:rsid w:val="00DD6905"/>
    <w:pPr>
      <w:spacing w:line="240" w:lineRule="auto"/>
      <w:jc w:val="center"/>
    </w:pPr>
    <w:rPr>
      <w:rFonts w:eastAsia="Malgun Gothic" w:cs="Times New Roman"/>
      <w:b/>
      <w:szCs w:val="24"/>
      <w:lang w:val="en-CA" w:eastAsia="ko-KR"/>
    </w:rPr>
  </w:style>
  <w:style w:type="character" w:customStyle="1" w:styleId="TitleChar">
    <w:name w:val="Title Char"/>
    <w:basedOn w:val="DefaultParagraphFont"/>
    <w:link w:val="Title"/>
    <w:rsid w:val="00DD6905"/>
    <w:rPr>
      <w:rFonts w:ascii="Times New Roman" w:eastAsia="Malgun Gothic" w:hAnsi="Times New Roman" w:cs="Times New Roman"/>
      <w:b/>
      <w:sz w:val="24"/>
      <w:szCs w:val="24"/>
      <w:lang w:val="en-CA" w:eastAsia="ko-KR"/>
    </w:rPr>
  </w:style>
  <w:style w:type="character" w:customStyle="1" w:styleId="ReferencesChar">
    <w:name w:val="References Char"/>
    <w:link w:val="References"/>
    <w:uiPriority w:val="2"/>
    <w:rsid w:val="00DD6905"/>
    <w:rPr>
      <w:rFonts w:ascii="Times New Roman" w:eastAsia="Times New Roman" w:hAnsi="Times New Roman" w:cs="Times New Roman"/>
      <w:sz w:val="24"/>
      <w:szCs w:val="24"/>
      <w:lang w:val="en-GB" w:eastAsia="en-GB"/>
    </w:rPr>
  </w:style>
  <w:style w:type="character" w:customStyle="1" w:styleId="Hyperlink0">
    <w:name w:val="Hyperlink.0"/>
    <w:basedOn w:val="Hyperlink"/>
    <w:rsid w:val="00DD6905"/>
    <w:rPr>
      <w:rFonts w:ascii="Times New Roman" w:hAnsi="Times New Roman"/>
      <w:color w:val="0563C1"/>
      <w:sz w:val="22"/>
      <w:u w:val="single" w:color="0563C1"/>
    </w:rPr>
  </w:style>
  <w:style w:type="character" w:customStyle="1" w:styleId="UnresolvedMention1">
    <w:name w:val="Unresolved Mention1"/>
    <w:basedOn w:val="DefaultParagraphFont"/>
    <w:uiPriority w:val="99"/>
    <w:semiHidden/>
    <w:unhideWhenUsed/>
    <w:rsid w:val="00DD6905"/>
    <w:rPr>
      <w:color w:val="808080"/>
      <w:shd w:val="clear" w:color="auto" w:fill="E6E6E6"/>
    </w:rPr>
  </w:style>
  <w:style w:type="character" w:customStyle="1" w:styleId="UnresolvedMention2">
    <w:name w:val="Unresolved Mention2"/>
    <w:basedOn w:val="DefaultParagraphFont"/>
    <w:uiPriority w:val="99"/>
    <w:semiHidden/>
    <w:unhideWhenUsed/>
    <w:rsid w:val="00DD6905"/>
    <w:rPr>
      <w:color w:val="605E5C"/>
      <w:shd w:val="clear" w:color="auto" w:fill="E1DFDD"/>
    </w:rPr>
  </w:style>
  <w:style w:type="paragraph" w:styleId="Revision">
    <w:name w:val="Revision"/>
    <w:hidden/>
    <w:uiPriority w:val="99"/>
    <w:semiHidden/>
    <w:rsid w:val="00DD6905"/>
    <w:pPr>
      <w:spacing w:after="0" w:line="240" w:lineRule="auto"/>
    </w:pPr>
    <w:rPr>
      <w:rFonts w:ascii="Calibri" w:eastAsia="Malgun Gothic" w:hAnsi="Calibri" w:cs="Times New Roman"/>
      <w:lang w:eastAsia="ko-KR"/>
    </w:rPr>
  </w:style>
  <w:style w:type="paragraph" w:customStyle="1" w:styleId="Style2">
    <w:name w:val="Style2"/>
    <w:basedOn w:val="Heading4"/>
    <w:link w:val="Style2Char"/>
    <w:qFormat/>
    <w:rsid w:val="00313BA2"/>
    <w:pPr>
      <w:keepLines/>
      <w:numPr>
        <w:ilvl w:val="0"/>
        <w:numId w:val="34"/>
      </w:numPr>
      <w:spacing w:after="120" w:line="360" w:lineRule="auto"/>
    </w:pPr>
    <w:rPr>
      <w:rFonts w:ascii="Arial" w:eastAsiaTheme="majorEastAsia" w:hAnsi="Arial" w:cs="Arial"/>
      <w:b w:val="0"/>
      <w:bCs w:val="0"/>
      <w:iCs/>
      <w:color w:val="000000" w:themeColor="text1"/>
      <w:lang w:val="en-CA"/>
    </w:rPr>
  </w:style>
  <w:style w:type="character" w:customStyle="1" w:styleId="Style2Char">
    <w:name w:val="Style2 Char"/>
    <w:basedOn w:val="Heading4Char"/>
    <w:link w:val="Style2"/>
    <w:rsid w:val="00313BA2"/>
    <w:rPr>
      <w:rFonts w:ascii="Arial" w:eastAsiaTheme="majorEastAsia" w:hAnsi="Arial" w:cs="Arial"/>
      <w:b w:val="0"/>
      <w:bCs w:val="0"/>
      <w:i/>
      <w:iCs/>
      <w:color w:val="000000" w:themeColor="text1"/>
      <w:sz w:val="24"/>
      <w:szCs w:val="28"/>
      <w:lang w:val="en-CA" w:bidi="en-US"/>
    </w:rPr>
  </w:style>
  <w:style w:type="paragraph" w:styleId="BodyText">
    <w:name w:val="Body Text"/>
    <w:basedOn w:val="Normal"/>
    <w:link w:val="BodyTextChar"/>
    <w:uiPriority w:val="1"/>
    <w:qFormat/>
    <w:rsid w:val="00313BA2"/>
    <w:pPr>
      <w:widowControl w:val="0"/>
      <w:spacing w:before="67" w:line="240" w:lineRule="auto"/>
      <w:ind w:left="119"/>
    </w:pPr>
    <w:rPr>
      <w:rFonts w:ascii="Arial" w:eastAsia="Arial" w:hAnsi="Arial"/>
      <w:sz w:val="14"/>
      <w:szCs w:val="14"/>
    </w:rPr>
  </w:style>
  <w:style w:type="character" w:customStyle="1" w:styleId="BodyTextChar">
    <w:name w:val="Body Text Char"/>
    <w:basedOn w:val="DefaultParagraphFont"/>
    <w:link w:val="BodyText"/>
    <w:uiPriority w:val="1"/>
    <w:rsid w:val="00313BA2"/>
    <w:rPr>
      <w:rFonts w:ascii="Arial" w:eastAsia="Arial" w:hAnsi="Arial"/>
      <w:sz w:val="14"/>
      <w:szCs w:val="14"/>
    </w:rPr>
  </w:style>
  <w:style w:type="paragraph" w:customStyle="1" w:styleId="TableParagraph">
    <w:name w:val="Table Paragraph"/>
    <w:basedOn w:val="Normal"/>
    <w:uiPriority w:val="1"/>
    <w:qFormat/>
    <w:rsid w:val="00313BA2"/>
    <w:pPr>
      <w:widowControl w:val="0"/>
      <w:spacing w:line="240" w:lineRule="auto"/>
    </w:pPr>
    <w:rPr>
      <w:rFonts w:asciiTheme="minorHAnsi" w:hAnsiTheme="minorHAnsi"/>
      <w:sz w:val="22"/>
    </w:rPr>
  </w:style>
  <w:style w:type="character" w:customStyle="1" w:styleId="fontstyle11">
    <w:name w:val="fontstyle11"/>
    <w:basedOn w:val="DefaultParagraphFont"/>
    <w:rsid w:val="00313BA2"/>
    <w:rPr>
      <w:rFonts w:ascii="Arial" w:hAnsi="Arial" w:cs="Arial" w:hint="default"/>
      <w:b w:val="0"/>
      <w:bCs w:val="0"/>
      <w:i w:val="0"/>
      <w:iCs w:val="0"/>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98785089">
      <w:bodyDiv w:val="1"/>
      <w:marLeft w:val="0"/>
      <w:marRight w:val="0"/>
      <w:marTop w:val="0"/>
      <w:marBottom w:val="0"/>
      <w:divBdr>
        <w:top w:val="none" w:sz="0" w:space="0" w:color="auto"/>
        <w:left w:val="none" w:sz="0" w:space="0" w:color="auto"/>
        <w:bottom w:val="none" w:sz="0" w:space="0" w:color="auto"/>
        <w:right w:val="none" w:sz="0" w:space="0" w:color="auto"/>
      </w:divBdr>
    </w:div>
    <w:div w:id="1070618142">
      <w:bodyDiv w:val="1"/>
      <w:marLeft w:val="0"/>
      <w:marRight w:val="0"/>
      <w:marTop w:val="0"/>
      <w:marBottom w:val="0"/>
      <w:divBdr>
        <w:top w:val="none" w:sz="0" w:space="0" w:color="auto"/>
        <w:left w:val="none" w:sz="0" w:space="0" w:color="auto"/>
        <w:bottom w:val="none" w:sz="0" w:space="0" w:color="auto"/>
        <w:right w:val="none" w:sz="0" w:space="0" w:color="auto"/>
      </w:divBdr>
    </w:div>
    <w:div w:id="13919214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chart" Target="charts/chart1.xml"/><Relationship Id="rId18" Type="http://schemas.openxmlformats.org/officeDocument/2006/relationships/image" Target="media/image7.tiff"/><Relationship Id="rId26" Type="http://schemas.openxmlformats.org/officeDocument/2006/relationships/chart" Target="charts/chart5.xml"/><Relationship Id="rId39" Type="http://schemas.openxmlformats.org/officeDocument/2006/relationships/image" Target="media/image24.tiff"/><Relationship Id="rId21" Type="http://schemas.openxmlformats.org/officeDocument/2006/relationships/image" Target="media/image10.tiff"/><Relationship Id="rId34" Type="http://schemas.openxmlformats.org/officeDocument/2006/relationships/image" Target="media/image19.tiff"/><Relationship Id="rId42" Type="http://schemas.openxmlformats.org/officeDocument/2006/relationships/image" Target="media/image27.tiff"/><Relationship Id="rId47" Type="http://schemas.openxmlformats.org/officeDocument/2006/relationships/image" Target="media/image32.tiff"/><Relationship Id="rId50" Type="http://schemas.openxmlformats.org/officeDocument/2006/relationships/footer" Target="footer4.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5.jpeg"/><Relationship Id="rId29" Type="http://schemas.openxmlformats.org/officeDocument/2006/relationships/image" Target="media/image14.tiff"/><Relationship Id="rId11" Type="http://schemas.openxmlformats.org/officeDocument/2006/relationships/image" Target="media/image1.jpeg"/><Relationship Id="rId24" Type="http://schemas.openxmlformats.org/officeDocument/2006/relationships/chart" Target="charts/chart3.xml"/><Relationship Id="rId32" Type="http://schemas.openxmlformats.org/officeDocument/2006/relationships/image" Target="media/image17.tiff"/><Relationship Id="rId37" Type="http://schemas.openxmlformats.org/officeDocument/2006/relationships/image" Target="media/image22.tiff"/><Relationship Id="rId40" Type="http://schemas.openxmlformats.org/officeDocument/2006/relationships/image" Target="media/image25.tiff"/><Relationship Id="rId45" Type="http://schemas.openxmlformats.org/officeDocument/2006/relationships/image" Target="media/image30.tiff"/><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oter" Target="footer3.xml"/><Relationship Id="rId19" Type="http://schemas.openxmlformats.org/officeDocument/2006/relationships/image" Target="media/image8.tiff"/><Relationship Id="rId31" Type="http://schemas.openxmlformats.org/officeDocument/2006/relationships/image" Target="media/image16.tiff"/><Relationship Id="rId44" Type="http://schemas.openxmlformats.org/officeDocument/2006/relationships/image" Target="media/image29.tiff"/><Relationship Id="rId52"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image" Target="media/image3.tiff"/><Relationship Id="rId22" Type="http://schemas.openxmlformats.org/officeDocument/2006/relationships/image" Target="media/image11.tiff"/><Relationship Id="rId27" Type="http://schemas.openxmlformats.org/officeDocument/2006/relationships/image" Target="media/image12.tiff"/><Relationship Id="rId30" Type="http://schemas.openxmlformats.org/officeDocument/2006/relationships/image" Target="media/image15.tiff"/><Relationship Id="rId35" Type="http://schemas.openxmlformats.org/officeDocument/2006/relationships/image" Target="media/image20.tiff"/><Relationship Id="rId43" Type="http://schemas.openxmlformats.org/officeDocument/2006/relationships/image" Target="media/image28.tiff"/><Relationship Id="rId48" Type="http://schemas.openxmlformats.org/officeDocument/2006/relationships/image" Target="media/image33.tiff"/><Relationship Id="rId8" Type="http://schemas.openxmlformats.org/officeDocument/2006/relationships/footer" Target="footer1.xml"/><Relationship Id="rId51"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6.jpeg"/><Relationship Id="rId25" Type="http://schemas.openxmlformats.org/officeDocument/2006/relationships/chart" Target="charts/chart4.xml"/><Relationship Id="rId33" Type="http://schemas.openxmlformats.org/officeDocument/2006/relationships/image" Target="media/image18.tiff"/><Relationship Id="rId38" Type="http://schemas.openxmlformats.org/officeDocument/2006/relationships/image" Target="media/image23.tiff"/><Relationship Id="rId46" Type="http://schemas.openxmlformats.org/officeDocument/2006/relationships/image" Target="media/image31.tiff"/><Relationship Id="rId20" Type="http://schemas.openxmlformats.org/officeDocument/2006/relationships/image" Target="media/image9.tiff"/><Relationship Id="rId41" Type="http://schemas.openxmlformats.org/officeDocument/2006/relationships/image" Target="media/image26.tiff"/><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chart" Target="charts/chart2.xml"/><Relationship Id="rId28" Type="http://schemas.openxmlformats.org/officeDocument/2006/relationships/image" Target="media/image13.tiff"/><Relationship Id="rId36" Type="http://schemas.openxmlformats.org/officeDocument/2006/relationships/image" Target="media/image21.tiff"/><Relationship Id="rId49" Type="http://schemas.openxmlformats.org/officeDocument/2006/relationships/image" Target="media/image34.tiff"/></Relationships>
</file>

<file path=word/charts/_rels/chart1.xml.rels><?xml version="1.0" encoding="UTF-8" standalone="yes"?>
<Relationships xmlns="http://schemas.openxmlformats.org/package/2006/relationships"><Relationship Id="rId1" Type="http://schemas.openxmlformats.org/officeDocument/2006/relationships/oleObject" Target="https://sooners-my.sharepoint.com/personal/syed_a_ali_ou_edu/Documents/X%20-%20Ashik%20-%20Shared/Project-SFE/SFE%20project%20Final%20results_all%20test_1-27-18/DCA_SFE%20project_unaged%20binders_5%20solvents_Paper%203_1-17-2021_Wu%20method.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https://sooners-my.sharepoint.com/personal/syed_a_ali_ou_edu/Documents/X%20-%20Ashik%20-%20Shared/Paper_Chemical%20and%20SFE/Asphalt%20binder%20samples.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https://sooners-my.sharepoint.com/personal/syed_a_ali_ou_edu/Documents/X%20-%20Ashik%20-%20Shared/Paper_Chemical%20and%20SFE/Asphalt%20binder%20samples.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https://sooners-my.sharepoint.com/personal/syed_a_ali_ou_edu/Documents/X%20-%20Ashik%20-%20Shared/Paper_Chemical%20and%20SFE/Asphalt%20binder%20samples.xlsx" TargetMode="External"/></Relationships>
</file>

<file path=word/charts/_rels/chart5.xml.rels><?xml version="1.0" encoding="UTF-8" standalone="yes"?>
<Relationships xmlns="http://schemas.openxmlformats.org/package/2006/relationships"><Relationship Id="rId3" Type="http://schemas.openxmlformats.org/officeDocument/2006/relationships/oleObject" Target="https://sooners-my.sharepoint.com/personal/syed_a_ali_ou_edu/Documents/X%20-%20Ashik%20-%20Shared/Paper_Chemical%20and%20SFE/Asphalt%20binder%20samples.xlsx"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2958573928258968"/>
          <c:y val="6.0648148148148159E-2"/>
          <c:w val="0.80666797900262477"/>
          <c:h val="0.76198308544765236"/>
        </c:manualLayout>
      </c:layout>
      <c:scatterChart>
        <c:scatterStyle val="lineMarker"/>
        <c:varyColors val="0"/>
        <c:ser>
          <c:idx val="2"/>
          <c:order val="0"/>
          <c:tx>
            <c:v>Measured S1</c:v>
          </c:tx>
          <c:spPr>
            <a:ln w="25400">
              <a:noFill/>
            </a:ln>
          </c:spPr>
          <c:marker>
            <c:spPr>
              <a:noFill/>
              <a:ln>
                <a:solidFill>
                  <a:schemeClr val="tx1"/>
                </a:solidFill>
              </a:ln>
            </c:spPr>
          </c:marker>
          <c:xVal>
            <c:numRef>
              <c:f>'Neumann (WGFDE)'!$Q$53:$Q$57</c:f>
              <c:numCache>
                <c:formatCode>General</c:formatCode>
                <c:ptCount val="5"/>
                <c:pt idx="0">
                  <c:v>72.8</c:v>
                </c:pt>
                <c:pt idx="1">
                  <c:v>64</c:v>
                </c:pt>
                <c:pt idx="2">
                  <c:v>58</c:v>
                </c:pt>
                <c:pt idx="3">
                  <c:v>48</c:v>
                </c:pt>
                <c:pt idx="4">
                  <c:v>50.8</c:v>
                </c:pt>
              </c:numCache>
            </c:numRef>
          </c:xVal>
          <c:yVal>
            <c:numRef>
              <c:f>'Neumann (WGFDE)'!$T$53:$T$57</c:f>
              <c:numCache>
                <c:formatCode>General</c:formatCode>
                <c:ptCount val="5"/>
                <c:pt idx="0">
                  <c:v>-21.829331226363745</c:v>
                </c:pt>
                <c:pt idx="1">
                  <c:v>-4.8813064038670246</c:v>
                </c:pt>
                <c:pt idx="2">
                  <c:v>-0.59138210506996192</c:v>
                </c:pt>
                <c:pt idx="3">
                  <c:v>9.4594778210905375</c:v>
                </c:pt>
                <c:pt idx="4">
                  <c:v>4.8952656032146953</c:v>
                </c:pt>
              </c:numCache>
            </c:numRef>
          </c:yVal>
          <c:smooth val="0"/>
          <c:extLst>
            <c:ext xmlns:c16="http://schemas.microsoft.com/office/drawing/2014/chart" uri="{C3380CC4-5D6E-409C-BE32-E72D297353CC}">
              <c16:uniqueId val="{00000000-681B-43EA-9537-D2A2742C1B04}"/>
            </c:ext>
          </c:extLst>
        </c:ser>
        <c:ser>
          <c:idx val="3"/>
          <c:order val="1"/>
          <c:tx>
            <c:v>Predicted S1</c:v>
          </c:tx>
          <c:spPr>
            <a:ln w="15875">
              <a:solidFill>
                <a:schemeClr val="tx1"/>
              </a:solidFill>
              <a:prstDash val="sysDot"/>
            </a:ln>
          </c:spPr>
          <c:marker>
            <c:symbol val="none"/>
          </c:marker>
          <c:xVal>
            <c:numRef>
              <c:f>'Neumann (WGFDE)'!$Q$53:$Q$57</c:f>
              <c:numCache>
                <c:formatCode>General</c:formatCode>
                <c:ptCount val="5"/>
                <c:pt idx="0">
                  <c:v>72.8</c:v>
                </c:pt>
                <c:pt idx="1">
                  <c:v>64</c:v>
                </c:pt>
                <c:pt idx="2">
                  <c:v>58</c:v>
                </c:pt>
                <c:pt idx="3">
                  <c:v>48</c:v>
                </c:pt>
                <c:pt idx="4">
                  <c:v>50.8</c:v>
                </c:pt>
              </c:numCache>
            </c:numRef>
          </c:xVal>
          <c:yVal>
            <c:numRef>
              <c:f>'Neumann (WGFDE)'!$V$53:$V$57</c:f>
              <c:numCache>
                <c:formatCode>General</c:formatCode>
                <c:ptCount val="5"/>
                <c:pt idx="0">
                  <c:v>-20.045877363171833</c:v>
                </c:pt>
                <c:pt idx="1">
                  <c:v>-8.0111898310448382</c:v>
                </c:pt>
                <c:pt idx="2">
                  <c:v>-0.76356875650278511</c:v>
                </c:pt>
                <c:pt idx="3">
                  <c:v>9.2532711623834842</c:v>
                </c:pt>
                <c:pt idx="4">
                  <c:v>6.7273931103641047</c:v>
                </c:pt>
              </c:numCache>
            </c:numRef>
          </c:yVal>
          <c:smooth val="0"/>
          <c:extLst>
            <c:ext xmlns:c16="http://schemas.microsoft.com/office/drawing/2014/chart" uri="{C3380CC4-5D6E-409C-BE32-E72D297353CC}">
              <c16:uniqueId val="{00000001-681B-43EA-9537-D2A2742C1B04}"/>
            </c:ext>
          </c:extLst>
        </c:ser>
        <c:ser>
          <c:idx val="4"/>
          <c:order val="2"/>
          <c:tx>
            <c:v>Measured S3</c:v>
          </c:tx>
          <c:spPr>
            <a:ln w="25400" cap="rnd">
              <a:noFill/>
              <a:round/>
            </a:ln>
            <a:effectLst/>
          </c:spPr>
          <c:marker>
            <c:symbol val="star"/>
            <c:size val="7"/>
            <c:spPr>
              <a:ln>
                <a:solidFill>
                  <a:schemeClr val="tx1"/>
                </a:solidFill>
              </a:ln>
            </c:spPr>
          </c:marker>
          <c:xVal>
            <c:numRef>
              <c:f>'Neumann (WGFDE)'!$Q$72:$Q$76</c:f>
              <c:numCache>
                <c:formatCode>General</c:formatCode>
                <c:ptCount val="5"/>
                <c:pt idx="0">
                  <c:v>72.8</c:v>
                </c:pt>
                <c:pt idx="1">
                  <c:v>64</c:v>
                </c:pt>
                <c:pt idx="2">
                  <c:v>58</c:v>
                </c:pt>
                <c:pt idx="3">
                  <c:v>48</c:v>
                </c:pt>
                <c:pt idx="4">
                  <c:v>50.8</c:v>
                </c:pt>
              </c:numCache>
            </c:numRef>
          </c:xVal>
          <c:yVal>
            <c:numRef>
              <c:f>'Neumann (WGFDE)'!$T$72:$T$76</c:f>
              <c:numCache>
                <c:formatCode>General</c:formatCode>
                <c:ptCount val="5"/>
                <c:pt idx="0">
                  <c:v>-21.500538657725674</c:v>
                </c:pt>
                <c:pt idx="1">
                  <c:v>-17.142268163820191</c:v>
                </c:pt>
                <c:pt idx="2">
                  <c:v>-11.277743282034061</c:v>
                </c:pt>
                <c:pt idx="3">
                  <c:v>-3.4404173073691711</c:v>
                </c:pt>
                <c:pt idx="4">
                  <c:v>-5.609951079243487</c:v>
                </c:pt>
              </c:numCache>
            </c:numRef>
          </c:yVal>
          <c:smooth val="0"/>
          <c:extLst>
            <c:ext xmlns:c16="http://schemas.microsoft.com/office/drawing/2014/chart" uri="{C3380CC4-5D6E-409C-BE32-E72D297353CC}">
              <c16:uniqueId val="{00000002-681B-43EA-9537-D2A2742C1B04}"/>
            </c:ext>
          </c:extLst>
        </c:ser>
        <c:ser>
          <c:idx val="5"/>
          <c:order val="3"/>
          <c:tx>
            <c:v>Predicted S3</c:v>
          </c:tx>
          <c:spPr>
            <a:ln w="15875" cap="rnd">
              <a:solidFill>
                <a:schemeClr val="tx1"/>
              </a:solidFill>
              <a:round/>
            </a:ln>
            <a:effectLst/>
          </c:spPr>
          <c:marker>
            <c:symbol val="none"/>
          </c:marker>
          <c:xVal>
            <c:numRef>
              <c:f>'Neumann (WGFDE)'!$Q$72:$Q$76</c:f>
              <c:numCache>
                <c:formatCode>General</c:formatCode>
                <c:ptCount val="5"/>
                <c:pt idx="0">
                  <c:v>72.8</c:v>
                </c:pt>
                <c:pt idx="1">
                  <c:v>64</c:v>
                </c:pt>
                <c:pt idx="2">
                  <c:v>58</c:v>
                </c:pt>
                <c:pt idx="3">
                  <c:v>48</c:v>
                </c:pt>
                <c:pt idx="4">
                  <c:v>50.8</c:v>
                </c:pt>
              </c:numCache>
            </c:numRef>
          </c:xVal>
          <c:yVal>
            <c:numRef>
              <c:f>'Neumann (WGFDE)'!$V$72:$V$76</c:f>
              <c:numCache>
                <c:formatCode>General</c:formatCode>
                <c:ptCount val="5"/>
                <c:pt idx="0">
                  <c:v>-22.537627475814524</c:v>
                </c:pt>
                <c:pt idx="1">
                  <c:v>-15.448152565840033</c:v>
                </c:pt>
                <c:pt idx="2">
                  <c:v>-10.954650622881431</c:v>
                </c:pt>
                <c:pt idx="3">
                  <c:v>-4.1277150939480762</c:v>
                </c:pt>
                <c:pt idx="4">
                  <c:v>-5.9518667350974255</c:v>
                </c:pt>
              </c:numCache>
            </c:numRef>
          </c:yVal>
          <c:smooth val="0"/>
          <c:extLst>
            <c:ext xmlns:c16="http://schemas.microsoft.com/office/drawing/2014/chart" uri="{C3380CC4-5D6E-409C-BE32-E72D297353CC}">
              <c16:uniqueId val="{00000003-681B-43EA-9537-D2A2742C1B04}"/>
            </c:ext>
          </c:extLst>
        </c:ser>
        <c:ser>
          <c:idx val="0"/>
          <c:order val="4"/>
          <c:tx>
            <c:v>Measured S4</c:v>
          </c:tx>
          <c:spPr>
            <a:ln w="25400" cap="rnd">
              <a:noFill/>
              <a:round/>
            </a:ln>
            <a:effectLst/>
          </c:spPr>
          <c:marker>
            <c:symbol val="diamond"/>
            <c:size val="7"/>
            <c:spPr>
              <a:noFill/>
              <a:ln w="9525">
                <a:solidFill>
                  <a:schemeClr val="tx1"/>
                </a:solidFill>
              </a:ln>
              <a:effectLst/>
            </c:spPr>
          </c:marker>
          <c:xVal>
            <c:numRef>
              <c:f>'Neumann (WGFDE)'!$Q$90:$Q$94</c:f>
              <c:numCache>
                <c:formatCode>General</c:formatCode>
                <c:ptCount val="5"/>
                <c:pt idx="0">
                  <c:v>72.8</c:v>
                </c:pt>
                <c:pt idx="1">
                  <c:v>64</c:v>
                </c:pt>
                <c:pt idx="2">
                  <c:v>58</c:v>
                </c:pt>
                <c:pt idx="3">
                  <c:v>48</c:v>
                </c:pt>
                <c:pt idx="4">
                  <c:v>50.8</c:v>
                </c:pt>
              </c:numCache>
            </c:numRef>
          </c:xVal>
          <c:yVal>
            <c:numRef>
              <c:f>'Neumann (WGFDE)'!$T$90:$T$94</c:f>
              <c:numCache>
                <c:formatCode>General</c:formatCode>
                <c:ptCount val="5"/>
                <c:pt idx="0">
                  <c:v>-23.828973145548574</c:v>
                </c:pt>
                <c:pt idx="1">
                  <c:v>-10.184132462039152</c:v>
                </c:pt>
                <c:pt idx="2">
                  <c:v>-5.9460818210935455</c:v>
                </c:pt>
                <c:pt idx="3">
                  <c:v>3.5102527460243911</c:v>
                </c:pt>
                <c:pt idx="4">
                  <c:v>3.0966619099498378</c:v>
                </c:pt>
              </c:numCache>
            </c:numRef>
          </c:yVal>
          <c:smooth val="0"/>
          <c:extLst>
            <c:ext xmlns:c16="http://schemas.microsoft.com/office/drawing/2014/chart" uri="{C3380CC4-5D6E-409C-BE32-E72D297353CC}">
              <c16:uniqueId val="{00000004-681B-43EA-9537-D2A2742C1B04}"/>
            </c:ext>
          </c:extLst>
        </c:ser>
        <c:dLbls>
          <c:showLegendKey val="0"/>
          <c:showVal val="0"/>
          <c:showCatName val="0"/>
          <c:showSerName val="0"/>
          <c:showPercent val="0"/>
          <c:showBubbleSize val="0"/>
        </c:dLbls>
        <c:axId val="2041878112"/>
        <c:axId val="48835072"/>
      </c:scatterChart>
      <c:scatterChart>
        <c:scatterStyle val="smoothMarker"/>
        <c:varyColors val="0"/>
        <c:ser>
          <c:idx val="1"/>
          <c:order val="5"/>
          <c:tx>
            <c:v>Predicted S4</c:v>
          </c:tx>
          <c:spPr>
            <a:ln w="15875" cap="rnd">
              <a:solidFill>
                <a:schemeClr val="tx1"/>
              </a:solidFill>
              <a:prstDash val="dash"/>
              <a:round/>
            </a:ln>
            <a:effectLst/>
          </c:spPr>
          <c:marker>
            <c:symbol val="none"/>
          </c:marker>
          <c:xVal>
            <c:numRef>
              <c:f>'Neumann (WGFDE)'!$Q$90:$Q$94</c:f>
              <c:numCache>
                <c:formatCode>General</c:formatCode>
                <c:ptCount val="5"/>
                <c:pt idx="0">
                  <c:v>72.8</c:v>
                </c:pt>
                <c:pt idx="1">
                  <c:v>64</c:v>
                </c:pt>
                <c:pt idx="2">
                  <c:v>58</c:v>
                </c:pt>
                <c:pt idx="3">
                  <c:v>48</c:v>
                </c:pt>
                <c:pt idx="4">
                  <c:v>50.8</c:v>
                </c:pt>
              </c:numCache>
            </c:numRef>
          </c:xVal>
          <c:yVal>
            <c:numRef>
              <c:f>'Neumann (WGFDE)'!$V$90:$V$94</c:f>
              <c:numCache>
                <c:formatCode>General</c:formatCode>
                <c:ptCount val="5"/>
                <c:pt idx="0">
                  <c:v>-23.039182776102159</c:v>
                </c:pt>
                <c:pt idx="1">
                  <c:v>-11.86838175165537</c:v>
                </c:pt>
                <c:pt idx="2">
                  <c:v>-5.0634620426598644</c:v>
                </c:pt>
                <c:pt idx="3">
                  <c:v>4.5634293177525365</c:v>
                </c:pt>
                <c:pt idx="4">
                  <c:v>2.0986456358090138</c:v>
                </c:pt>
              </c:numCache>
            </c:numRef>
          </c:yVal>
          <c:smooth val="1"/>
          <c:extLst>
            <c:ext xmlns:c16="http://schemas.microsoft.com/office/drawing/2014/chart" uri="{C3380CC4-5D6E-409C-BE32-E72D297353CC}">
              <c16:uniqueId val="{00000005-681B-43EA-9537-D2A2742C1B04}"/>
            </c:ext>
          </c:extLst>
        </c:ser>
        <c:ser>
          <c:idx val="6"/>
          <c:order val="6"/>
          <c:tx>
            <c:v>Measured S2</c:v>
          </c:tx>
          <c:spPr>
            <a:ln>
              <a:noFill/>
            </a:ln>
          </c:spPr>
          <c:marker>
            <c:symbol val="square"/>
            <c:size val="6"/>
            <c:spPr>
              <a:noFill/>
              <a:ln>
                <a:solidFill>
                  <a:schemeClr val="tx1"/>
                </a:solidFill>
              </a:ln>
            </c:spPr>
          </c:marker>
          <c:xVal>
            <c:numRef>
              <c:f>'Neumann (WGFDE)'!$Q$63:$Q$67</c:f>
              <c:numCache>
                <c:formatCode>General</c:formatCode>
                <c:ptCount val="5"/>
                <c:pt idx="0">
                  <c:v>72.8</c:v>
                </c:pt>
                <c:pt idx="1">
                  <c:v>64</c:v>
                </c:pt>
                <c:pt idx="2">
                  <c:v>58</c:v>
                </c:pt>
                <c:pt idx="3">
                  <c:v>48</c:v>
                </c:pt>
                <c:pt idx="4">
                  <c:v>50.8</c:v>
                </c:pt>
              </c:numCache>
            </c:numRef>
          </c:xVal>
          <c:yVal>
            <c:numRef>
              <c:f>'Neumann (WGFDE)'!$T$63:$T$67</c:f>
              <c:numCache>
                <c:formatCode>General</c:formatCode>
                <c:ptCount val="5"/>
                <c:pt idx="0">
                  <c:v>-20.241703767407955</c:v>
                </c:pt>
                <c:pt idx="1">
                  <c:v>-9.2655776369300327</c:v>
                </c:pt>
                <c:pt idx="2">
                  <c:v>-5.7156930254936738</c:v>
                </c:pt>
                <c:pt idx="3">
                  <c:v>3.518398984073591</c:v>
                </c:pt>
                <c:pt idx="4">
                  <c:v>3.29354622706885</c:v>
                </c:pt>
              </c:numCache>
            </c:numRef>
          </c:yVal>
          <c:smooth val="1"/>
          <c:extLst>
            <c:ext xmlns:c16="http://schemas.microsoft.com/office/drawing/2014/chart" uri="{C3380CC4-5D6E-409C-BE32-E72D297353CC}">
              <c16:uniqueId val="{00000006-681B-43EA-9537-D2A2742C1B04}"/>
            </c:ext>
          </c:extLst>
        </c:ser>
        <c:ser>
          <c:idx val="7"/>
          <c:order val="7"/>
          <c:tx>
            <c:v>Predicted S2</c:v>
          </c:tx>
          <c:spPr>
            <a:ln w="22225">
              <a:solidFill>
                <a:schemeClr val="tx1"/>
              </a:solidFill>
              <a:prstDash val="dashDot"/>
            </a:ln>
          </c:spPr>
          <c:marker>
            <c:symbol val="none"/>
          </c:marker>
          <c:xVal>
            <c:numRef>
              <c:f>'Neumann (WGFDE)'!$Q$63:$Q$67</c:f>
              <c:numCache>
                <c:formatCode>General</c:formatCode>
                <c:ptCount val="5"/>
                <c:pt idx="0">
                  <c:v>72.8</c:v>
                </c:pt>
                <c:pt idx="1">
                  <c:v>64</c:v>
                </c:pt>
                <c:pt idx="2">
                  <c:v>58</c:v>
                </c:pt>
                <c:pt idx="3">
                  <c:v>48</c:v>
                </c:pt>
                <c:pt idx="4">
                  <c:v>50.8</c:v>
                </c:pt>
              </c:numCache>
            </c:numRef>
          </c:xVal>
          <c:yVal>
            <c:numRef>
              <c:f>'Neumann (WGFDE)'!$V$63:$V$67</c:f>
              <c:numCache>
                <c:formatCode>General</c:formatCode>
                <c:ptCount val="5"/>
                <c:pt idx="0">
                  <c:v>-20.030966639974224</c:v>
                </c:pt>
                <c:pt idx="1">
                  <c:v>-10.253061802940337</c:v>
                </c:pt>
                <c:pt idx="2">
                  <c:v>-4.3010281799901122</c:v>
                </c:pt>
                <c:pt idx="3">
                  <c:v>4.1800670866405909</c:v>
                </c:pt>
                <c:pt idx="4">
                  <c:v>1.9957289575835162</c:v>
                </c:pt>
              </c:numCache>
            </c:numRef>
          </c:yVal>
          <c:smooth val="1"/>
          <c:extLst>
            <c:ext xmlns:c16="http://schemas.microsoft.com/office/drawing/2014/chart" uri="{C3380CC4-5D6E-409C-BE32-E72D297353CC}">
              <c16:uniqueId val="{00000007-681B-43EA-9537-D2A2742C1B04}"/>
            </c:ext>
          </c:extLst>
        </c:ser>
        <c:dLbls>
          <c:showLegendKey val="0"/>
          <c:showVal val="0"/>
          <c:showCatName val="0"/>
          <c:showSerName val="0"/>
          <c:showPercent val="0"/>
          <c:showBubbleSize val="0"/>
        </c:dLbls>
        <c:axId val="2041878112"/>
        <c:axId val="48835072"/>
      </c:scatterChart>
      <c:valAx>
        <c:axId val="2041878112"/>
        <c:scaling>
          <c:orientation val="minMax"/>
          <c:max val="85"/>
          <c:min val="45"/>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l-GR" i="1"/>
                  <a:t>Γ</a:t>
                </a:r>
                <a:r>
                  <a:rPr lang="en-US" i="1" baseline="-25000"/>
                  <a:t>L</a:t>
                </a:r>
                <a:r>
                  <a:rPr lang="en-US" baseline="0"/>
                  <a:t> (mJ/m</a:t>
                </a:r>
                <a:r>
                  <a:rPr lang="en-US" baseline="30000"/>
                  <a:t>2</a:t>
                </a:r>
                <a:r>
                  <a:rPr lang="en-US" baseline="0"/>
                  <a:t>)</a:t>
                </a:r>
                <a:endParaRPr lang="en-US"/>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48835072"/>
        <c:crossesAt val="-40"/>
        <c:crossBetween val="midCat"/>
      </c:valAx>
      <c:valAx>
        <c:axId val="48835072"/>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l-GR" i="1"/>
                  <a:t>Γ</a:t>
                </a:r>
                <a:r>
                  <a:rPr lang="en-US" i="1" baseline="-25000"/>
                  <a:t>L</a:t>
                </a:r>
                <a:r>
                  <a:rPr lang="en-US" i="1"/>
                  <a:t>cos</a:t>
                </a:r>
                <a:r>
                  <a:rPr lang="el-GR" i="1"/>
                  <a:t>θ</a:t>
                </a:r>
                <a:r>
                  <a:rPr lang="en-US" i="1"/>
                  <a:t> </a:t>
                </a:r>
                <a:r>
                  <a:rPr lang="en-US" sz="1000" b="0" i="0" u="none" strike="noStrike" baseline="0">
                    <a:effectLst/>
                  </a:rPr>
                  <a:t>(mJ/m</a:t>
                </a:r>
                <a:r>
                  <a:rPr lang="en-US" sz="1000" b="0" i="0" u="none" strike="noStrike" baseline="30000">
                    <a:effectLst/>
                  </a:rPr>
                  <a:t>2</a:t>
                </a:r>
                <a:r>
                  <a:rPr lang="en-US" sz="1000" b="0" i="0" u="none" strike="noStrike" baseline="0">
                    <a:effectLst/>
                  </a:rPr>
                  <a:t>)</a:t>
                </a:r>
                <a:endParaRPr lang="en-US"/>
              </a:p>
            </c:rich>
          </c:tx>
          <c:overlay val="0"/>
          <c:spPr>
            <a:noFill/>
            <a:ln>
              <a:noFill/>
            </a:ln>
            <a:effectLst/>
          </c:spPr>
        </c:title>
        <c:numFmt formatCode="General" sourceLinked="1"/>
        <c:majorTickMark val="out"/>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41878112"/>
        <c:crosses val="autoZero"/>
        <c:crossBetween val="midCat"/>
      </c:valAx>
      <c:spPr>
        <a:noFill/>
        <a:ln>
          <a:solidFill>
            <a:schemeClr val="tx1"/>
          </a:solidFill>
        </a:ln>
        <a:effectLst/>
      </c:spPr>
    </c:plotArea>
    <c:legend>
      <c:legendPos val="r"/>
      <c:layout>
        <c:manualLayout>
          <c:xMode val="edge"/>
          <c:yMode val="edge"/>
          <c:x val="0.68213888888888885"/>
          <c:y val="0.13475685331000289"/>
          <c:w val="0.24997222222222223"/>
          <c:h val="0.49404345290172064"/>
        </c:manualLayout>
      </c:layout>
      <c:overlay val="0"/>
    </c:legend>
    <c:plotVisOnly val="1"/>
    <c:dispBlanksAs val="gap"/>
    <c:showDLblsOverMax val="0"/>
    <c:extLst/>
  </c:chart>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PG 64-22 Binders</a:t>
            </a:r>
          </a:p>
        </c:rich>
      </c:tx>
      <c:layout>
        <c:manualLayout>
          <c:xMode val="edge"/>
          <c:yMode val="edge"/>
          <c:x val="0.4136214709404209"/>
          <c:y val="2.7696662661191307E-2"/>
        </c:manualLayout>
      </c:layout>
      <c:overlay val="0"/>
      <c:spPr>
        <a:noFill/>
        <a:ln>
          <a:noFill/>
        </a:ln>
        <a:effectLst/>
      </c:spPr>
    </c:title>
    <c:autoTitleDeleted val="0"/>
    <c:plotArea>
      <c:layout>
        <c:manualLayout>
          <c:layoutTarget val="inner"/>
          <c:xMode val="edge"/>
          <c:yMode val="edge"/>
          <c:x val="0.14464516028845797"/>
          <c:y val="0.16281021534336956"/>
          <c:w val="0.79823143066906277"/>
          <c:h val="0.62088684568451824"/>
        </c:manualLayout>
      </c:layout>
      <c:barChart>
        <c:barDir val="col"/>
        <c:grouping val="clustered"/>
        <c:varyColors val="0"/>
        <c:ser>
          <c:idx val="5"/>
          <c:order val="0"/>
          <c:tx>
            <c:v>C=O 1695 cm-1 Unaged</c:v>
          </c:tx>
          <c:spPr>
            <a:pattFill prst="pct60">
              <a:fgClr>
                <a:schemeClr val="tx1"/>
              </a:fgClr>
              <a:bgClr>
                <a:schemeClr val="bg1"/>
              </a:bgClr>
            </a:pattFill>
            <a:ln>
              <a:solidFill>
                <a:schemeClr val="tx1"/>
              </a:solidFill>
            </a:ln>
          </c:spPr>
          <c:invertIfNegative val="0"/>
          <c:cat>
            <c:strRef>
              <c:f>'PHRs_unmod (2)'!$I$13:$I$17</c:f>
              <c:strCache>
                <c:ptCount val="5"/>
                <c:pt idx="0">
                  <c:v>None</c:v>
                </c:pt>
                <c:pt idx="1">
                  <c:v>WMA</c:v>
                </c:pt>
                <c:pt idx="2">
                  <c:v>ASA</c:v>
                </c:pt>
                <c:pt idx="3">
                  <c:v>RAP</c:v>
                </c:pt>
                <c:pt idx="4">
                  <c:v>PPA</c:v>
                </c:pt>
              </c:strCache>
            </c:strRef>
          </c:cat>
          <c:val>
            <c:numRef>
              <c:f>'PHRs_unmod (2)'!$T$18:$T$22</c:f>
              <c:numCache>
                <c:formatCode>0.000</c:formatCode>
                <c:ptCount val="5"/>
                <c:pt idx="0">
                  <c:v>5.3380782918149461E-2</c:v>
                </c:pt>
                <c:pt idx="1">
                  <c:v>5.3278688524590161E-2</c:v>
                </c:pt>
                <c:pt idx="2">
                  <c:v>2.5735294117647058E-2</c:v>
                </c:pt>
                <c:pt idx="3">
                  <c:v>5.7761732851985555E-2</c:v>
                </c:pt>
                <c:pt idx="4">
                  <c:v>4.3824701195219119E-2</c:v>
                </c:pt>
              </c:numCache>
            </c:numRef>
          </c:val>
          <c:extLst>
            <c:ext xmlns:c16="http://schemas.microsoft.com/office/drawing/2014/chart" uri="{C3380CC4-5D6E-409C-BE32-E72D297353CC}">
              <c16:uniqueId val="{00000000-8C11-496E-9662-595D0A0DD6D1}"/>
            </c:ext>
          </c:extLst>
        </c:ser>
        <c:ser>
          <c:idx val="4"/>
          <c:order val="1"/>
          <c:tx>
            <c:v>C=O 1695 cm-1 RTFO</c:v>
          </c:tx>
          <c:spPr>
            <a:pattFill prst="dkDnDiag">
              <a:fgClr>
                <a:schemeClr val="tx1"/>
              </a:fgClr>
              <a:bgClr>
                <a:schemeClr val="bg1"/>
              </a:bgClr>
            </a:pattFill>
            <a:ln>
              <a:solidFill>
                <a:schemeClr val="tx1"/>
              </a:solidFill>
            </a:ln>
          </c:spPr>
          <c:invertIfNegative val="0"/>
          <c:cat>
            <c:strRef>
              <c:f>'PHRs_unmod (2)'!$I$13:$I$17</c:f>
              <c:strCache>
                <c:ptCount val="5"/>
                <c:pt idx="0">
                  <c:v>None</c:v>
                </c:pt>
                <c:pt idx="1">
                  <c:v>WMA</c:v>
                </c:pt>
                <c:pt idx="2">
                  <c:v>ASA</c:v>
                </c:pt>
                <c:pt idx="3">
                  <c:v>RAP</c:v>
                </c:pt>
                <c:pt idx="4">
                  <c:v>PPA</c:v>
                </c:pt>
              </c:strCache>
            </c:strRef>
          </c:cat>
          <c:val>
            <c:numRef>
              <c:f>'PHRs_unmod (2)'!$T$13:$T$17</c:f>
              <c:numCache>
                <c:formatCode>0.000</c:formatCode>
                <c:ptCount val="5"/>
                <c:pt idx="0">
                  <c:v>5.755395683453237E-2</c:v>
                </c:pt>
                <c:pt idx="1">
                  <c:v>6.2256809338521402E-2</c:v>
                </c:pt>
                <c:pt idx="2">
                  <c:v>5.0179211469534045E-2</c:v>
                </c:pt>
                <c:pt idx="3">
                  <c:v>5.5555555555555552E-2</c:v>
                </c:pt>
                <c:pt idx="4">
                  <c:v>4.5267489711934152E-2</c:v>
                </c:pt>
              </c:numCache>
            </c:numRef>
          </c:val>
          <c:extLst>
            <c:ext xmlns:c16="http://schemas.microsoft.com/office/drawing/2014/chart" uri="{C3380CC4-5D6E-409C-BE32-E72D297353CC}">
              <c16:uniqueId val="{00000001-8C11-496E-9662-595D0A0DD6D1}"/>
            </c:ext>
          </c:extLst>
        </c:ser>
        <c:ser>
          <c:idx val="3"/>
          <c:order val="2"/>
          <c:tx>
            <c:v>C=O 1695 cm-1 PAV</c:v>
          </c:tx>
          <c:spPr>
            <a:pattFill prst="wdUpDiag">
              <a:fgClr>
                <a:schemeClr val="tx1"/>
              </a:fgClr>
              <a:bgClr>
                <a:schemeClr val="bg1"/>
              </a:bgClr>
            </a:pattFill>
            <a:ln>
              <a:solidFill>
                <a:schemeClr val="tx1"/>
              </a:solidFill>
            </a:ln>
          </c:spPr>
          <c:invertIfNegative val="0"/>
          <c:cat>
            <c:strRef>
              <c:f>'PHRs_unmod (2)'!$I$13:$I$17</c:f>
              <c:strCache>
                <c:ptCount val="5"/>
                <c:pt idx="0">
                  <c:v>None</c:v>
                </c:pt>
                <c:pt idx="1">
                  <c:v>WMA</c:v>
                </c:pt>
                <c:pt idx="2">
                  <c:v>ASA</c:v>
                </c:pt>
                <c:pt idx="3">
                  <c:v>RAP</c:v>
                </c:pt>
                <c:pt idx="4">
                  <c:v>PPA</c:v>
                </c:pt>
              </c:strCache>
            </c:strRef>
          </c:cat>
          <c:val>
            <c:numRef>
              <c:f>'PHRs_unmod (2)'!$T$8:$T$12</c:f>
              <c:numCache>
                <c:formatCode>0.000</c:formatCode>
                <c:ptCount val="5"/>
                <c:pt idx="0">
                  <c:v>6.3432835820895525E-2</c:v>
                </c:pt>
                <c:pt idx="1">
                  <c:v>6.3241106719367585E-2</c:v>
                </c:pt>
                <c:pt idx="2">
                  <c:v>7.116104868913857E-2</c:v>
                </c:pt>
                <c:pt idx="3">
                  <c:v>6.9154228855721381E-2</c:v>
                </c:pt>
                <c:pt idx="4">
                  <c:v>6.8807339449541288E-2</c:v>
                </c:pt>
              </c:numCache>
            </c:numRef>
          </c:val>
          <c:extLst>
            <c:ext xmlns:c16="http://schemas.microsoft.com/office/drawing/2014/chart" uri="{C3380CC4-5D6E-409C-BE32-E72D297353CC}">
              <c16:uniqueId val="{00000002-8C11-496E-9662-595D0A0DD6D1}"/>
            </c:ext>
          </c:extLst>
        </c:ser>
        <c:ser>
          <c:idx val="2"/>
          <c:order val="3"/>
          <c:tx>
            <c:v>C=O 1740 cm-1 Unaged</c:v>
          </c:tx>
          <c:spPr>
            <a:pattFill prst="horzBrick">
              <a:fgClr>
                <a:schemeClr val="tx1"/>
              </a:fgClr>
              <a:bgClr>
                <a:schemeClr val="bg1"/>
              </a:bgClr>
            </a:pattFill>
            <a:ln>
              <a:solidFill>
                <a:schemeClr val="tx1"/>
              </a:solidFill>
            </a:ln>
          </c:spPr>
          <c:invertIfNegative val="0"/>
          <c:cat>
            <c:strRef>
              <c:f>'PHRs_unmod (2)'!$I$13:$I$17</c:f>
              <c:strCache>
                <c:ptCount val="5"/>
                <c:pt idx="0">
                  <c:v>None</c:v>
                </c:pt>
                <c:pt idx="1">
                  <c:v>WMA</c:v>
                </c:pt>
                <c:pt idx="2">
                  <c:v>ASA</c:v>
                </c:pt>
                <c:pt idx="3">
                  <c:v>RAP</c:v>
                </c:pt>
                <c:pt idx="4">
                  <c:v>PPA</c:v>
                </c:pt>
              </c:strCache>
            </c:strRef>
          </c:cat>
          <c:val>
            <c:numRef>
              <c:f>'PHRs_unmod (2)'!$AE$18:$AE$22</c:f>
              <c:numCache>
                <c:formatCode>0.000</c:formatCode>
                <c:ptCount val="5"/>
                <c:pt idx="0">
                  <c:v>2.8469750889679714E-2</c:v>
                </c:pt>
                <c:pt idx="1">
                  <c:v>2.0491803278688527E-2</c:v>
                </c:pt>
                <c:pt idx="2">
                  <c:v>1.1029411764705881E-2</c:v>
                </c:pt>
                <c:pt idx="3">
                  <c:v>3.6101083032490974E-2</c:v>
                </c:pt>
                <c:pt idx="4">
                  <c:v>3.1872509960159362E-2</c:v>
                </c:pt>
              </c:numCache>
            </c:numRef>
          </c:val>
          <c:extLst>
            <c:ext xmlns:c16="http://schemas.microsoft.com/office/drawing/2014/chart" uri="{C3380CC4-5D6E-409C-BE32-E72D297353CC}">
              <c16:uniqueId val="{00000003-8C11-496E-9662-595D0A0DD6D1}"/>
            </c:ext>
          </c:extLst>
        </c:ser>
        <c:ser>
          <c:idx val="1"/>
          <c:order val="4"/>
          <c:tx>
            <c:v>C=O 1740 cm-1 RTFO</c:v>
          </c:tx>
          <c:spPr>
            <a:pattFill prst="diagBrick">
              <a:fgClr>
                <a:schemeClr val="tx1"/>
              </a:fgClr>
              <a:bgClr>
                <a:schemeClr val="bg1"/>
              </a:bgClr>
            </a:pattFill>
            <a:ln>
              <a:solidFill>
                <a:schemeClr val="tx1"/>
              </a:solidFill>
            </a:ln>
          </c:spPr>
          <c:invertIfNegative val="0"/>
          <c:cat>
            <c:strRef>
              <c:f>'PHRs_unmod (2)'!$I$13:$I$17</c:f>
              <c:strCache>
                <c:ptCount val="5"/>
                <c:pt idx="0">
                  <c:v>None</c:v>
                </c:pt>
                <c:pt idx="1">
                  <c:v>WMA</c:v>
                </c:pt>
                <c:pt idx="2">
                  <c:v>ASA</c:v>
                </c:pt>
                <c:pt idx="3">
                  <c:v>RAP</c:v>
                </c:pt>
                <c:pt idx="4">
                  <c:v>PPA</c:v>
                </c:pt>
              </c:strCache>
            </c:strRef>
          </c:cat>
          <c:val>
            <c:numRef>
              <c:f>'PHRs_unmod (2)'!$AF$13:$AF$17</c:f>
              <c:numCache>
                <c:formatCode>0.000</c:formatCode>
                <c:ptCount val="5"/>
                <c:pt idx="0">
                  <c:v>3.1358885017421595E-2</c:v>
                </c:pt>
                <c:pt idx="1">
                  <c:v>3.0188679245283019E-2</c:v>
                </c:pt>
                <c:pt idx="2">
                  <c:v>2.4475524475524472E-2</c:v>
                </c:pt>
                <c:pt idx="3">
                  <c:v>2.8776978417266185E-2</c:v>
                </c:pt>
                <c:pt idx="4">
                  <c:v>2.4096385542168676E-2</c:v>
                </c:pt>
              </c:numCache>
            </c:numRef>
          </c:val>
          <c:extLst>
            <c:ext xmlns:c16="http://schemas.microsoft.com/office/drawing/2014/chart" uri="{C3380CC4-5D6E-409C-BE32-E72D297353CC}">
              <c16:uniqueId val="{00000004-8C11-496E-9662-595D0A0DD6D1}"/>
            </c:ext>
          </c:extLst>
        </c:ser>
        <c:ser>
          <c:idx val="0"/>
          <c:order val="5"/>
          <c:tx>
            <c:v>C=O 1740 cm-1 PAV</c:v>
          </c:tx>
          <c:spPr>
            <a:pattFill prst="wave">
              <a:fgClr>
                <a:schemeClr val="tx1"/>
              </a:fgClr>
              <a:bgClr>
                <a:schemeClr val="bg1"/>
              </a:bgClr>
            </a:pattFill>
            <a:ln>
              <a:solidFill>
                <a:schemeClr val="tx1"/>
              </a:solidFill>
            </a:ln>
          </c:spPr>
          <c:invertIfNegative val="0"/>
          <c:cat>
            <c:strRef>
              <c:f>'PHRs_unmod (2)'!$I$13:$I$17</c:f>
              <c:strCache>
                <c:ptCount val="5"/>
                <c:pt idx="0">
                  <c:v>None</c:v>
                </c:pt>
                <c:pt idx="1">
                  <c:v>WMA</c:v>
                </c:pt>
                <c:pt idx="2">
                  <c:v>ASA</c:v>
                </c:pt>
                <c:pt idx="3">
                  <c:v>RAP</c:v>
                </c:pt>
                <c:pt idx="4">
                  <c:v>PPA</c:v>
                </c:pt>
              </c:strCache>
            </c:strRef>
          </c:cat>
          <c:val>
            <c:numRef>
              <c:f>'PHRs_unmod (2)'!$AE$8:$AE$12</c:f>
              <c:numCache>
                <c:formatCode>0.000</c:formatCode>
                <c:ptCount val="5"/>
                <c:pt idx="0">
                  <c:v>2.6119402985074626E-2</c:v>
                </c:pt>
                <c:pt idx="1">
                  <c:v>1.5810276679841896E-2</c:v>
                </c:pt>
                <c:pt idx="2">
                  <c:v>2.9962546816479401E-2</c:v>
                </c:pt>
                <c:pt idx="3">
                  <c:v>5.4228855721393028E-2</c:v>
                </c:pt>
                <c:pt idx="4">
                  <c:v>3.669724770642202E-2</c:v>
                </c:pt>
              </c:numCache>
            </c:numRef>
          </c:val>
          <c:extLst>
            <c:ext xmlns:c16="http://schemas.microsoft.com/office/drawing/2014/chart" uri="{C3380CC4-5D6E-409C-BE32-E72D297353CC}">
              <c16:uniqueId val="{00000005-8C11-496E-9662-595D0A0DD6D1}"/>
            </c:ext>
          </c:extLst>
        </c:ser>
        <c:dLbls>
          <c:showLegendKey val="0"/>
          <c:showVal val="0"/>
          <c:showCatName val="0"/>
          <c:showSerName val="0"/>
          <c:showPercent val="0"/>
          <c:showBubbleSize val="0"/>
        </c:dLbls>
        <c:gapWidth val="219"/>
        <c:overlap val="-27"/>
        <c:axId val="1827051167"/>
        <c:axId val="1827059903"/>
      </c:barChart>
      <c:catAx>
        <c:axId val="1827051167"/>
        <c:scaling>
          <c:orientation val="minMax"/>
        </c:scaling>
        <c:delete val="0"/>
        <c:axPos val="b"/>
        <c:title>
          <c:tx>
            <c:rich>
              <a:bodyPr/>
              <a:lstStyle/>
              <a:p>
                <a:pPr>
                  <a:defRPr/>
                </a:pPr>
                <a:r>
                  <a:rPr lang="en-US"/>
                  <a:t>Binder Type</a:t>
                </a:r>
              </a:p>
            </c:rich>
          </c:tx>
          <c:overlay val="0"/>
        </c:title>
        <c:numFmt formatCode="General" sourceLinked="1"/>
        <c:majorTickMark val="none"/>
        <c:minorTickMark val="none"/>
        <c:tickLblPos val="nextTo"/>
        <c:spPr>
          <a:noFill/>
          <a:ln w="9525" cap="flat" cmpd="sng" algn="ctr">
            <a:solidFill>
              <a:schemeClr val="tx1"/>
            </a:solidFill>
            <a:round/>
          </a:ln>
          <a:effectLst/>
        </c:spPr>
        <c:txPr>
          <a:bodyPr rot="-60000000" vert="horz"/>
          <a:lstStyle/>
          <a:p>
            <a:pPr>
              <a:defRPr/>
            </a:pPr>
            <a:endParaRPr lang="en-US"/>
          </a:p>
        </c:txPr>
        <c:crossAx val="1827059903"/>
        <c:crosses val="autoZero"/>
        <c:auto val="1"/>
        <c:lblAlgn val="ctr"/>
        <c:lblOffset val="100"/>
        <c:noMultiLvlLbl val="0"/>
      </c:catAx>
      <c:valAx>
        <c:axId val="1827059903"/>
        <c:scaling>
          <c:orientation val="minMax"/>
          <c:max val="0.1"/>
        </c:scaling>
        <c:delete val="0"/>
        <c:axPos val="l"/>
        <c:title>
          <c:tx>
            <c:rich>
              <a:bodyPr/>
              <a:lstStyle/>
              <a:p>
                <a:pPr>
                  <a:defRPr/>
                </a:pPr>
                <a:r>
                  <a:rPr lang="en-US" i="1"/>
                  <a:t>I</a:t>
                </a:r>
                <a:r>
                  <a:rPr lang="en-US" i="1" baseline="-25000"/>
                  <a:t>CO</a:t>
                </a:r>
              </a:p>
            </c:rich>
          </c:tx>
          <c:overlay val="0"/>
        </c:title>
        <c:numFmt formatCode="0.00" sourceLinked="0"/>
        <c:majorTickMark val="out"/>
        <c:minorTickMark val="none"/>
        <c:tickLblPos val="nextTo"/>
        <c:spPr>
          <a:noFill/>
          <a:ln>
            <a:solidFill>
              <a:schemeClr val="tx1"/>
            </a:solidFill>
          </a:ln>
          <a:effectLst/>
        </c:spPr>
        <c:txPr>
          <a:bodyPr rot="-60000000" vert="horz"/>
          <a:lstStyle/>
          <a:p>
            <a:pPr>
              <a:defRPr/>
            </a:pPr>
            <a:endParaRPr lang="en-US"/>
          </a:p>
        </c:txPr>
        <c:crossAx val="1827051167"/>
        <c:crosses val="autoZero"/>
        <c:crossBetween val="between"/>
        <c:majorUnit val="2.0000000000000004E-2"/>
      </c:valAx>
    </c:plotArea>
    <c:legend>
      <c:legendPos val="r"/>
      <c:layout>
        <c:manualLayout>
          <c:xMode val="edge"/>
          <c:yMode val="edge"/>
          <c:x val="0.18269936371805515"/>
          <c:y val="0.15801854731367818"/>
          <c:w val="0.80374682766172267"/>
          <c:h val="0.12223617033088059"/>
        </c:manualLayout>
      </c:layout>
      <c:overlay val="0"/>
      <c:spPr>
        <a:noFill/>
        <a:ln>
          <a:noFill/>
        </a:ln>
        <a:effectLst/>
      </c:spPr>
      <c:txPr>
        <a:bodyPr rot="0" vert="horz"/>
        <a:lstStyle/>
        <a:p>
          <a:pPr>
            <a:defRPr sz="900"/>
          </a:pPr>
          <a:endParaRPr lang="en-US"/>
        </a:p>
      </c:txPr>
    </c:legend>
    <c:plotVisOnly val="1"/>
    <c:dispBlanksAs val="gap"/>
    <c:showDLblsOverMax val="0"/>
  </c:chart>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PG 76-28 Binder </a:t>
            </a:r>
          </a:p>
        </c:rich>
      </c:tx>
      <c:layout>
        <c:manualLayout>
          <c:xMode val="edge"/>
          <c:yMode val="edge"/>
          <c:x val="0.37937975733627166"/>
          <c:y val="3.2407419221135617E-2"/>
        </c:manualLayout>
      </c:layout>
      <c:overlay val="0"/>
      <c:spPr>
        <a:noFill/>
        <a:ln>
          <a:noFill/>
        </a:ln>
        <a:effectLst/>
      </c:spPr>
    </c:title>
    <c:autoTitleDeleted val="0"/>
    <c:plotArea>
      <c:layout>
        <c:manualLayout>
          <c:layoutTarget val="inner"/>
          <c:xMode val="edge"/>
          <c:yMode val="edge"/>
          <c:x val="0.13618739747487232"/>
          <c:y val="0.16328709656135046"/>
          <c:w val="0.82439629887633004"/>
          <c:h val="0.6357813093662793"/>
        </c:manualLayout>
      </c:layout>
      <c:barChart>
        <c:barDir val="col"/>
        <c:grouping val="clustered"/>
        <c:varyColors val="0"/>
        <c:ser>
          <c:idx val="5"/>
          <c:order val="0"/>
          <c:tx>
            <c:v>C=O 1695 cm-1 Unaged</c:v>
          </c:tx>
          <c:spPr>
            <a:pattFill prst="pct60">
              <a:fgClr>
                <a:schemeClr val="tx1"/>
              </a:fgClr>
              <a:bgClr>
                <a:schemeClr val="bg1"/>
              </a:bgClr>
            </a:pattFill>
            <a:ln>
              <a:solidFill>
                <a:schemeClr val="tx1"/>
              </a:solidFill>
            </a:ln>
          </c:spPr>
          <c:invertIfNegative val="0"/>
          <c:cat>
            <c:strRef>
              <c:f>'PHRs_polymod (2)'!$I$8:$I$11</c:f>
              <c:strCache>
                <c:ptCount val="4"/>
                <c:pt idx="0">
                  <c:v>None</c:v>
                </c:pt>
                <c:pt idx="1">
                  <c:v>WMA</c:v>
                </c:pt>
                <c:pt idx="2">
                  <c:v>ASA</c:v>
                </c:pt>
                <c:pt idx="3">
                  <c:v>RAP</c:v>
                </c:pt>
              </c:strCache>
            </c:strRef>
          </c:cat>
          <c:val>
            <c:numRef>
              <c:f>'PHRs_polymod (2)'!$T$16:$T$19</c:f>
              <c:numCache>
                <c:formatCode>0.000</c:formatCode>
                <c:ptCount val="4"/>
                <c:pt idx="0">
                  <c:v>3.1358885017421602E-2</c:v>
                </c:pt>
                <c:pt idx="1">
                  <c:v>4.6099290780141848E-2</c:v>
                </c:pt>
                <c:pt idx="2">
                  <c:v>4.0293040293040289E-2</c:v>
                </c:pt>
                <c:pt idx="3">
                  <c:v>5.0179211469534045E-2</c:v>
                </c:pt>
              </c:numCache>
            </c:numRef>
          </c:val>
          <c:extLst>
            <c:ext xmlns:c16="http://schemas.microsoft.com/office/drawing/2014/chart" uri="{C3380CC4-5D6E-409C-BE32-E72D297353CC}">
              <c16:uniqueId val="{00000000-53FD-4A18-A5AB-0DCC60F0FCC8}"/>
            </c:ext>
          </c:extLst>
        </c:ser>
        <c:ser>
          <c:idx val="4"/>
          <c:order val="1"/>
          <c:tx>
            <c:v>C=O 1695 cm-1 RTFO</c:v>
          </c:tx>
          <c:spPr>
            <a:pattFill prst="dkDnDiag">
              <a:fgClr>
                <a:schemeClr val="tx1"/>
              </a:fgClr>
              <a:bgClr>
                <a:schemeClr val="bg1"/>
              </a:bgClr>
            </a:pattFill>
            <a:ln>
              <a:solidFill>
                <a:schemeClr val="tx1"/>
              </a:solidFill>
            </a:ln>
          </c:spPr>
          <c:invertIfNegative val="0"/>
          <c:cat>
            <c:strRef>
              <c:f>'PHRs_polymod (2)'!$I$8:$I$11</c:f>
              <c:strCache>
                <c:ptCount val="4"/>
                <c:pt idx="0">
                  <c:v>None</c:v>
                </c:pt>
                <c:pt idx="1">
                  <c:v>WMA</c:v>
                </c:pt>
                <c:pt idx="2">
                  <c:v>ASA</c:v>
                </c:pt>
                <c:pt idx="3">
                  <c:v>RAP</c:v>
                </c:pt>
              </c:strCache>
            </c:strRef>
          </c:cat>
          <c:val>
            <c:numRef>
              <c:f>'PHRs_polymod (2)'!$T$12:$T$15</c:f>
              <c:numCache>
                <c:formatCode>0.000</c:formatCode>
                <c:ptCount val="4"/>
                <c:pt idx="0">
                  <c:v>4.2857142857142851E-2</c:v>
                </c:pt>
                <c:pt idx="1">
                  <c:v>4.8275862068965524E-2</c:v>
                </c:pt>
                <c:pt idx="2">
                  <c:v>4.9469964664310959E-2</c:v>
                </c:pt>
                <c:pt idx="3">
                  <c:v>6.25E-2</c:v>
                </c:pt>
              </c:numCache>
            </c:numRef>
          </c:val>
          <c:extLst>
            <c:ext xmlns:c16="http://schemas.microsoft.com/office/drawing/2014/chart" uri="{C3380CC4-5D6E-409C-BE32-E72D297353CC}">
              <c16:uniqueId val="{00000001-53FD-4A18-A5AB-0DCC60F0FCC8}"/>
            </c:ext>
          </c:extLst>
        </c:ser>
        <c:ser>
          <c:idx val="3"/>
          <c:order val="2"/>
          <c:tx>
            <c:v>C=O 1695 cm-1 PAV</c:v>
          </c:tx>
          <c:spPr>
            <a:pattFill prst="wdUpDiag">
              <a:fgClr>
                <a:schemeClr val="tx1"/>
              </a:fgClr>
              <a:bgClr>
                <a:schemeClr val="bg1"/>
              </a:bgClr>
            </a:pattFill>
            <a:ln>
              <a:solidFill>
                <a:schemeClr val="tx1">
                  <a:alpha val="98000"/>
                </a:schemeClr>
              </a:solidFill>
            </a:ln>
          </c:spPr>
          <c:invertIfNegative val="0"/>
          <c:cat>
            <c:strRef>
              <c:f>'PHRs_polymod (2)'!$I$8:$I$11</c:f>
              <c:strCache>
                <c:ptCount val="4"/>
                <c:pt idx="0">
                  <c:v>None</c:v>
                </c:pt>
                <c:pt idx="1">
                  <c:v>WMA</c:v>
                </c:pt>
                <c:pt idx="2">
                  <c:v>ASA</c:v>
                </c:pt>
                <c:pt idx="3">
                  <c:v>RAP</c:v>
                </c:pt>
              </c:strCache>
            </c:strRef>
          </c:cat>
          <c:val>
            <c:numRef>
              <c:f>'PHRs_polymod (2)'!$T$8:$T$11</c:f>
              <c:numCache>
                <c:formatCode>0.000</c:formatCode>
                <c:ptCount val="4"/>
                <c:pt idx="0">
                  <c:v>5.5776892430278883E-2</c:v>
                </c:pt>
                <c:pt idx="1">
                  <c:v>5.614035087719299E-2</c:v>
                </c:pt>
                <c:pt idx="2">
                  <c:v>5.3380782918149461E-2</c:v>
                </c:pt>
                <c:pt idx="3">
                  <c:v>7.5313807531380755E-2</c:v>
                </c:pt>
              </c:numCache>
            </c:numRef>
          </c:val>
          <c:extLst>
            <c:ext xmlns:c16="http://schemas.microsoft.com/office/drawing/2014/chart" uri="{C3380CC4-5D6E-409C-BE32-E72D297353CC}">
              <c16:uniqueId val="{00000002-53FD-4A18-A5AB-0DCC60F0FCC8}"/>
            </c:ext>
          </c:extLst>
        </c:ser>
        <c:ser>
          <c:idx val="0"/>
          <c:order val="3"/>
          <c:tx>
            <c:v>C=O 1740 cm-1 Unaged</c:v>
          </c:tx>
          <c:spPr>
            <a:pattFill prst="horzBrick">
              <a:fgClr>
                <a:schemeClr val="tx1"/>
              </a:fgClr>
              <a:bgClr>
                <a:schemeClr val="bg1"/>
              </a:bgClr>
            </a:pattFill>
            <a:ln>
              <a:solidFill>
                <a:schemeClr val="tx1"/>
              </a:solidFill>
            </a:ln>
          </c:spPr>
          <c:invertIfNegative val="0"/>
          <c:cat>
            <c:strRef>
              <c:f>'PHRs_polymod (2)'!$I$8:$I$11</c:f>
              <c:strCache>
                <c:ptCount val="4"/>
                <c:pt idx="0">
                  <c:v>None</c:v>
                </c:pt>
                <c:pt idx="1">
                  <c:v>WMA</c:v>
                </c:pt>
                <c:pt idx="2">
                  <c:v>ASA</c:v>
                </c:pt>
                <c:pt idx="3">
                  <c:v>RAP</c:v>
                </c:pt>
              </c:strCache>
            </c:strRef>
          </c:cat>
          <c:val>
            <c:numRef>
              <c:f>'PHRs_polymod (2)'!$AE$16:$AE$19</c:f>
              <c:numCache>
                <c:formatCode>0.000</c:formatCode>
                <c:ptCount val="4"/>
                <c:pt idx="0">
                  <c:v>2.0905923344947737E-2</c:v>
                </c:pt>
                <c:pt idx="1">
                  <c:v>2.1276595744680854E-2</c:v>
                </c:pt>
                <c:pt idx="2">
                  <c:v>2.1978021978021976E-2</c:v>
                </c:pt>
                <c:pt idx="3">
                  <c:v>2.8673835125448025E-2</c:v>
                </c:pt>
              </c:numCache>
            </c:numRef>
          </c:val>
          <c:extLst>
            <c:ext xmlns:c16="http://schemas.microsoft.com/office/drawing/2014/chart" uri="{C3380CC4-5D6E-409C-BE32-E72D297353CC}">
              <c16:uniqueId val="{00000003-53FD-4A18-A5AB-0DCC60F0FCC8}"/>
            </c:ext>
          </c:extLst>
        </c:ser>
        <c:ser>
          <c:idx val="2"/>
          <c:order val="4"/>
          <c:tx>
            <c:v>C=O 1740 cm-1 RTFO</c:v>
          </c:tx>
          <c:spPr>
            <a:pattFill prst="diagBrick">
              <a:fgClr>
                <a:schemeClr val="tx1"/>
              </a:fgClr>
              <a:bgClr>
                <a:schemeClr val="bg1"/>
              </a:bgClr>
            </a:pattFill>
            <a:ln>
              <a:solidFill>
                <a:schemeClr val="tx1"/>
              </a:solidFill>
            </a:ln>
          </c:spPr>
          <c:invertIfNegative val="0"/>
          <c:cat>
            <c:strRef>
              <c:f>'PHRs_polymod (2)'!$I$8:$I$11</c:f>
              <c:strCache>
                <c:ptCount val="4"/>
                <c:pt idx="0">
                  <c:v>None</c:v>
                </c:pt>
                <c:pt idx="1">
                  <c:v>WMA</c:v>
                </c:pt>
                <c:pt idx="2">
                  <c:v>ASA</c:v>
                </c:pt>
                <c:pt idx="3">
                  <c:v>RAP</c:v>
                </c:pt>
              </c:strCache>
            </c:strRef>
          </c:cat>
          <c:val>
            <c:numRef>
              <c:f>'PHRs_polymod (2)'!$AE$12:$AE$15</c:f>
              <c:numCache>
                <c:formatCode>0.000</c:formatCode>
                <c:ptCount val="4"/>
                <c:pt idx="0">
                  <c:v>1.4285714285714285E-2</c:v>
                </c:pt>
                <c:pt idx="1">
                  <c:v>2.4137931034482762E-2</c:v>
                </c:pt>
                <c:pt idx="2">
                  <c:v>2.4734982332155479E-2</c:v>
                </c:pt>
                <c:pt idx="3">
                  <c:v>2.6785714285714284E-2</c:v>
                </c:pt>
              </c:numCache>
            </c:numRef>
          </c:val>
          <c:extLst>
            <c:ext xmlns:c16="http://schemas.microsoft.com/office/drawing/2014/chart" uri="{C3380CC4-5D6E-409C-BE32-E72D297353CC}">
              <c16:uniqueId val="{00000004-53FD-4A18-A5AB-0DCC60F0FCC8}"/>
            </c:ext>
          </c:extLst>
        </c:ser>
        <c:ser>
          <c:idx val="1"/>
          <c:order val="5"/>
          <c:tx>
            <c:v>C=O 1740 cm-1 PAV</c:v>
          </c:tx>
          <c:spPr>
            <a:pattFill prst="zigZag">
              <a:fgClr>
                <a:schemeClr val="tx1"/>
              </a:fgClr>
              <a:bgClr>
                <a:schemeClr val="bg1"/>
              </a:bgClr>
            </a:pattFill>
            <a:ln>
              <a:solidFill>
                <a:schemeClr val="tx1"/>
              </a:solidFill>
            </a:ln>
          </c:spPr>
          <c:invertIfNegative val="0"/>
          <c:cat>
            <c:strRef>
              <c:f>'PHRs_polymod (2)'!$I$8:$I$11</c:f>
              <c:strCache>
                <c:ptCount val="4"/>
                <c:pt idx="0">
                  <c:v>None</c:v>
                </c:pt>
                <c:pt idx="1">
                  <c:v>WMA</c:v>
                </c:pt>
                <c:pt idx="2">
                  <c:v>ASA</c:v>
                </c:pt>
                <c:pt idx="3">
                  <c:v>RAP</c:v>
                </c:pt>
              </c:strCache>
            </c:strRef>
          </c:cat>
          <c:val>
            <c:numRef>
              <c:f>'PHRs_polymod (2)'!$AE$8:$AE$11</c:f>
              <c:numCache>
                <c:formatCode>0.000</c:formatCode>
                <c:ptCount val="4"/>
                <c:pt idx="0">
                  <c:v>2.7888446215139442E-2</c:v>
                </c:pt>
                <c:pt idx="1">
                  <c:v>2.1052631578947371E-2</c:v>
                </c:pt>
                <c:pt idx="2">
                  <c:v>2.491103202846975E-2</c:v>
                </c:pt>
                <c:pt idx="3">
                  <c:v>2.9288702928870293E-2</c:v>
                </c:pt>
              </c:numCache>
            </c:numRef>
          </c:val>
          <c:extLst>
            <c:ext xmlns:c16="http://schemas.microsoft.com/office/drawing/2014/chart" uri="{C3380CC4-5D6E-409C-BE32-E72D297353CC}">
              <c16:uniqueId val="{00000005-53FD-4A18-A5AB-0DCC60F0FCC8}"/>
            </c:ext>
          </c:extLst>
        </c:ser>
        <c:dLbls>
          <c:showLegendKey val="0"/>
          <c:showVal val="0"/>
          <c:showCatName val="0"/>
          <c:showSerName val="0"/>
          <c:showPercent val="0"/>
          <c:showBubbleSize val="0"/>
        </c:dLbls>
        <c:gapWidth val="219"/>
        <c:overlap val="-27"/>
        <c:axId val="2062424735"/>
        <c:axId val="2062436383"/>
      </c:barChart>
      <c:catAx>
        <c:axId val="2062424735"/>
        <c:scaling>
          <c:orientation val="minMax"/>
        </c:scaling>
        <c:delete val="0"/>
        <c:axPos val="b"/>
        <c:title>
          <c:tx>
            <c:rich>
              <a:bodyPr/>
              <a:lstStyle/>
              <a:p>
                <a:pPr>
                  <a:defRPr/>
                </a:pPr>
                <a:r>
                  <a:rPr lang="en-US"/>
                  <a:t>Binder Type</a:t>
                </a:r>
              </a:p>
            </c:rich>
          </c:tx>
          <c:overlay val="0"/>
        </c:title>
        <c:numFmt formatCode="General" sourceLinked="1"/>
        <c:majorTickMark val="none"/>
        <c:minorTickMark val="none"/>
        <c:tickLblPos val="nextTo"/>
        <c:spPr>
          <a:noFill/>
          <a:ln w="9525" cap="flat" cmpd="sng" algn="ctr">
            <a:solidFill>
              <a:schemeClr val="tx1"/>
            </a:solidFill>
            <a:round/>
          </a:ln>
          <a:effectLst/>
        </c:spPr>
        <c:txPr>
          <a:bodyPr rot="-60000000" vert="horz"/>
          <a:lstStyle/>
          <a:p>
            <a:pPr>
              <a:defRPr/>
            </a:pPr>
            <a:endParaRPr lang="en-US"/>
          </a:p>
        </c:txPr>
        <c:crossAx val="2062436383"/>
        <c:crosses val="autoZero"/>
        <c:auto val="1"/>
        <c:lblAlgn val="ctr"/>
        <c:lblOffset val="100"/>
        <c:noMultiLvlLbl val="0"/>
      </c:catAx>
      <c:valAx>
        <c:axId val="2062436383"/>
        <c:scaling>
          <c:orientation val="minMax"/>
          <c:max val="0.1"/>
        </c:scaling>
        <c:delete val="0"/>
        <c:axPos val="l"/>
        <c:title>
          <c:tx>
            <c:rich>
              <a:bodyPr/>
              <a:lstStyle/>
              <a:p>
                <a:pPr>
                  <a:defRPr/>
                </a:pPr>
                <a:r>
                  <a:rPr lang="en-US" b="1" i="1"/>
                  <a:t>I</a:t>
                </a:r>
                <a:r>
                  <a:rPr lang="en-US" b="1" i="1" baseline="-25000"/>
                  <a:t>CO</a:t>
                </a:r>
              </a:p>
            </c:rich>
          </c:tx>
          <c:overlay val="0"/>
        </c:title>
        <c:numFmt formatCode="0.00" sourceLinked="0"/>
        <c:majorTickMark val="out"/>
        <c:minorTickMark val="none"/>
        <c:tickLblPos val="nextTo"/>
        <c:spPr>
          <a:noFill/>
          <a:ln>
            <a:solidFill>
              <a:schemeClr val="tx1"/>
            </a:solidFill>
          </a:ln>
          <a:effectLst/>
        </c:spPr>
        <c:txPr>
          <a:bodyPr rot="-60000000" vert="horz"/>
          <a:lstStyle/>
          <a:p>
            <a:pPr>
              <a:defRPr/>
            </a:pPr>
            <a:endParaRPr lang="en-US"/>
          </a:p>
        </c:txPr>
        <c:crossAx val="2062424735"/>
        <c:crosses val="autoZero"/>
        <c:crossBetween val="between"/>
        <c:majorUnit val="2.0000000000000004E-2"/>
      </c:valAx>
    </c:plotArea>
    <c:legend>
      <c:legendPos val="r"/>
      <c:layout>
        <c:manualLayout>
          <c:xMode val="edge"/>
          <c:yMode val="edge"/>
          <c:x val="0.13689591328191295"/>
          <c:y val="0.14775741752603441"/>
          <c:w val="0.85936253277100194"/>
          <c:h val="0.16828090123975695"/>
        </c:manualLayout>
      </c:layout>
      <c:overlay val="0"/>
      <c:spPr>
        <a:noFill/>
        <a:ln>
          <a:noFill/>
        </a:ln>
        <a:effectLst/>
      </c:spPr>
      <c:txPr>
        <a:bodyPr rot="0" vert="horz"/>
        <a:lstStyle/>
        <a:p>
          <a:pPr>
            <a:defRPr sz="900"/>
          </a:pPr>
          <a:endParaRPr lang="en-US"/>
        </a:p>
      </c:txPr>
    </c:legend>
    <c:plotVisOnly val="1"/>
    <c:dispBlanksAs val="gap"/>
    <c:showDLblsOverMax val="0"/>
  </c:chart>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a:pPr>
            <a:r>
              <a:rPr lang="en-US"/>
              <a:t>PG 64-22 Binder</a:t>
            </a:r>
          </a:p>
        </c:rich>
      </c:tx>
      <c:layout>
        <c:manualLayout>
          <c:xMode val="edge"/>
          <c:yMode val="edge"/>
          <c:x val="0.39782901058748277"/>
          <c:y val="3.2068520580667483E-2"/>
        </c:manualLayout>
      </c:layout>
      <c:overlay val="0"/>
      <c:spPr>
        <a:noFill/>
        <a:ln>
          <a:noFill/>
        </a:ln>
        <a:effectLst/>
      </c:spPr>
    </c:title>
    <c:autoTitleDeleted val="0"/>
    <c:plotArea>
      <c:layout>
        <c:manualLayout>
          <c:layoutTarget val="inner"/>
          <c:xMode val="edge"/>
          <c:yMode val="edge"/>
          <c:x val="0.1414786167134636"/>
          <c:y val="0.16872659115233485"/>
          <c:w val="0.81034307446956555"/>
          <c:h val="0.6187211000407602"/>
        </c:manualLayout>
      </c:layout>
      <c:barChart>
        <c:barDir val="col"/>
        <c:grouping val="clustered"/>
        <c:varyColors val="0"/>
        <c:ser>
          <c:idx val="5"/>
          <c:order val="0"/>
          <c:tx>
            <c:v>S=O 1030 cm-1 Unaged</c:v>
          </c:tx>
          <c:spPr>
            <a:pattFill prst="pct60">
              <a:fgClr>
                <a:schemeClr val="tx1"/>
              </a:fgClr>
              <a:bgClr>
                <a:schemeClr val="bg1"/>
              </a:bgClr>
            </a:pattFill>
            <a:ln>
              <a:solidFill>
                <a:schemeClr val="tx1"/>
              </a:solidFill>
            </a:ln>
          </c:spPr>
          <c:invertIfNegative val="0"/>
          <c:cat>
            <c:strRef>
              <c:f>'PHRs_unmod (2)'!$I$18:$I$22</c:f>
              <c:strCache>
                <c:ptCount val="5"/>
                <c:pt idx="0">
                  <c:v>None</c:v>
                </c:pt>
                <c:pt idx="1">
                  <c:v>WMA</c:v>
                </c:pt>
                <c:pt idx="2">
                  <c:v>ASA</c:v>
                </c:pt>
                <c:pt idx="3">
                  <c:v>RAP</c:v>
                </c:pt>
                <c:pt idx="4">
                  <c:v>PPA</c:v>
                </c:pt>
              </c:strCache>
            </c:strRef>
          </c:cat>
          <c:val>
            <c:numRef>
              <c:f>'PHRs_unmod (2)'!$U$18:$U$22</c:f>
              <c:numCache>
                <c:formatCode>0.000</c:formatCode>
                <c:ptCount val="5"/>
                <c:pt idx="0">
                  <c:v>0.16014234875444838</c:v>
                </c:pt>
                <c:pt idx="1">
                  <c:v>0.38934426229508196</c:v>
                </c:pt>
                <c:pt idx="2">
                  <c:v>0.10661764705882353</c:v>
                </c:pt>
                <c:pt idx="3">
                  <c:v>0.16245487364620936</c:v>
                </c:pt>
                <c:pt idx="4">
                  <c:v>0.2549800796812749</c:v>
                </c:pt>
              </c:numCache>
            </c:numRef>
          </c:val>
          <c:extLst>
            <c:ext xmlns:c16="http://schemas.microsoft.com/office/drawing/2014/chart" uri="{C3380CC4-5D6E-409C-BE32-E72D297353CC}">
              <c16:uniqueId val="{00000000-EBA8-4E6C-9511-D74B9E4F71D5}"/>
            </c:ext>
          </c:extLst>
        </c:ser>
        <c:ser>
          <c:idx val="4"/>
          <c:order val="1"/>
          <c:tx>
            <c:v>S=O 1030 cm-1 RTFO</c:v>
          </c:tx>
          <c:spPr>
            <a:pattFill prst="dkDnDiag">
              <a:fgClr>
                <a:schemeClr val="tx1"/>
              </a:fgClr>
              <a:bgClr>
                <a:schemeClr val="bg1"/>
              </a:bgClr>
            </a:pattFill>
            <a:ln>
              <a:solidFill>
                <a:schemeClr val="tx1">
                  <a:alpha val="98000"/>
                </a:schemeClr>
              </a:solidFill>
            </a:ln>
          </c:spPr>
          <c:invertIfNegative val="0"/>
          <c:cat>
            <c:strRef>
              <c:f>'PHRs_unmod (2)'!$I$18:$I$22</c:f>
              <c:strCache>
                <c:ptCount val="5"/>
                <c:pt idx="0">
                  <c:v>None</c:v>
                </c:pt>
                <c:pt idx="1">
                  <c:v>WMA</c:v>
                </c:pt>
                <c:pt idx="2">
                  <c:v>ASA</c:v>
                </c:pt>
                <c:pt idx="3">
                  <c:v>RAP</c:v>
                </c:pt>
                <c:pt idx="4">
                  <c:v>PPA</c:v>
                </c:pt>
              </c:strCache>
            </c:strRef>
          </c:cat>
          <c:val>
            <c:numRef>
              <c:f>'PHRs_unmod (2)'!$U$13:$U$17</c:f>
              <c:numCache>
                <c:formatCode>0.000</c:formatCode>
                <c:ptCount val="5"/>
                <c:pt idx="0">
                  <c:v>0.15827338129496402</c:v>
                </c:pt>
                <c:pt idx="1">
                  <c:v>0.31128404669260701</c:v>
                </c:pt>
                <c:pt idx="2">
                  <c:v>0.16129032258064513</c:v>
                </c:pt>
                <c:pt idx="3">
                  <c:v>0.18148148148148147</c:v>
                </c:pt>
                <c:pt idx="4">
                  <c:v>0.30041152263374482</c:v>
                </c:pt>
              </c:numCache>
            </c:numRef>
          </c:val>
          <c:extLst>
            <c:ext xmlns:c16="http://schemas.microsoft.com/office/drawing/2014/chart" uri="{C3380CC4-5D6E-409C-BE32-E72D297353CC}">
              <c16:uniqueId val="{00000001-EBA8-4E6C-9511-D74B9E4F71D5}"/>
            </c:ext>
          </c:extLst>
        </c:ser>
        <c:ser>
          <c:idx val="3"/>
          <c:order val="2"/>
          <c:tx>
            <c:v>S=O 1030 cm-1 PAV</c:v>
          </c:tx>
          <c:spPr>
            <a:pattFill prst="wdUpDiag">
              <a:fgClr>
                <a:schemeClr val="tx1"/>
              </a:fgClr>
              <a:bgClr>
                <a:schemeClr val="bg1"/>
              </a:bgClr>
            </a:pattFill>
            <a:ln>
              <a:solidFill>
                <a:schemeClr val="tx1"/>
              </a:solidFill>
            </a:ln>
          </c:spPr>
          <c:invertIfNegative val="0"/>
          <c:cat>
            <c:strRef>
              <c:f>'PHRs_unmod (2)'!$I$18:$I$22</c:f>
              <c:strCache>
                <c:ptCount val="5"/>
                <c:pt idx="0">
                  <c:v>None</c:v>
                </c:pt>
                <c:pt idx="1">
                  <c:v>WMA</c:v>
                </c:pt>
                <c:pt idx="2">
                  <c:v>ASA</c:v>
                </c:pt>
                <c:pt idx="3">
                  <c:v>RAP</c:v>
                </c:pt>
                <c:pt idx="4">
                  <c:v>PPA</c:v>
                </c:pt>
              </c:strCache>
            </c:strRef>
          </c:cat>
          <c:val>
            <c:numRef>
              <c:f>'PHRs_unmod (2)'!$U$8:$U$12</c:f>
              <c:numCache>
                <c:formatCode>0.000</c:formatCode>
                <c:ptCount val="5"/>
                <c:pt idx="0">
                  <c:v>0.25</c:v>
                </c:pt>
                <c:pt idx="1">
                  <c:v>0.25691699604743085</c:v>
                </c:pt>
                <c:pt idx="2">
                  <c:v>0.16104868913857676</c:v>
                </c:pt>
                <c:pt idx="3">
                  <c:v>0.18009950248756218</c:v>
                </c:pt>
                <c:pt idx="4">
                  <c:v>0.61009174311926606</c:v>
                </c:pt>
              </c:numCache>
            </c:numRef>
          </c:val>
          <c:extLst>
            <c:ext xmlns:c16="http://schemas.microsoft.com/office/drawing/2014/chart" uri="{C3380CC4-5D6E-409C-BE32-E72D297353CC}">
              <c16:uniqueId val="{00000002-EBA8-4E6C-9511-D74B9E4F71D5}"/>
            </c:ext>
          </c:extLst>
        </c:ser>
        <c:dLbls>
          <c:showLegendKey val="0"/>
          <c:showVal val="0"/>
          <c:showCatName val="0"/>
          <c:showSerName val="0"/>
          <c:showPercent val="0"/>
          <c:showBubbleSize val="0"/>
        </c:dLbls>
        <c:gapWidth val="219"/>
        <c:overlap val="-27"/>
        <c:axId val="1827051167"/>
        <c:axId val="1827059903"/>
      </c:barChart>
      <c:catAx>
        <c:axId val="1827051167"/>
        <c:scaling>
          <c:orientation val="minMax"/>
        </c:scaling>
        <c:delete val="0"/>
        <c:axPos val="b"/>
        <c:title>
          <c:tx>
            <c:rich>
              <a:bodyPr/>
              <a:lstStyle/>
              <a:p>
                <a:pPr>
                  <a:defRPr/>
                </a:pPr>
                <a:r>
                  <a:rPr lang="en-US"/>
                  <a:t>Binder</a:t>
                </a:r>
                <a:r>
                  <a:rPr lang="en-US" baseline="0"/>
                  <a:t> Type</a:t>
                </a:r>
                <a:endParaRPr lang="en-US"/>
              </a:p>
            </c:rich>
          </c:tx>
          <c:overlay val="0"/>
        </c:title>
        <c:numFmt formatCode="General" sourceLinked="1"/>
        <c:majorTickMark val="none"/>
        <c:minorTickMark val="none"/>
        <c:tickLblPos val="nextTo"/>
        <c:spPr>
          <a:noFill/>
          <a:ln w="9525" cap="flat" cmpd="sng" algn="ctr">
            <a:solidFill>
              <a:schemeClr val="tx1"/>
            </a:solidFill>
            <a:round/>
          </a:ln>
          <a:effectLst/>
        </c:spPr>
        <c:txPr>
          <a:bodyPr rot="-60000000" vert="horz"/>
          <a:lstStyle/>
          <a:p>
            <a:pPr>
              <a:defRPr/>
            </a:pPr>
            <a:endParaRPr lang="en-US"/>
          </a:p>
        </c:txPr>
        <c:crossAx val="1827059903"/>
        <c:crosses val="autoZero"/>
        <c:auto val="1"/>
        <c:lblAlgn val="ctr"/>
        <c:lblOffset val="100"/>
        <c:noMultiLvlLbl val="0"/>
      </c:catAx>
      <c:valAx>
        <c:axId val="1827059903"/>
        <c:scaling>
          <c:orientation val="minMax"/>
          <c:max val="0.8"/>
        </c:scaling>
        <c:delete val="0"/>
        <c:axPos val="l"/>
        <c:title>
          <c:tx>
            <c:rich>
              <a:bodyPr/>
              <a:lstStyle/>
              <a:p>
                <a:pPr>
                  <a:defRPr/>
                </a:pPr>
                <a:r>
                  <a:rPr lang="en-US" i="1"/>
                  <a:t>I</a:t>
                </a:r>
                <a:r>
                  <a:rPr lang="en-US" i="1" baseline="-25000"/>
                  <a:t>SO</a:t>
                </a:r>
              </a:p>
            </c:rich>
          </c:tx>
          <c:layout>
            <c:manualLayout>
              <c:xMode val="edge"/>
              <c:yMode val="edge"/>
              <c:x val="3.10308288944625E-2"/>
              <c:y val="0.45007497770566413"/>
            </c:manualLayout>
          </c:layout>
          <c:overlay val="0"/>
        </c:title>
        <c:numFmt formatCode="0.00" sourceLinked="0"/>
        <c:majorTickMark val="out"/>
        <c:minorTickMark val="none"/>
        <c:tickLblPos val="nextTo"/>
        <c:spPr>
          <a:noFill/>
          <a:ln>
            <a:solidFill>
              <a:schemeClr val="tx1"/>
            </a:solidFill>
          </a:ln>
          <a:effectLst/>
        </c:spPr>
        <c:txPr>
          <a:bodyPr rot="-60000000" vert="horz"/>
          <a:lstStyle/>
          <a:p>
            <a:pPr>
              <a:defRPr/>
            </a:pPr>
            <a:endParaRPr lang="en-US"/>
          </a:p>
        </c:txPr>
        <c:crossAx val="1827051167"/>
        <c:crosses val="autoZero"/>
        <c:crossBetween val="between"/>
        <c:majorUnit val="0.2"/>
      </c:valAx>
    </c:plotArea>
    <c:legend>
      <c:legendPos val="r"/>
      <c:layout>
        <c:manualLayout>
          <c:xMode val="edge"/>
          <c:yMode val="edge"/>
          <c:x val="0.13001649002887103"/>
          <c:y val="0.14089659831995582"/>
          <c:w val="0.85902610687566261"/>
          <c:h val="0.15066252697777821"/>
        </c:manualLayout>
      </c:layout>
      <c:overlay val="0"/>
      <c:spPr>
        <a:noFill/>
        <a:ln>
          <a:noFill/>
        </a:ln>
        <a:effectLst/>
      </c:spPr>
      <c:txPr>
        <a:bodyPr rot="0" vert="horz"/>
        <a:lstStyle/>
        <a:p>
          <a:pPr>
            <a:defRPr sz="900"/>
          </a:pPr>
          <a:endParaRPr lang="en-US"/>
        </a:p>
      </c:txPr>
    </c:legend>
    <c:plotVisOnly val="1"/>
    <c:dispBlanksAs val="gap"/>
    <c:showDLblsOverMax val="0"/>
  </c:chart>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32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PG 76-28 Binder</a:t>
            </a:r>
          </a:p>
        </c:rich>
      </c:tx>
      <c:overlay val="0"/>
      <c:spPr>
        <a:noFill/>
        <a:ln>
          <a:noFill/>
        </a:ln>
        <a:effectLst/>
      </c:spPr>
      <c:txPr>
        <a:bodyPr rot="0" spcFirstLastPara="1" vertOverflow="ellipsis" vert="horz" wrap="square" anchor="ctr" anchorCtr="1"/>
        <a:lstStyle/>
        <a:p>
          <a:pPr>
            <a:defRPr sz="1320" b="1" i="0" u="none" strike="noStrike" kern="1200" spc="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12663929232141397"/>
          <c:y val="0.16340050961315727"/>
          <c:w val="0.8560919885271705"/>
          <c:h val="0.62412512959469335"/>
        </c:manualLayout>
      </c:layout>
      <c:barChart>
        <c:barDir val="col"/>
        <c:grouping val="clustered"/>
        <c:varyColors val="0"/>
        <c:ser>
          <c:idx val="2"/>
          <c:order val="0"/>
          <c:tx>
            <c:v>S=O 1030 cm-1 Unaged</c:v>
          </c:tx>
          <c:spPr>
            <a:pattFill prst="pct60">
              <a:fgClr>
                <a:schemeClr val="tx1"/>
              </a:fgClr>
              <a:bgClr>
                <a:schemeClr val="bg1"/>
              </a:bgClr>
            </a:pattFill>
            <a:ln>
              <a:solidFill>
                <a:schemeClr val="tx1"/>
              </a:solidFill>
            </a:ln>
            <a:effectLst/>
          </c:spPr>
          <c:invertIfNegative val="0"/>
          <c:cat>
            <c:strRef>
              <c:f>'PHRs_polymod (2)'!$I$8:$I$11</c:f>
              <c:strCache>
                <c:ptCount val="4"/>
                <c:pt idx="0">
                  <c:v>None</c:v>
                </c:pt>
                <c:pt idx="1">
                  <c:v>WMA</c:v>
                </c:pt>
                <c:pt idx="2">
                  <c:v>ASA</c:v>
                </c:pt>
                <c:pt idx="3">
                  <c:v>RAP</c:v>
                </c:pt>
              </c:strCache>
            </c:strRef>
          </c:cat>
          <c:val>
            <c:numRef>
              <c:f>'PHRs_polymod (2)'!$U$16:$U$19</c:f>
              <c:numCache>
                <c:formatCode>0.000</c:formatCode>
                <c:ptCount val="4"/>
                <c:pt idx="0">
                  <c:v>0.11846689895470384</c:v>
                </c:pt>
                <c:pt idx="1">
                  <c:v>0.1276595744680851</c:v>
                </c:pt>
                <c:pt idx="2">
                  <c:v>0.10622710622710622</c:v>
                </c:pt>
                <c:pt idx="3">
                  <c:v>0.14695340501792115</c:v>
                </c:pt>
              </c:numCache>
            </c:numRef>
          </c:val>
          <c:extLst>
            <c:ext xmlns:c16="http://schemas.microsoft.com/office/drawing/2014/chart" uri="{C3380CC4-5D6E-409C-BE32-E72D297353CC}">
              <c16:uniqueId val="{00000000-C00F-4AC9-B666-B494F9CE7F24}"/>
            </c:ext>
          </c:extLst>
        </c:ser>
        <c:ser>
          <c:idx val="1"/>
          <c:order val="1"/>
          <c:tx>
            <c:v>S=O 1030 cm-1 RTFO</c:v>
          </c:tx>
          <c:spPr>
            <a:pattFill prst="dkDnDiag">
              <a:fgClr>
                <a:schemeClr val="tx1"/>
              </a:fgClr>
              <a:bgClr>
                <a:schemeClr val="bg1"/>
              </a:bgClr>
            </a:pattFill>
            <a:ln>
              <a:solidFill>
                <a:schemeClr val="tx1"/>
              </a:solidFill>
            </a:ln>
            <a:effectLst/>
          </c:spPr>
          <c:invertIfNegative val="0"/>
          <c:cat>
            <c:strRef>
              <c:f>'PHRs_polymod (2)'!$I$8:$I$11</c:f>
              <c:strCache>
                <c:ptCount val="4"/>
                <c:pt idx="0">
                  <c:v>None</c:v>
                </c:pt>
                <c:pt idx="1">
                  <c:v>WMA</c:v>
                </c:pt>
                <c:pt idx="2">
                  <c:v>ASA</c:v>
                </c:pt>
                <c:pt idx="3">
                  <c:v>RAP</c:v>
                </c:pt>
              </c:strCache>
            </c:strRef>
          </c:cat>
          <c:val>
            <c:numRef>
              <c:f>'PHRs_polymod (2)'!$U$12:$U$15</c:f>
              <c:numCache>
                <c:formatCode>0.000</c:formatCode>
                <c:ptCount val="4"/>
                <c:pt idx="0">
                  <c:v>0.125</c:v>
                </c:pt>
                <c:pt idx="1">
                  <c:v>0.1</c:v>
                </c:pt>
                <c:pt idx="2">
                  <c:v>0.14840989399293289</c:v>
                </c:pt>
                <c:pt idx="3">
                  <c:v>0.29910714285714285</c:v>
                </c:pt>
              </c:numCache>
            </c:numRef>
          </c:val>
          <c:extLst>
            <c:ext xmlns:c16="http://schemas.microsoft.com/office/drawing/2014/chart" uri="{C3380CC4-5D6E-409C-BE32-E72D297353CC}">
              <c16:uniqueId val="{00000001-C00F-4AC9-B666-B494F9CE7F24}"/>
            </c:ext>
          </c:extLst>
        </c:ser>
        <c:ser>
          <c:idx val="0"/>
          <c:order val="2"/>
          <c:tx>
            <c:v>S=O 1030 cm-1 PAV</c:v>
          </c:tx>
          <c:spPr>
            <a:pattFill prst="wdUpDiag">
              <a:fgClr>
                <a:schemeClr val="tx1"/>
              </a:fgClr>
              <a:bgClr>
                <a:schemeClr val="bg1"/>
              </a:bgClr>
            </a:pattFill>
            <a:ln>
              <a:solidFill>
                <a:schemeClr val="tx1"/>
              </a:solidFill>
            </a:ln>
            <a:effectLst/>
          </c:spPr>
          <c:invertIfNegative val="0"/>
          <c:cat>
            <c:strRef>
              <c:f>'PHRs_polymod (2)'!$I$8:$I$11</c:f>
              <c:strCache>
                <c:ptCount val="4"/>
                <c:pt idx="0">
                  <c:v>None</c:v>
                </c:pt>
                <c:pt idx="1">
                  <c:v>WMA</c:v>
                </c:pt>
                <c:pt idx="2">
                  <c:v>ASA</c:v>
                </c:pt>
                <c:pt idx="3">
                  <c:v>RAP</c:v>
                </c:pt>
              </c:strCache>
            </c:strRef>
          </c:cat>
          <c:val>
            <c:numRef>
              <c:f>'PHRs_polymod (2)'!$U$8:$U$11</c:f>
              <c:numCache>
                <c:formatCode>0.000</c:formatCode>
                <c:ptCount val="4"/>
                <c:pt idx="0">
                  <c:v>0.13545816733067731</c:v>
                </c:pt>
                <c:pt idx="1">
                  <c:v>0.14035087719298248</c:v>
                </c:pt>
                <c:pt idx="2">
                  <c:v>0.12811387900355869</c:v>
                </c:pt>
                <c:pt idx="3">
                  <c:v>0.497907949790795</c:v>
                </c:pt>
              </c:numCache>
            </c:numRef>
          </c:val>
          <c:extLst>
            <c:ext xmlns:c16="http://schemas.microsoft.com/office/drawing/2014/chart" uri="{C3380CC4-5D6E-409C-BE32-E72D297353CC}">
              <c16:uniqueId val="{00000002-C00F-4AC9-B666-B494F9CE7F24}"/>
            </c:ext>
          </c:extLst>
        </c:ser>
        <c:dLbls>
          <c:showLegendKey val="0"/>
          <c:showVal val="0"/>
          <c:showCatName val="0"/>
          <c:showSerName val="0"/>
          <c:showPercent val="0"/>
          <c:showBubbleSize val="0"/>
        </c:dLbls>
        <c:gapWidth val="219"/>
        <c:overlap val="-27"/>
        <c:axId val="2062424735"/>
        <c:axId val="2062436383"/>
      </c:barChart>
      <c:catAx>
        <c:axId val="2062424735"/>
        <c:scaling>
          <c:orientation val="minMax"/>
        </c:scaling>
        <c:delete val="0"/>
        <c:axPos val="b"/>
        <c:title>
          <c:tx>
            <c:rich>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a:t>Binder Type</a:t>
                </a:r>
              </a:p>
            </c:rich>
          </c:tx>
          <c:overlay val="0"/>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General" sourceLinked="1"/>
        <c:majorTickMark val="none"/>
        <c:minorTickMark val="none"/>
        <c:tickLblPos val="nextTo"/>
        <c:spPr>
          <a:noFill/>
          <a:ln w="9525" cap="flat" cmpd="sng" algn="ctr">
            <a:solidFill>
              <a:schemeClr val="tx1"/>
            </a:solidFill>
            <a:round/>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62436383"/>
        <c:crosses val="autoZero"/>
        <c:auto val="1"/>
        <c:lblAlgn val="ctr"/>
        <c:lblOffset val="100"/>
        <c:noMultiLvlLbl val="0"/>
      </c:catAx>
      <c:valAx>
        <c:axId val="2062436383"/>
        <c:scaling>
          <c:orientation val="minMax"/>
          <c:max val="0.60000000000000009"/>
        </c:scaling>
        <c:delete val="0"/>
        <c:axPos val="l"/>
        <c:title>
          <c:tx>
            <c:rich>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en-US" b="1" i="1"/>
                  <a:t>I</a:t>
                </a:r>
                <a:r>
                  <a:rPr lang="en-US" b="1" i="1" baseline="-25000"/>
                  <a:t>SO</a:t>
                </a:r>
              </a:p>
            </c:rich>
          </c:tx>
          <c:overlay val="0"/>
          <c:spPr>
            <a:noFill/>
            <a:ln>
              <a:noFill/>
            </a:ln>
            <a:effectLst/>
          </c:spPr>
          <c:txPr>
            <a:bodyPr rot="-5400000" spcFirstLastPara="1" vertOverflow="ellipsis" vert="horz" wrap="square" anchor="ctr" anchorCtr="1"/>
            <a:lstStyle/>
            <a:p>
              <a:pPr>
                <a:defRPr sz="1100" b="1"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title>
        <c:numFmt formatCode="0.00" sourceLinked="0"/>
        <c:majorTickMark val="out"/>
        <c:minorTickMark val="none"/>
        <c:tickLblPos val="nextTo"/>
        <c:spPr>
          <a:noFill/>
          <a:ln>
            <a:solidFill>
              <a:schemeClr val="tx1"/>
            </a:solidFill>
          </a:ln>
          <a:effectLst/>
        </c:spPr>
        <c:txPr>
          <a:bodyPr rot="-60000000" spcFirstLastPara="1" vertOverflow="ellipsis" vert="horz" wrap="square" anchor="ctr" anchorCtr="1"/>
          <a:lstStyle/>
          <a:p>
            <a:pPr>
              <a:defRPr sz="11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crossAx val="2062424735"/>
        <c:crosses val="autoZero"/>
        <c:crossBetween val="between"/>
        <c:majorUnit val="0.2"/>
      </c:valAx>
      <c:spPr>
        <a:noFill/>
        <a:ln>
          <a:noFill/>
        </a:ln>
        <a:effectLst/>
      </c:spPr>
    </c:plotArea>
    <c:legend>
      <c:legendPos val="r"/>
      <c:layout>
        <c:manualLayout>
          <c:xMode val="edge"/>
          <c:yMode val="edge"/>
          <c:x val="0.11203937718678643"/>
          <c:y val="0.14328373998420454"/>
          <c:w val="0.84401402830662431"/>
          <c:h val="0.15369159466602464"/>
        </c:manualLayout>
      </c:layout>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sz="1100">
          <a:solidFill>
            <a:sysClr val="windowText" lastClr="000000"/>
          </a:solidFill>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06D062634E4B459E899F5F9D355A8535"/>
        <w:category>
          <w:name w:val="General"/>
          <w:gallery w:val="placeholder"/>
        </w:category>
        <w:types>
          <w:type w:val="bbPlcHdr"/>
        </w:types>
        <w:behaviors>
          <w:behavior w:val="content"/>
        </w:behaviors>
        <w:guid w:val="{109EFF40-2683-4F2C-A3DE-72649AE88C6C}"/>
      </w:docPartPr>
      <w:docPartBody>
        <w:p w:rsidR="00C42BA3" w:rsidRDefault="00FE6537" w:rsidP="00FE6537">
          <w:pPr>
            <w:pStyle w:val="06D062634E4B459E899F5F9D355A8535"/>
          </w:pPr>
          <w:r>
            <w:rPr>
              <w:rStyle w:val="PlaceholderText"/>
            </w:rPr>
            <w:t>Click here to enter text.</w:t>
          </w:r>
        </w:p>
      </w:docPartBody>
    </w:docPart>
    <w:docPart>
      <w:docPartPr>
        <w:name w:val="67C2CDA0F1F44005BF5D48950086E8B8"/>
        <w:category>
          <w:name w:val="General"/>
          <w:gallery w:val="placeholder"/>
        </w:category>
        <w:types>
          <w:type w:val="bbPlcHdr"/>
        </w:types>
        <w:behaviors>
          <w:behavior w:val="content"/>
        </w:behaviors>
        <w:guid w:val="{7C610EC9-2D9E-4EFB-B826-C47774BC9BD4}"/>
      </w:docPartPr>
      <w:docPartBody>
        <w:p w:rsidR="00C42BA3" w:rsidRDefault="00FE6537" w:rsidP="00FE6537">
          <w:pPr>
            <w:pStyle w:val="67C2CDA0F1F44005BF5D48950086E8B8"/>
          </w:pPr>
          <w:r>
            <w:rPr>
              <w:rStyle w:val="PlaceholderText"/>
            </w:rPr>
            <w:t>Click here to enter text.</w:t>
          </w:r>
        </w:p>
      </w:docPartBody>
    </w:docPart>
    <w:docPart>
      <w:docPartPr>
        <w:name w:val="C750CA38E21B4A9CB97126C95DF0DB18"/>
        <w:category>
          <w:name w:val="General"/>
          <w:gallery w:val="placeholder"/>
        </w:category>
        <w:types>
          <w:type w:val="bbPlcHdr"/>
        </w:types>
        <w:behaviors>
          <w:behavior w:val="content"/>
        </w:behaviors>
        <w:guid w:val="{D303BC82-C40E-4E98-9507-25117D60FE4D}"/>
      </w:docPartPr>
      <w:docPartBody>
        <w:p w:rsidR="00C42BA3" w:rsidRDefault="00FE6537" w:rsidP="00FE6537">
          <w:pPr>
            <w:pStyle w:val="C750CA38E21B4A9CB97126C95DF0DB18"/>
          </w:pPr>
          <w:r>
            <w:rPr>
              <w:rStyle w:val="PlaceholderText"/>
            </w:rPr>
            <w:t>[EXACT NAME OF YOUR ACADEMIC UNIT IN ALL CAPS]</w:t>
          </w:r>
        </w:p>
      </w:docPartBody>
    </w:docPart>
    <w:docPart>
      <w:docPartPr>
        <w:name w:val="15641AF9238146DEA170A862163F2A3B"/>
        <w:category>
          <w:name w:val="General"/>
          <w:gallery w:val="placeholder"/>
        </w:category>
        <w:types>
          <w:type w:val="bbPlcHdr"/>
        </w:types>
        <w:behaviors>
          <w:behavior w:val="content"/>
        </w:behaviors>
        <w:guid w:val="{0EA26D87-C527-4B70-A48B-121D5D369C4A}"/>
      </w:docPartPr>
      <w:docPartBody>
        <w:p w:rsidR="00C42BA3" w:rsidRDefault="00FE6537" w:rsidP="00FE6537">
          <w:pPr>
            <w:pStyle w:val="15641AF9238146DEA170A862163F2A3B"/>
          </w:pPr>
          <w:r>
            <w:rPr>
              <w:rStyle w:val="PlaceholderText"/>
            </w:rPr>
            <w:t>Choose an item.</w:t>
          </w:r>
        </w:p>
      </w:docPartBody>
    </w:docPart>
    <w:docPart>
      <w:docPartPr>
        <w:name w:val="D1F72921D4EC4CC9806C58A1CC2D1579"/>
        <w:category>
          <w:name w:val="General"/>
          <w:gallery w:val="placeholder"/>
        </w:category>
        <w:types>
          <w:type w:val="bbPlcHdr"/>
        </w:types>
        <w:behaviors>
          <w:behavior w:val="content"/>
        </w:behaviors>
        <w:guid w:val="{4CC261E9-4D96-4D21-B63B-801549F48BB5}"/>
      </w:docPartPr>
      <w:docPartBody>
        <w:p w:rsidR="00C42BA3" w:rsidRDefault="00FE6537" w:rsidP="00FE6537">
          <w:pPr>
            <w:pStyle w:val="D1F72921D4EC4CC9806C58A1CC2D1579"/>
          </w:pPr>
          <w:r>
            <w:rPr>
              <w:rStyle w:val="PlaceholderText"/>
            </w:rPr>
            <w:t>Choose an item.</w:t>
          </w:r>
        </w:p>
      </w:docPartBody>
    </w:docPart>
    <w:docPart>
      <w:docPartPr>
        <w:name w:val="D59F0D597BC54D09ABBBA8125D7FEB6B"/>
        <w:category>
          <w:name w:val="General"/>
          <w:gallery w:val="placeholder"/>
        </w:category>
        <w:types>
          <w:type w:val="bbPlcHdr"/>
        </w:types>
        <w:behaviors>
          <w:behavior w:val="content"/>
        </w:behaviors>
        <w:guid w:val="{21594B8A-6050-4B49-8D2A-0F1F52BC6923}"/>
      </w:docPartPr>
      <w:docPartBody>
        <w:p w:rsidR="00C42BA3" w:rsidRDefault="00FE6537" w:rsidP="00FE6537">
          <w:pPr>
            <w:pStyle w:val="D59F0D597BC54D09ABBBA8125D7FEB6B"/>
          </w:pPr>
          <w:r>
            <w:rPr>
              <w:rStyle w:val="PlaceholderText"/>
            </w:rPr>
            <w:t>Click here to enter text.</w:t>
          </w:r>
        </w:p>
      </w:docPartBody>
    </w:docPart>
    <w:docPart>
      <w:docPartPr>
        <w:name w:val="DDDEE10FA8AB412A983C72DBEE9372C7"/>
        <w:category>
          <w:name w:val="General"/>
          <w:gallery w:val="placeholder"/>
        </w:category>
        <w:types>
          <w:type w:val="bbPlcHdr"/>
        </w:types>
        <w:behaviors>
          <w:behavior w:val="content"/>
        </w:behaviors>
        <w:guid w:val="{D086E3CE-1C3E-4D73-BD55-CF46CE3CA407}"/>
      </w:docPartPr>
      <w:docPartBody>
        <w:p w:rsidR="00C42BA3" w:rsidRDefault="00FE6537" w:rsidP="00FE6537">
          <w:pPr>
            <w:pStyle w:val="DDDEE10FA8AB412A983C72DBEE9372C7"/>
          </w:pPr>
          <w:r>
            <w:rPr>
              <w:rStyle w:val="PlaceholderText"/>
            </w:rPr>
            <w:t>Choose an item.</w:t>
          </w:r>
        </w:p>
      </w:docPartBody>
    </w:docPart>
    <w:docPart>
      <w:docPartPr>
        <w:name w:val="8C6F187047C247E59B5D3EDDEE5E81E1"/>
        <w:category>
          <w:name w:val="General"/>
          <w:gallery w:val="placeholder"/>
        </w:category>
        <w:types>
          <w:type w:val="bbPlcHdr"/>
        </w:types>
        <w:behaviors>
          <w:behavior w:val="content"/>
        </w:behaviors>
        <w:guid w:val="{105F9644-88CA-4D22-8759-4B54714698AF}"/>
      </w:docPartPr>
      <w:docPartBody>
        <w:p w:rsidR="00C42BA3" w:rsidRDefault="00FE6537" w:rsidP="00FE6537">
          <w:pPr>
            <w:pStyle w:val="8C6F187047C247E59B5D3EDDEE5E81E1"/>
          </w:pPr>
          <w:r>
            <w:rPr>
              <w:rStyle w:val="PlaceholderText"/>
            </w:rPr>
            <w:t>Click here to enter text.</w:t>
          </w:r>
        </w:p>
      </w:docPartBody>
    </w:docPart>
    <w:docPart>
      <w:docPartPr>
        <w:name w:val="F563C7CED1F0426D87BDE6F1DD9E0C72"/>
        <w:category>
          <w:name w:val="General"/>
          <w:gallery w:val="placeholder"/>
        </w:category>
        <w:types>
          <w:type w:val="bbPlcHdr"/>
        </w:types>
        <w:behaviors>
          <w:behavior w:val="content"/>
        </w:behaviors>
        <w:guid w:val="{732443D2-7D97-4B8A-AD84-A70078A5B375}"/>
      </w:docPartPr>
      <w:docPartBody>
        <w:p w:rsidR="00422EC8" w:rsidRDefault="00422EC8" w:rsidP="00422EC8">
          <w:pPr>
            <w:pStyle w:val="F563C7CED1F0426D87BDE6F1DD9E0C72"/>
          </w:pPr>
          <w:r>
            <w:rPr>
              <w:rStyle w:val="PlaceholderText"/>
            </w:rPr>
            <w:t>Click here to enter text.</w:t>
          </w:r>
        </w:p>
      </w:docPartBody>
    </w:docPart>
    <w:docPart>
      <w:docPartPr>
        <w:name w:val="DD0D9174B749463B82934E188C98A8BC"/>
        <w:category>
          <w:name w:val="General"/>
          <w:gallery w:val="placeholder"/>
        </w:category>
        <w:types>
          <w:type w:val="bbPlcHdr"/>
        </w:types>
        <w:behaviors>
          <w:behavior w:val="content"/>
        </w:behaviors>
        <w:guid w:val="{0B68A66A-D626-49F8-A504-E9038C09DDB3}"/>
      </w:docPartPr>
      <w:docPartBody>
        <w:p w:rsidR="00422EC8" w:rsidRDefault="00422EC8" w:rsidP="00422EC8">
          <w:pPr>
            <w:pStyle w:val="DD0D9174B749463B82934E188C98A8BC"/>
          </w:pPr>
          <w:r>
            <w:rPr>
              <w:rStyle w:val="PlaceholderText"/>
            </w:rPr>
            <w:t>Choose an item.</w:t>
          </w:r>
        </w:p>
      </w:docPartBody>
    </w:docPart>
    <w:docPart>
      <w:docPartPr>
        <w:name w:val="EA8BC1C71DD74AAA9502A0F67FF7CF74"/>
        <w:category>
          <w:name w:val="General"/>
          <w:gallery w:val="placeholder"/>
        </w:category>
        <w:types>
          <w:type w:val="bbPlcHdr"/>
        </w:types>
        <w:behaviors>
          <w:behavior w:val="content"/>
        </w:behaviors>
        <w:guid w:val="{7D573A51-B43A-4DD1-9B4A-90EE6803A6CF}"/>
      </w:docPartPr>
      <w:docPartBody>
        <w:p w:rsidR="00422EC8" w:rsidRDefault="00422EC8" w:rsidP="00422EC8">
          <w:pPr>
            <w:pStyle w:val="EA8BC1C71DD74AAA9502A0F67FF7CF74"/>
          </w:pPr>
          <w:r>
            <w:rPr>
              <w:rStyle w:val="PlaceholderText"/>
            </w:rPr>
            <w:t>Click here to enter text.</w:t>
          </w:r>
        </w:p>
      </w:docPartBody>
    </w:docPart>
    <w:docPart>
      <w:docPartPr>
        <w:name w:val="C6216786C34240D6AF4394DB88792AD6"/>
        <w:category>
          <w:name w:val="General"/>
          <w:gallery w:val="placeholder"/>
        </w:category>
        <w:types>
          <w:type w:val="bbPlcHdr"/>
        </w:types>
        <w:behaviors>
          <w:behavior w:val="content"/>
        </w:behaviors>
        <w:guid w:val="{367510D9-2C01-4D99-BDE1-A221596AFE3E}"/>
      </w:docPartPr>
      <w:docPartBody>
        <w:p w:rsidR="00422EC8" w:rsidRDefault="00422EC8" w:rsidP="00422EC8">
          <w:pPr>
            <w:pStyle w:val="C6216786C34240D6AF4394DB88792AD6"/>
          </w:pPr>
          <w:r>
            <w:rPr>
              <w:rStyle w:val="PlaceholderText"/>
            </w:rPr>
            <w:t>Choose an item.</w:t>
          </w:r>
        </w:p>
      </w:docPartBody>
    </w:docPart>
    <w:docPart>
      <w:docPartPr>
        <w:name w:val="42538ABC50324DC2A04988EAEEBE651B"/>
        <w:category>
          <w:name w:val="General"/>
          <w:gallery w:val="placeholder"/>
        </w:category>
        <w:types>
          <w:type w:val="bbPlcHdr"/>
        </w:types>
        <w:behaviors>
          <w:behavior w:val="content"/>
        </w:behaviors>
        <w:guid w:val="{90701125-2FB1-4077-AB54-90FF57F846B0}"/>
      </w:docPartPr>
      <w:docPartBody>
        <w:p w:rsidR="00422EC8" w:rsidRDefault="00422EC8" w:rsidP="00422EC8">
          <w:pPr>
            <w:pStyle w:val="42538ABC50324DC2A04988EAEEBE651B"/>
          </w:pPr>
          <w:r>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lgun Gothic">
    <w:panose1 w:val="020B0503020000020004"/>
    <w:charset w:val="81"/>
    <w:family w:val="swiss"/>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Bold">
    <w:altName w:val="Times New Roman"/>
    <w:panose1 w:val="00000000000000000000"/>
    <w:charset w:val="00"/>
    <w:family w:val="roman"/>
    <w:notTrueType/>
    <w:pitch w:val="default"/>
  </w:font>
  <w:font w:name="Myriad Pro">
    <w:panose1 w:val="00000000000000000000"/>
    <w:charset w:val="00"/>
    <w:family w:val="swiss"/>
    <w:notTrueType/>
    <w:pitch w:val="variable"/>
    <w:sig w:usb0="A00002AF" w:usb1="5000204B" w:usb2="00000000" w:usb3="00000000" w:csb0="0000019F" w:csb1="00000000"/>
  </w:font>
  <w:font w:name="Cambria Math">
    <w:panose1 w:val="02040503050406030204"/>
    <w:charset w:val="00"/>
    <w:family w:val="roman"/>
    <w:pitch w:val="variable"/>
    <w:sig w:usb0="E00006FF" w:usb1="420024FF" w:usb2="02000000" w:usb3="00000000" w:csb0="0000019F" w:csb1="00000000"/>
  </w:font>
  <w:font w:name="Mongolian Baiti">
    <w:panose1 w:val="03000500000000000000"/>
    <w:charset w:val="00"/>
    <w:family w:val="script"/>
    <w:pitch w:val="variable"/>
    <w:sig w:usb0="80000023" w:usb1="00000000" w:usb2="00020000" w:usb3="00000000" w:csb0="00000001" w:csb1="00000000"/>
  </w:font>
  <w:font w:name="Segoe UI Symbol">
    <w:panose1 w:val="020B0502040204020203"/>
    <w:charset w:val="00"/>
    <w:family w:val="swiss"/>
    <w:pitch w:val="variable"/>
    <w:sig w:usb0="800001E3" w:usb1="1200FFEF" w:usb2="00040000" w:usb3="00000000" w:csb0="00000001"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6537"/>
    <w:rsid w:val="0000214E"/>
    <w:rsid w:val="00003142"/>
    <w:rsid w:val="0001478D"/>
    <w:rsid w:val="0003633B"/>
    <w:rsid w:val="00096294"/>
    <w:rsid w:val="000A614D"/>
    <w:rsid w:val="0013592E"/>
    <w:rsid w:val="001B53B7"/>
    <w:rsid w:val="001B5A26"/>
    <w:rsid w:val="00250CAF"/>
    <w:rsid w:val="003133F6"/>
    <w:rsid w:val="0036584C"/>
    <w:rsid w:val="00367998"/>
    <w:rsid w:val="003C3394"/>
    <w:rsid w:val="0040260C"/>
    <w:rsid w:val="00416FC7"/>
    <w:rsid w:val="00422EC8"/>
    <w:rsid w:val="00422F0E"/>
    <w:rsid w:val="0048535F"/>
    <w:rsid w:val="004A2272"/>
    <w:rsid w:val="004C7689"/>
    <w:rsid w:val="004F14F7"/>
    <w:rsid w:val="00534317"/>
    <w:rsid w:val="00561761"/>
    <w:rsid w:val="00627FD3"/>
    <w:rsid w:val="006D5442"/>
    <w:rsid w:val="006F0B27"/>
    <w:rsid w:val="00713552"/>
    <w:rsid w:val="00721B17"/>
    <w:rsid w:val="00760B56"/>
    <w:rsid w:val="00784A71"/>
    <w:rsid w:val="008360C5"/>
    <w:rsid w:val="00970DB9"/>
    <w:rsid w:val="009F3AB4"/>
    <w:rsid w:val="00A56FEB"/>
    <w:rsid w:val="00AB1156"/>
    <w:rsid w:val="00AF26EA"/>
    <w:rsid w:val="00B259DE"/>
    <w:rsid w:val="00B76F86"/>
    <w:rsid w:val="00BA1291"/>
    <w:rsid w:val="00BA35B5"/>
    <w:rsid w:val="00BE439C"/>
    <w:rsid w:val="00BE54C2"/>
    <w:rsid w:val="00C42BA3"/>
    <w:rsid w:val="00C90F43"/>
    <w:rsid w:val="00CB7985"/>
    <w:rsid w:val="00D0294C"/>
    <w:rsid w:val="00D251CA"/>
    <w:rsid w:val="00D32E13"/>
    <w:rsid w:val="00D516C4"/>
    <w:rsid w:val="00D729F3"/>
    <w:rsid w:val="00D8252D"/>
    <w:rsid w:val="00D84147"/>
    <w:rsid w:val="00D874A0"/>
    <w:rsid w:val="00D95BAC"/>
    <w:rsid w:val="00DB334E"/>
    <w:rsid w:val="00EC5050"/>
    <w:rsid w:val="00ED5F36"/>
    <w:rsid w:val="00F00C7B"/>
    <w:rsid w:val="00F16A07"/>
    <w:rsid w:val="00F2622D"/>
    <w:rsid w:val="00F445D4"/>
    <w:rsid w:val="00FD3D4F"/>
    <w:rsid w:val="00FE6537"/>
    <w:rsid w:val="00FF5C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22EC8"/>
  </w:style>
  <w:style w:type="paragraph" w:customStyle="1" w:styleId="06D062634E4B459E899F5F9D355A8535">
    <w:name w:val="06D062634E4B459E899F5F9D355A8535"/>
    <w:rsid w:val="00FE6537"/>
  </w:style>
  <w:style w:type="paragraph" w:customStyle="1" w:styleId="67C2CDA0F1F44005BF5D48950086E8B8">
    <w:name w:val="67C2CDA0F1F44005BF5D48950086E8B8"/>
    <w:rsid w:val="00FE6537"/>
  </w:style>
  <w:style w:type="paragraph" w:customStyle="1" w:styleId="C750CA38E21B4A9CB97126C95DF0DB18">
    <w:name w:val="C750CA38E21B4A9CB97126C95DF0DB18"/>
    <w:rsid w:val="00FE6537"/>
  </w:style>
  <w:style w:type="paragraph" w:customStyle="1" w:styleId="15641AF9238146DEA170A862163F2A3B">
    <w:name w:val="15641AF9238146DEA170A862163F2A3B"/>
    <w:rsid w:val="00FE6537"/>
  </w:style>
  <w:style w:type="paragraph" w:customStyle="1" w:styleId="D1F72921D4EC4CC9806C58A1CC2D1579">
    <w:name w:val="D1F72921D4EC4CC9806C58A1CC2D1579"/>
    <w:rsid w:val="00FE6537"/>
  </w:style>
  <w:style w:type="paragraph" w:customStyle="1" w:styleId="D59F0D597BC54D09ABBBA8125D7FEB6B">
    <w:name w:val="D59F0D597BC54D09ABBBA8125D7FEB6B"/>
    <w:rsid w:val="00FE6537"/>
  </w:style>
  <w:style w:type="paragraph" w:customStyle="1" w:styleId="DDDEE10FA8AB412A983C72DBEE9372C7">
    <w:name w:val="DDDEE10FA8AB412A983C72DBEE9372C7"/>
    <w:rsid w:val="00FE6537"/>
  </w:style>
  <w:style w:type="paragraph" w:customStyle="1" w:styleId="8C6F187047C247E59B5D3EDDEE5E81E1">
    <w:name w:val="8C6F187047C247E59B5D3EDDEE5E81E1"/>
    <w:rsid w:val="00FE6537"/>
  </w:style>
  <w:style w:type="paragraph" w:customStyle="1" w:styleId="F563C7CED1F0426D87BDE6F1DD9E0C72">
    <w:name w:val="F563C7CED1F0426D87BDE6F1DD9E0C72"/>
    <w:rsid w:val="00422EC8"/>
  </w:style>
  <w:style w:type="paragraph" w:customStyle="1" w:styleId="DD0D9174B749463B82934E188C98A8BC">
    <w:name w:val="DD0D9174B749463B82934E188C98A8BC"/>
    <w:rsid w:val="00422EC8"/>
  </w:style>
  <w:style w:type="paragraph" w:customStyle="1" w:styleId="EA8BC1C71DD74AAA9502A0F67FF7CF74">
    <w:name w:val="EA8BC1C71DD74AAA9502A0F67FF7CF74"/>
    <w:rsid w:val="00422EC8"/>
  </w:style>
  <w:style w:type="paragraph" w:customStyle="1" w:styleId="C6216786C34240D6AF4394DB88792AD6">
    <w:name w:val="C6216786C34240D6AF4394DB88792AD6"/>
    <w:rsid w:val="00422EC8"/>
  </w:style>
  <w:style w:type="paragraph" w:customStyle="1" w:styleId="42538ABC50324DC2A04988EAEEBE651B">
    <w:name w:val="42538ABC50324DC2A04988EAEEBE651B"/>
    <w:rsid w:val="00422EC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760A13-A09D-4507-B6A0-F76AE4AC38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49</Pages>
  <Words>102674</Words>
  <Characters>585246</Characters>
  <Application>Microsoft Office Word</Application>
  <DocSecurity>0</DocSecurity>
  <Lines>4877</Lines>
  <Paragraphs>1373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686547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syed ashik ali</dc:creator>
  <cp:keywords/>
  <dc:description/>
  <cp:lastModifiedBy>Ali, Syed Ashik</cp:lastModifiedBy>
  <cp:revision>4</cp:revision>
  <cp:lastPrinted>2021-05-14T03:42:00Z</cp:lastPrinted>
  <dcterms:created xsi:type="dcterms:W3CDTF">2021-05-13T17:53:00Z</dcterms:created>
  <dcterms:modified xsi:type="dcterms:W3CDTF">2021-05-14T03:42:00Z</dcterms:modified>
</cp:coreProperties>
</file>