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D1BF4" w14:textId="77777777" w:rsidR="00A50007" w:rsidRPr="00E614FB" w:rsidRDefault="00A50007">
      <w:pPr>
        <w:rPr>
          <w:rFonts w:asciiTheme="minorHAnsi" w:hAnsiTheme="minorHAnsi" w:cstheme="minorHAnsi"/>
        </w:rPr>
      </w:pPr>
    </w:p>
    <w:sdt>
      <w:sdtPr>
        <w:rPr>
          <w:rFonts w:asciiTheme="minorHAnsi" w:hAnsiTheme="minorHAnsi" w:cstheme="minorHAnsi"/>
          <w:caps/>
        </w:rPr>
        <w:id w:val="7592821"/>
        <w:lock w:val="contentLocked"/>
        <w:placeholder>
          <w:docPart w:val="DefaultPlaceholder_22675703"/>
        </w:placeholder>
        <w:group/>
      </w:sdtPr>
      <w:sdtContent>
        <w:p w14:paraId="6D456607"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14:paraId="1A680877" w14:textId="77777777" w:rsidR="00410044" w:rsidRPr="00E614FB" w:rsidRDefault="00410044" w:rsidP="00410044">
          <w:pPr>
            <w:spacing w:after="0"/>
            <w:jc w:val="center"/>
            <w:rPr>
              <w:rFonts w:asciiTheme="minorHAnsi" w:hAnsiTheme="minorHAnsi" w:cstheme="minorHAnsi"/>
              <w:caps/>
            </w:rPr>
          </w:pPr>
        </w:p>
        <w:p w14:paraId="241982B1"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14:paraId="01B78264" w14:textId="77777777" w:rsidR="00410044" w:rsidRPr="00E614FB" w:rsidRDefault="00410044" w:rsidP="00410044">
      <w:pPr>
        <w:spacing w:after="0"/>
        <w:jc w:val="center"/>
        <w:rPr>
          <w:rFonts w:asciiTheme="minorHAnsi" w:hAnsiTheme="minorHAnsi" w:cstheme="minorHAnsi"/>
          <w:caps/>
        </w:rPr>
      </w:pPr>
    </w:p>
    <w:p w14:paraId="7811F1BE" w14:textId="77777777" w:rsidR="00410044" w:rsidRPr="00E614FB" w:rsidRDefault="00410044" w:rsidP="00410044">
      <w:pPr>
        <w:spacing w:after="0"/>
        <w:jc w:val="center"/>
        <w:rPr>
          <w:rFonts w:asciiTheme="minorHAnsi" w:hAnsiTheme="minorHAnsi" w:cstheme="minorHAnsi"/>
          <w:caps/>
        </w:rPr>
      </w:pPr>
    </w:p>
    <w:p w14:paraId="637407CD" w14:textId="77777777" w:rsidR="00410044" w:rsidRPr="00E614FB" w:rsidRDefault="00410044" w:rsidP="00410044">
      <w:pPr>
        <w:spacing w:after="0"/>
        <w:jc w:val="center"/>
        <w:rPr>
          <w:rFonts w:asciiTheme="minorHAnsi" w:hAnsiTheme="minorHAnsi" w:cstheme="minorHAnsi"/>
          <w:caps/>
        </w:rPr>
      </w:pPr>
    </w:p>
    <w:p w14:paraId="755C251A" w14:textId="77777777" w:rsidR="00410044" w:rsidRPr="00E614FB" w:rsidRDefault="00410044" w:rsidP="00410044">
      <w:pPr>
        <w:spacing w:after="0"/>
        <w:jc w:val="center"/>
        <w:rPr>
          <w:rFonts w:asciiTheme="minorHAnsi" w:hAnsiTheme="minorHAnsi" w:cstheme="minorHAnsi"/>
          <w:caps/>
        </w:rPr>
      </w:pPr>
    </w:p>
    <w:p w14:paraId="6B084A48"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14:paraId="3816A577" w14:textId="7225504F" w:rsidR="00410044" w:rsidRPr="00E614FB" w:rsidRDefault="005670AF" w:rsidP="00410044">
          <w:pPr>
            <w:spacing w:after="0" w:line="480" w:lineRule="auto"/>
            <w:jc w:val="center"/>
            <w:rPr>
              <w:rFonts w:asciiTheme="minorHAnsi" w:hAnsiTheme="minorHAnsi" w:cstheme="minorHAnsi"/>
              <w:caps/>
            </w:rPr>
          </w:pPr>
          <w:r w:rsidRPr="005670AF">
            <w:rPr>
              <w:rFonts w:asciiTheme="minorHAnsi" w:hAnsiTheme="minorHAnsi" w:cstheme="minorHAnsi"/>
              <w:caps/>
            </w:rPr>
            <w:t xml:space="preserve">Examining </w:t>
          </w:r>
          <w:bookmarkStart w:id="0" w:name="_GoBack"/>
          <w:bookmarkEnd w:id="0"/>
          <w:r w:rsidR="00640816">
            <w:rPr>
              <w:rFonts w:asciiTheme="minorHAnsi" w:hAnsiTheme="minorHAnsi" w:cstheme="minorHAnsi"/>
              <w:caps/>
            </w:rPr>
            <w:t>the Effects of Child Maltreatment and Child welfare experience on early sexual initiation and criminal justice contact</w:t>
          </w:r>
        </w:p>
      </w:sdtContent>
    </w:sdt>
    <w:p w14:paraId="57D6A311" w14:textId="77777777" w:rsidR="00410044" w:rsidRPr="00E614FB" w:rsidRDefault="00410044" w:rsidP="00410044">
      <w:pPr>
        <w:spacing w:after="0"/>
        <w:jc w:val="center"/>
        <w:rPr>
          <w:rFonts w:asciiTheme="minorHAnsi" w:hAnsiTheme="minorHAnsi" w:cstheme="minorHAnsi"/>
          <w:caps/>
        </w:rPr>
      </w:pPr>
    </w:p>
    <w:p w14:paraId="603A9F09" w14:textId="77777777" w:rsidR="00410044" w:rsidRPr="00E614FB" w:rsidRDefault="00410044" w:rsidP="00410044">
      <w:pPr>
        <w:spacing w:after="0"/>
        <w:jc w:val="center"/>
        <w:rPr>
          <w:rFonts w:asciiTheme="minorHAnsi" w:hAnsiTheme="minorHAnsi" w:cstheme="minorHAnsi"/>
          <w:caps/>
        </w:rPr>
      </w:pPr>
    </w:p>
    <w:p w14:paraId="43F410A2" w14:textId="77777777" w:rsidR="00410044" w:rsidRPr="00E614FB" w:rsidRDefault="00410044" w:rsidP="00410044">
      <w:pPr>
        <w:spacing w:after="0"/>
        <w:jc w:val="center"/>
        <w:rPr>
          <w:rFonts w:asciiTheme="minorHAnsi" w:hAnsiTheme="minorHAnsi" w:cstheme="minorHAnsi"/>
          <w:caps/>
        </w:rPr>
      </w:pPr>
    </w:p>
    <w:p w14:paraId="052EF411" w14:textId="77777777" w:rsidR="00410044" w:rsidRPr="00E614FB" w:rsidRDefault="00410044" w:rsidP="00410044">
      <w:pPr>
        <w:spacing w:after="0"/>
        <w:jc w:val="center"/>
        <w:rPr>
          <w:rFonts w:asciiTheme="minorHAnsi" w:hAnsiTheme="minorHAnsi" w:cstheme="minorHAnsi"/>
          <w:caps/>
        </w:rPr>
      </w:pPr>
    </w:p>
    <w:p w14:paraId="7555E226" w14:textId="77777777" w:rsidR="00410044" w:rsidRPr="00E614FB" w:rsidRDefault="00410044" w:rsidP="00410044">
      <w:pPr>
        <w:spacing w:after="0"/>
        <w:jc w:val="center"/>
        <w:rPr>
          <w:rFonts w:asciiTheme="minorHAnsi" w:hAnsiTheme="minorHAnsi" w:cstheme="minorHAnsi"/>
          <w:caps/>
        </w:rPr>
      </w:pPr>
    </w:p>
    <w:p w14:paraId="7AD1D1EC" w14:textId="77777777" w:rsidR="00410044" w:rsidRPr="00E614FB" w:rsidRDefault="00410044" w:rsidP="00410044">
      <w:pPr>
        <w:spacing w:after="0"/>
        <w:jc w:val="center"/>
        <w:rPr>
          <w:rFonts w:asciiTheme="minorHAnsi" w:hAnsiTheme="minorHAnsi" w:cstheme="minorHAnsi"/>
          <w:caps/>
        </w:rPr>
      </w:pPr>
    </w:p>
    <w:p w14:paraId="5E6F5054" w14:textId="77777777" w:rsidR="00410044" w:rsidRPr="00E614FB" w:rsidRDefault="00410044" w:rsidP="00410044">
      <w:pPr>
        <w:spacing w:after="0"/>
        <w:jc w:val="center"/>
        <w:rPr>
          <w:rFonts w:asciiTheme="minorHAnsi" w:hAnsiTheme="minorHAnsi" w:cstheme="minorHAnsi"/>
          <w:caps/>
        </w:rPr>
      </w:pPr>
    </w:p>
    <w:p w14:paraId="6F69A19F" w14:textId="77777777" w:rsidR="00410044" w:rsidRPr="00E614FB" w:rsidRDefault="005670AF"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640816">
            <w:rPr>
              <w:rFonts w:asciiTheme="minorHAnsi" w:hAnsiTheme="minorHAnsi" w:cstheme="minorHAnsi"/>
              <w:caps/>
            </w:rPr>
            <w:t>Dissertation</w:t>
          </w:r>
        </w:sdtContent>
      </w:sdt>
    </w:p>
    <w:p w14:paraId="426A3B4F"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14:paraId="00722AEE"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14:paraId="36E5AF26" w14:textId="77777777" w:rsidR="00410044" w:rsidRPr="00E614FB" w:rsidRDefault="00410044" w:rsidP="00410044">
          <w:pPr>
            <w:spacing w:after="0"/>
            <w:jc w:val="center"/>
            <w:rPr>
              <w:rFonts w:asciiTheme="minorHAnsi" w:hAnsiTheme="minorHAnsi" w:cstheme="minorHAnsi"/>
            </w:rPr>
          </w:pPr>
        </w:p>
        <w:p w14:paraId="247D119C"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14:paraId="6D195394" w14:textId="77777777" w:rsidR="00410044" w:rsidRPr="00E614FB" w:rsidRDefault="00410044" w:rsidP="00410044">
          <w:pPr>
            <w:spacing w:after="0"/>
            <w:jc w:val="center"/>
            <w:rPr>
              <w:rFonts w:asciiTheme="minorHAnsi" w:hAnsiTheme="minorHAnsi" w:cstheme="minorHAnsi"/>
            </w:rPr>
          </w:pPr>
        </w:p>
        <w:p w14:paraId="7FA840A9"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14:paraId="74C582CF" w14:textId="77777777"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14:paraId="5838434C" w14:textId="77777777" w:rsidR="00BA2F37" w:rsidRPr="00E614FB" w:rsidRDefault="00640816" w:rsidP="00BA2F37">
          <w:pPr>
            <w:pStyle w:val="NoSpacing"/>
            <w:spacing w:line="480" w:lineRule="auto"/>
            <w:jc w:val="center"/>
            <w:rPr>
              <w:rFonts w:cstheme="minorHAnsi"/>
              <w:caps/>
            </w:rPr>
          </w:pPr>
          <w:r>
            <w:rPr>
              <w:rFonts w:cstheme="minorHAnsi"/>
              <w:caps/>
            </w:rPr>
            <w:t>Doctor of Philosophy</w:t>
          </w:r>
        </w:p>
      </w:sdtContent>
    </w:sdt>
    <w:p w14:paraId="017A9D72" w14:textId="77777777" w:rsidR="00410044" w:rsidRPr="00E614FB" w:rsidRDefault="00410044" w:rsidP="00410044">
      <w:pPr>
        <w:spacing w:after="0"/>
        <w:jc w:val="center"/>
        <w:rPr>
          <w:rFonts w:asciiTheme="minorHAnsi" w:hAnsiTheme="minorHAnsi" w:cstheme="minorHAnsi"/>
          <w:caps/>
        </w:rPr>
      </w:pPr>
    </w:p>
    <w:p w14:paraId="57F6C1EE" w14:textId="77777777" w:rsidR="00410044" w:rsidRPr="00E614FB" w:rsidRDefault="00410044" w:rsidP="00410044">
      <w:pPr>
        <w:spacing w:after="0"/>
        <w:jc w:val="center"/>
        <w:rPr>
          <w:rFonts w:asciiTheme="minorHAnsi" w:hAnsiTheme="minorHAnsi" w:cstheme="minorHAnsi"/>
          <w:caps/>
        </w:rPr>
      </w:pPr>
    </w:p>
    <w:p w14:paraId="307AA50C" w14:textId="77777777" w:rsidR="00410044" w:rsidRPr="00E614FB" w:rsidRDefault="00410044" w:rsidP="00410044">
      <w:pPr>
        <w:spacing w:after="0"/>
        <w:jc w:val="center"/>
        <w:rPr>
          <w:rFonts w:asciiTheme="minorHAnsi" w:hAnsiTheme="minorHAnsi" w:cstheme="minorHAnsi"/>
          <w:caps/>
        </w:rPr>
      </w:pPr>
    </w:p>
    <w:p w14:paraId="6C1A9DA4" w14:textId="77777777" w:rsidR="00410044" w:rsidRPr="00E614FB" w:rsidRDefault="00410044" w:rsidP="00410044">
      <w:pPr>
        <w:spacing w:after="0"/>
        <w:jc w:val="center"/>
        <w:rPr>
          <w:rFonts w:asciiTheme="minorHAnsi" w:hAnsiTheme="minorHAnsi" w:cstheme="minorHAnsi"/>
          <w:caps/>
        </w:rPr>
      </w:pPr>
    </w:p>
    <w:p w14:paraId="541E8614" w14:textId="77777777" w:rsidR="00410044" w:rsidRPr="00E614FB" w:rsidRDefault="00410044" w:rsidP="00410044">
      <w:pPr>
        <w:spacing w:after="0"/>
        <w:jc w:val="center"/>
        <w:rPr>
          <w:rFonts w:asciiTheme="minorHAnsi" w:hAnsiTheme="minorHAnsi" w:cstheme="minorHAnsi"/>
          <w:caps/>
        </w:rPr>
      </w:pPr>
    </w:p>
    <w:p w14:paraId="320A7D84" w14:textId="77777777" w:rsidR="00410044" w:rsidRPr="00E614FB" w:rsidRDefault="00410044" w:rsidP="00410044">
      <w:pPr>
        <w:spacing w:after="0"/>
        <w:jc w:val="center"/>
        <w:rPr>
          <w:rFonts w:asciiTheme="minorHAnsi" w:hAnsiTheme="minorHAnsi" w:cstheme="minorHAnsi"/>
          <w:caps/>
        </w:rPr>
      </w:pPr>
    </w:p>
    <w:p w14:paraId="577DF908" w14:textId="77777777" w:rsidR="00410044" w:rsidRPr="00E614FB" w:rsidRDefault="00410044" w:rsidP="00410044">
      <w:pPr>
        <w:spacing w:after="0"/>
        <w:jc w:val="center"/>
        <w:rPr>
          <w:rFonts w:asciiTheme="minorHAnsi" w:hAnsiTheme="minorHAnsi" w:cstheme="minorHAnsi"/>
          <w:caps/>
        </w:rPr>
      </w:pPr>
    </w:p>
    <w:p w14:paraId="16C79E12" w14:textId="77777777" w:rsidR="00410044" w:rsidRPr="00E614FB" w:rsidRDefault="00410044" w:rsidP="00410044">
      <w:pPr>
        <w:spacing w:after="0"/>
        <w:jc w:val="center"/>
        <w:rPr>
          <w:rFonts w:asciiTheme="minorHAnsi" w:hAnsiTheme="minorHAnsi" w:cstheme="minorHAnsi"/>
          <w:caps/>
        </w:rPr>
      </w:pPr>
    </w:p>
    <w:p w14:paraId="0307DD2D"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14:paraId="5FBCC982"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14:paraId="688B68FA"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14:paraId="47472D1D" w14:textId="77777777" w:rsidR="00410044" w:rsidRPr="00E614FB" w:rsidRDefault="00772EFC" w:rsidP="00410044">
          <w:pPr>
            <w:spacing w:after="0"/>
            <w:jc w:val="center"/>
            <w:rPr>
              <w:rFonts w:asciiTheme="minorHAnsi" w:hAnsiTheme="minorHAnsi" w:cstheme="minorHAnsi"/>
              <w:caps/>
            </w:rPr>
          </w:pPr>
          <w:r>
            <w:rPr>
              <w:rFonts w:asciiTheme="minorHAnsi" w:hAnsiTheme="minorHAnsi" w:cstheme="minorHAnsi"/>
              <w:caps/>
            </w:rPr>
            <w:t>brandon lee crawford</w:t>
          </w:r>
        </w:p>
      </w:sdtContent>
    </w:sdt>
    <w:sdt>
      <w:sdtPr>
        <w:rPr>
          <w:rFonts w:asciiTheme="minorHAnsi" w:hAnsiTheme="minorHAnsi" w:cstheme="minorHAnsi"/>
        </w:rPr>
        <w:id w:val="7592846"/>
        <w:lock w:val="contentLocked"/>
        <w:placeholder>
          <w:docPart w:val="DefaultPlaceholder_22675703"/>
        </w:placeholder>
        <w:group/>
      </w:sdtPr>
      <w:sdtContent>
        <w:p w14:paraId="109A99C3"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14:paraId="16099AB8" w14:textId="77777777" w:rsidR="00410044" w:rsidRPr="00E614FB" w:rsidRDefault="00C22580" w:rsidP="00C22580">
          <w:pPr>
            <w:spacing w:after="0"/>
            <w:jc w:val="center"/>
            <w:rPr>
              <w:rFonts w:asciiTheme="minorHAnsi" w:hAnsiTheme="minorHAnsi" w:cstheme="minorHAnsi"/>
            </w:rPr>
          </w:pPr>
          <w:r>
            <w:rPr>
              <w:rFonts w:asciiTheme="minorHAnsi" w:hAnsiTheme="minorHAnsi" w:cstheme="minorHAnsi"/>
            </w:rPr>
            <w:t>2017</w:t>
          </w:r>
        </w:p>
      </w:sdtContent>
    </w:sdt>
    <w:p w14:paraId="71353EEB" w14:textId="77777777" w:rsidR="00410044" w:rsidRDefault="00410044" w:rsidP="00410044">
      <w:pPr>
        <w:spacing w:after="0"/>
        <w:jc w:val="center"/>
        <w:rPr>
          <w:rFonts w:asciiTheme="minorHAnsi" w:hAnsiTheme="minorHAnsi" w:cstheme="minorHAnsi"/>
          <w:caps/>
        </w:rPr>
      </w:pPr>
    </w:p>
    <w:p w14:paraId="22BBAAEB" w14:textId="77777777" w:rsidR="00013381" w:rsidRDefault="00013381" w:rsidP="00410044">
      <w:pPr>
        <w:spacing w:after="0"/>
        <w:jc w:val="center"/>
        <w:rPr>
          <w:rFonts w:asciiTheme="minorHAnsi" w:hAnsiTheme="minorHAnsi" w:cstheme="minorHAnsi"/>
          <w:caps/>
        </w:rPr>
      </w:pPr>
    </w:p>
    <w:p w14:paraId="1498C26E" w14:textId="77777777" w:rsidR="00013381" w:rsidRPr="00E614FB" w:rsidRDefault="00013381" w:rsidP="00410044">
      <w:pPr>
        <w:spacing w:after="0"/>
        <w:jc w:val="center"/>
        <w:rPr>
          <w:rFonts w:asciiTheme="minorHAnsi" w:hAnsiTheme="minorHAnsi" w:cstheme="minorHAnsi"/>
          <w:caps/>
        </w:rPr>
      </w:pPr>
    </w:p>
    <w:p w14:paraId="4367AD42" w14:textId="77777777" w:rsidR="00410044" w:rsidRPr="00E614FB" w:rsidRDefault="00410044" w:rsidP="00410044">
      <w:pPr>
        <w:spacing w:after="0"/>
        <w:jc w:val="center"/>
        <w:rPr>
          <w:rFonts w:asciiTheme="minorHAnsi" w:hAnsiTheme="minorHAnsi" w:cstheme="minorHAnsi"/>
          <w:caps/>
        </w:rPr>
      </w:pPr>
    </w:p>
    <w:p w14:paraId="7B6E98C3"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14:paraId="5CE75E3C" w14:textId="77777777" w:rsidR="00410044" w:rsidRPr="00E614FB" w:rsidRDefault="004166B0" w:rsidP="00410044">
          <w:pPr>
            <w:spacing w:after="0"/>
            <w:jc w:val="center"/>
            <w:rPr>
              <w:rFonts w:asciiTheme="minorHAnsi" w:hAnsiTheme="minorHAnsi" w:cstheme="minorHAnsi"/>
              <w:caps/>
            </w:rPr>
          </w:pPr>
          <w:r>
            <w:rPr>
              <w:rFonts w:asciiTheme="minorHAnsi" w:hAnsiTheme="minorHAnsi" w:cstheme="minorHAnsi"/>
              <w:caps/>
            </w:rPr>
            <w:t>Examining the effects of child maltreatment and child welfare experiences on early sexual initiation and criminal justice contact</w:t>
          </w:r>
        </w:p>
      </w:sdtContent>
    </w:sdt>
    <w:p w14:paraId="33170521" w14:textId="77777777" w:rsidR="00410044" w:rsidRPr="00E614FB" w:rsidRDefault="00410044" w:rsidP="00410044">
      <w:pPr>
        <w:spacing w:after="0"/>
        <w:jc w:val="center"/>
        <w:rPr>
          <w:rFonts w:asciiTheme="minorHAnsi" w:hAnsiTheme="minorHAnsi" w:cstheme="minorHAnsi"/>
          <w:caps/>
        </w:rPr>
      </w:pPr>
    </w:p>
    <w:p w14:paraId="152C9AF5" w14:textId="77777777" w:rsidR="00410044" w:rsidRPr="00E614FB" w:rsidRDefault="00410044" w:rsidP="00410044">
      <w:pPr>
        <w:spacing w:after="0"/>
        <w:jc w:val="center"/>
        <w:rPr>
          <w:rFonts w:asciiTheme="minorHAnsi" w:hAnsiTheme="minorHAnsi" w:cstheme="minorHAnsi"/>
          <w:caps/>
        </w:rPr>
      </w:pPr>
    </w:p>
    <w:p w14:paraId="6B4165EB" w14:textId="77777777"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332D16">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46EFDC0F" w14:textId="77777777" w:rsidR="00345F8B" w:rsidRPr="00E614FB" w:rsidRDefault="00332D16" w:rsidP="00345F8B">
          <w:pPr>
            <w:spacing w:after="0"/>
            <w:jc w:val="center"/>
            <w:rPr>
              <w:rFonts w:asciiTheme="minorHAnsi" w:hAnsiTheme="minorHAnsi" w:cstheme="minorHAnsi"/>
              <w:caps/>
            </w:rPr>
          </w:pPr>
          <w:r>
            <w:rPr>
              <w:rFonts w:asciiTheme="minorHAnsi" w:hAnsiTheme="minorHAnsi" w:cstheme="minorHAnsi"/>
              <w:caps/>
            </w:rPr>
            <w:t>Department of Sociology</w:t>
          </w:r>
        </w:p>
      </w:sdtContent>
    </w:sdt>
    <w:p w14:paraId="7ADA16AB" w14:textId="77777777" w:rsidR="00410044" w:rsidRPr="00E614FB" w:rsidRDefault="00410044" w:rsidP="00410044">
      <w:pPr>
        <w:spacing w:after="0"/>
        <w:jc w:val="center"/>
        <w:rPr>
          <w:rFonts w:asciiTheme="minorHAnsi" w:hAnsiTheme="minorHAnsi" w:cstheme="minorHAnsi"/>
          <w:caps/>
        </w:rPr>
      </w:pPr>
    </w:p>
    <w:p w14:paraId="1BA49B8E" w14:textId="77777777" w:rsidR="00410044" w:rsidRPr="00E614FB" w:rsidRDefault="00410044" w:rsidP="00410044">
      <w:pPr>
        <w:spacing w:after="0"/>
        <w:jc w:val="center"/>
        <w:rPr>
          <w:rFonts w:asciiTheme="minorHAnsi" w:hAnsiTheme="minorHAnsi" w:cstheme="minorHAnsi"/>
          <w:caps/>
        </w:rPr>
      </w:pPr>
    </w:p>
    <w:p w14:paraId="14F04CC3" w14:textId="77777777" w:rsidR="00410044" w:rsidRPr="00E614FB" w:rsidRDefault="00410044" w:rsidP="00410044">
      <w:pPr>
        <w:spacing w:after="0"/>
        <w:jc w:val="center"/>
        <w:rPr>
          <w:rFonts w:asciiTheme="minorHAnsi" w:hAnsiTheme="minorHAnsi" w:cstheme="minorHAnsi"/>
          <w:caps/>
        </w:rPr>
      </w:pPr>
    </w:p>
    <w:p w14:paraId="61BD94D4" w14:textId="77777777" w:rsidR="00410044" w:rsidRPr="00E614FB" w:rsidRDefault="00410044" w:rsidP="00410044">
      <w:pPr>
        <w:spacing w:after="0"/>
        <w:jc w:val="center"/>
        <w:rPr>
          <w:rFonts w:asciiTheme="minorHAnsi" w:hAnsiTheme="minorHAnsi" w:cstheme="minorHAnsi"/>
          <w:caps/>
        </w:rPr>
      </w:pPr>
    </w:p>
    <w:p w14:paraId="41036780" w14:textId="77777777" w:rsidR="00410044" w:rsidRPr="00E614FB" w:rsidRDefault="00410044" w:rsidP="00410044">
      <w:pPr>
        <w:spacing w:after="0"/>
        <w:jc w:val="center"/>
        <w:rPr>
          <w:rFonts w:asciiTheme="minorHAnsi" w:hAnsiTheme="minorHAnsi" w:cstheme="minorHAnsi"/>
          <w:caps/>
        </w:rPr>
      </w:pPr>
    </w:p>
    <w:p w14:paraId="3AA67536" w14:textId="77777777" w:rsidR="00410044" w:rsidRPr="00E614FB" w:rsidRDefault="00410044" w:rsidP="00410044">
      <w:pPr>
        <w:spacing w:after="0"/>
        <w:jc w:val="center"/>
        <w:rPr>
          <w:rFonts w:asciiTheme="minorHAnsi" w:hAnsiTheme="minorHAnsi" w:cstheme="minorHAnsi"/>
          <w:caps/>
        </w:rPr>
      </w:pPr>
    </w:p>
    <w:p w14:paraId="1EEB7F0C"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14:paraId="4B75AE73"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14:paraId="7CB2495D" w14:textId="77777777" w:rsidR="00410044" w:rsidRPr="00E614FB" w:rsidRDefault="00410044" w:rsidP="00410044">
      <w:pPr>
        <w:spacing w:after="0"/>
        <w:jc w:val="center"/>
        <w:rPr>
          <w:rFonts w:asciiTheme="minorHAnsi" w:hAnsiTheme="minorHAnsi" w:cstheme="minorHAnsi"/>
          <w:caps/>
        </w:rPr>
      </w:pPr>
    </w:p>
    <w:p w14:paraId="5EB581F3" w14:textId="77777777" w:rsidR="00410044" w:rsidRPr="00E614FB" w:rsidRDefault="00410044" w:rsidP="00410044">
      <w:pPr>
        <w:spacing w:after="0"/>
        <w:jc w:val="center"/>
        <w:rPr>
          <w:rFonts w:asciiTheme="minorHAnsi" w:hAnsiTheme="minorHAnsi" w:cstheme="minorHAnsi"/>
          <w:caps/>
        </w:rPr>
      </w:pPr>
    </w:p>
    <w:p w14:paraId="74472935"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14:paraId="6904BF9A" w14:textId="77777777"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14:paraId="76375FC4" w14:textId="77777777" w:rsidR="00410044" w:rsidRPr="00E614FB" w:rsidRDefault="005670AF"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4D73CC">
            <w:rPr>
              <w:rFonts w:asciiTheme="minorHAnsi" w:hAnsiTheme="minorHAnsi" w:cstheme="minorHAnsi"/>
            </w:rPr>
            <w:t>Constance</w:t>
          </w:r>
        </w:sdtContent>
      </w:sdt>
      <w:r w:rsidR="004D73CC">
        <w:rPr>
          <w:rFonts w:asciiTheme="minorHAnsi" w:hAnsiTheme="minorHAnsi" w:cstheme="minorHAnsi"/>
        </w:rPr>
        <w:t xml:space="preserve"> Chapple</w:t>
      </w:r>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14:paraId="4561E6D4" w14:textId="77777777" w:rsidR="00410044" w:rsidRPr="00E614FB" w:rsidRDefault="00410044" w:rsidP="00410044">
      <w:pPr>
        <w:spacing w:after="0"/>
        <w:jc w:val="right"/>
        <w:rPr>
          <w:rFonts w:asciiTheme="minorHAnsi" w:hAnsiTheme="minorHAnsi" w:cstheme="minorHAnsi"/>
        </w:rPr>
      </w:pPr>
    </w:p>
    <w:p w14:paraId="57E119F9" w14:textId="77777777"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14:paraId="71AE3FD1" w14:textId="77777777"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44D33760" w14:textId="77777777" w:rsidR="00410044" w:rsidRPr="00E614FB" w:rsidRDefault="005670AF"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4D73CC">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4D73CC">
            <w:rPr>
              <w:rFonts w:asciiTheme="minorHAnsi" w:hAnsiTheme="minorHAnsi" w:cstheme="minorHAnsi"/>
            </w:rPr>
            <w:t>Martin Piotro</w:t>
          </w:r>
          <w:r w:rsidR="00297FAC">
            <w:rPr>
              <w:rFonts w:asciiTheme="minorHAnsi" w:hAnsiTheme="minorHAnsi" w:cstheme="minorHAnsi"/>
            </w:rPr>
            <w:t>w</w:t>
          </w:r>
          <w:r w:rsidR="004D73CC">
            <w:rPr>
              <w:rFonts w:asciiTheme="minorHAnsi" w:hAnsiTheme="minorHAnsi" w:cstheme="minorHAnsi"/>
            </w:rPr>
            <w:t>ski</w:t>
          </w:r>
        </w:sdtContent>
      </w:sdt>
    </w:p>
    <w:p w14:paraId="760040DA" w14:textId="77777777" w:rsidR="00825684" w:rsidRPr="00E614FB" w:rsidRDefault="00825684" w:rsidP="00825684">
      <w:pPr>
        <w:spacing w:after="0"/>
        <w:jc w:val="right"/>
        <w:rPr>
          <w:rFonts w:asciiTheme="minorHAnsi" w:hAnsiTheme="minorHAnsi" w:cstheme="minorHAnsi"/>
        </w:rPr>
      </w:pPr>
    </w:p>
    <w:p w14:paraId="02C4E961"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14:paraId="5739DD38"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61E882EA" w14:textId="77777777" w:rsidR="00825684" w:rsidRPr="00E614FB" w:rsidRDefault="005670AF"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4D73CC">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4D73CC">
            <w:rPr>
              <w:rFonts w:asciiTheme="minorHAnsi" w:hAnsiTheme="minorHAnsi" w:cstheme="minorHAnsi"/>
            </w:rPr>
            <w:t>Mitch Peck</w:t>
          </w:r>
        </w:sdtContent>
      </w:sdt>
    </w:p>
    <w:p w14:paraId="2FF3261F" w14:textId="77777777" w:rsidR="00825684" w:rsidRPr="00E614FB" w:rsidRDefault="00825684" w:rsidP="00825684">
      <w:pPr>
        <w:spacing w:after="0"/>
        <w:jc w:val="right"/>
        <w:rPr>
          <w:rFonts w:asciiTheme="minorHAnsi" w:hAnsiTheme="minorHAnsi" w:cstheme="minorHAnsi"/>
        </w:rPr>
      </w:pPr>
    </w:p>
    <w:p w14:paraId="1E0A484F"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14:paraId="0B84B866"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7DA2CF48" w14:textId="77777777" w:rsidR="00825684" w:rsidRPr="00E614FB" w:rsidRDefault="005670AF"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4D73CC">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297FAC">
            <w:rPr>
              <w:rFonts w:asciiTheme="minorHAnsi" w:hAnsiTheme="minorHAnsi" w:cstheme="minorHAnsi"/>
            </w:rPr>
            <w:t>Stephanie Burge</w:t>
          </w:r>
        </w:sdtContent>
      </w:sdt>
    </w:p>
    <w:p w14:paraId="69F70021" w14:textId="77777777" w:rsidR="00825684" w:rsidRPr="00E614FB" w:rsidRDefault="00825684" w:rsidP="00825684">
      <w:pPr>
        <w:spacing w:after="0"/>
        <w:jc w:val="right"/>
        <w:rPr>
          <w:rFonts w:asciiTheme="minorHAnsi" w:hAnsiTheme="minorHAnsi" w:cstheme="minorHAnsi"/>
        </w:rPr>
      </w:pPr>
    </w:p>
    <w:p w14:paraId="43CCDF4F"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14:paraId="259FB411"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7ACBA5E5" w14:textId="77777777" w:rsidR="00825684" w:rsidRPr="00E614FB" w:rsidRDefault="005670AF"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297FAC">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297FAC">
            <w:rPr>
              <w:rFonts w:asciiTheme="minorHAnsi" w:hAnsiTheme="minorHAnsi" w:cstheme="minorHAnsi"/>
            </w:rPr>
            <w:t>Michael Crowson</w:t>
          </w:r>
        </w:sdtContent>
      </w:sdt>
    </w:p>
    <w:p w14:paraId="71A84B75" w14:textId="77777777" w:rsidR="00224CAB" w:rsidRPr="00E614FB" w:rsidRDefault="00224CAB" w:rsidP="00224CAB">
      <w:pPr>
        <w:spacing w:after="0"/>
        <w:jc w:val="right"/>
        <w:rPr>
          <w:rFonts w:asciiTheme="minorHAnsi" w:hAnsiTheme="minorHAnsi" w:cstheme="minorHAnsi"/>
        </w:rPr>
      </w:pPr>
    </w:p>
    <w:p w14:paraId="6063BEB7" w14:textId="77777777" w:rsidR="00224CAB" w:rsidRPr="00E614FB" w:rsidRDefault="00224CAB" w:rsidP="00224CAB">
      <w:pPr>
        <w:spacing w:after="0"/>
        <w:jc w:val="right"/>
        <w:rPr>
          <w:rFonts w:asciiTheme="minorHAnsi" w:hAnsiTheme="minorHAnsi" w:cstheme="minorHAnsi"/>
        </w:rPr>
      </w:pPr>
    </w:p>
    <w:p w14:paraId="6D984C04" w14:textId="77777777" w:rsidR="00224CAB" w:rsidRPr="00E614FB" w:rsidRDefault="00224CAB" w:rsidP="00224CAB">
      <w:pPr>
        <w:spacing w:after="0"/>
        <w:jc w:val="right"/>
        <w:rPr>
          <w:rFonts w:asciiTheme="minorHAnsi" w:hAnsiTheme="minorHAnsi" w:cstheme="minorHAnsi"/>
        </w:rPr>
      </w:pPr>
    </w:p>
    <w:p w14:paraId="06A937FB" w14:textId="77777777" w:rsidR="00224CAB" w:rsidRPr="00E614FB" w:rsidRDefault="00224CAB" w:rsidP="00224CAB">
      <w:pPr>
        <w:spacing w:after="0"/>
        <w:jc w:val="right"/>
        <w:rPr>
          <w:rFonts w:asciiTheme="minorHAnsi" w:hAnsiTheme="minorHAnsi" w:cstheme="minorHAnsi"/>
        </w:rPr>
      </w:pPr>
      <w:r w:rsidRPr="00E614FB">
        <w:rPr>
          <w:rFonts w:asciiTheme="minorHAnsi" w:hAnsiTheme="minorHAnsi" w:cstheme="minorHAnsi"/>
        </w:rPr>
        <w:t xml:space="preserve"> </w:t>
      </w:r>
    </w:p>
    <w:p w14:paraId="24D55BD9"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28314822" w14:textId="77777777" w:rsidR="00410044" w:rsidRPr="00E614FB" w:rsidRDefault="00410044" w:rsidP="00410044">
      <w:pPr>
        <w:spacing w:after="0"/>
        <w:jc w:val="center"/>
        <w:rPr>
          <w:rFonts w:asciiTheme="minorHAnsi" w:hAnsiTheme="minorHAnsi" w:cstheme="minorHAnsi"/>
        </w:rPr>
      </w:pPr>
    </w:p>
    <w:p w14:paraId="05A911F4" w14:textId="77777777" w:rsidR="00410044" w:rsidRPr="00E614FB" w:rsidRDefault="00410044" w:rsidP="00410044">
      <w:pPr>
        <w:spacing w:after="0"/>
        <w:jc w:val="center"/>
        <w:rPr>
          <w:rFonts w:asciiTheme="minorHAnsi" w:hAnsiTheme="minorHAnsi" w:cstheme="minorHAnsi"/>
        </w:rPr>
      </w:pPr>
    </w:p>
    <w:p w14:paraId="422269B3" w14:textId="77777777" w:rsidR="00410044" w:rsidRPr="00E614FB" w:rsidRDefault="00410044" w:rsidP="00410044">
      <w:pPr>
        <w:spacing w:after="0"/>
        <w:jc w:val="center"/>
        <w:rPr>
          <w:rFonts w:asciiTheme="minorHAnsi" w:hAnsiTheme="minorHAnsi" w:cstheme="minorHAnsi"/>
        </w:rPr>
      </w:pPr>
    </w:p>
    <w:p w14:paraId="3D3DCA60" w14:textId="77777777" w:rsidR="00410044" w:rsidRPr="00E614FB" w:rsidRDefault="00410044" w:rsidP="00410044">
      <w:pPr>
        <w:spacing w:after="0"/>
        <w:jc w:val="center"/>
        <w:rPr>
          <w:rFonts w:asciiTheme="minorHAnsi" w:hAnsiTheme="minorHAnsi" w:cstheme="minorHAnsi"/>
        </w:rPr>
      </w:pPr>
    </w:p>
    <w:p w14:paraId="06899042" w14:textId="77777777" w:rsidR="00410044" w:rsidRPr="00E614FB" w:rsidRDefault="00410044" w:rsidP="00410044">
      <w:pPr>
        <w:spacing w:after="0"/>
        <w:jc w:val="center"/>
        <w:rPr>
          <w:rFonts w:asciiTheme="minorHAnsi" w:hAnsiTheme="minorHAnsi" w:cstheme="minorHAnsi"/>
        </w:rPr>
      </w:pPr>
    </w:p>
    <w:p w14:paraId="666FDD1C" w14:textId="77777777" w:rsidR="00410044" w:rsidRPr="00E614FB" w:rsidRDefault="00410044" w:rsidP="00410044">
      <w:pPr>
        <w:spacing w:after="0"/>
        <w:jc w:val="center"/>
        <w:rPr>
          <w:rFonts w:asciiTheme="minorHAnsi" w:hAnsiTheme="minorHAnsi" w:cstheme="minorHAnsi"/>
        </w:rPr>
      </w:pPr>
    </w:p>
    <w:p w14:paraId="6C8270A8" w14:textId="77777777" w:rsidR="00410044" w:rsidRPr="00E614FB" w:rsidRDefault="00410044" w:rsidP="00410044">
      <w:pPr>
        <w:spacing w:after="0"/>
        <w:jc w:val="center"/>
        <w:rPr>
          <w:rFonts w:asciiTheme="minorHAnsi" w:hAnsiTheme="minorHAnsi" w:cstheme="minorHAnsi"/>
        </w:rPr>
      </w:pPr>
    </w:p>
    <w:p w14:paraId="6328D60A" w14:textId="77777777" w:rsidR="00410044" w:rsidRPr="00E614FB" w:rsidRDefault="00410044" w:rsidP="00410044">
      <w:pPr>
        <w:spacing w:after="0"/>
        <w:jc w:val="center"/>
        <w:rPr>
          <w:rFonts w:asciiTheme="minorHAnsi" w:hAnsiTheme="minorHAnsi" w:cstheme="minorHAnsi"/>
        </w:rPr>
      </w:pPr>
    </w:p>
    <w:p w14:paraId="30A824F6" w14:textId="77777777" w:rsidR="00410044" w:rsidRPr="00E614FB" w:rsidRDefault="00410044" w:rsidP="00410044">
      <w:pPr>
        <w:spacing w:after="0"/>
        <w:jc w:val="center"/>
        <w:rPr>
          <w:rFonts w:asciiTheme="minorHAnsi" w:hAnsiTheme="minorHAnsi" w:cstheme="minorHAnsi"/>
        </w:rPr>
      </w:pPr>
    </w:p>
    <w:p w14:paraId="3D9EB75A" w14:textId="77777777" w:rsidR="00410044" w:rsidRPr="00E614FB" w:rsidRDefault="00410044" w:rsidP="00410044">
      <w:pPr>
        <w:spacing w:after="0"/>
        <w:jc w:val="center"/>
        <w:rPr>
          <w:rFonts w:asciiTheme="minorHAnsi" w:hAnsiTheme="minorHAnsi" w:cstheme="minorHAnsi"/>
        </w:rPr>
      </w:pPr>
    </w:p>
    <w:p w14:paraId="0CECC433" w14:textId="77777777" w:rsidR="00410044" w:rsidRPr="00E614FB" w:rsidRDefault="00410044" w:rsidP="00410044">
      <w:pPr>
        <w:spacing w:after="0"/>
        <w:jc w:val="center"/>
        <w:rPr>
          <w:rFonts w:asciiTheme="minorHAnsi" w:hAnsiTheme="minorHAnsi" w:cstheme="minorHAnsi"/>
        </w:rPr>
      </w:pPr>
    </w:p>
    <w:p w14:paraId="722F9D75" w14:textId="77777777" w:rsidR="00410044" w:rsidRPr="00E614FB" w:rsidRDefault="00410044" w:rsidP="00410044">
      <w:pPr>
        <w:spacing w:after="0"/>
        <w:jc w:val="center"/>
        <w:rPr>
          <w:rFonts w:asciiTheme="minorHAnsi" w:hAnsiTheme="minorHAnsi" w:cstheme="minorHAnsi"/>
        </w:rPr>
      </w:pPr>
    </w:p>
    <w:p w14:paraId="27B895E7" w14:textId="77777777" w:rsidR="00410044" w:rsidRPr="00E614FB" w:rsidRDefault="00410044" w:rsidP="00410044">
      <w:pPr>
        <w:spacing w:after="0"/>
        <w:jc w:val="center"/>
        <w:rPr>
          <w:rFonts w:asciiTheme="minorHAnsi" w:hAnsiTheme="minorHAnsi" w:cstheme="minorHAnsi"/>
        </w:rPr>
      </w:pPr>
    </w:p>
    <w:p w14:paraId="6F5B9742" w14:textId="77777777" w:rsidR="00410044" w:rsidRPr="00E614FB" w:rsidRDefault="00410044" w:rsidP="00410044">
      <w:pPr>
        <w:spacing w:after="0"/>
        <w:jc w:val="center"/>
        <w:rPr>
          <w:rFonts w:asciiTheme="minorHAnsi" w:hAnsiTheme="minorHAnsi" w:cstheme="minorHAnsi"/>
        </w:rPr>
      </w:pPr>
    </w:p>
    <w:p w14:paraId="27C69EBD" w14:textId="77777777" w:rsidR="00410044" w:rsidRPr="00E614FB" w:rsidRDefault="00410044" w:rsidP="00410044">
      <w:pPr>
        <w:spacing w:after="0"/>
        <w:jc w:val="center"/>
        <w:rPr>
          <w:rFonts w:asciiTheme="minorHAnsi" w:hAnsiTheme="minorHAnsi" w:cstheme="minorHAnsi"/>
        </w:rPr>
      </w:pPr>
    </w:p>
    <w:p w14:paraId="09C47189" w14:textId="77777777" w:rsidR="00410044" w:rsidRPr="00E614FB" w:rsidRDefault="00410044" w:rsidP="00410044">
      <w:pPr>
        <w:spacing w:after="0"/>
        <w:jc w:val="center"/>
        <w:rPr>
          <w:rFonts w:asciiTheme="minorHAnsi" w:hAnsiTheme="minorHAnsi" w:cstheme="minorHAnsi"/>
        </w:rPr>
      </w:pPr>
    </w:p>
    <w:p w14:paraId="50444313" w14:textId="77777777" w:rsidR="00410044" w:rsidRPr="00E614FB" w:rsidRDefault="00410044" w:rsidP="00410044">
      <w:pPr>
        <w:spacing w:after="0"/>
        <w:jc w:val="center"/>
        <w:rPr>
          <w:rFonts w:asciiTheme="minorHAnsi" w:hAnsiTheme="minorHAnsi" w:cstheme="minorHAnsi"/>
        </w:rPr>
      </w:pPr>
    </w:p>
    <w:p w14:paraId="65CE137B" w14:textId="77777777" w:rsidR="00410044" w:rsidRPr="00E614FB" w:rsidRDefault="00410044" w:rsidP="00410044">
      <w:pPr>
        <w:spacing w:after="0"/>
        <w:jc w:val="center"/>
        <w:rPr>
          <w:rFonts w:asciiTheme="minorHAnsi" w:hAnsiTheme="minorHAnsi" w:cstheme="minorHAnsi"/>
        </w:rPr>
      </w:pPr>
    </w:p>
    <w:p w14:paraId="2DCE3EE2" w14:textId="77777777" w:rsidR="00410044" w:rsidRPr="00E614FB" w:rsidRDefault="00410044" w:rsidP="00410044">
      <w:pPr>
        <w:spacing w:after="0"/>
        <w:jc w:val="center"/>
        <w:rPr>
          <w:rFonts w:asciiTheme="minorHAnsi" w:hAnsiTheme="minorHAnsi" w:cstheme="minorHAnsi"/>
        </w:rPr>
      </w:pPr>
    </w:p>
    <w:p w14:paraId="5C4F3ED7" w14:textId="77777777" w:rsidR="00410044" w:rsidRPr="00E614FB" w:rsidRDefault="00410044" w:rsidP="00410044">
      <w:pPr>
        <w:spacing w:after="0"/>
        <w:jc w:val="center"/>
        <w:rPr>
          <w:rFonts w:asciiTheme="minorHAnsi" w:hAnsiTheme="minorHAnsi" w:cstheme="minorHAnsi"/>
        </w:rPr>
      </w:pPr>
    </w:p>
    <w:p w14:paraId="672A96AB" w14:textId="77777777" w:rsidR="00410044" w:rsidRPr="00E614FB" w:rsidRDefault="00410044" w:rsidP="00410044">
      <w:pPr>
        <w:spacing w:after="0"/>
        <w:jc w:val="center"/>
        <w:rPr>
          <w:rFonts w:asciiTheme="minorHAnsi" w:hAnsiTheme="minorHAnsi" w:cstheme="minorHAnsi"/>
        </w:rPr>
      </w:pPr>
    </w:p>
    <w:p w14:paraId="67E312C8" w14:textId="77777777" w:rsidR="00410044" w:rsidRPr="00E614FB" w:rsidRDefault="00410044" w:rsidP="00410044">
      <w:pPr>
        <w:spacing w:after="0"/>
        <w:jc w:val="center"/>
        <w:rPr>
          <w:rFonts w:asciiTheme="minorHAnsi" w:hAnsiTheme="minorHAnsi" w:cstheme="minorHAnsi"/>
        </w:rPr>
      </w:pPr>
    </w:p>
    <w:p w14:paraId="0D547BBE" w14:textId="77777777" w:rsidR="00410044" w:rsidRPr="00E614FB" w:rsidRDefault="00410044" w:rsidP="00410044">
      <w:pPr>
        <w:spacing w:after="0"/>
        <w:jc w:val="center"/>
        <w:rPr>
          <w:rFonts w:asciiTheme="minorHAnsi" w:hAnsiTheme="minorHAnsi" w:cstheme="minorHAnsi"/>
        </w:rPr>
      </w:pPr>
    </w:p>
    <w:p w14:paraId="7D1BEFE0" w14:textId="77777777" w:rsidR="00410044" w:rsidRPr="00E614FB" w:rsidRDefault="00410044" w:rsidP="00410044">
      <w:pPr>
        <w:spacing w:after="0"/>
        <w:jc w:val="center"/>
        <w:rPr>
          <w:rFonts w:asciiTheme="minorHAnsi" w:hAnsiTheme="minorHAnsi" w:cstheme="minorHAnsi"/>
        </w:rPr>
      </w:pPr>
    </w:p>
    <w:p w14:paraId="33CE6BFF" w14:textId="77777777" w:rsidR="00410044" w:rsidRPr="00E614FB" w:rsidRDefault="00410044" w:rsidP="00410044">
      <w:pPr>
        <w:spacing w:after="0"/>
        <w:jc w:val="center"/>
        <w:rPr>
          <w:rFonts w:asciiTheme="minorHAnsi" w:hAnsiTheme="minorHAnsi" w:cstheme="minorHAnsi"/>
        </w:rPr>
      </w:pPr>
    </w:p>
    <w:p w14:paraId="1111E6CA" w14:textId="77777777" w:rsidR="00410044" w:rsidRPr="00E614FB" w:rsidRDefault="00410044" w:rsidP="00410044">
      <w:pPr>
        <w:spacing w:after="0"/>
        <w:jc w:val="center"/>
        <w:rPr>
          <w:rFonts w:asciiTheme="minorHAnsi" w:hAnsiTheme="minorHAnsi" w:cstheme="minorHAnsi"/>
        </w:rPr>
      </w:pPr>
    </w:p>
    <w:p w14:paraId="76CF7BFE" w14:textId="77777777" w:rsidR="00410044" w:rsidRPr="00E614FB" w:rsidRDefault="00410044" w:rsidP="00410044">
      <w:pPr>
        <w:spacing w:after="0"/>
        <w:jc w:val="center"/>
        <w:rPr>
          <w:rFonts w:asciiTheme="minorHAnsi" w:hAnsiTheme="minorHAnsi" w:cstheme="minorHAnsi"/>
        </w:rPr>
      </w:pPr>
    </w:p>
    <w:p w14:paraId="10D4AA59" w14:textId="77777777" w:rsidR="00410044" w:rsidRPr="00E614FB" w:rsidRDefault="00410044" w:rsidP="00410044">
      <w:pPr>
        <w:spacing w:after="0"/>
        <w:jc w:val="center"/>
        <w:rPr>
          <w:rFonts w:asciiTheme="minorHAnsi" w:hAnsiTheme="minorHAnsi" w:cstheme="minorHAnsi"/>
        </w:rPr>
      </w:pPr>
    </w:p>
    <w:p w14:paraId="4997E189" w14:textId="77777777" w:rsidR="00410044" w:rsidRPr="00E614FB" w:rsidRDefault="00410044" w:rsidP="00410044">
      <w:pPr>
        <w:spacing w:after="0"/>
        <w:jc w:val="center"/>
        <w:rPr>
          <w:rFonts w:asciiTheme="minorHAnsi" w:hAnsiTheme="minorHAnsi" w:cstheme="minorHAnsi"/>
        </w:rPr>
      </w:pPr>
    </w:p>
    <w:p w14:paraId="62B4305D" w14:textId="77777777" w:rsidR="00410044" w:rsidRPr="00E614FB" w:rsidRDefault="00410044" w:rsidP="00410044">
      <w:pPr>
        <w:spacing w:after="0"/>
        <w:jc w:val="center"/>
        <w:rPr>
          <w:rFonts w:asciiTheme="minorHAnsi" w:hAnsiTheme="minorHAnsi" w:cstheme="minorHAnsi"/>
        </w:rPr>
      </w:pPr>
    </w:p>
    <w:p w14:paraId="35B059B2" w14:textId="77777777" w:rsidR="00410044" w:rsidRPr="00E614FB" w:rsidRDefault="00410044" w:rsidP="00410044">
      <w:pPr>
        <w:spacing w:after="0"/>
        <w:jc w:val="center"/>
        <w:rPr>
          <w:rFonts w:asciiTheme="minorHAnsi" w:hAnsiTheme="minorHAnsi" w:cstheme="minorHAnsi"/>
        </w:rPr>
      </w:pPr>
    </w:p>
    <w:p w14:paraId="496DC972" w14:textId="77777777" w:rsidR="00410044" w:rsidRPr="00E614FB" w:rsidRDefault="00410044" w:rsidP="00410044">
      <w:pPr>
        <w:spacing w:after="0"/>
        <w:jc w:val="center"/>
        <w:rPr>
          <w:rFonts w:asciiTheme="minorHAnsi" w:hAnsiTheme="minorHAnsi" w:cstheme="minorHAnsi"/>
        </w:rPr>
      </w:pPr>
    </w:p>
    <w:p w14:paraId="13D5F4B5" w14:textId="77777777" w:rsidR="00410044" w:rsidRPr="00E614FB" w:rsidRDefault="00410044" w:rsidP="00410044">
      <w:pPr>
        <w:spacing w:after="0"/>
        <w:jc w:val="center"/>
        <w:rPr>
          <w:rFonts w:asciiTheme="minorHAnsi" w:hAnsiTheme="minorHAnsi" w:cstheme="minorHAnsi"/>
        </w:rPr>
      </w:pPr>
    </w:p>
    <w:p w14:paraId="12197283" w14:textId="77777777" w:rsidR="00410044" w:rsidRPr="00E614FB" w:rsidRDefault="00410044" w:rsidP="00410044">
      <w:pPr>
        <w:spacing w:after="0"/>
        <w:jc w:val="center"/>
        <w:rPr>
          <w:rFonts w:asciiTheme="minorHAnsi" w:hAnsiTheme="minorHAnsi" w:cstheme="minorHAnsi"/>
        </w:rPr>
      </w:pPr>
    </w:p>
    <w:p w14:paraId="754ACC40" w14:textId="77777777" w:rsidR="00410044" w:rsidRPr="00E614FB" w:rsidRDefault="00410044" w:rsidP="00410044">
      <w:pPr>
        <w:spacing w:after="0"/>
        <w:jc w:val="center"/>
        <w:rPr>
          <w:rFonts w:asciiTheme="minorHAnsi" w:hAnsiTheme="minorHAnsi" w:cstheme="minorHAnsi"/>
        </w:rPr>
      </w:pPr>
    </w:p>
    <w:p w14:paraId="518AAA16" w14:textId="77777777" w:rsidR="00410044" w:rsidRPr="00E614FB" w:rsidRDefault="00410044" w:rsidP="00410044">
      <w:pPr>
        <w:spacing w:after="0"/>
        <w:jc w:val="center"/>
        <w:rPr>
          <w:rFonts w:asciiTheme="minorHAnsi" w:hAnsiTheme="minorHAnsi" w:cstheme="minorHAnsi"/>
        </w:rPr>
      </w:pPr>
    </w:p>
    <w:p w14:paraId="4FABEB21" w14:textId="77777777" w:rsidR="00410044" w:rsidRPr="00E614FB" w:rsidRDefault="00410044" w:rsidP="00410044">
      <w:pPr>
        <w:spacing w:after="0"/>
        <w:jc w:val="center"/>
        <w:rPr>
          <w:rFonts w:asciiTheme="minorHAnsi" w:hAnsiTheme="minorHAnsi" w:cstheme="minorHAnsi"/>
        </w:rPr>
      </w:pPr>
    </w:p>
    <w:p w14:paraId="1168225D" w14:textId="77777777" w:rsidR="00410044" w:rsidRPr="00E614FB" w:rsidRDefault="00410044" w:rsidP="00410044">
      <w:pPr>
        <w:spacing w:after="0"/>
        <w:jc w:val="center"/>
        <w:rPr>
          <w:rFonts w:asciiTheme="minorHAnsi" w:hAnsiTheme="minorHAnsi" w:cstheme="minorHAnsi"/>
        </w:rPr>
      </w:pPr>
    </w:p>
    <w:p w14:paraId="62FB074D" w14:textId="77777777" w:rsidR="00410044" w:rsidRPr="00E614FB" w:rsidRDefault="00410044" w:rsidP="00410044">
      <w:pPr>
        <w:spacing w:after="0"/>
        <w:jc w:val="center"/>
        <w:rPr>
          <w:rFonts w:asciiTheme="minorHAnsi" w:hAnsiTheme="minorHAnsi" w:cstheme="minorHAnsi"/>
        </w:rPr>
      </w:pPr>
    </w:p>
    <w:p w14:paraId="5353F3AE" w14:textId="77777777" w:rsidR="00410044" w:rsidRPr="00E614FB" w:rsidRDefault="00410044" w:rsidP="00410044">
      <w:pPr>
        <w:spacing w:after="0"/>
        <w:jc w:val="center"/>
        <w:rPr>
          <w:rFonts w:asciiTheme="minorHAnsi" w:hAnsiTheme="minorHAnsi" w:cstheme="minorHAnsi"/>
        </w:rPr>
      </w:pPr>
    </w:p>
    <w:p w14:paraId="56B84AD4" w14:textId="77777777" w:rsidR="00410044" w:rsidRPr="00E614FB" w:rsidRDefault="00410044" w:rsidP="00410044">
      <w:pPr>
        <w:spacing w:after="0"/>
        <w:jc w:val="center"/>
        <w:rPr>
          <w:rFonts w:asciiTheme="minorHAnsi" w:hAnsiTheme="minorHAnsi" w:cstheme="minorHAnsi"/>
        </w:rPr>
      </w:pPr>
    </w:p>
    <w:p w14:paraId="771B8114" w14:textId="77777777" w:rsidR="00410044" w:rsidRPr="00E614FB" w:rsidRDefault="00410044" w:rsidP="00410044">
      <w:pPr>
        <w:spacing w:after="0"/>
        <w:jc w:val="center"/>
        <w:rPr>
          <w:rFonts w:asciiTheme="minorHAnsi" w:hAnsiTheme="minorHAnsi" w:cstheme="minorHAnsi"/>
        </w:rPr>
      </w:pPr>
    </w:p>
    <w:p w14:paraId="7533C2D7" w14:textId="77777777" w:rsidR="00410044" w:rsidRPr="00E614FB" w:rsidRDefault="005670AF"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1A2A6A">
            <w:rPr>
              <w:rFonts w:asciiTheme="minorHAnsi" w:hAnsiTheme="minorHAnsi" w:cstheme="minorHAnsi"/>
              <w:caps/>
            </w:rPr>
            <w:t>Brandon lee crawford</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1A2A6A">
            <w:rPr>
              <w:rFonts w:asciiTheme="minorHAnsi" w:hAnsiTheme="minorHAnsi" w:cstheme="minorHAnsi"/>
            </w:rPr>
            <w:t>2017</w:t>
          </w:r>
        </w:sdtContent>
      </w:sdt>
    </w:p>
    <w:p w14:paraId="5DC6A592"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14:paraId="28CAA86F"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0196A431" w14:textId="198C04C4" w:rsidR="0096798A" w:rsidRPr="00611A1A" w:rsidRDefault="0096798A" w:rsidP="00611A1A">
      <w:pPr>
        <w:spacing w:line="480" w:lineRule="auto"/>
        <w:rPr>
          <w:i/>
        </w:rPr>
      </w:pPr>
      <w:r w:rsidRPr="00611A1A">
        <w:rPr>
          <w:i/>
        </w:rPr>
        <w:lastRenderedPageBreak/>
        <w:t>Dedicated to Bill Heist and his shoe, Kristen, and my mom. There’s no way I could have done this without you. Thank you</w:t>
      </w:r>
      <w:r w:rsidR="00611A1A" w:rsidRPr="00611A1A">
        <w:rPr>
          <w:i/>
        </w:rPr>
        <w:t>.</w:t>
      </w:r>
    </w:p>
    <w:p w14:paraId="01AC6E5D" w14:textId="7E94479B" w:rsidR="00410044" w:rsidRPr="00E614FB" w:rsidRDefault="0096798A" w:rsidP="0096798A">
      <w:pPr>
        <w:spacing w:after="0" w:line="480" w:lineRule="auto"/>
        <w:rPr>
          <w:rFonts w:asciiTheme="minorHAnsi" w:hAnsiTheme="minorHAnsi" w:cstheme="minorHAnsi"/>
        </w:rPr>
        <w:sectPr w:rsidR="00410044" w:rsidRPr="00E614FB" w:rsidSect="00410044">
          <w:pgSz w:w="12240" w:h="15840"/>
          <w:pgMar w:top="1440" w:right="1440" w:bottom="1440" w:left="2304" w:header="720" w:footer="720" w:gutter="0"/>
          <w:cols w:space="720"/>
          <w:docGrid w:linePitch="360"/>
        </w:sectPr>
      </w:pPr>
      <w:r w:rsidRPr="00E614FB">
        <w:rPr>
          <w:rFonts w:asciiTheme="minorHAnsi" w:hAnsiTheme="minorHAnsi" w:cstheme="minorHAnsi"/>
        </w:rPr>
        <w:t xml:space="preserve"> </w:t>
      </w:r>
    </w:p>
    <w:p w14:paraId="4F129690" w14:textId="4F6A2662" w:rsidR="00410044" w:rsidRDefault="0062136C" w:rsidP="00410044">
      <w:pPr>
        <w:spacing w:after="0" w:line="480" w:lineRule="auto"/>
        <w:rPr>
          <w:b/>
          <w:u w:val="single"/>
        </w:rPr>
      </w:pPr>
      <w:r w:rsidRPr="0062136C">
        <w:rPr>
          <w:b/>
          <w:u w:val="single"/>
        </w:rPr>
        <w:lastRenderedPageBreak/>
        <w:t>Acknowledgments</w:t>
      </w:r>
    </w:p>
    <w:p w14:paraId="4DC1E21C" w14:textId="77777777" w:rsidR="007C39A6" w:rsidRPr="00E17C4B" w:rsidRDefault="007C39A6" w:rsidP="007C39A6">
      <w:pPr>
        <w:spacing w:line="480" w:lineRule="auto"/>
        <w:ind w:firstLine="720"/>
      </w:pPr>
      <w:r w:rsidRPr="00E17C4B">
        <w:t xml:space="preserve">I would like to thank my dissertation committee members. Thank you, Dr. Stephanie Burge, for your willingness to serve on my committee and for all of the feedback, patience, and flexibility. Dr. Michael Crowson, thank you for your support in both the Power Pony and academic arenas. Thank you, Dr. Mitchell Peck for the feedback, laughs, and </w:t>
      </w:r>
      <w:r>
        <w:t>words of wisdom</w:t>
      </w:r>
      <w:r w:rsidRPr="00E17C4B">
        <w:t xml:space="preserve">. I know you like to keep a low profile and a light load, so I will tell any student who asks not to work with you, but in reality, you have been one of the most supportive faculty in the department, and I am truly grateful. Also, I will only buy black guitars from here on out. Dr. Martin Piotrowski, thank you so much for all of your help. Although you have provided feedback and support throughout my entire tenure at OU, you were on another level for my dissertation. Thank you for working with me over e-mail and always </w:t>
      </w:r>
      <w:r>
        <w:t>providing</w:t>
      </w:r>
      <w:r w:rsidRPr="00E17C4B">
        <w:t xml:space="preserve"> prompt and thorough feedback. I could not have done this without your help, and I am so thankful you were willing to serve on my committee. Dr. Constance Chapple, thank you. Thank you for sticking with me when I made the decision to move to AR and teach before finishing (or starting) my dissertation. I know it made things more difficult and I appreciate you sticking with me. You a</w:t>
      </w:r>
      <w:r>
        <w:t>re my best and brightest Ph.D. a</w:t>
      </w:r>
      <w:r w:rsidRPr="00E17C4B">
        <w:t>dviser and I am your best and brightest Ph.D. student. Although I will eventually get dethroned, you will always be the best and brightest Ph.D. adviser I ever ha</w:t>
      </w:r>
      <w:r>
        <w:t>ve, so thank you</w:t>
      </w:r>
      <w:r w:rsidRPr="00E17C4B">
        <w:t xml:space="preserve">. Thank you to the rest of the OU faculty for all of the knowledge, time, and support you gave me throughout my time at OU. Special thanks to Dr. Trina Hope and Dr. Anne Beutel. </w:t>
      </w:r>
    </w:p>
    <w:p w14:paraId="485184CB" w14:textId="25456800" w:rsidR="007C39A6" w:rsidRPr="00E17C4B" w:rsidRDefault="007C39A6" w:rsidP="007C39A6">
      <w:pPr>
        <w:spacing w:line="480" w:lineRule="auto"/>
        <w:ind w:firstLine="720"/>
      </w:pPr>
      <w:r w:rsidRPr="00E17C4B">
        <w:lastRenderedPageBreak/>
        <w:t xml:space="preserve">I would also like to thank fellow students in the department. You all made my experience at OU more enjoyable and valuable. Thank you to John T. Billington for sharing an office and many classes with me. We had the coolest office in Kaufman Hall by far. Thank you, Mindy Bradley, for continuing to be a mentor and friend. </w:t>
      </w:r>
      <w:r>
        <w:t xml:space="preserve">Thank you, Joesph, for stopping by to chat when I was working in my office and for always providing perspective. </w:t>
      </w:r>
      <w:r w:rsidRPr="00E17C4B">
        <w:t>Thank you to Summer Jackson and Jonathan Kruk. I have consistently said joining a bowling league was the best decision I made in grad school and the main reason for that was that you two were apart of it. Summer, I am so glad that you were a part of my M.A., Ph.D., and first academic jobs. I will miss you dearly when you move but so excited for you. Jonathan, I am so glad Summer met y</w:t>
      </w:r>
      <w:r>
        <w:t>ou. Partly because you make her</w:t>
      </w:r>
      <w:r w:rsidRPr="00E17C4B">
        <w:t xml:space="preserve"> happy, but mostly because I’m not sure we would have become friends otherwise. I’m sure lots of fun times await you two in California and I can’t wait to visit. </w:t>
      </w:r>
    </w:p>
    <w:p w14:paraId="1726F5AC" w14:textId="589CBEA1" w:rsidR="00410044" w:rsidRPr="00543AE6" w:rsidRDefault="007C39A6" w:rsidP="00543AE6">
      <w:pPr>
        <w:spacing w:line="480" w:lineRule="auto"/>
        <w:ind w:firstLine="720"/>
      </w:pPr>
      <w:r w:rsidRPr="00E17C4B">
        <w:t>Thank you to my mom, sister, and grandparents. You all played a part in making me who I am today and I plan on doing my best to only be a positive reflection of all that you have instilled in me. Finally, thank you Kristen. Words cannot express how much you mean to me and how much your support has helped me throughout my Ph.D. and especially my dissertation. You have both made me a better academic and a better person and for that, I will be forever grateful. I think you have stressed about the dissertation probably more than anyone else! I’m glad it’s done and we can still get married. I’ll still be me, and you will still be you, but I am excited to see what the next chapters hold for us.</w:t>
      </w:r>
    </w:p>
    <w:sdt>
      <w:sdtPr>
        <w:rPr>
          <w:rFonts w:ascii="Arial" w:eastAsiaTheme="minorHAnsi" w:hAnsi="Arial" w:cs="Arial"/>
          <w:b w:val="0"/>
          <w:bCs w:val="0"/>
          <w:i w:val="0"/>
          <w:color w:val="auto"/>
          <w:sz w:val="24"/>
          <w:szCs w:val="24"/>
        </w:rPr>
        <w:id w:val="200598569"/>
        <w:docPartObj>
          <w:docPartGallery w:val="Table of Contents"/>
          <w:docPartUnique/>
        </w:docPartObj>
      </w:sdtPr>
      <w:sdtEndPr>
        <w:rPr>
          <w:noProof/>
        </w:rPr>
      </w:sdtEndPr>
      <w:sdtContent>
        <w:p w14:paraId="64CC7097" w14:textId="30B40A42" w:rsidR="0052193D" w:rsidRPr="003640A4" w:rsidRDefault="0052193D" w:rsidP="003640A4">
          <w:pPr>
            <w:pStyle w:val="TOCHeading"/>
            <w:spacing w:line="480" w:lineRule="auto"/>
            <w:rPr>
              <w:rFonts w:ascii="Arial" w:hAnsi="Arial" w:cs="Arial"/>
              <w:i w:val="0"/>
              <w:color w:val="000000" w:themeColor="text1"/>
              <w:sz w:val="24"/>
              <w:szCs w:val="24"/>
              <w:u w:val="single"/>
            </w:rPr>
          </w:pPr>
          <w:r w:rsidRPr="003640A4">
            <w:rPr>
              <w:rFonts w:ascii="Arial" w:hAnsi="Arial" w:cs="Arial"/>
              <w:i w:val="0"/>
              <w:color w:val="000000" w:themeColor="text1"/>
              <w:sz w:val="24"/>
              <w:szCs w:val="24"/>
              <w:u w:val="single"/>
            </w:rPr>
            <w:t>Table of Contents</w:t>
          </w:r>
        </w:p>
        <w:p w14:paraId="34B0DF96" w14:textId="77777777" w:rsidR="003640A4" w:rsidRPr="002F01B9" w:rsidRDefault="0052193D" w:rsidP="002F01B9">
          <w:pPr>
            <w:pStyle w:val="TOC1"/>
            <w:rPr>
              <w:rFonts w:ascii="Arial" w:eastAsiaTheme="minorEastAsia" w:hAnsi="Arial" w:cs="Arial"/>
              <w:b w:val="0"/>
              <w:bCs w:val="0"/>
              <w:caps w:val="0"/>
              <w:noProof/>
              <w:sz w:val="24"/>
              <w:szCs w:val="24"/>
            </w:rPr>
          </w:pPr>
          <w:r w:rsidRPr="005D42AB">
            <w:rPr>
              <w:rFonts w:ascii="Arial" w:hAnsi="Arial" w:cs="Arial"/>
              <w:sz w:val="24"/>
              <w:szCs w:val="24"/>
            </w:rPr>
            <w:fldChar w:fldCharType="begin"/>
          </w:r>
          <w:r w:rsidRPr="005D42AB">
            <w:rPr>
              <w:rFonts w:ascii="Arial" w:hAnsi="Arial" w:cs="Arial"/>
              <w:sz w:val="24"/>
              <w:szCs w:val="24"/>
            </w:rPr>
            <w:instrText xml:space="preserve"> TOC \o "1-3" \h \z \u </w:instrText>
          </w:r>
          <w:r w:rsidRPr="005D42AB">
            <w:rPr>
              <w:rFonts w:ascii="Arial" w:hAnsi="Arial" w:cs="Arial"/>
              <w:sz w:val="24"/>
              <w:szCs w:val="24"/>
            </w:rPr>
            <w:fldChar w:fldCharType="separate"/>
          </w:r>
          <w:hyperlink w:anchor="_Toc482112666" w:history="1">
            <w:r w:rsidR="003640A4" w:rsidRPr="002F01B9">
              <w:rPr>
                <w:rStyle w:val="Hyperlink"/>
                <w:rFonts w:ascii="Arial" w:eastAsia="Calibri" w:hAnsi="Arial" w:cs="Arial"/>
                <w:noProof/>
                <w:sz w:val="24"/>
                <w:szCs w:val="24"/>
              </w:rPr>
              <w:t>List of Tables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_Toc482112666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ix</w:t>
            </w:r>
            <w:r w:rsidR="003640A4" w:rsidRPr="002F01B9">
              <w:rPr>
                <w:rFonts w:ascii="Arial" w:hAnsi="Arial" w:cs="Arial"/>
                <w:noProof/>
                <w:webHidden/>
                <w:sz w:val="24"/>
                <w:szCs w:val="24"/>
              </w:rPr>
              <w:fldChar w:fldCharType="end"/>
            </w:r>
          </w:hyperlink>
        </w:p>
        <w:p w14:paraId="007E535D"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667" w:history="1">
            <w:r w:rsidR="003640A4" w:rsidRPr="002F01B9">
              <w:rPr>
                <w:rStyle w:val="Hyperlink"/>
                <w:rFonts w:ascii="Arial" w:hAnsi="Arial" w:cs="Arial"/>
                <w:noProof/>
                <w:sz w:val="24"/>
                <w:szCs w:val="24"/>
              </w:rPr>
              <w:t>List of Figures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_Toc482112667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xii</w:t>
            </w:r>
            <w:r w:rsidR="003640A4" w:rsidRPr="002F01B9">
              <w:rPr>
                <w:rFonts w:ascii="Arial" w:hAnsi="Arial" w:cs="Arial"/>
                <w:noProof/>
                <w:webHidden/>
                <w:sz w:val="24"/>
                <w:szCs w:val="24"/>
              </w:rPr>
              <w:fldChar w:fldCharType="end"/>
            </w:r>
          </w:hyperlink>
        </w:p>
        <w:p w14:paraId="0950D069"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668" w:history="1">
            <w:r w:rsidR="003640A4" w:rsidRPr="002F01B9">
              <w:rPr>
                <w:rStyle w:val="Hyperlink"/>
                <w:rFonts w:ascii="Arial" w:hAnsi="Arial" w:cs="Arial"/>
                <w:noProof/>
                <w:sz w:val="24"/>
                <w:szCs w:val="24"/>
              </w:rPr>
              <w:t>Abstract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_Toc482112668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xv</w:t>
            </w:r>
            <w:r w:rsidR="003640A4" w:rsidRPr="002F01B9">
              <w:rPr>
                <w:rFonts w:ascii="Arial" w:hAnsi="Arial" w:cs="Arial"/>
                <w:noProof/>
                <w:webHidden/>
                <w:sz w:val="24"/>
                <w:szCs w:val="24"/>
              </w:rPr>
              <w:fldChar w:fldCharType="end"/>
            </w:r>
          </w:hyperlink>
        </w:p>
        <w:p w14:paraId="7C57F368"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669" w:history="1">
            <w:r w:rsidR="003640A4" w:rsidRPr="002F01B9">
              <w:rPr>
                <w:rStyle w:val="Hyperlink"/>
                <w:rFonts w:ascii="Arial" w:eastAsia="ＭＳ ゴシック" w:hAnsi="Arial" w:cs="Arial"/>
                <w:noProof/>
                <w:sz w:val="24"/>
                <w:szCs w:val="24"/>
              </w:rPr>
              <w:t>Chapter 1: Introduction</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_Toc482112669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w:t>
            </w:r>
            <w:r w:rsidR="003640A4" w:rsidRPr="002F01B9">
              <w:rPr>
                <w:rFonts w:ascii="Arial" w:hAnsi="Arial" w:cs="Arial"/>
                <w:noProof/>
                <w:webHidden/>
                <w:sz w:val="24"/>
                <w:szCs w:val="24"/>
              </w:rPr>
              <w:fldChar w:fldCharType="end"/>
            </w:r>
          </w:hyperlink>
        </w:p>
        <w:p w14:paraId="5521C904"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670" w:history="1">
            <w:r w:rsidR="003640A4" w:rsidRPr="002F01B9">
              <w:rPr>
                <w:rStyle w:val="Hyperlink"/>
                <w:rFonts w:ascii="Arial" w:eastAsia="ＭＳ ゴシック" w:hAnsi="Arial" w:cs="Arial"/>
                <w:noProof/>
                <w:sz w:val="24"/>
                <w:szCs w:val="24"/>
              </w:rPr>
              <w:t>Chapter 2: Review of Relevant Literature</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_Toc482112670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14</w:t>
            </w:r>
            <w:r w:rsidR="003640A4" w:rsidRPr="002F01B9">
              <w:rPr>
                <w:rFonts w:ascii="Arial" w:hAnsi="Arial" w:cs="Arial"/>
                <w:noProof/>
                <w:webHidden/>
                <w:sz w:val="24"/>
                <w:szCs w:val="24"/>
              </w:rPr>
              <w:fldChar w:fldCharType="end"/>
            </w:r>
          </w:hyperlink>
        </w:p>
        <w:p w14:paraId="0C2973CD"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71" w:history="1">
            <w:r w:rsidR="003640A4" w:rsidRPr="002F01B9">
              <w:rPr>
                <w:rStyle w:val="Hyperlink"/>
                <w:rFonts w:ascii="Arial" w:eastAsia="ＭＳ ゴシック" w:hAnsi="Arial" w:cs="Arial"/>
                <w:i/>
                <w:noProof/>
                <w:sz w:val="24"/>
                <w:szCs w:val="24"/>
              </w:rPr>
              <w:t>Risky Sexual Behavior</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_Toc482112671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14</w:t>
            </w:r>
            <w:r w:rsidR="003640A4" w:rsidRPr="002F01B9">
              <w:rPr>
                <w:rFonts w:ascii="Arial" w:hAnsi="Arial" w:cs="Arial"/>
                <w:noProof/>
                <w:webHidden/>
                <w:sz w:val="24"/>
                <w:szCs w:val="24"/>
              </w:rPr>
              <w:fldChar w:fldCharType="end"/>
            </w:r>
          </w:hyperlink>
        </w:p>
        <w:p w14:paraId="2D4C2EAE"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72" w:history="1">
            <w:r w:rsidR="003640A4" w:rsidRPr="002F01B9">
              <w:rPr>
                <w:rStyle w:val="Hyperlink"/>
                <w:rFonts w:ascii="Arial" w:eastAsia="ＭＳ ゴシック" w:hAnsi="Arial" w:cs="Arial"/>
                <w:noProof/>
                <w:sz w:val="24"/>
                <w:szCs w:val="24"/>
              </w:rPr>
              <w:t>Child Maltreatment and Risky Sexual Behaviors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_Toc482112672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14</w:t>
            </w:r>
            <w:r w:rsidR="003640A4" w:rsidRPr="002F01B9">
              <w:rPr>
                <w:rFonts w:ascii="Arial" w:hAnsi="Arial" w:cs="Arial"/>
                <w:noProof/>
                <w:webHidden/>
                <w:sz w:val="24"/>
                <w:szCs w:val="24"/>
              </w:rPr>
              <w:fldChar w:fldCharType="end"/>
            </w:r>
          </w:hyperlink>
        </w:p>
        <w:p w14:paraId="5EA78D52"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73" w:history="1">
            <w:r w:rsidR="003640A4" w:rsidRPr="002F01B9">
              <w:rPr>
                <w:rStyle w:val="Hyperlink"/>
                <w:rFonts w:ascii="Arial" w:eastAsia="ＭＳ ゴシック" w:hAnsi="Arial" w:cs="Arial"/>
                <w:noProof/>
                <w:sz w:val="24"/>
                <w:szCs w:val="24"/>
              </w:rPr>
              <w:t>Child Welfare and Risky Sexual Behaviors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_Toc482112673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19</w:t>
            </w:r>
            <w:r w:rsidR="003640A4" w:rsidRPr="002F01B9">
              <w:rPr>
                <w:rFonts w:ascii="Arial" w:hAnsi="Arial" w:cs="Arial"/>
                <w:noProof/>
                <w:webHidden/>
                <w:sz w:val="24"/>
                <w:szCs w:val="24"/>
              </w:rPr>
              <w:fldChar w:fldCharType="end"/>
            </w:r>
          </w:hyperlink>
        </w:p>
        <w:p w14:paraId="5CE560E6"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74" w:history="1">
            <w:r w:rsidR="003640A4" w:rsidRPr="002F01B9">
              <w:rPr>
                <w:rStyle w:val="Hyperlink"/>
                <w:rFonts w:ascii="Arial" w:eastAsia="ＭＳ ゴシック" w:hAnsi="Arial" w:cs="Arial"/>
                <w:i/>
                <w:noProof/>
                <w:sz w:val="24"/>
                <w:szCs w:val="24"/>
              </w:rPr>
              <w:t>Self-Reported Offending</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_Toc482112674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24</w:t>
            </w:r>
            <w:r w:rsidR="003640A4" w:rsidRPr="002F01B9">
              <w:rPr>
                <w:rFonts w:ascii="Arial" w:hAnsi="Arial" w:cs="Arial"/>
                <w:noProof/>
                <w:webHidden/>
                <w:sz w:val="24"/>
                <w:szCs w:val="24"/>
              </w:rPr>
              <w:fldChar w:fldCharType="end"/>
            </w:r>
          </w:hyperlink>
        </w:p>
        <w:p w14:paraId="66C336C9"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75" w:history="1">
            <w:r w:rsidR="003640A4" w:rsidRPr="002F01B9">
              <w:rPr>
                <w:rStyle w:val="Hyperlink"/>
                <w:rFonts w:ascii="Arial" w:eastAsia="ＭＳ ゴシック" w:hAnsi="Arial" w:cs="Arial"/>
                <w:noProof/>
                <w:sz w:val="24"/>
                <w:szCs w:val="24"/>
              </w:rPr>
              <w:t>Child Maltreatment and Juvenile Delinquency</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_Toc482112675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24</w:t>
            </w:r>
            <w:r w:rsidR="003640A4" w:rsidRPr="002F01B9">
              <w:rPr>
                <w:rFonts w:ascii="Arial" w:hAnsi="Arial" w:cs="Arial"/>
                <w:noProof/>
                <w:webHidden/>
                <w:sz w:val="24"/>
                <w:szCs w:val="24"/>
              </w:rPr>
              <w:fldChar w:fldCharType="end"/>
            </w:r>
          </w:hyperlink>
        </w:p>
        <w:p w14:paraId="6A19B80D"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76" w:history="1">
            <w:r w:rsidR="003640A4" w:rsidRPr="002F01B9">
              <w:rPr>
                <w:rStyle w:val="Hyperlink"/>
                <w:rFonts w:ascii="Arial" w:eastAsia="ＭＳ ゴシック" w:hAnsi="Arial" w:cs="Arial"/>
                <w:noProof/>
                <w:sz w:val="24"/>
                <w:szCs w:val="24"/>
              </w:rPr>
              <w:t>Child Welfare Experience and Juvenile Delinquency</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_Toc482112676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27</w:t>
            </w:r>
            <w:r w:rsidR="003640A4" w:rsidRPr="002F01B9">
              <w:rPr>
                <w:rFonts w:ascii="Arial" w:hAnsi="Arial" w:cs="Arial"/>
                <w:noProof/>
                <w:webHidden/>
                <w:sz w:val="24"/>
                <w:szCs w:val="24"/>
              </w:rPr>
              <w:fldChar w:fldCharType="end"/>
            </w:r>
          </w:hyperlink>
        </w:p>
        <w:p w14:paraId="77B6AE4D"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77" w:history="1">
            <w:r w:rsidR="003640A4" w:rsidRPr="002F01B9">
              <w:rPr>
                <w:rStyle w:val="Hyperlink"/>
                <w:rFonts w:ascii="Arial" w:eastAsia="ＭＳ ゴシック" w:hAnsi="Arial" w:cs="Arial"/>
                <w:noProof/>
                <w:sz w:val="24"/>
                <w:szCs w:val="24"/>
              </w:rPr>
              <w:t>Child Maltreatment and Adult Criminal Behavior</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_Toc482112677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30</w:t>
            </w:r>
            <w:r w:rsidR="003640A4" w:rsidRPr="002F01B9">
              <w:rPr>
                <w:rFonts w:ascii="Arial" w:hAnsi="Arial" w:cs="Arial"/>
                <w:noProof/>
                <w:webHidden/>
                <w:sz w:val="24"/>
                <w:szCs w:val="24"/>
              </w:rPr>
              <w:fldChar w:fldCharType="end"/>
            </w:r>
          </w:hyperlink>
        </w:p>
        <w:p w14:paraId="3649A92C"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78" w:history="1">
            <w:r w:rsidR="003640A4" w:rsidRPr="002F01B9">
              <w:rPr>
                <w:rStyle w:val="Hyperlink"/>
                <w:rFonts w:ascii="Arial" w:eastAsia="ＭＳ ゴシック" w:hAnsi="Arial" w:cs="Arial"/>
                <w:i/>
                <w:noProof/>
                <w:sz w:val="24"/>
                <w:szCs w:val="24"/>
              </w:rPr>
              <w:t>Criminal Justice Contact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_Toc482112678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32</w:t>
            </w:r>
            <w:r w:rsidR="003640A4" w:rsidRPr="002F01B9">
              <w:rPr>
                <w:rFonts w:ascii="Arial" w:hAnsi="Arial" w:cs="Arial"/>
                <w:noProof/>
                <w:webHidden/>
                <w:sz w:val="24"/>
                <w:szCs w:val="24"/>
              </w:rPr>
              <w:fldChar w:fldCharType="end"/>
            </w:r>
          </w:hyperlink>
        </w:p>
        <w:p w14:paraId="42EBD7B9"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79" w:history="1">
            <w:r w:rsidR="003640A4" w:rsidRPr="002F01B9">
              <w:rPr>
                <w:rStyle w:val="Hyperlink"/>
                <w:rFonts w:ascii="Arial" w:eastAsia="ＭＳ ゴシック" w:hAnsi="Arial" w:cs="Arial"/>
                <w:noProof/>
                <w:sz w:val="24"/>
                <w:szCs w:val="24"/>
              </w:rPr>
              <w:t>Child Maltreatment and Juvenile Justice Contact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_Toc482112679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32</w:t>
            </w:r>
            <w:r w:rsidR="003640A4" w:rsidRPr="002F01B9">
              <w:rPr>
                <w:rFonts w:ascii="Arial" w:hAnsi="Arial" w:cs="Arial"/>
                <w:noProof/>
                <w:webHidden/>
                <w:sz w:val="24"/>
                <w:szCs w:val="24"/>
              </w:rPr>
              <w:fldChar w:fldCharType="end"/>
            </w:r>
          </w:hyperlink>
        </w:p>
        <w:p w14:paraId="6CBFACC5"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80" w:history="1">
            <w:r w:rsidR="003640A4" w:rsidRPr="002F01B9">
              <w:rPr>
                <w:rStyle w:val="Hyperlink"/>
                <w:rFonts w:ascii="Arial" w:eastAsia="ＭＳ ゴシック" w:hAnsi="Arial" w:cs="Arial"/>
                <w:noProof/>
                <w:sz w:val="24"/>
                <w:szCs w:val="24"/>
              </w:rPr>
              <w:t>Child Welfare Experience and Juvenile Justice Contact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_Toc482112680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35</w:t>
            </w:r>
            <w:r w:rsidR="003640A4" w:rsidRPr="002F01B9">
              <w:rPr>
                <w:rFonts w:ascii="Arial" w:hAnsi="Arial" w:cs="Arial"/>
                <w:noProof/>
                <w:webHidden/>
                <w:sz w:val="24"/>
                <w:szCs w:val="24"/>
              </w:rPr>
              <w:fldChar w:fldCharType="end"/>
            </w:r>
          </w:hyperlink>
        </w:p>
        <w:p w14:paraId="1053F63C"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81" w:history="1">
            <w:r w:rsidR="003640A4" w:rsidRPr="002F01B9">
              <w:rPr>
                <w:rStyle w:val="Hyperlink"/>
                <w:rFonts w:ascii="Arial" w:eastAsia="ＭＳ ゴシック" w:hAnsi="Arial" w:cs="Arial"/>
                <w:noProof/>
                <w:sz w:val="24"/>
                <w:szCs w:val="24"/>
              </w:rPr>
              <w:t>Child Maltreatment and Adult Criminal Justice Contact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_Toc482112681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37</w:t>
            </w:r>
            <w:r w:rsidR="003640A4" w:rsidRPr="002F01B9">
              <w:rPr>
                <w:rFonts w:ascii="Arial" w:hAnsi="Arial" w:cs="Arial"/>
                <w:noProof/>
                <w:webHidden/>
                <w:sz w:val="24"/>
                <w:szCs w:val="24"/>
              </w:rPr>
              <w:fldChar w:fldCharType="end"/>
            </w:r>
          </w:hyperlink>
        </w:p>
        <w:p w14:paraId="001A083C"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682" w:history="1">
            <w:r w:rsidR="003640A4" w:rsidRPr="002F01B9">
              <w:rPr>
                <w:rStyle w:val="Hyperlink"/>
                <w:rFonts w:ascii="Arial" w:eastAsia="ＭＳ ゴシック" w:hAnsi="Arial" w:cs="Arial"/>
                <w:noProof/>
                <w:sz w:val="24"/>
                <w:szCs w:val="24"/>
              </w:rPr>
              <w:t>Chapter 3: Description of Data and Analytic Samples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_Toc482112682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43</w:t>
            </w:r>
            <w:r w:rsidR="003640A4" w:rsidRPr="002F01B9">
              <w:rPr>
                <w:rFonts w:ascii="Arial" w:hAnsi="Arial" w:cs="Arial"/>
                <w:noProof/>
                <w:webHidden/>
                <w:sz w:val="24"/>
                <w:szCs w:val="24"/>
              </w:rPr>
              <w:fldChar w:fldCharType="end"/>
            </w:r>
          </w:hyperlink>
        </w:p>
        <w:p w14:paraId="01BA8E43"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83" w:history="1">
            <w:r w:rsidR="003640A4" w:rsidRPr="002F01B9">
              <w:rPr>
                <w:rStyle w:val="Hyperlink"/>
                <w:rFonts w:ascii="Arial" w:eastAsia="ＭＳ ゴシック" w:hAnsi="Arial" w:cs="Arial"/>
                <w:i/>
                <w:noProof/>
                <w:sz w:val="24"/>
                <w:szCs w:val="24"/>
              </w:rPr>
              <w:t>Description of the NSCAW Data</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_Toc482112683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43</w:t>
            </w:r>
            <w:r w:rsidR="003640A4" w:rsidRPr="002F01B9">
              <w:rPr>
                <w:rFonts w:ascii="Arial" w:hAnsi="Arial" w:cs="Arial"/>
                <w:noProof/>
                <w:webHidden/>
                <w:sz w:val="24"/>
                <w:szCs w:val="24"/>
              </w:rPr>
              <w:fldChar w:fldCharType="end"/>
            </w:r>
          </w:hyperlink>
        </w:p>
        <w:p w14:paraId="6CF0571D"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84" w:history="1">
            <w:r w:rsidR="003640A4" w:rsidRPr="002F01B9">
              <w:rPr>
                <w:rStyle w:val="Hyperlink"/>
                <w:rFonts w:ascii="Arial" w:eastAsia="ＭＳ ゴシック" w:hAnsi="Arial" w:cs="Arial"/>
                <w:i/>
                <w:noProof/>
                <w:sz w:val="24"/>
                <w:szCs w:val="24"/>
              </w:rPr>
              <w:t>Description of NSCAW Sample used for Early Sexual Initiation Analyses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_Toc482112684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54</w:t>
            </w:r>
            <w:r w:rsidR="003640A4" w:rsidRPr="002F01B9">
              <w:rPr>
                <w:rFonts w:ascii="Arial" w:hAnsi="Arial" w:cs="Arial"/>
                <w:noProof/>
                <w:webHidden/>
                <w:sz w:val="24"/>
                <w:szCs w:val="24"/>
              </w:rPr>
              <w:fldChar w:fldCharType="end"/>
            </w:r>
          </w:hyperlink>
        </w:p>
        <w:p w14:paraId="5B4AD348"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85" w:history="1">
            <w:r w:rsidR="003640A4" w:rsidRPr="002F01B9">
              <w:rPr>
                <w:rStyle w:val="Hyperlink"/>
                <w:rFonts w:ascii="Arial" w:eastAsia="ＭＳ ゴシック" w:hAnsi="Arial" w:cs="Arial"/>
                <w:i/>
                <w:noProof/>
                <w:sz w:val="24"/>
                <w:szCs w:val="24"/>
              </w:rPr>
              <w:t>Description of NSCAW Sample used for Criminal Justice Contact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_Toc482112685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58</w:t>
            </w:r>
            <w:r w:rsidR="003640A4" w:rsidRPr="002F01B9">
              <w:rPr>
                <w:rFonts w:ascii="Arial" w:hAnsi="Arial" w:cs="Arial"/>
                <w:noProof/>
                <w:webHidden/>
                <w:sz w:val="24"/>
                <w:szCs w:val="24"/>
              </w:rPr>
              <w:fldChar w:fldCharType="end"/>
            </w:r>
          </w:hyperlink>
        </w:p>
        <w:p w14:paraId="60985063"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686" w:history="1">
            <w:r w:rsidR="003640A4" w:rsidRPr="002F01B9">
              <w:rPr>
                <w:rStyle w:val="Hyperlink"/>
                <w:rFonts w:ascii="Arial" w:eastAsia="ＭＳ ゴシック" w:hAnsi="Arial" w:cs="Arial"/>
                <w:noProof/>
                <w:sz w:val="24"/>
                <w:szCs w:val="24"/>
              </w:rPr>
              <w:t>Chapter 4: Variables and Methodology</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_Toc482112686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62</w:t>
            </w:r>
            <w:r w:rsidR="003640A4" w:rsidRPr="002F01B9">
              <w:rPr>
                <w:rFonts w:ascii="Arial" w:hAnsi="Arial" w:cs="Arial"/>
                <w:noProof/>
                <w:webHidden/>
                <w:sz w:val="24"/>
                <w:szCs w:val="24"/>
              </w:rPr>
              <w:fldChar w:fldCharType="end"/>
            </w:r>
          </w:hyperlink>
        </w:p>
        <w:p w14:paraId="4E50E0FF"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87" w:history="1">
            <w:r w:rsidR="003640A4" w:rsidRPr="002F01B9">
              <w:rPr>
                <w:rStyle w:val="Hyperlink"/>
                <w:rFonts w:ascii="Arial" w:eastAsia="ＭＳ ゴシック" w:hAnsi="Arial" w:cs="Arial"/>
                <w:i/>
                <w:noProof/>
                <w:sz w:val="24"/>
                <w:szCs w:val="24"/>
              </w:rPr>
              <w:t>Dependent Variables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_Toc482112687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62</w:t>
            </w:r>
            <w:r w:rsidR="003640A4" w:rsidRPr="002F01B9">
              <w:rPr>
                <w:rFonts w:ascii="Arial" w:hAnsi="Arial" w:cs="Arial"/>
                <w:noProof/>
                <w:webHidden/>
                <w:sz w:val="24"/>
                <w:szCs w:val="24"/>
              </w:rPr>
              <w:fldChar w:fldCharType="end"/>
            </w:r>
          </w:hyperlink>
        </w:p>
        <w:p w14:paraId="0FD47A38"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88" w:history="1">
            <w:r w:rsidR="003640A4" w:rsidRPr="002F01B9">
              <w:rPr>
                <w:rStyle w:val="Hyperlink"/>
                <w:rFonts w:ascii="Arial" w:eastAsia="ＭＳ ゴシック" w:hAnsi="Arial" w:cs="Arial"/>
                <w:noProof/>
                <w:sz w:val="24"/>
                <w:szCs w:val="24"/>
              </w:rPr>
              <w:t>Early Sexual Initiation</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_Toc482112688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62</w:t>
            </w:r>
            <w:r w:rsidR="003640A4" w:rsidRPr="002F01B9">
              <w:rPr>
                <w:rFonts w:ascii="Arial" w:hAnsi="Arial" w:cs="Arial"/>
                <w:noProof/>
                <w:webHidden/>
                <w:sz w:val="24"/>
                <w:szCs w:val="24"/>
              </w:rPr>
              <w:fldChar w:fldCharType="end"/>
            </w:r>
          </w:hyperlink>
        </w:p>
        <w:p w14:paraId="6561792E"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89" w:history="1">
            <w:r w:rsidR="003640A4" w:rsidRPr="002F01B9">
              <w:rPr>
                <w:rStyle w:val="Hyperlink"/>
                <w:rFonts w:ascii="Arial" w:eastAsia="ＭＳ ゴシック" w:hAnsi="Arial" w:cs="Arial"/>
                <w:noProof/>
                <w:sz w:val="24"/>
                <w:szCs w:val="24"/>
              </w:rPr>
              <w:t>Criminal Justice Contact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_Toc482112689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66</w:t>
            </w:r>
            <w:r w:rsidR="003640A4" w:rsidRPr="002F01B9">
              <w:rPr>
                <w:rFonts w:ascii="Arial" w:hAnsi="Arial" w:cs="Arial"/>
                <w:noProof/>
                <w:webHidden/>
                <w:sz w:val="24"/>
                <w:szCs w:val="24"/>
              </w:rPr>
              <w:fldChar w:fldCharType="end"/>
            </w:r>
          </w:hyperlink>
        </w:p>
        <w:p w14:paraId="6772B472"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90" w:history="1">
            <w:r w:rsidR="003640A4" w:rsidRPr="002F01B9">
              <w:rPr>
                <w:rStyle w:val="Hyperlink"/>
                <w:rFonts w:ascii="Arial" w:eastAsia="ＭＳ ゴシック" w:hAnsi="Arial" w:cs="Arial"/>
                <w:i/>
                <w:noProof/>
                <w:sz w:val="24"/>
                <w:szCs w:val="24"/>
              </w:rPr>
              <w:t>Population Heterogeneity Variables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_Toc482112690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68</w:t>
            </w:r>
            <w:r w:rsidR="003640A4" w:rsidRPr="002F01B9">
              <w:rPr>
                <w:rFonts w:ascii="Arial" w:hAnsi="Arial" w:cs="Arial"/>
                <w:noProof/>
                <w:webHidden/>
                <w:sz w:val="24"/>
                <w:szCs w:val="24"/>
              </w:rPr>
              <w:fldChar w:fldCharType="end"/>
            </w:r>
          </w:hyperlink>
        </w:p>
        <w:p w14:paraId="36817858"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91" w:history="1">
            <w:r w:rsidR="003640A4" w:rsidRPr="002F01B9">
              <w:rPr>
                <w:rStyle w:val="Hyperlink"/>
                <w:rFonts w:ascii="Arial" w:eastAsia="ＭＳ ゴシック" w:hAnsi="Arial" w:cs="Arial"/>
                <w:noProof/>
                <w:sz w:val="24"/>
                <w:szCs w:val="24"/>
              </w:rPr>
              <w:t>Population Heterogeneity Variables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_Toc482112691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68</w:t>
            </w:r>
            <w:r w:rsidR="003640A4" w:rsidRPr="002F01B9">
              <w:rPr>
                <w:rFonts w:ascii="Arial" w:hAnsi="Arial" w:cs="Arial"/>
                <w:noProof/>
                <w:webHidden/>
                <w:sz w:val="24"/>
                <w:szCs w:val="24"/>
              </w:rPr>
              <w:fldChar w:fldCharType="end"/>
            </w:r>
          </w:hyperlink>
        </w:p>
        <w:p w14:paraId="1FF29645"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92" w:history="1">
            <w:r w:rsidR="003640A4" w:rsidRPr="002F01B9">
              <w:rPr>
                <w:rStyle w:val="Hyperlink"/>
                <w:rFonts w:ascii="Arial" w:eastAsia="ＭＳ ゴシック" w:hAnsi="Arial" w:cs="Arial"/>
                <w:i/>
                <w:noProof/>
                <w:sz w:val="24"/>
                <w:szCs w:val="24"/>
              </w:rPr>
              <w:t>State Dependence Variables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_Toc482112692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72</w:t>
            </w:r>
            <w:r w:rsidR="003640A4" w:rsidRPr="002F01B9">
              <w:rPr>
                <w:rFonts w:ascii="Arial" w:hAnsi="Arial" w:cs="Arial"/>
                <w:noProof/>
                <w:webHidden/>
                <w:sz w:val="24"/>
                <w:szCs w:val="24"/>
              </w:rPr>
              <w:fldChar w:fldCharType="end"/>
            </w:r>
          </w:hyperlink>
        </w:p>
        <w:p w14:paraId="387BA7CA"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93" w:history="1">
            <w:r w:rsidR="003640A4" w:rsidRPr="002F01B9">
              <w:rPr>
                <w:rStyle w:val="Hyperlink"/>
                <w:rFonts w:ascii="Arial" w:eastAsia="ＭＳ ゴシック" w:hAnsi="Arial" w:cs="Arial"/>
                <w:noProof/>
                <w:sz w:val="24"/>
                <w:szCs w:val="24"/>
              </w:rPr>
              <w:t>Baseline Service</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_Toc482112693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73</w:t>
            </w:r>
            <w:r w:rsidR="003640A4" w:rsidRPr="002F01B9">
              <w:rPr>
                <w:rFonts w:ascii="Arial" w:hAnsi="Arial" w:cs="Arial"/>
                <w:noProof/>
                <w:webHidden/>
                <w:sz w:val="24"/>
                <w:szCs w:val="24"/>
              </w:rPr>
              <w:fldChar w:fldCharType="end"/>
            </w:r>
          </w:hyperlink>
        </w:p>
        <w:p w14:paraId="7AE0B83C"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94" w:history="1">
            <w:r w:rsidR="003640A4" w:rsidRPr="002F01B9">
              <w:rPr>
                <w:rStyle w:val="Hyperlink"/>
                <w:rFonts w:ascii="Arial" w:eastAsia="ＭＳ ゴシック" w:hAnsi="Arial" w:cs="Arial"/>
                <w:noProof/>
                <w:sz w:val="24"/>
                <w:szCs w:val="24"/>
              </w:rPr>
              <w:t>Case Substantiation</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_Toc482112694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73</w:t>
            </w:r>
            <w:r w:rsidR="003640A4" w:rsidRPr="002F01B9">
              <w:rPr>
                <w:rFonts w:ascii="Arial" w:hAnsi="Arial" w:cs="Arial"/>
                <w:noProof/>
                <w:webHidden/>
                <w:sz w:val="24"/>
                <w:szCs w:val="24"/>
              </w:rPr>
              <w:fldChar w:fldCharType="end"/>
            </w:r>
          </w:hyperlink>
        </w:p>
        <w:p w14:paraId="1A08DD6B"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95" w:history="1">
            <w:r w:rsidR="003640A4" w:rsidRPr="002F01B9">
              <w:rPr>
                <w:rStyle w:val="Hyperlink"/>
                <w:rFonts w:ascii="Arial" w:eastAsia="ＭＳ ゴシック" w:hAnsi="Arial" w:cs="Arial"/>
                <w:noProof/>
                <w:sz w:val="24"/>
                <w:szCs w:val="24"/>
              </w:rPr>
              <w:t>Level of Harm</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_Toc482112695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74</w:t>
            </w:r>
            <w:r w:rsidR="003640A4" w:rsidRPr="002F01B9">
              <w:rPr>
                <w:rFonts w:ascii="Arial" w:hAnsi="Arial" w:cs="Arial"/>
                <w:noProof/>
                <w:webHidden/>
                <w:sz w:val="24"/>
                <w:szCs w:val="24"/>
              </w:rPr>
              <w:fldChar w:fldCharType="end"/>
            </w:r>
          </w:hyperlink>
        </w:p>
        <w:p w14:paraId="61232304"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96" w:history="1">
            <w:r w:rsidR="003640A4" w:rsidRPr="002F01B9">
              <w:rPr>
                <w:rStyle w:val="Hyperlink"/>
                <w:rFonts w:ascii="Arial" w:eastAsia="ＭＳ ゴシック" w:hAnsi="Arial" w:cs="Arial"/>
                <w:noProof/>
                <w:sz w:val="24"/>
                <w:szCs w:val="24"/>
              </w:rPr>
              <w:t>More than 1 Maltreatment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_Toc482112696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75</w:t>
            </w:r>
            <w:r w:rsidR="003640A4" w:rsidRPr="002F01B9">
              <w:rPr>
                <w:rFonts w:ascii="Arial" w:hAnsi="Arial" w:cs="Arial"/>
                <w:noProof/>
                <w:webHidden/>
                <w:sz w:val="24"/>
                <w:szCs w:val="24"/>
              </w:rPr>
              <w:fldChar w:fldCharType="end"/>
            </w:r>
          </w:hyperlink>
        </w:p>
        <w:p w14:paraId="1C0345CB"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697" w:history="1">
            <w:r w:rsidR="003640A4" w:rsidRPr="002F01B9">
              <w:rPr>
                <w:rStyle w:val="Hyperlink"/>
                <w:rFonts w:ascii="Arial" w:eastAsia="ＭＳ ゴシック" w:hAnsi="Arial" w:cs="Arial"/>
                <w:i/>
                <w:noProof/>
                <w:sz w:val="24"/>
                <w:szCs w:val="24"/>
              </w:rPr>
              <w:t>Control Variables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_Toc482112697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77</w:t>
            </w:r>
            <w:r w:rsidR="003640A4" w:rsidRPr="002F01B9">
              <w:rPr>
                <w:rFonts w:ascii="Arial" w:hAnsi="Arial" w:cs="Arial"/>
                <w:noProof/>
                <w:webHidden/>
                <w:sz w:val="24"/>
                <w:szCs w:val="24"/>
              </w:rPr>
              <w:fldChar w:fldCharType="end"/>
            </w:r>
          </w:hyperlink>
        </w:p>
        <w:p w14:paraId="44994175"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98" w:history="1">
            <w:r w:rsidR="003640A4" w:rsidRPr="002F01B9">
              <w:rPr>
                <w:rStyle w:val="Hyperlink"/>
                <w:rFonts w:ascii="Arial" w:eastAsia="ＭＳ ゴシック" w:hAnsi="Arial" w:cs="Arial"/>
                <w:noProof/>
                <w:sz w:val="24"/>
                <w:szCs w:val="24"/>
              </w:rPr>
              <w:t>Gender</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_Toc482112698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77</w:t>
            </w:r>
            <w:r w:rsidR="003640A4" w:rsidRPr="002F01B9">
              <w:rPr>
                <w:rFonts w:ascii="Arial" w:hAnsi="Arial" w:cs="Arial"/>
                <w:noProof/>
                <w:webHidden/>
                <w:sz w:val="24"/>
                <w:szCs w:val="24"/>
              </w:rPr>
              <w:fldChar w:fldCharType="end"/>
            </w:r>
          </w:hyperlink>
        </w:p>
        <w:p w14:paraId="4670EEA2" w14:textId="77777777" w:rsidR="003640A4" w:rsidRPr="002F01B9" w:rsidRDefault="005670AF" w:rsidP="002F01B9">
          <w:pPr>
            <w:pStyle w:val="TOC3"/>
            <w:tabs>
              <w:tab w:val="right" w:leader="dot" w:pos="8486"/>
            </w:tabs>
            <w:spacing w:line="480" w:lineRule="auto"/>
            <w:rPr>
              <w:rFonts w:ascii="Arial" w:eastAsiaTheme="minorEastAsia" w:hAnsi="Arial" w:cs="Arial"/>
              <w:i w:val="0"/>
              <w:iCs w:val="0"/>
              <w:noProof/>
              <w:sz w:val="24"/>
              <w:szCs w:val="24"/>
            </w:rPr>
          </w:pPr>
          <w:hyperlink w:anchor="_Toc482112699" w:history="1">
            <w:r w:rsidR="003640A4" w:rsidRPr="002F01B9">
              <w:rPr>
                <w:rStyle w:val="Hyperlink"/>
                <w:rFonts w:ascii="Arial" w:eastAsia="ＭＳ ゴシック" w:hAnsi="Arial" w:cs="Arial"/>
                <w:noProof/>
                <w:sz w:val="24"/>
                <w:szCs w:val="24"/>
              </w:rPr>
              <w:t>Race</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_Toc482112699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78</w:t>
            </w:r>
            <w:r w:rsidR="003640A4" w:rsidRPr="002F01B9">
              <w:rPr>
                <w:rFonts w:ascii="Arial" w:hAnsi="Arial" w:cs="Arial"/>
                <w:noProof/>
                <w:webHidden/>
                <w:sz w:val="24"/>
                <w:szCs w:val="24"/>
              </w:rPr>
              <w:fldChar w:fldCharType="end"/>
            </w:r>
          </w:hyperlink>
        </w:p>
        <w:p w14:paraId="757FA17A"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00" w:history="1">
            <w:r w:rsidR="003640A4" w:rsidRPr="002F01B9">
              <w:rPr>
                <w:rStyle w:val="Hyperlink"/>
                <w:rFonts w:ascii="Arial" w:eastAsia="ＭＳ ゴシック" w:hAnsi="Arial" w:cs="Arial"/>
                <w:i/>
                <w:noProof/>
                <w:sz w:val="24"/>
                <w:szCs w:val="24"/>
              </w:rPr>
              <w:t>Analytical Approach</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_Toc482112700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78</w:t>
            </w:r>
            <w:r w:rsidR="003640A4" w:rsidRPr="002F01B9">
              <w:rPr>
                <w:rFonts w:ascii="Arial" w:hAnsi="Arial" w:cs="Arial"/>
                <w:noProof/>
                <w:webHidden/>
                <w:sz w:val="24"/>
                <w:szCs w:val="24"/>
              </w:rPr>
              <w:fldChar w:fldCharType="end"/>
            </w:r>
          </w:hyperlink>
        </w:p>
        <w:p w14:paraId="3C62C35A"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701" w:history="1">
            <w:r w:rsidR="003640A4" w:rsidRPr="002F01B9">
              <w:rPr>
                <w:rStyle w:val="Hyperlink"/>
                <w:rFonts w:ascii="Arial" w:eastAsia="ＭＳ ゴシック" w:hAnsi="Arial" w:cs="Arial"/>
                <w:noProof/>
                <w:sz w:val="24"/>
                <w:szCs w:val="24"/>
              </w:rPr>
              <w:t>Chapter 5: Early Sexual Initiation Results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_Toc482112701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81</w:t>
            </w:r>
            <w:r w:rsidR="003640A4" w:rsidRPr="002F01B9">
              <w:rPr>
                <w:rFonts w:ascii="Arial" w:hAnsi="Arial" w:cs="Arial"/>
                <w:noProof/>
                <w:webHidden/>
                <w:sz w:val="24"/>
                <w:szCs w:val="24"/>
              </w:rPr>
              <w:fldChar w:fldCharType="end"/>
            </w:r>
          </w:hyperlink>
        </w:p>
        <w:p w14:paraId="33ED1B41"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02" w:history="1">
            <w:r w:rsidR="003640A4" w:rsidRPr="002F01B9">
              <w:rPr>
                <w:rStyle w:val="Hyperlink"/>
                <w:rFonts w:ascii="Arial" w:eastAsia="ＭＳ ゴシック" w:hAnsi="Arial" w:cs="Arial"/>
                <w:i/>
                <w:noProof/>
                <w:sz w:val="24"/>
                <w:szCs w:val="24"/>
              </w:rPr>
              <w:t>Descriptive Statistics of Early Sexual Initiation Analytic sample</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_Toc482112702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81</w:t>
            </w:r>
            <w:r w:rsidR="003640A4" w:rsidRPr="002F01B9">
              <w:rPr>
                <w:rFonts w:ascii="Arial" w:hAnsi="Arial" w:cs="Arial"/>
                <w:noProof/>
                <w:webHidden/>
                <w:sz w:val="24"/>
                <w:szCs w:val="24"/>
              </w:rPr>
              <w:fldChar w:fldCharType="end"/>
            </w:r>
          </w:hyperlink>
        </w:p>
        <w:p w14:paraId="2A3B5200"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03" w:history="1">
            <w:r w:rsidR="003640A4" w:rsidRPr="002F01B9">
              <w:rPr>
                <w:rStyle w:val="Hyperlink"/>
                <w:rFonts w:ascii="Arial" w:eastAsia="ＭＳ ゴシック" w:hAnsi="Arial" w:cs="Arial"/>
                <w:i/>
                <w:noProof/>
                <w:sz w:val="24"/>
                <w:szCs w:val="24"/>
              </w:rPr>
              <w:t>Bivariate Relationships of Early Sexual Initiation Analytic sample</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_Toc482112703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88</w:t>
            </w:r>
            <w:r w:rsidR="003640A4" w:rsidRPr="002F01B9">
              <w:rPr>
                <w:rFonts w:ascii="Arial" w:hAnsi="Arial" w:cs="Arial"/>
                <w:noProof/>
                <w:webHidden/>
                <w:sz w:val="24"/>
                <w:szCs w:val="24"/>
              </w:rPr>
              <w:fldChar w:fldCharType="end"/>
            </w:r>
          </w:hyperlink>
        </w:p>
        <w:p w14:paraId="40C5851E"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04" w:history="1">
            <w:r w:rsidR="003640A4" w:rsidRPr="002F01B9">
              <w:rPr>
                <w:rStyle w:val="Hyperlink"/>
                <w:rFonts w:ascii="Arial" w:eastAsia="ＭＳ ゴシック" w:hAnsi="Arial" w:cs="Arial"/>
                <w:i/>
                <w:noProof/>
                <w:sz w:val="24"/>
                <w:szCs w:val="24"/>
              </w:rPr>
              <w:t>Binary Logistic Regression of Early Sexual Initiation</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_Toc482112704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94</w:t>
            </w:r>
            <w:r w:rsidR="003640A4" w:rsidRPr="002F01B9">
              <w:rPr>
                <w:rFonts w:ascii="Arial" w:hAnsi="Arial" w:cs="Arial"/>
                <w:noProof/>
                <w:webHidden/>
                <w:sz w:val="24"/>
                <w:szCs w:val="24"/>
              </w:rPr>
              <w:fldChar w:fldCharType="end"/>
            </w:r>
          </w:hyperlink>
        </w:p>
        <w:p w14:paraId="7490B5CC"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05" w:history="1">
            <w:r w:rsidR="003640A4" w:rsidRPr="002F01B9">
              <w:rPr>
                <w:rStyle w:val="Hyperlink"/>
                <w:rFonts w:ascii="Arial" w:eastAsia="ＭＳ ゴシック" w:hAnsi="Arial" w:cs="Arial"/>
                <w:i/>
                <w:noProof/>
                <w:sz w:val="24"/>
                <w:szCs w:val="24"/>
              </w:rPr>
              <w:t>Predictive Margins for the Early Sexual Initiation Final Logistic Regression Model</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_Toc482112705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99</w:t>
            </w:r>
            <w:r w:rsidR="003640A4" w:rsidRPr="002F01B9">
              <w:rPr>
                <w:rFonts w:ascii="Arial" w:hAnsi="Arial" w:cs="Arial"/>
                <w:noProof/>
                <w:webHidden/>
                <w:sz w:val="24"/>
                <w:szCs w:val="24"/>
              </w:rPr>
              <w:fldChar w:fldCharType="end"/>
            </w:r>
          </w:hyperlink>
        </w:p>
        <w:p w14:paraId="6E9B5482"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06" w:history="1">
            <w:r w:rsidR="003640A4" w:rsidRPr="002F01B9">
              <w:rPr>
                <w:rStyle w:val="Hyperlink"/>
                <w:rFonts w:ascii="Arial" w:eastAsia="ＭＳ ゴシック" w:hAnsi="Arial" w:cs="Arial"/>
                <w:i/>
                <w:noProof/>
                <w:sz w:val="24"/>
                <w:szCs w:val="24"/>
              </w:rPr>
              <w:t>Summary</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_Toc482112706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116</w:t>
            </w:r>
            <w:r w:rsidR="003640A4" w:rsidRPr="002F01B9">
              <w:rPr>
                <w:rFonts w:ascii="Arial" w:hAnsi="Arial" w:cs="Arial"/>
                <w:noProof/>
                <w:webHidden/>
                <w:sz w:val="24"/>
                <w:szCs w:val="24"/>
              </w:rPr>
              <w:fldChar w:fldCharType="end"/>
            </w:r>
          </w:hyperlink>
        </w:p>
        <w:p w14:paraId="5805F3BD"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707" w:history="1">
            <w:r w:rsidR="003640A4" w:rsidRPr="002F01B9">
              <w:rPr>
                <w:rStyle w:val="Hyperlink"/>
                <w:rFonts w:ascii="Arial" w:eastAsia="ＭＳ ゴシック" w:hAnsi="Arial" w:cs="Arial"/>
                <w:noProof/>
                <w:sz w:val="24"/>
                <w:szCs w:val="24"/>
              </w:rPr>
              <w:t>Chapter 6: Criminal Justice Contact Results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_Toc482112707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118</w:t>
            </w:r>
            <w:r w:rsidR="003640A4" w:rsidRPr="002F01B9">
              <w:rPr>
                <w:rFonts w:ascii="Arial" w:hAnsi="Arial" w:cs="Arial"/>
                <w:noProof/>
                <w:webHidden/>
                <w:sz w:val="24"/>
                <w:szCs w:val="24"/>
              </w:rPr>
              <w:fldChar w:fldCharType="end"/>
            </w:r>
          </w:hyperlink>
        </w:p>
        <w:p w14:paraId="776484E1"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08" w:history="1">
            <w:r w:rsidR="003640A4" w:rsidRPr="002F01B9">
              <w:rPr>
                <w:rStyle w:val="Hyperlink"/>
                <w:rFonts w:ascii="Arial" w:eastAsia="ＭＳ ゴシック" w:hAnsi="Arial" w:cs="Arial"/>
                <w:i/>
                <w:noProof/>
                <w:sz w:val="24"/>
                <w:szCs w:val="24"/>
              </w:rPr>
              <w:t>Descriptive Statistics of Criminal Justice Analytic sample</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_Toc482112708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118</w:t>
            </w:r>
            <w:r w:rsidR="003640A4" w:rsidRPr="002F01B9">
              <w:rPr>
                <w:rFonts w:ascii="Arial" w:hAnsi="Arial" w:cs="Arial"/>
                <w:noProof/>
                <w:webHidden/>
                <w:sz w:val="24"/>
                <w:szCs w:val="24"/>
              </w:rPr>
              <w:fldChar w:fldCharType="end"/>
            </w:r>
          </w:hyperlink>
        </w:p>
        <w:p w14:paraId="664AA92B"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09" w:history="1">
            <w:r w:rsidR="003640A4" w:rsidRPr="002F01B9">
              <w:rPr>
                <w:rStyle w:val="Hyperlink"/>
                <w:rFonts w:ascii="Arial" w:eastAsia="ＭＳ ゴシック" w:hAnsi="Arial" w:cs="Arial"/>
                <w:i/>
                <w:noProof/>
                <w:sz w:val="24"/>
                <w:szCs w:val="24"/>
              </w:rPr>
              <w:t>Bivariate Relationships of Criminal Justice Contact Analytic sample</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_Toc482112709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123</w:t>
            </w:r>
            <w:r w:rsidR="003640A4" w:rsidRPr="002F01B9">
              <w:rPr>
                <w:rFonts w:ascii="Arial" w:hAnsi="Arial" w:cs="Arial"/>
                <w:noProof/>
                <w:webHidden/>
                <w:sz w:val="24"/>
                <w:szCs w:val="24"/>
              </w:rPr>
              <w:fldChar w:fldCharType="end"/>
            </w:r>
          </w:hyperlink>
        </w:p>
        <w:p w14:paraId="5948B328"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10" w:history="1">
            <w:r w:rsidR="003640A4" w:rsidRPr="002F01B9">
              <w:rPr>
                <w:rStyle w:val="Hyperlink"/>
                <w:rFonts w:ascii="Arial" w:eastAsia="ＭＳ ゴシック" w:hAnsi="Arial" w:cs="Arial"/>
                <w:i/>
                <w:noProof/>
                <w:sz w:val="24"/>
                <w:szCs w:val="24"/>
              </w:rPr>
              <w:t>Binary Logistic Regression of Criminal Justice Contact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_Toc482112710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129</w:t>
            </w:r>
            <w:r w:rsidR="003640A4" w:rsidRPr="002F01B9">
              <w:rPr>
                <w:rFonts w:ascii="Arial" w:hAnsi="Arial" w:cs="Arial"/>
                <w:noProof/>
                <w:webHidden/>
                <w:sz w:val="24"/>
                <w:szCs w:val="24"/>
              </w:rPr>
              <w:fldChar w:fldCharType="end"/>
            </w:r>
          </w:hyperlink>
        </w:p>
        <w:p w14:paraId="550DEBE2"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11" w:history="1">
            <w:r w:rsidR="003640A4" w:rsidRPr="002F01B9">
              <w:rPr>
                <w:rStyle w:val="Hyperlink"/>
                <w:rFonts w:ascii="Arial" w:eastAsia="ＭＳ ゴシック" w:hAnsi="Arial" w:cs="Arial"/>
                <w:i/>
                <w:noProof/>
                <w:sz w:val="24"/>
                <w:szCs w:val="24"/>
              </w:rPr>
              <w:t>Predictive Margins for the Criminal Justice Contact Final Logistic Regression Model</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_Toc482112711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136</w:t>
            </w:r>
            <w:r w:rsidR="003640A4" w:rsidRPr="002F01B9">
              <w:rPr>
                <w:rFonts w:ascii="Arial" w:hAnsi="Arial" w:cs="Arial"/>
                <w:noProof/>
                <w:webHidden/>
                <w:sz w:val="24"/>
                <w:szCs w:val="24"/>
              </w:rPr>
              <w:fldChar w:fldCharType="end"/>
            </w:r>
          </w:hyperlink>
        </w:p>
        <w:p w14:paraId="121F1B97"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12" w:history="1">
            <w:r w:rsidR="003640A4" w:rsidRPr="002F01B9">
              <w:rPr>
                <w:rStyle w:val="Hyperlink"/>
                <w:rFonts w:ascii="Arial" w:eastAsia="ＭＳ ゴシック" w:hAnsi="Arial" w:cs="Arial"/>
                <w:i/>
                <w:noProof/>
                <w:sz w:val="24"/>
                <w:szCs w:val="24"/>
              </w:rPr>
              <w:t>Summary</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_Toc482112712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153</w:t>
            </w:r>
            <w:r w:rsidR="003640A4" w:rsidRPr="002F01B9">
              <w:rPr>
                <w:rFonts w:ascii="Arial" w:hAnsi="Arial" w:cs="Arial"/>
                <w:noProof/>
                <w:webHidden/>
                <w:sz w:val="24"/>
                <w:szCs w:val="24"/>
              </w:rPr>
              <w:fldChar w:fldCharType="end"/>
            </w:r>
          </w:hyperlink>
        </w:p>
        <w:p w14:paraId="4E722534" w14:textId="77777777" w:rsidR="003640A4" w:rsidRPr="002F01B9" w:rsidRDefault="005670AF" w:rsidP="002F01B9">
          <w:pPr>
            <w:pStyle w:val="TOC1"/>
            <w:rPr>
              <w:rFonts w:ascii="Arial" w:eastAsiaTheme="minorEastAsia" w:hAnsi="Arial" w:cs="Arial"/>
              <w:b w:val="0"/>
              <w:bCs w:val="0"/>
              <w:caps w:val="0"/>
              <w:noProof/>
              <w:sz w:val="24"/>
              <w:szCs w:val="24"/>
            </w:rPr>
          </w:pPr>
          <w:hyperlink w:anchor="_Toc482112713" w:history="1">
            <w:r w:rsidR="003640A4" w:rsidRPr="002F01B9">
              <w:rPr>
                <w:rStyle w:val="Hyperlink"/>
                <w:rFonts w:ascii="Arial" w:eastAsia="ＭＳ ゴシック" w:hAnsi="Arial" w:cs="Arial"/>
                <w:noProof/>
                <w:sz w:val="24"/>
                <w:szCs w:val="24"/>
              </w:rPr>
              <w:t>Chapter 7: Discussion and Conclusion</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_Toc482112713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156</w:t>
            </w:r>
            <w:r w:rsidR="003640A4" w:rsidRPr="002F01B9">
              <w:rPr>
                <w:rFonts w:ascii="Arial" w:hAnsi="Arial" w:cs="Arial"/>
                <w:noProof/>
                <w:webHidden/>
                <w:sz w:val="24"/>
                <w:szCs w:val="24"/>
              </w:rPr>
              <w:fldChar w:fldCharType="end"/>
            </w:r>
          </w:hyperlink>
        </w:p>
        <w:p w14:paraId="0C0A2252"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14" w:history="1">
            <w:r w:rsidR="003640A4" w:rsidRPr="002F01B9">
              <w:rPr>
                <w:rStyle w:val="Hyperlink"/>
                <w:rFonts w:ascii="Arial" w:eastAsia="ＭＳ ゴシック" w:hAnsi="Arial" w:cs="Arial"/>
                <w:i/>
                <w:noProof/>
                <w:sz w:val="24"/>
                <w:szCs w:val="24"/>
              </w:rPr>
              <w:t>Early Sexual Initiation</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_Toc482112714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162</w:t>
            </w:r>
            <w:r w:rsidR="003640A4" w:rsidRPr="002F01B9">
              <w:rPr>
                <w:rFonts w:ascii="Arial" w:hAnsi="Arial" w:cs="Arial"/>
                <w:noProof/>
                <w:webHidden/>
                <w:sz w:val="24"/>
                <w:szCs w:val="24"/>
              </w:rPr>
              <w:fldChar w:fldCharType="end"/>
            </w:r>
          </w:hyperlink>
        </w:p>
        <w:p w14:paraId="7BD362E0"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15" w:history="1">
            <w:r w:rsidR="003640A4" w:rsidRPr="002F01B9">
              <w:rPr>
                <w:rStyle w:val="Hyperlink"/>
                <w:rFonts w:ascii="Arial" w:eastAsia="ＭＳ ゴシック" w:hAnsi="Arial" w:cs="Arial"/>
                <w:i/>
                <w:noProof/>
                <w:sz w:val="24"/>
                <w:szCs w:val="24"/>
              </w:rPr>
              <w:t>Criminal Justice Contact</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_Toc482112715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171</w:t>
            </w:r>
            <w:r w:rsidR="003640A4" w:rsidRPr="002F01B9">
              <w:rPr>
                <w:rFonts w:ascii="Arial" w:hAnsi="Arial" w:cs="Arial"/>
                <w:noProof/>
                <w:webHidden/>
                <w:sz w:val="24"/>
                <w:szCs w:val="24"/>
              </w:rPr>
              <w:fldChar w:fldCharType="end"/>
            </w:r>
          </w:hyperlink>
        </w:p>
        <w:p w14:paraId="77852954"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16" w:history="1">
            <w:r w:rsidR="003640A4" w:rsidRPr="002F01B9">
              <w:rPr>
                <w:rStyle w:val="Hyperlink"/>
                <w:rFonts w:ascii="Arial" w:eastAsia="ＭＳ ゴシック" w:hAnsi="Arial" w:cs="Arial"/>
                <w:i/>
                <w:noProof/>
                <w:sz w:val="24"/>
                <w:szCs w:val="24"/>
              </w:rPr>
              <w:t>Limitations, Future Research, and Policy Implications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_Toc482112716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179</w:t>
            </w:r>
            <w:r w:rsidR="003640A4" w:rsidRPr="002F01B9">
              <w:rPr>
                <w:rFonts w:ascii="Arial" w:hAnsi="Arial" w:cs="Arial"/>
                <w:noProof/>
                <w:webHidden/>
                <w:sz w:val="24"/>
                <w:szCs w:val="24"/>
              </w:rPr>
              <w:fldChar w:fldCharType="end"/>
            </w:r>
          </w:hyperlink>
        </w:p>
        <w:p w14:paraId="4A8F6264" w14:textId="77777777" w:rsidR="003640A4" w:rsidRPr="002F01B9" w:rsidRDefault="005670AF" w:rsidP="002F01B9">
          <w:pPr>
            <w:pStyle w:val="TOC2"/>
            <w:tabs>
              <w:tab w:val="right" w:leader="dot" w:pos="8486"/>
            </w:tabs>
            <w:spacing w:line="480" w:lineRule="auto"/>
            <w:rPr>
              <w:rFonts w:ascii="Arial" w:eastAsiaTheme="minorEastAsia" w:hAnsi="Arial" w:cs="Arial"/>
              <w:smallCaps w:val="0"/>
              <w:noProof/>
              <w:sz w:val="24"/>
              <w:szCs w:val="24"/>
            </w:rPr>
          </w:pPr>
          <w:hyperlink w:anchor="_Toc482112717" w:history="1">
            <w:r w:rsidR="003640A4" w:rsidRPr="002F01B9">
              <w:rPr>
                <w:rStyle w:val="Hyperlink"/>
                <w:rFonts w:ascii="Arial" w:eastAsia="ＭＳ ゴシック" w:hAnsi="Arial" w:cs="Arial"/>
                <w:i/>
                <w:noProof/>
                <w:sz w:val="24"/>
                <w:szCs w:val="24"/>
              </w:rPr>
              <w:t>Conclusion</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_Toc482112717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184</w:t>
            </w:r>
            <w:r w:rsidR="003640A4" w:rsidRPr="002F01B9">
              <w:rPr>
                <w:rFonts w:ascii="Arial" w:hAnsi="Arial" w:cs="Arial"/>
                <w:noProof/>
                <w:webHidden/>
                <w:sz w:val="24"/>
                <w:szCs w:val="24"/>
              </w:rPr>
              <w:fldChar w:fldCharType="end"/>
            </w:r>
          </w:hyperlink>
        </w:p>
        <w:p w14:paraId="79BE7F4D" w14:textId="77777777" w:rsidR="003640A4" w:rsidRDefault="005670AF" w:rsidP="002F01B9">
          <w:pPr>
            <w:pStyle w:val="TOC1"/>
            <w:rPr>
              <w:rFonts w:eastAsiaTheme="minorEastAsia" w:cstheme="minorBidi"/>
              <w:b w:val="0"/>
              <w:bCs w:val="0"/>
              <w:caps w:val="0"/>
              <w:noProof/>
              <w:sz w:val="24"/>
              <w:szCs w:val="24"/>
            </w:rPr>
          </w:pPr>
          <w:hyperlink w:anchor="_Toc482112718" w:history="1">
            <w:r w:rsidR="003640A4" w:rsidRPr="002F01B9">
              <w:rPr>
                <w:rStyle w:val="Hyperlink"/>
                <w:rFonts w:ascii="Arial" w:eastAsia="Calibri" w:hAnsi="Arial" w:cs="Arial"/>
                <w:noProof/>
                <w:sz w:val="24"/>
                <w:szCs w:val="24"/>
              </w:rPr>
              <w:t>References</w:t>
            </w:r>
            <w:r w:rsidR="003640A4" w:rsidRPr="002F01B9">
              <w:rPr>
                <w:rFonts w:ascii="Arial" w:hAnsi="Arial" w:cs="Arial"/>
                <w:noProof/>
                <w:webHidden/>
                <w:sz w:val="24"/>
                <w:szCs w:val="24"/>
              </w:rPr>
              <w:tab/>
            </w:r>
            <w:r w:rsidR="003640A4" w:rsidRPr="002F01B9">
              <w:rPr>
                <w:rFonts w:ascii="Arial" w:hAnsi="Arial" w:cs="Arial"/>
                <w:noProof/>
                <w:webHidden/>
                <w:sz w:val="24"/>
                <w:szCs w:val="24"/>
              </w:rPr>
              <w:fldChar w:fldCharType="begin"/>
            </w:r>
            <w:r w:rsidR="003640A4" w:rsidRPr="002F01B9">
              <w:rPr>
                <w:rFonts w:ascii="Arial" w:hAnsi="Arial" w:cs="Arial"/>
                <w:noProof/>
                <w:webHidden/>
                <w:sz w:val="24"/>
                <w:szCs w:val="24"/>
              </w:rPr>
              <w:instrText xml:space="preserve"> PAGEREF _Toc482112718 \h </w:instrText>
            </w:r>
            <w:r w:rsidR="003640A4" w:rsidRPr="002F01B9">
              <w:rPr>
                <w:rFonts w:ascii="Arial" w:hAnsi="Arial" w:cs="Arial"/>
                <w:noProof/>
                <w:webHidden/>
                <w:sz w:val="24"/>
                <w:szCs w:val="24"/>
              </w:rPr>
            </w:r>
            <w:r w:rsidR="003640A4" w:rsidRPr="002F01B9">
              <w:rPr>
                <w:rFonts w:ascii="Arial" w:hAnsi="Arial" w:cs="Arial"/>
                <w:noProof/>
                <w:webHidden/>
                <w:sz w:val="24"/>
                <w:szCs w:val="24"/>
              </w:rPr>
              <w:fldChar w:fldCharType="separate"/>
            </w:r>
            <w:r w:rsidR="00FA12E2">
              <w:rPr>
                <w:rFonts w:ascii="Arial" w:hAnsi="Arial" w:cs="Arial"/>
                <w:noProof/>
                <w:webHidden/>
                <w:sz w:val="24"/>
                <w:szCs w:val="24"/>
              </w:rPr>
              <w:t>187</w:t>
            </w:r>
            <w:r w:rsidR="003640A4" w:rsidRPr="002F01B9">
              <w:rPr>
                <w:rFonts w:ascii="Arial" w:hAnsi="Arial" w:cs="Arial"/>
                <w:noProof/>
                <w:webHidden/>
                <w:sz w:val="24"/>
                <w:szCs w:val="24"/>
              </w:rPr>
              <w:fldChar w:fldCharType="end"/>
            </w:r>
          </w:hyperlink>
        </w:p>
        <w:p w14:paraId="12082D18" w14:textId="08A89BB6" w:rsidR="0052193D" w:rsidRDefault="0052193D" w:rsidP="005D42AB">
          <w:pPr>
            <w:spacing w:line="480" w:lineRule="auto"/>
          </w:pPr>
          <w:r w:rsidRPr="005D42AB">
            <w:rPr>
              <w:b/>
              <w:bCs/>
              <w:noProof/>
            </w:rPr>
            <w:fldChar w:fldCharType="end"/>
          </w:r>
        </w:p>
      </w:sdtContent>
    </w:sdt>
    <w:p w14:paraId="7CBE23DA" w14:textId="77777777" w:rsidR="00B15514" w:rsidRDefault="00B15514">
      <w:pPr>
        <w:rPr>
          <w:rFonts w:asciiTheme="minorHAnsi" w:hAnsiTheme="minorHAnsi" w:cstheme="minorHAnsi"/>
        </w:rPr>
      </w:pPr>
      <w:r>
        <w:rPr>
          <w:rFonts w:asciiTheme="minorHAnsi" w:hAnsiTheme="minorHAnsi" w:cstheme="minorHAnsi"/>
        </w:rPr>
        <w:br w:type="page"/>
      </w:r>
    </w:p>
    <w:p w14:paraId="3006385D" w14:textId="57E23433" w:rsidR="0030428F" w:rsidRPr="007D4D0F" w:rsidRDefault="00186B5A" w:rsidP="005D42AB">
      <w:pPr>
        <w:pStyle w:val="Heading1"/>
        <w:rPr>
          <w:rFonts w:eastAsia="Calibri"/>
          <w:noProof/>
        </w:rPr>
      </w:pPr>
      <w:bookmarkStart w:id="1" w:name="_Toc482112666"/>
      <w:r>
        <w:rPr>
          <w:rFonts w:eastAsia="Calibri"/>
          <w:noProof/>
        </w:rPr>
        <w:lastRenderedPageBreak/>
        <w:t>List of Tables</w:t>
      </w:r>
      <w:bookmarkEnd w:id="1"/>
    </w:p>
    <w:p w14:paraId="4B97905B" w14:textId="112D493D" w:rsidR="00C83818" w:rsidRPr="00C83818" w:rsidRDefault="0030428F" w:rsidP="00C83818">
      <w:pPr>
        <w:pStyle w:val="TOC1"/>
        <w:rPr>
          <w:rFonts w:ascii="Arial" w:hAnsi="Arial"/>
          <w:b w:val="0"/>
          <w:caps w:val="0"/>
          <w:noProof/>
          <w:sz w:val="24"/>
        </w:rPr>
      </w:pPr>
      <w:r w:rsidRPr="00D714A2">
        <w:rPr>
          <w:rFonts w:ascii="Arial" w:eastAsia="Calibri" w:hAnsi="Arial"/>
          <w:b w:val="0"/>
          <w:caps w:val="0"/>
          <w:noProof/>
          <w:sz w:val="24"/>
        </w:rPr>
        <w:t>Table 3.1: NSCAW CPS Sample: Targeted, Selected, and Responding Sample Size</w:t>
      </w:r>
      <w:r w:rsidRPr="00D714A2">
        <w:rPr>
          <w:rFonts w:ascii="Arial" w:hAnsi="Arial"/>
          <w:b w:val="0"/>
          <w:caps w:val="0"/>
          <w:noProof/>
          <w:sz w:val="24"/>
        </w:rPr>
        <w:tab/>
      </w:r>
      <w:r w:rsidR="00C83818">
        <w:rPr>
          <w:rFonts w:ascii="Arial" w:hAnsi="Arial"/>
          <w:b w:val="0"/>
          <w:caps w:val="0"/>
          <w:noProof/>
          <w:sz w:val="24"/>
        </w:rPr>
        <w:t>49</w:t>
      </w:r>
    </w:p>
    <w:p w14:paraId="3208BB27" w14:textId="77777777"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3.2: Summary of Missing Cases for Age-Eligible Early Sexual Initiation (n=1,752)</w:t>
      </w:r>
      <w:r w:rsidRPr="00D714A2">
        <w:rPr>
          <w:rFonts w:ascii="Arial" w:hAnsi="Arial"/>
          <w:b w:val="0"/>
          <w:caps w:val="0"/>
          <w:noProof/>
          <w:sz w:val="24"/>
        </w:rPr>
        <w:tab/>
      </w:r>
      <w:r w:rsidRPr="00D714A2">
        <w:rPr>
          <w:rFonts w:ascii="Arial" w:hAnsi="Arial"/>
          <w:b w:val="0"/>
          <w:caps w:val="0"/>
          <w:noProof/>
          <w:sz w:val="24"/>
        </w:rPr>
        <w:fldChar w:fldCharType="begin"/>
      </w:r>
      <w:r w:rsidRPr="00D714A2">
        <w:rPr>
          <w:rFonts w:ascii="Arial" w:hAnsi="Arial"/>
          <w:b w:val="0"/>
          <w:caps w:val="0"/>
          <w:noProof/>
          <w:sz w:val="24"/>
        </w:rPr>
        <w:instrText xml:space="preserve"> PAGEREF _Toc479941210 \h </w:instrText>
      </w:r>
      <w:r w:rsidRPr="00D714A2">
        <w:rPr>
          <w:rFonts w:ascii="Arial" w:hAnsi="Arial"/>
          <w:b w:val="0"/>
          <w:caps w:val="0"/>
          <w:noProof/>
          <w:sz w:val="24"/>
        </w:rPr>
      </w:r>
      <w:r w:rsidRPr="00D714A2">
        <w:rPr>
          <w:rFonts w:ascii="Arial" w:hAnsi="Arial"/>
          <w:b w:val="0"/>
          <w:caps w:val="0"/>
          <w:noProof/>
          <w:sz w:val="24"/>
        </w:rPr>
        <w:fldChar w:fldCharType="separate"/>
      </w:r>
      <w:r w:rsidR="00FA12E2">
        <w:rPr>
          <w:rFonts w:ascii="Arial" w:hAnsi="Arial"/>
          <w:b w:val="0"/>
          <w:caps w:val="0"/>
          <w:noProof/>
          <w:sz w:val="24"/>
        </w:rPr>
        <w:t>57</w:t>
      </w:r>
      <w:r w:rsidRPr="00D714A2">
        <w:rPr>
          <w:rFonts w:ascii="Arial" w:hAnsi="Arial"/>
          <w:b w:val="0"/>
          <w:caps w:val="0"/>
          <w:noProof/>
          <w:sz w:val="24"/>
        </w:rPr>
        <w:fldChar w:fldCharType="end"/>
      </w:r>
    </w:p>
    <w:p w14:paraId="14008DD4" w14:textId="77777777"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3.3: Summary of 580 Early Sexual Initiation Cases With Missing Weights by Wave</w:t>
      </w:r>
      <w:r w:rsidRPr="00D714A2">
        <w:rPr>
          <w:rFonts w:ascii="Arial" w:hAnsi="Arial"/>
          <w:b w:val="0"/>
          <w:caps w:val="0"/>
          <w:noProof/>
          <w:sz w:val="24"/>
        </w:rPr>
        <w:tab/>
      </w:r>
      <w:r w:rsidRPr="00D714A2">
        <w:rPr>
          <w:rFonts w:ascii="Arial" w:hAnsi="Arial"/>
          <w:b w:val="0"/>
          <w:caps w:val="0"/>
          <w:noProof/>
          <w:sz w:val="24"/>
        </w:rPr>
        <w:fldChar w:fldCharType="begin"/>
      </w:r>
      <w:r w:rsidRPr="00D714A2">
        <w:rPr>
          <w:rFonts w:ascii="Arial" w:hAnsi="Arial"/>
          <w:b w:val="0"/>
          <w:caps w:val="0"/>
          <w:noProof/>
          <w:sz w:val="24"/>
        </w:rPr>
        <w:instrText xml:space="preserve"> PAGEREF _Toc479941211 \h </w:instrText>
      </w:r>
      <w:r w:rsidRPr="00D714A2">
        <w:rPr>
          <w:rFonts w:ascii="Arial" w:hAnsi="Arial"/>
          <w:b w:val="0"/>
          <w:caps w:val="0"/>
          <w:noProof/>
          <w:sz w:val="24"/>
        </w:rPr>
      </w:r>
      <w:r w:rsidRPr="00D714A2">
        <w:rPr>
          <w:rFonts w:ascii="Arial" w:hAnsi="Arial"/>
          <w:b w:val="0"/>
          <w:caps w:val="0"/>
          <w:noProof/>
          <w:sz w:val="24"/>
        </w:rPr>
        <w:fldChar w:fldCharType="separate"/>
      </w:r>
      <w:r w:rsidR="00FA12E2">
        <w:rPr>
          <w:rFonts w:ascii="Arial" w:hAnsi="Arial"/>
          <w:b w:val="0"/>
          <w:caps w:val="0"/>
          <w:noProof/>
          <w:sz w:val="24"/>
        </w:rPr>
        <w:t>58</w:t>
      </w:r>
      <w:r w:rsidRPr="00D714A2">
        <w:rPr>
          <w:rFonts w:ascii="Arial" w:hAnsi="Arial"/>
          <w:b w:val="0"/>
          <w:caps w:val="0"/>
          <w:noProof/>
          <w:sz w:val="24"/>
        </w:rPr>
        <w:fldChar w:fldCharType="end"/>
      </w:r>
    </w:p>
    <w:p w14:paraId="744DBC81" w14:textId="77777777"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3.4: Summary of Missing Cases for Age-Eligible Criminal Justice Contact Sample (n=2,671)</w:t>
      </w:r>
      <w:r w:rsidRPr="00D714A2">
        <w:rPr>
          <w:rFonts w:ascii="Arial" w:hAnsi="Arial"/>
          <w:b w:val="0"/>
          <w:caps w:val="0"/>
          <w:noProof/>
          <w:sz w:val="24"/>
        </w:rPr>
        <w:tab/>
      </w:r>
      <w:r w:rsidRPr="00D714A2">
        <w:rPr>
          <w:rFonts w:ascii="Arial" w:hAnsi="Arial"/>
          <w:b w:val="0"/>
          <w:caps w:val="0"/>
          <w:noProof/>
          <w:sz w:val="24"/>
        </w:rPr>
        <w:fldChar w:fldCharType="begin"/>
      </w:r>
      <w:r w:rsidRPr="00D714A2">
        <w:rPr>
          <w:rFonts w:ascii="Arial" w:hAnsi="Arial"/>
          <w:b w:val="0"/>
          <w:caps w:val="0"/>
          <w:noProof/>
          <w:sz w:val="24"/>
        </w:rPr>
        <w:instrText xml:space="preserve"> PAGEREF _Toc479941212 \h </w:instrText>
      </w:r>
      <w:r w:rsidRPr="00D714A2">
        <w:rPr>
          <w:rFonts w:ascii="Arial" w:hAnsi="Arial"/>
          <w:b w:val="0"/>
          <w:caps w:val="0"/>
          <w:noProof/>
          <w:sz w:val="24"/>
        </w:rPr>
      </w:r>
      <w:r w:rsidRPr="00D714A2">
        <w:rPr>
          <w:rFonts w:ascii="Arial" w:hAnsi="Arial"/>
          <w:b w:val="0"/>
          <w:caps w:val="0"/>
          <w:noProof/>
          <w:sz w:val="24"/>
        </w:rPr>
        <w:fldChar w:fldCharType="separate"/>
      </w:r>
      <w:r w:rsidR="00FA12E2">
        <w:rPr>
          <w:rFonts w:ascii="Arial" w:hAnsi="Arial"/>
          <w:b w:val="0"/>
          <w:caps w:val="0"/>
          <w:noProof/>
          <w:sz w:val="24"/>
        </w:rPr>
        <w:t>59</w:t>
      </w:r>
      <w:r w:rsidRPr="00D714A2">
        <w:rPr>
          <w:rFonts w:ascii="Arial" w:hAnsi="Arial"/>
          <w:b w:val="0"/>
          <w:caps w:val="0"/>
          <w:noProof/>
          <w:sz w:val="24"/>
        </w:rPr>
        <w:fldChar w:fldCharType="end"/>
      </w:r>
    </w:p>
    <w:p w14:paraId="65458D6F" w14:textId="77777777"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3.5: Summary of Criminal Justice Contact Cases With Missing Weights by Wave</w:t>
      </w:r>
      <w:r w:rsidRPr="00D714A2">
        <w:rPr>
          <w:rFonts w:ascii="Arial" w:hAnsi="Arial"/>
          <w:b w:val="0"/>
          <w:caps w:val="0"/>
          <w:noProof/>
          <w:sz w:val="24"/>
        </w:rPr>
        <w:tab/>
      </w:r>
      <w:r w:rsidRPr="00D714A2">
        <w:rPr>
          <w:rFonts w:ascii="Arial" w:hAnsi="Arial"/>
          <w:b w:val="0"/>
          <w:caps w:val="0"/>
          <w:noProof/>
          <w:sz w:val="24"/>
        </w:rPr>
        <w:fldChar w:fldCharType="begin"/>
      </w:r>
      <w:r w:rsidRPr="00D714A2">
        <w:rPr>
          <w:rFonts w:ascii="Arial" w:hAnsi="Arial"/>
          <w:b w:val="0"/>
          <w:caps w:val="0"/>
          <w:noProof/>
          <w:sz w:val="24"/>
        </w:rPr>
        <w:instrText xml:space="preserve"> PAGEREF _Toc479941213 \h </w:instrText>
      </w:r>
      <w:r w:rsidRPr="00D714A2">
        <w:rPr>
          <w:rFonts w:ascii="Arial" w:hAnsi="Arial"/>
          <w:b w:val="0"/>
          <w:caps w:val="0"/>
          <w:noProof/>
          <w:sz w:val="24"/>
        </w:rPr>
      </w:r>
      <w:r w:rsidRPr="00D714A2">
        <w:rPr>
          <w:rFonts w:ascii="Arial" w:hAnsi="Arial"/>
          <w:b w:val="0"/>
          <w:caps w:val="0"/>
          <w:noProof/>
          <w:sz w:val="24"/>
        </w:rPr>
        <w:fldChar w:fldCharType="separate"/>
      </w:r>
      <w:r w:rsidR="00FA12E2">
        <w:rPr>
          <w:rFonts w:ascii="Arial" w:hAnsi="Arial"/>
          <w:b w:val="0"/>
          <w:caps w:val="0"/>
          <w:noProof/>
          <w:sz w:val="24"/>
        </w:rPr>
        <w:t>61</w:t>
      </w:r>
      <w:r w:rsidRPr="00D714A2">
        <w:rPr>
          <w:rFonts w:ascii="Arial" w:hAnsi="Arial"/>
          <w:b w:val="0"/>
          <w:caps w:val="0"/>
          <w:noProof/>
          <w:sz w:val="24"/>
        </w:rPr>
        <w:fldChar w:fldCharType="end"/>
      </w:r>
    </w:p>
    <w:p w14:paraId="384FBCCF" w14:textId="63417165"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4.1: Responses for Age at Sexual Initiation (SX#2A)</w:t>
      </w:r>
      <w:r w:rsidRPr="00D714A2">
        <w:rPr>
          <w:rFonts w:ascii="Arial" w:hAnsi="Arial"/>
          <w:b w:val="0"/>
          <w:caps w:val="0"/>
          <w:noProof/>
          <w:sz w:val="24"/>
        </w:rPr>
        <w:tab/>
      </w:r>
      <w:r w:rsidR="00AA6F41">
        <w:rPr>
          <w:rFonts w:ascii="Arial" w:hAnsi="Arial"/>
          <w:b w:val="0"/>
          <w:caps w:val="0"/>
          <w:noProof/>
          <w:sz w:val="24"/>
        </w:rPr>
        <w:t>64</w:t>
      </w:r>
    </w:p>
    <w:p w14:paraId="660B10BD" w14:textId="1BDF5C3D"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4.2: Age at First Sex (SX510A)</w:t>
      </w:r>
      <w:r w:rsidRPr="00D714A2">
        <w:rPr>
          <w:rFonts w:ascii="Arial" w:hAnsi="Arial"/>
          <w:b w:val="0"/>
          <w:caps w:val="0"/>
          <w:noProof/>
          <w:sz w:val="24"/>
        </w:rPr>
        <w:tab/>
      </w:r>
      <w:r w:rsidR="00AA6F41">
        <w:rPr>
          <w:rFonts w:ascii="Arial" w:hAnsi="Arial"/>
          <w:b w:val="0"/>
          <w:caps w:val="0"/>
          <w:noProof/>
          <w:sz w:val="24"/>
        </w:rPr>
        <w:t>65</w:t>
      </w:r>
    </w:p>
    <w:p w14:paraId="518DFDB3" w14:textId="30211983"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4.3: Arrest Past 6 Months Across all Waves (DE#71A)</w:t>
      </w:r>
      <w:r w:rsidRPr="00D714A2">
        <w:rPr>
          <w:rFonts w:ascii="Arial" w:hAnsi="Arial"/>
          <w:b w:val="0"/>
          <w:caps w:val="0"/>
          <w:noProof/>
          <w:sz w:val="24"/>
        </w:rPr>
        <w:tab/>
      </w:r>
      <w:r w:rsidR="00AA6F41">
        <w:rPr>
          <w:rFonts w:ascii="Arial" w:hAnsi="Arial"/>
          <w:b w:val="0"/>
          <w:caps w:val="0"/>
          <w:noProof/>
          <w:sz w:val="24"/>
        </w:rPr>
        <w:t>67</w:t>
      </w:r>
    </w:p>
    <w:p w14:paraId="4F4A8A1A" w14:textId="6CE105CD"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4.4: Ever Been Arrested for Any Offense (YL51A)</w:t>
      </w:r>
      <w:r w:rsidRPr="00D714A2">
        <w:rPr>
          <w:rFonts w:ascii="Arial" w:hAnsi="Arial"/>
          <w:b w:val="0"/>
          <w:caps w:val="0"/>
          <w:noProof/>
          <w:sz w:val="24"/>
        </w:rPr>
        <w:tab/>
      </w:r>
      <w:r w:rsidR="00FE2984">
        <w:rPr>
          <w:rFonts w:ascii="Arial" w:hAnsi="Arial"/>
          <w:b w:val="0"/>
          <w:caps w:val="0"/>
          <w:noProof/>
          <w:sz w:val="24"/>
        </w:rPr>
        <w:t>67</w:t>
      </w:r>
    </w:p>
    <w:p w14:paraId="79A0EB9F" w14:textId="4B809404"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4.5: Behavior Problem Index Questions</w:t>
      </w:r>
      <w:r w:rsidRPr="00D714A2">
        <w:rPr>
          <w:rFonts w:ascii="Arial" w:hAnsi="Arial"/>
          <w:b w:val="0"/>
          <w:caps w:val="0"/>
          <w:noProof/>
          <w:sz w:val="24"/>
        </w:rPr>
        <w:tab/>
      </w:r>
      <w:r w:rsidR="00FE2984">
        <w:rPr>
          <w:rFonts w:ascii="Arial" w:hAnsi="Arial"/>
          <w:b w:val="0"/>
          <w:caps w:val="0"/>
          <w:noProof/>
          <w:sz w:val="24"/>
        </w:rPr>
        <w:t>71</w:t>
      </w:r>
    </w:p>
    <w:p w14:paraId="2D7C2D59" w14:textId="10D497F2"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4.6: BPI Self-Control Item Rotated Factor Loadings</w:t>
      </w:r>
      <w:r w:rsidRPr="00D714A2">
        <w:rPr>
          <w:rFonts w:ascii="Arial" w:hAnsi="Arial"/>
          <w:b w:val="0"/>
          <w:caps w:val="0"/>
          <w:noProof/>
          <w:sz w:val="24"/>
        </w:rPr>
        <w:tab/>
      </w:r>
      <w:r w:rsidR="00FE2984">
        <w:rPr>
          <w:rFonts w:ascii="Arial" w:hAnsi="Arial"/>
          <w:b w:val="0"/>
          <w:caps w:val="0"/>
          <w:noProof/>
          <w:sz w:val="24"/>
        </w:rPr>
        <w:t>72</w:t>
      </w:r>
    </w:p>
    <w:p w14:paraId="0FE4691B" w14:textId="14487441"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5.1: Frequency Statistics for Age-eligible and Early Sexual Initiation Samples</w:t>
      </w:r>
      <w:r w:rsidRPr="00D714A2">
        <w:rPr>
          <w:rFonts w:ascii="Arial" w:hAnsi="Arial"/>
          <w:b w:val="0"/>
          <w:caps w:val="0"/>
          <w:noProof/>
          <w:sz w:val="24"/>
        </w:rPr>
        <w:tab/>
      </w:r>
      <w:r w:rsidR="00FE2984">
        <w:rPr>
          <w:rFonts w:ascii="Arial" w:hAnsi="Arial"/>
          <w:b w:val="0"/>
          <w:caps w:val="0"/>
          <w:noProof/>
          <w:sz w:val="24"/>
        </w:rPr>
        <w:t>84</w:t>
      </w:r>
    </w:p>
    <w:p w14:paraId="48A0E602" w14:textId="1B43B40B"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5.2: Descriptive Statistics for 15-Year-Old and Early Sexual Initiation Samples</w:t>
      </w:r>
      <w:r w:rsidRPr="00D714A2">
        <w:rPr>
          <w:rFonts w:ascii="Arial" w:hAnsi="Arial"/>
          <w:b w:val="0"/>
          <w:caps w:val="0"/>
          <w:noProof/>
          <w:sz w:val="24"/>
        </w:rPr>
        <w:tab/>
      </w:r>
      <w:r w:rsidR="00FE2984">
        <w:rPr>
          <w:rFonts w:ascii="Arial" w:hAnsi="Arial"/>
          <w:b w:val="0"/>
          <w:caps w:val="0"/>
          <w:noProof/>
          <w:sz w:val="24"/>
        </w:rPr>
        <w:t>85</w:t>
      </w:r>
    </w:p>
    <w:p w14:paraId="5FA4B337" w14:textId="40F3987E"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lastRenderedPageBreak/>
        <w:t>Table 5.3: Comparison of 12-Year-Old and Criminal Justice Contact Analytical Sample</w:t>
      </w:r>
      <w:r w:rsidRPr="00D714A2">
        <w:rPr>
          <w:rFonts w:ascii="Arial" w:hAnsi="Arial"/>
          <w:b w:val="0"/>
          <w:caps w:val="0"/>
          <w:noProof/>
          <w:sz w:val="24"/>
        </w:rPr>
        <w:tab/>
      </w:r>
      <w:r w:rsidR="00FE2984">
        <w:rPr>
          <w:rFonts w:ascii="Arial" w:hAnsi="Arial"/>
          <w:b w:val="0"/>
          <w:caps w:val="0"/>
          <w:noProof/>
          <w:sz w:val="24"/>
        </w:rPr>
        <w:t>85</w:t>
      </w:r>
    </w:p>
    <w:p w14:paraId="4C7C32AD" w14:textId="67527D73"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5.</w:t>
      </w:r>
      <w:r w:rsidR="00795E7B">
        <w:rPr>
          <w:rFonts w:ascii="Arial" w:eastAsia="Calibri" w:hAnsi="Arial"/>
          <w:b w:val="0"/>
          <w:caps w:val="0"/>
          <w:noProof/>
          <w:sz w:val="24"/>
        </w:rPr>
        <w:t>4:</w:t>
      </w:r>
      <w:r w:rsidRPr="00D714A2">
        <w:rPr>
          <w:rFonts w:ascii="Arial" w:eastAsia="Calibri" w:hAnsi="Arial"/>
          <w:b w:val="0"/>
          <w:caps w:val="0"/>
          <w:noProof/>
          <w:sz w:val="24"/>
        </w:rPr>
        <w:t xml:space="preserve"> Variance Inflation Factors for Final Logistic Regression Model</w:t>
      </w:r>
      <w:r w:rsidRPr="00D714A2">
        <w:rPr>
          <w:rFonts w:ascii="Arial" w:hAnsi="Arial"/>
          <w:b w:val="0"/>
          <w:caps w:val="0"/>
          <w:noProof/>
          <w:sz w:val="24"/>
        </w:rPr>
        <w:tab/>
      </w:r>
      <w:r w:rsidR="00FE2984">
        <w:rPr>
          <w:rFonts w:ascii="Arial" w:hAnsi="Arial"/>
          <w:b w:val="0"/>
          <w:caps w:val="0"/>
          <w:noProof/>
          <w:sz w:val="24"/>
        </w:rPr>
        <w:t>91</w:t>
      </w:r>
    </w:p>
    <w:p w14:paraId="459B66C8" w14:textId="393C9708" w:rsidR="0030428F" w:rsidRPr="00D714A2" w:rsidRDefault="00795E7B" w:rsidP="007D4D0F">
      <w:pPr>
        <w:pStyle w:val="TOC1"/>
        <w:rPr>
          <w:rFonts w:ascii="Arial" w:eastAsiaTheme="minorEastAsia" w:hAnsi="Arial"/>
          <w:b w:val="0"/>
          <w:caps w:val="0"/>
          <w:noProof/>
          <w:sz w:val="24"/>
          <w:szCs w:val="24"/>
        </w:rPr>
      </w:pPr>
      <w:r>
        <w:rPr>
          <w:rFonts w:ascii="Arial" w:eastAsia="Calibri" w:hAnsi="Arial"/>
          <w:b w:val="0"/>
          <w:caps w:val="0"/>
          <w:noProof/>
          <w:sz w:val="24"/>
        </w:rPr>
        <w:t>Table 5.5</w:t>
      </w:r>
      <w:r w:rsidR="0030428F" w:rsidRPr="00D714A2">
        <w:rPr>
          <w:rFonts w:ascii="Arial" w:eastAsia="Calibri" w:hAnsi="Arial"/>
          <w:b w:val="0"/>
          <w:caps w:val="0"/>
          <w:noProof/>
          <w:sz w:val="24"/>
        </w:rPr>
        <w:t>: Bivariate Relationships between Independent Variables and Early Sexual Initiation</w:t>
      </w:r>
      <w:r w:rsidR="0030428F" w:rsidRPr="00D714A2">
        <w:rPr>
          <w:rFonts w:ascii="Arial" w:hAnsi="Arial"/>
          <w:b w:val="0"/>
          <w:caps w:val="0"/>
          <w:noProof/>
          <w:sz w:val="24"/>
        </w:rPr>
        <w:tab/>
      </w:r>
      <w:r w:rsidR="00FE2984">
        <w:rPr>
          <w:rFonts w:ascii="Arial" w:hAnsi="Arial"/>
          <w:b w:val="0"/>
          <w:caps w:val="0"/>
          <w:noProof/>
          <w:sz w:val="24"/>
        </w:rPr>
        <w:t>91</w:t>
      </w:r>
    </w:p>
    <w:p w14:paraId="75C2EB6F" w14:textId="58A3ACDF" w:rsidR="0030428F" w:rsidRPr="00D714A2" w:rsidRDefault="00795E7B" w:rsidP="007D4D0F">
      <w:pPr>
        <w:pStyle w:val="TOC1"/>
        <w:rPr>
          <w:rFonts w:ascii="Arial" w:eastAsiaTheme="minorEastAsia" w:hAnsi="Arial"/>
          <w:b w:val="0"/>
          <w:caps w:val="0"/>
          <w:noProof/>
          <w:sz w:val="24"/>
          <w:szCs w:val="24"/>
        </w:rPr>
      </w:pPr>
      <w:r>
        <w:rPr>
          <w:rFonts w:ascii="Arial" w:eastAsia="Calibri" w:hAnsi="Arial"/>
          <w:b w:val="0"/>
          <w:caps w:val="0"/>
          <w:noProof/>
          <w:sz w:val="24"/>
        </w:rPr>
        <w:t>Table 5.6</w:t>
      </w:r>
      <w:r w:rsidR="0030428F" w:rsidRPr="00D714A2">
        <w:rPr>
          <w:rFonts w:ascii="Arial" w:eastAsia="Calibri" w:hAnsi="Arial"/>
          <w:b w:val="0"/>
          <w:caps w:val="0"/>
          <w:noProof/>
          <w:sz w:val="24"/>
        </w:rPr>
        <w:t>: Comparison of Means Between Early and Non-Early Initiators</w:t>
      </w:r>
      <w:r w:rsidR="0030428F" w:rsidRPr="00D714A2">
        <w:rPr>
          <w:rFonts w:ascii="Arial" w:hAnsi="Arial"/>
          <w:b w:val="0"/>
          <w:caps w:val="0"/>
          <w:noProof/>
          <w:sz w:val="24"/>
        </w:rPr>
        <w:tab/>
      </w:r>
      <w:r w:rsidR="00FE2984">
        <w:rPr>
          <w:rFonts w:ascii="Arial" w:hAnsi="Arial"/>
          <w:b w:val="0"/>
          <w:caps w:val="0"/>
          <w:noProof/>
          <w:sz w:val="24"/>
        </w:rPr>
        <w:t>93</w:t>
      </w:r>
    </w:p>
    <w:p w14:paraId="51CEE6ED" w14:textId="1B4D3FF9" w:rsidR="0030428F" w:rsidRPr="00D714A2" w:rsidRDefault="00795E7B" w:rsidP="007D4D0F">
      <w:pPr>
        <w:pStyle w:val="TOC1"/>
        <w:rPr>
          <w:rFonts w:ascii="Arial" w:eastAsiaTheme="minorEastAsia" w:hAnsi="Arial"/>
          <w:b w:val="0"/>
          <w:caps w:val="0"/>
          <w:noProof/>
          <w:sz w:val="24"/>
          <w:szCs w:val="24"/>
        </w:rPr>
      </w:pPr>
      <w:r>
        <w:rPr>
          <w:rFonts w:ascii="Arial" w:eastAsia="Calibri" w:hAnsi="Arial"/>
          <w:b w:val="0"/>
          <w:caps w:val="0"/>
          <w:noProof/>
          <w:sz w:val="24"/>
        </w:rPr>
        <w:t>Table 5.7</w:t>
      </w:r>
      <w:r w:rsidR="0030428F" w:rsidRPr="00D714A2">
        <w:rPr>
          <w:rFonts w:ascii="Arial" w:eastAsia="Calibri" w:hAnsi="Arial"/>
          <w:b w:val="0"/>
          <w:caps w:val="0"/>
          <w:noProof/>
          <w:sz w:val="24"/>
        </w:rPr>
        <w:t>: Logistic Regression of Early Sexual Initiation on Child and Case Predictors</w:t>
      </w:r>
      <w:r w:rsidR="0030428F" w:rsidRPr="00D714A2">
        <w:rPr>
          <w:rFonts w:ascii="Arial" w:hAnsi="Arial"/>
          <w:b w:val="0"/>
          <w:caps w:val="0"/>
          <w:noProof/>
          <w:sz w:val="24"/>
        </w:rPr>
        <w:tab/>
      </w:r>
      <w:r w:rsidR="00FE2984">
        <w:rPr>
          <w:rFonts w:ascii="Arial" w:hAnsi="Arial"/>
          <w:b w:val="0"/>
          <w:caps w:val="0"/>
          <w:noProof/>
          <w:sz w:val="24"/>
        </w:rPr>
        <w:t>95</w:t>
      </w:r>
    </w:p>
    <w:p w14:paraId="097DF7A1" w14:textId="6438CAFD" w:rsidR="0030428F" w:rsidRPr="00D714A2" w:rsidRDefault="00795E7B" w:rsidP="007D4D0F">
      <w:pPr>
        <w:pStyle w:val="TOC1"/>
        <w:rPr>
          <w:rFonts w:ascii="Arial" w:eastAsiaTheme="minorEastAsia" w:hAnsi="Arial"/>
          <w:b w:val="0"/>
          <w:caps w:val="0"/>
          <w:noProof/>
          <w:sz w:val="24"/>
          <w:szCs w:val="24"/>
        </w:rPr>
      </w:pPr>
      <w:r>
        <w:rPr>
          <w:rFonts w:ascii="Arial" w:eastAsia="Calibri" w:hAnsi="Arial"/>
          <w:b w:val="0"/>
          <w:caps w:val="0"/>
          <w:noProof/>
          <w:sz w:val="24"/>
        </w:rPr>
        <w:t>Table 5.8</w:t>
      </w:r>
      <w:r w:rsidR="0030428F" w:rsidRPr="00D714A2">
        <w:rPr>
          <w:rFonts w:ascii="Arial" w:eastAsia="Calibri" w:hAnsi="Arial"/>
          <w:b w:val="0"/>
          <w:caps w:val="0"/>
          <w:noProof/>
          <w:sz w:val="24"/>
        </w:rPr>
        <w:t xml:space="preserve"> Average Adjusted Predictions and Average Marginal Effects of Early Sexual Initiation by Child Characteristics</w:t>
      </w:r>
      <w:r w:rsidR="0030428F" w:rsidRPr="00D714A2">
        <w:rPr>
          <w:rFonts w:ascii="Arial" w:hAnsi="Arial"/>
          <w:b w:val="0"/>
          <w:caps w:val="0"/>
          <w:noProof/>
          <w:sz w:val="24"/>
        </w:rPr>
        <w:tab/>
      </w:r>
      <w:r w:rsidR="00FE2984">
        <w:rPr>
          <w:rFonts w:ascii="Arial" w:hAnsi="Arial"/>
          <w:b w:val="0"/>
          <w:caps w:val="0"/>
          <w:noProof/>
          <w:sz w:val="24"/>
        </w:rPr>
        <w:t>102</w:t>
      </w:r>
    </w:p>
    <w:p w14:paraId="409193AF" w14:textId="5E135112" w:rsidR="0030428F" w:rsidRPr="00D714A2" w:rsidRDefault="00795E7B" w:rsidP="007D4D0F">
      <w:pPr>
        <w:pStyle w:val="TOC1"/>
        <w:rPr>
          <w:rFonts w:ascii="Arial" w:eastAsiaTheme="minorEastAsia" w:hAnsi="Arial"/>
          <w:b w:val="0"/>
          <w:caps w:val="0"/>
          <w:noProof/>
          <w:sz w:val="24"/>
          <w:szCs w:val="24"/>
        </w:rPr>
      </w:pPr>
      <w:r>
        <w:rPr>
          <w:rFonts w:ascii="Arial" w:eastAsia="Calibri" w:hAnsi="Arial"/>
          <w:b w:val="0"/>
          <w:caps w:val="0"/>
          <w:noProof/>
          <w:sz w:val="24"/>
        </w:rPr>
        <w:t>Table 5.9</w:t>
      </w:r>
      <w:r w:rsidR="0030428F" w:rsidRPr="00D714A2">
        <w:rPr>
          <w:rFonts w:ascii="Arial" w:eastAsia="Calibri" w:hAnsi="Arial"/>
          <w:b w:val="0"/>
          <w:caps w:val="0"/>
          <w:noProof/>
          <w:sz w:val="24"/>
        </w:rPr>
        <w:t>: Average Adjusted Predictions for Age and Self-Control</w:t>
      </w:r>
      <w:r w:rsidR="0030428F" w:rsidRPr="00D714A2">
        <w:rPr>
          <w:rFonts w:ascii="Arial" w:hAnsi="Arial"/>
          <w:b w:val="0"/>
          <w:caps w:val="0"/>
          <w:noProof/>
          <w:sz w:val="24"/>
        </w:rPr>
        <w:tab/>
      </w:r>
      <w:r w:rsidR="00FE2984">
        <w:rPr>
          <w:rFonts w:ascii="Arial" w:hAnsi="Arial"/>
          <w:b w:val="0"/>
          <w:caps w:val="0"/>
          <w:noProof/>
          <w:sz w:val="24"/>
        </w:rPr>
        <w:t>105</w:t>
      </w:r>
    </w:p>
    <w:p w14:paraId="2BDB8342" w14:textId="4D97CEE0" w:rsidR="0030428F" w:rsidRPr="00D714A2" w:rsidRDefault="00795E7B" w:rsidP="007D4D0F">
      <w:pPr>
        <w:pStyle w:val="TOC1"/>
        <w:rPr>
          <w:rFonts w:ascii="Arial" w:eastAsiaTheme="minorEastAsia" w:hAnsi="Arial"/>
          <w:b w:val="0"/>
          <w:caps w:val="0"/>
          <w:noProof/>
          <w:sz w:val="24"/>
          <w:szCs w:val="24"/>
        </w:rPr>
      </w:pPr>
      <w:r>
        <w:rPr>
          <w:rFonts w:ascii="Arial" w:eastAsia="Calibri" w:hAnsi="Arial"/>
          <w:b w:val="0"/>
          <w:caps w:val="0"/>
          <w:noProof/>
          <w:sz w:val="24"/>
        </w:rPr>
        <w:t>Table 5.10</w:t>
      </w:r>
      <w:r w:rsidR="0030428F" w:rsidRPr="00D714A2">
        <w:rPr>
          <w:rFonts w:ascii="Arial" w:eastAsia="Calibri" w:hAnsi="Arial"/>
          <w:b w:val="0"/>
          <w:caps w:val="0"/>
          <w:noProof/>
          <w:sz w:val="24"/>
        </w:rPr>
        <w:t>: Average Marginal Effects for Gender*Case Substantiation</w:t>
      </w:r>
      <w:r w:rsidR="0030428F" w:rsidRPr="00D714A2">
        <w:rPr>
          <w:rFonts w:ascii="Arial" w:hAnsi="Arial"/>
          <w:b w:val="0"/>
          <w:caps w:val="0"/>
          <w:noProof/>
          <w:sz w:val="24"/>
        </w:rPr>
        <w:tab/>
      </w:r>
      <w:r w:rsidR="00FE2984">
        <w:rPr>
          <w:rFonts w:ascii="Arial" w:hAnsi="Arial"/>
          <w:b w:val="0"/>
          <w:caps w:val="0"/>
          <w:noProof/>
          <w:sz w:val="24"/>
        </w:rPr>
        <w:t>108</w:t>
      </w:r>
    </w:p>
    <w:p w14:paraId="1F4736EC" w14:textId="5885A8D7"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6.1: Frequency Statistics for Age-eligible and Criminal Justice Analytical Samples</w:t>
      </w:r>
      <w:r w:rsidRPr="00D714A2">
        <w:rPr>
          <w:rFonts w:ascii="Arial" w:hAnsi="Arial"/>
          <w:b w:val="0"/>
          <w:caps w:val="0"/>
          <w:noProof/>
          <w:sz w:val="24"/>
        </w:rPr>
        <w:tab/>
      </w:r>
      <w:r w:rsidR="00FE2984">
        <w:rPr>
          <w:rFonts w:ascii="Arial" w:hAnsi="Arial"/>
          <w:b w:val="0"/>
          <w:caps w:val="0"/>
          <w:noProof/>
          <w:sz w:val="24"/>
        </w:rPr>
        <w:t>120</w:t>
      </w:r>
    </w:p>
    <w:p w14:paraId="0A12BB34" w14:textId="330633F4"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6.2: Descriptive Statistics for 12-Year-Old and Criminal Justice Contact Analytical Sample</w:t>
      </w:r>
      <w:r w:rsidRPr="00D714A2">
        <w:rPr>
          <w:rFonts w:ascii="Arial" w:hAnsi="Arial"/>
          <w:b w:val="0"/>
          <w:caps w:val="0"/>
          <w:noProof/>
          <w:sz w:val="24"/>
        </w:rPr>
        <w:tab/>
      </w:r>
      <w:r w:rsidR="00FE2984">
        <w:rPr>
          <w:rFonts w:ascii="Arial" w:hAnsi="Arial"/>
          <w:b w:val="0"/>
          <w:caps w:val="0"/>
          <w:noProof/>
          <w:sz w:val="24"/>
        </w:rPr>
        <w:t>121</w:t>
      </w:r>
    </w:p>
    <w:p w14:paraId="0BA4679A" w14:textId="104B43E9" w:rsidR="0030428F" w:rsidRPr="00D714A2" w:rsidRDefault="0030428F" w:rsidP="007D4D0F">
      <w:pPr>
        <w:pStyle w:val="TOC1"/>
        <w:rPr>
          <w:rFonts w:ascii="Arial" w:eastAsiaTheme="minorEastAsia" w:hAnsi="Arial"/>
          <w:b w:val="0"/>
          <w:caps w:val="0"/>
          <w:noProof/>
          <w:sz w:val="24"/>
          <w:szCs w:val="24"/>
        </w:rPr>
      </w:pPr>
      <w:r w:rsidRPr="00D714A2">
        <w:rPr>
          <w:rFonts w:ascii="Arial" w:eastAsia="Calibri" w:hAnsi="Arial"/>
          <w:b w:val="0"/>
          <w:caps w:val="0"/>
          <w:noProof/>
          <w:sz w:val="24"/>
        </w:rPr>
        <w:t>Table 6.3: Comparison of 12-Year-Old and Criminal Justice Contact Analytical Sample</w:t>
      </w:r>
      <w:r w:rsidRPr="00D714A2">
        <w:rPr>
          <w:rFonts w:ascii="Arial" w:hAnsi="Arial"/>
          <w:b w:val="0"/>
          <w:caps w:val="0"/>
          <w:noProof/>
          <w:sz w:val="24"/>
        </w:rPr>
        <w:tab/>
      </w:r>
      <w:r w:rsidR="00ED3719">
        <w:rPr>
          <w:rFonts w:ascii="Arial" w:hAnsi="Arial"/>
          <w:b w:val="0"/>
          <w:caps w:val="0"/>
          <w:noProof/>
          <w:sz w:val="24"/>
        </w:rPr>
        <w:t>121</w:t>
      </w:r>
    </w:p>
    <w:p w14:paraId="22A0F819" w14:textId="00DB60D3" w:rsidR="0030428F" w:rsidRPr="00D714A2" w:rsidRDefault="00ED3719" w:rsidP="007D4D0F">
      <w:pPr>
        <w:pStyle w:val="TOC1"/>
        <w:rPr>
          <w:rFonts w:ascii="Arial" w:eastAsiaTheme="minorEastAsia" w:hAnsi="Arial"/>
          <w:b w:val="0"/>
          <w:caps w:val="0"/>
          <w:noProof/>
          <w:sz w:val="24"/>
          <w:szCs w:val="24"/>
        </w:rPr>
      </w:pPr>
      <w:r>
        <w:rPr>
          <w:rFonts w:ascii="Arial" w:eastAsia="Calibri" w:hAnsi="Arial"/>
          <w:b w:val="0"/>
          <w:caps w:val="0"/>
          <w:noProof/>
          <w:sz w:val="24"/>
        </w:rPr>
        <w:t>Table 6.4</w:t>
      </w:r>
      <w:r w:rsidR="0030428F" w:rsidRPr="00D714A2">
        <w:rPr>
          <w:rFonts w:ascii="Arial" w:eastAsia="Calibri" w:hAnsi="Arial"/>
          <w:b w:val="0"/>
          <w:caps w:val="0"/>
          <w:noProof/>
          <w:sz w:val="24"/>
        </w:rPr>
        <w:t>: Variance Inflation Factors for Criminal Justice Contact Final Logistic Regression Model</w:t>
      </w:r>
      <w:r w:rsidR="0030428F" w:rsidRPr="00D714A2">
        <w:rPr>
          <w:rFonts w:ascii="Arial" w:hAnsi="Arial"/>
          <w:b w:val="0"/>
          <w:caps w:val="0"/>
          <w:noProof/>
          <w:sz w:val="24"/>
        </w:rPr>
        <w:tab/>
      </w:r>
      <w:r>
        <w:rPr>
          <w:rFonts w:ascii="Arial" w:hAnsi="Arial"/>
          <w:b w:val="0"/>
          <w:caps w:val="0"/>
          <w:noProof/>
          <w:sz w:val="24"/>
        </w:rPr>
        <w:t>124</w:t>
      </w:r>
    </w:p>
    <w:p w14:paraId="145AAED3" w14:textId="62182FBF" w:rsidR="0030428F" w:rsidRPr="00D714A2" w:rsidRDefault="00ED3719" w:rsidP="007D4D0F">
      <w:pPr>
        <w:pStyle w:val="TOC1"/>
        <w:rPr>
          <w:rFonts w:ascii="Arial" w:eastAsiaTheme="minorEastAsia" w:hAnsi="Arial"/>
          <w:b w:val="0"/>
          <w:caps w:val="0"/>
          <w:noProof/>
          <w:sz w:val="24"/>
          <w:szCs w:val="24"/>
        </w:rPr>
      </w:pPr>
      <w:r>
        <w:rPr>
          <w:rFonts w:ascii="Arial" w:eastAsia="Calibri" w:hAnsi="Arial"/>
          <w:b w:val="0"/>
          <w:caps w:val="0"/>
          <w:noProof/>
          <w:sz w:val="24"/>
        </w:rPr>
        <w:lastRenderedPageBreak/>
        <w:t>Table 6.5</w:t>
      </w:r>
      <w:r w:rsidR="0030428F" w:rsidRPr="00D714A2">
        <w:rPr>
          <w:rFonts w:ascii="Arial" w:eastAsia="Calibri" w:hAnsi="Arial"/>
          <w:b w:val="0"/>
          <w:caps w:val="0"/>
          <w:noProof/>
          <w:sz w:val="24"/>
        </w:rPr>
        <w:t>: Bivariate Relationships between Independent Variables and Criminal Justice Contact</w:t>
      </w:r>
      <w:r w:rsidR="0030428F" w:rsidRPr="00D714A2">
        <w:rPr>
          <w:rFonts w:ascii="Arial" w:hAnsi="Arial"/>
          <w:b w:val="0"/>
          <w:caps w:val="0"/>
          <w:noProof/>
          <w:sz w:val="24"/>
        </w:rPr>
        <w:tab/>
      </w:r>
      <w:r w:rsidR="000C72FF">
        <w:rPr>
          <w:rFonts w:ascii="Arial" w:hAnsi="Arial"/>
          <w:b w:val="0"/>
          <w:caps w:val="0"/>
          <w:noProof/>
          <w:sz w:val="24"/>
        </w:rPr>
        <w:t>125</w:t>
      </w:r>
    </w:p>
    <w:p w14:paraId="75F1A306" w14:textId="14C33C9A" w:rsidR="0030428F" w:rsidRPr="00D714A2" w:rsidRDefault="00ED3719" w:rsidP="007D4D0F">
      <w:pPr>
        <w:pStyle w:val="TOC1"/>
        <w:rPr>
          <w:rFonts w:ascii="Arial" w:eastAsiaTheme="minorEastAsia" w:hAnsi="Arial"/>
          <w:b w:val="0"/>
          <w:caps w:val="0"/>
          <w:noProof/>
          <w:sz w:val="24"/>
          <w:szCs w:val="24"/>
        </w:rPr>
      </w:pPr>
      <w:r>
        <w:rPr>
          <w:rFonts w:ascii="Arial" w:eastAsia="Calibri" w:hAnsi="Arial"/>
          <w:b w:val="0"/>
          <w:caps w:val="0"/>
          <w:noProof/>
          <w:sz w:val="24"/>
        </w:rPr>
        <w:t>Table 6.6</w:t>
      </w:r>
      <w:r w:rsidR="0030428F" w:rsidRPr="00D714A2">
        <w:rPr>
          <w:rFonts w:ascii="Arial" w:eastAsia="Calibri" w:hAnsi="Arial"/>
          <w:b w:val="0"/>
          <w:caps w:val="0"/>
          <w:noProof/>
          <w:sz w:val="24"/>
        </w:rPr>
        <w:t>: Comparison of Means for Future Criminal Justice Contact</w:t>
      </w:r>
      <w:r w:rsidR="0030428F" w:rsidRPr="00D714A2">
        <w:rPr>
          <w:rFonts w:ascii="Arial" w:hAnsi="Arial"/>
          <w:b w:val="0"/>
          <w:caps w:val="0"/>
          <w:noProof/>
          <w:sz w:val="24"/>
        </w:rPr>
        <w:tab/>
      </w:r>
      <w:r w:rsidR="000C72FF">
        <w:rPr>
          <w:rFonts w:ascii="Arial" w:hAnsi="Arial"/>
          <w:b w:val="0"/>
          <w:caps w:val="0"/>
          <w:noProof/>
          <w:sz w:val="24"/>
        </w:rPr>
        <w:t>128</w:t>
      </w:r>
    </w:p>
    <w:p w14:paraId="52081D3B" w14:textId="7ED9FE43" w:rsidR="0030428F" w:rsidRPr="00D714A2" w:rsidRDefault="00ED3719" w:rsidP="007D4D0F">
      <w:pPr>
        <w:pStyle w:val="TOC1"/>
        <w:rPr>
          <w:rFonts w:ascii="Arial" w:eastAsiaTheme="minorEastAsia" w:hAnsi="Arial"/>
          <w:b w:val="0"/>
          <w:caps w:val="0"/>
          <w:noProof/>
          <w:sz w:val="24"/>
          <w:szCs w:val="24"/>
        </w:rPr>
      </w:pPr>
      <w:r>
        <w:rPr>
          <w:rFonts w:ascii="Arial" w:eastAsia="Calibri" w:hAnsi="Arial"/>
          <w:b w:val="0"/>
          <w:caps w:val="0"/>
          <w:noProof/>
          <w:sz w:val="24"/>
        </w:rPr>
        <w:t>Table 6.7</w:t>
      </w:r>
      <w:r w:rsidR="0030428F" w:rsidRPr="00D714A2">
        <w:rPr>
          <w:rFonts w:ascii="Arial" w:eastAsia="Calibri" w:hAnsi="Arial"/>
          <w:b w:val="0"/>
          <w:caps w:val="0"/>
          <w:noProof/>
          <w:sz w:val="24"/>
        </w:rPr>
        <w:t>: Logistic Regression of Criminal Justice Contact on Child and Case Predictors</w:t>
      </w:r>
      <w:r w:rsidR="0030428F" w:rsidRPr="00D714A2">
        <w:rPr>
          <w:rFonts w:ascii="Arial" w:hAnsi="Arial"/>
          <w:b w:val="0"/>
          <w:caps w:val="0"/>
          <w:noProof/>
          <w:sz w:val="24"/>
        </w:rPr>
        <w:tab/>
      </w:r>
      <w:r w:rsidR="000C72FF">
        <w:rPr>
          <w:rFonts w:ascii="Arial" w:hAnsi="Arial"/>
          <w:b w:val="0"/>
          <w:caps w:val="0"/>
          <w:noProof/>
          <w:sz w:val="24"/>
        </w:rPr>
        <w:t>132</w:t>
      </w:r>
    </w:p>
    <w:p w14:paraId="1C564A9C" w14:textId="66355E13" w:rsidR="0030428F" w:rsidRPr="00D714A2" w:rsidRDefault="000C72FF" w:rsidP="007D4D0F">
      <w:pPr>
        <w:pStyle w:val="TOC1"/>
        <w:rPr>
          <w:rFonts w:ascii="Arial" w:eastAsiaTheme="minorEastAsia" w:hAnsi="Arial"/>
          <w:b w:val="0"/>
          <w:caps w:val="0"/>
          <w:noProof/>
          <w:sz w:val="24"/>
          <w:szCs w:val="24"/>
        </w:rPr>
      </w:pPr>
      <w:r>
        <w:rPr>
          <w:rFonts w:ascii="Arial" w:eastAsia="Calibri" w:hAnsi="Arial"/>
          <w:b w:val="0"/>
          <w:caps w:val="0"/>
          <w:noProof/>
          <w:sz w:val="24"/>
        </w:rPr>
        <w:t>Table 6.8</w:t>
      </w:r>
      <w:r w:rsidR="0030428F" w:rsidRPr="00D714A2">
        <w:rPr>
          <w:rFonts w:ascii="Arial" w:eastAsia="Calibri" w:hAnsi="Arial"/>
          <w:b w:val="0"/>
          <w:caps w:val="0"/>
          <w:noProof/>
          <w:sz w:val="24"/>
        </w:rPr>
        <w:t>: Average Adjusted Predictions for Age, Level of Harm and Self-Control</w:t>
      </w:r>
      <w:r w:rsidR="0030428F" w:rsidRPr="00D714A2">
        <w:rPr>
          <w:rFonts w:ascii="Arial" w:hAnsi="Arial"/>
          <w:b w:val="0"/>
          <w:caps w:val="0"/>
          <w:noProof/>
          <w:sz w:val="24"/>
        </w:rPr>
        <w:tab/>
      </w:r>
      <w:r>
        <w:rPr>
          <w:rFonts w:ascii="Arial" w:hAnsi="Arial"/>
          <w:b w:val="0"/>
          <w:caps w:val="0"/>
          <w:noProof/>
          <w:sz w:val="24"/>
        </w:rPr>
        <w:t>139</w:t>
      </w:r>
    </w:p>
    <w:p w14:paraId="437B68FC" w14:textId="77777777" w:rsidR="0030428F" w:rsidRPr="007D4D0F" w:rsidRDefault="0030428F" w:rsidP="007D4D0F">
      <w:pPr>
        <w:spacing w:line="480" w:lineRule="auto"/>
        <w:rPr>
          <w:b/>
          <w:bCs/>
          <w:caps/>
          <w:szCs w:val="22"/>
        </w:rPr>
      </w:pPr>
      <w:r w:rsidRPr="007D4D0F">
        <w:rPr>
          <w:sz w:val="28"/>
        </w:rPr>
        <w:br w:type="page"/>
      </w:r>
    </w:p>
    <w:p w14:paraId="2D3E2805" w14:textId="593D86B3" w:rsidR="007D4D0F" w:rsidRPr="00186B5A" w:rsidRDefault="00186B5A" w:rsidP="005D42AB">
      <w:pPr>
        <w:pStyle w:val="Heading1"/>
      </w:pPr>
      <w:bookmarkStart w:id="2" w:name="_Toc482112667"/>
      <w:r>
        <w:lastRenderedPageBreak/>
        <w:t>List of Figures</w:t>
      </w:r>
      <w:bookmarkEnd w:id="2"/>
    </w:p>
    <w:p w14:paraId="1140FDED" w14:textId="4D8FF01F" w:rsidR="00E87058" w:rsidRPr="00186B5A" w:rsidRDefault="00E87058" w:rsidP="007D4D0F">
      <w:pPr>
        <w:pStyle w:val="TOC1"/>
        <w:rPr>
          <w:rFonts w:ascii="Arial" w:eastAsiaTheme="minorEastAsia" w:hAnsi="Arial" w:cs="Arial"/>
          <w:b w:val="0"/>
          <w:caps w:val="0"/>
          <w:noProof/>
          <w:sz w:val="24"/>
          <w:szCs w:val="24"/>
        </w:rPr>
      </w:pPr>
      <w:r w:rsidRPr="00186B5A">
        <w:rPr>
          <w:rFonts w:ascii="Arial" w:hAnsi="Arial"/>
          <w:b w:val="0"/>
          <w:caps w:val="0"/>
          <w:sz w:val="24"/>
        </w:rPr>
        <w:fldChar w:fldCharType="begin"/>
      </w:r>
      <w:r w:rsidRPr="00186B5A">
        <w:rPr>
          <w:rFonts w:ascii="Arial" w:hAnsi="Arial"/>
          <w:b w:val="0"/>
          <w:caps w:val="0"/>
          <w:sz w:val="24"/>
        </w:rPr>
        <w:instrText xml:space="preserve"> TOC \t "Caption1,1" </w:instrText>
      </w:r>
      <w:r w:rsidRPr="00186B5A">
        <w:rPr>
          <w:rFonts w:ascii="Arial" w:hAnsi="Arial"/>
          <w:b w:val="0"/>
          <w:caps w:val="0"/>
          <w:sz w:val="24"/>
        </w:rPr>
        <w:fldChar w:fldCharType="separate"/>
      </w:r>
      <w:r w:rsidRPr="00186B5A">
        <w:rPr>
          <w:rFonts w:ascii="Arial" w:eastAsia="Calibri" w:hAnsi="Arial" w:cs="Arial"/>
          <w:b w:val="0"/>
          <w:caps w:val="0"/>
          <w:noProof/>
          <w:sz w:val="24"/>
          <w:szCs w:val="24"/>
        </w:rPr>
        <w:t>Figure 3.1: PSU Frame Sampling Domains</w:t>
      </w:r>
      <w:r w:rsidRPr="00186B5A">
        <w:rPr>
          <w:rFonts w:ascii="Arial" w:hAnsi="Arial" w:cs="Arial"/>
          <w:b w:val="0"/>
          <w:caps w:val="0"/>
          <w:noProof/>
          <w:sz w:val="24"/>
          <w:szCs w:val="24"/>
        </w:rPr>
        <w:tab/>
      </w:r>
      <w:r w:rsidR="00C211AA">
        <w:rPr>
          <w:rFonts w:ascii="Arial" w:hAnsi="Arial" w:cs="Arial"/>
          <w:b w:val="0"/>
          <w:caps w:val="0"/>
          <w:noProof/>
          <w:sz w:val="24"/>
          <w:szCs w:val="24"/>
        </w:rPr>
        <w:t>48</w:t>
      </w:r>
    </w:p>
    <w:p w14:paraId="713E0F6E" w14:textId="77777777"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3.2: Sample Equation and Notation based on Dowd et al. (2008:7.3-7.4)</w:t>
      </w:r>
      <w:r w:rsidRPr="00186B5A">
        <w:rPr>
          <w:rFonts w:ascii="Arial" w:hAnsi="Arial" w:cs="Arial"/>
          <w:b w:val="0"/>
          <w:caps w:val="0"/>
          <w:noProof/>
          <w:sz w:val="24"/>
          <w:szCs w:val="24"/>
        </w:rPr>
        <w:tab/>
      </w:r>
      <w:r w:rsidRPr="00186B5A">
        <w:rPr>
          <w:rFonts w:ascii="Arial" w:hAnsi="Arial" w:cs="Arial"/>
          <w:b w:val="0"/>
          <w:caps w:val="0"/>
          <w:noProof/>
          <w:sz w:val="24"/>
          <w:szCs w:val="24"/>
        </w:rPr>
        <w:fldChar w:fldCharType="begin"/>
      </w:r>
      <w:r w:rsidRPr="00186B5A">
        <w:rPr>
          <w:rFonts w:ascii="Arial" w:hAnsi="Arial" w:cs="Arial"/>
          <w:b w:val="0"/>
          <w:caps w:val="0"/>
          <w:noProof/>
          <w:sz w:val="24"/>
          <w:szCs w:val="24"/>
        </w:rPr>
        <w:instrText xml:space="preserve"> PAGEREF _Toc479941209 \h </w:instrText>
      </w:r>
      <w:r w:rsidRPr="00186B5A">
        <w:rPr>
          <w:rFonts w:ascii="Arial" w:hAnsi="Arial" w:cs="Arial"/>
          <w:b w:val="0"/>
          <w:caps w:val="0"/>
          <w:noProof/>
          <w:sz w:val="24"/>
          <w:szCs w:val="24"/>
        </w:rPr>
      </w:r>
      <w:r w:rsidRPr="00186B5A">
        <w:rPr>
          <w:rFonts w:ascii="Arial" w:hAnsi="Arial" w:cs="Arial"/>
          <w:b w:val="0"/>
          <w:caps w:val="0"/>
          <w:noProof/>
          <w:sz w:val="24"/>
          <w:szCs w:val="24"/>
        </w:rPr>
        <w:fldChar w:fldCharType="separate"/>
      </w:r>
      <w:r w:rsidR="00FA12E2">
        <w:rPr>
          <w:rFonts w:ascii="Arial" w:hAnsi="Arial" w:cs="Arial"/>
          <w:b w:val="0"/>
          <w:caps w:val="0"/>
          <w:noProof/>
          <w:sz w:val="24"/>
          <w:szCs w:val="24"/>
        </w:rPr>
        <w:t>51</w:t>
      </w:r>
      <w:r w:rsidRPr="00186B5A">
        <w:rPr>
          <w:rFonts w:ascii="Arial" w:hAnsi="Arial" w:cs="Arial"/>
          <w:b w:val="0"/>
          <w:caps w:val="0"/>
          <w:noProof/>
          <w:sz w:val="24"/>
          <w:szCs w:val="24"/>
        </w:rPr>
        <w:fldChar w:fldCharType="end"/>
      </w:r>
    </w:p>
    <w:p w14:paraId="334EB539" w14:textId="426276A9"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5.1: Average Adjusted Probabilities of Early Sexual Initiation by Age at Baseline</w:t>
      </w:r>
      <w:r w:rsidRPr="00186B5A">
        <w:rPr>
          <w:rFonts w:ascii="Arial" w:hAnsi="Arial" w:cs="Arial"/>
          <w:b w:val="0"/>
          <w:caps w:val="0"/>
          <w:noProof/>
          <w:sz w:val="24"/>
          <w:szCs w:val="24"/>
        </w:rPr>
        <w:tab/>
      </w:r>
      <w:r w:rsidR="00C211AA">
        <w:rPr>
          <w:rFonts w:ascii="Arial" w:hAnsi="Arial" w:cs="Arial"/>
          <w:b w:val="0"/>
          <w:caps w:val="0"/>
          <w:noProof/>
          <w:sz w:val="24"/>
          <w:szCs w:val="24"/>
        </w:rPr>
        <w:t>104</w:t>
      </w:r>
    </w:p>
    <w:p w14:paraId="0F1DB2AC" w14:textId="7F679370"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5.2 Average Adjusted Probabilities of Early Sexual Initiation by Self-Control</w:t>
      </w:r>
      <w:r w:rsidRPr="00186B5A">
        <w:rPr>
          <w:rFonts w:ascii="Arial" w:hAnsi="Arial" w:cs="Arial"/>
          <w:b w:val="0"/>
          <w:caps w:val="0"/>
          <w:noProof/>
          <w:sz w:val="24"/>
          <w:szCs w:val="24"/>
        </w:rPr>
        <w:tab/>
      </w:r>
      <w:r w:rsidR="00C211AA">
        <w:rPr>
          <w:rFonts w:ascii="Arial" w:hAnsi="Arial" w:cs="Arial"/>
          <w:b w:val="0"/>
          <w:caps w:val="0"/>
          <w:noProof/>
          <w:sz w:val="24"/>
          <w:szCs w:val="24"/>
        </w:rPr>
        <w:t>106</w:t>
      </w:r>
    </w:p>
    <w:p w14:paraId="015C22C4" w14:textId="0AE0CE4E"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5.3 Average Adjusted Probabilities of Early Sexual Initiation for Gender and Race/Ethnicity by Self-Control</w:t>
      </w:r>
      <w:r w:rsidRPr="00186B5A">
        <w:rPr>
          <w:rFonts w:ascii="Arial" w:hAnsi="Arial" w:cs="Arial"/>
          <w:b w:val="0"/>
          <w:caps w:val="0"/>
          <w:noProof/>
          <w:sz w:val="24"/>
          <w:szCs w:val="24"/>
        </w:rPr>
        <w:tab/>
      </w:r>
      <w:r w:rsidR="00C211AA">
        <w:rPr>
          <w:rFonts w:ascii="Arial" w:hAnsi="Arial" w:cs="Arial"/>
          <w:b w:val="0"/>
          <w:caps w:val="0"/>
          <w:noProof/>
          <w:sz w:val="24"/>
          <w:szCs w:val="24"/>
        </w:rPr>
        <w:t>107</w:t>
      </w:r>
    </w:p>
    <w:p w14:paraId="2BDCC8C6" w14:textId="453ADEC7"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5.4 AMEs for Gender*Case Substantiation Interaction Term</w:t>
      </w:r>
      <w:r w:rsidRPr="00186B5A">
        <w:rPr>
          <w:rFonts w:ascii="Arial" w:hAnsi="Arial" w:cs="Arial"/>
          <w:b w:val="0"/>
          <w:caps w:val="0"/>
          <w:noProof/>
          <w:sz w:val="24"/>
          <w:szCs w:val="24"/>
        </w:rPr>
        <w:tab/>
      </w:r>
      <w:r w:rsidR="00C211AA">
        <w:rPr>
          <w:rFonts w:ascii="Arial" w:hAnsi="Arial" w:cs="Arial"/>
          <w:b w:val="0"/>
          <w:caps w:val="0"/>
          <w:noProof/>
          <w:sz w:val="24"/>
          <w:szCs w:val="24"/>
        </w:rPr>
        <w:t>108</w:t>
      </w:r>
    </w:p>
    <w:p w14:paraId="500F27A0" w14:textId="449458DD"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5.5 Average Adjusted Probabilities of Early Sexual Initiation by Case History and Age</w:t>
      </w:r>
      <w:r w:rsidRPr="00186B5A">
        <w:rPr>
          <w:rFonts w:ascii="Arial" w:hAnsi="Arial" w:cs="Arial"/>
          <w:b w:val="0"/>
          <w:caps w:val="0"/>
          <w:noProof/>
          <w:sz w:val="24"/>
          <w:szCs w:val="24"/>
        </w:rPr>
        <w:tab/>
      </w:r>
      <w:r w:rsidR="00C211AA">
        <w:rPr>
          <w:rFonts w:ascii="Arial" w:hAnsi="Arial" w:cs="Arial"/>
          <w:b w:val="0"/>
          <w:caps w:val="0"/>
          <w:noProof/>
          <w:sz w:val="24"/>
          <w:szCs w:val="24"/>
        </w:rPr>
        <w:t>110</w:t>
      </w:r>
    </w:p>
    <w:p w14:paraId="706FFAD7" w14:textId="557E30D8"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5.6 Average Adjusted Probabilities of Early Sexual Initiation by Maltreatment Type and Age</w:t>
      </w:r>
      <w:r w:rsidRPr="00186B5A">
        <w:rPr>
          <w:rFonts w:ascii="Arial" w:hAnsi="Arial" w:cs="Arial"/>
          <w:b w:val="0"/>
          <w:caps w:val="0"/>
          <w:noProof/>
          <w:sz w:val="24"/>
          <w:szCs w:val="24"/>
        </w:rPr>
        <w:tab/>
      </w:r>
      <w:r w:rsidR="00C211AA">
        <w:rPr>
          <w:rFonts w:ascii="Arial" w:hAnsi="Arial" w:cs="Arial"/>
          <w:b w:val="0"/>
          <w:caps w:val="0"/>
          <w:noProof/>
          <w:sz w:val="24"/>
          <w:szCs w:val="24"/>
        </w:rPr>
        <w:t>112</w:t>
      </w:r>
    </w:p>
    <w:p w14:paraId="12F70285" w14:textId="4C64D8D5"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5.7 Average Adjusted Probabilities of Early Sexual Initiation by Baseline Placement and Age</w:t>
      </w:r>
      <w:r w:rsidRPr="00186B5A">
        <w:rPr>
          <w:rFonts w:ascii="Arial" w:hAnsi="Arial" w:cs="Arial"/>
          <w:b w:val="0"/>
          <w:caps w:val="0"/>
          <w:noProof/>
          <w:sz w:val="24"/>
          <w:szCs w:val="24"/>
        </w:rPr>
        <w:tab/>
      </w:r>
      <w:r w:rsidR="00C211AA">
        <w:rPr>
          <w:rFonts w:ascii="Arial" w:hAnsi="Arial" w:cs="Arial"/>
          <w:b w:val="0"/>
          <w:caps w:val="0"/>
          <w:noProof/>
          <w:sz w:val="24"/>
          <w:szCs w:val="24"/>
        </w:rPr>
        <w:t>113</w:t>
      </w:r>
    </w:p>
    <w:p w14:paraId="292857E6" w14:textId="38C0420C"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5.8 Average Adjusted Probabilities of Early Sexual Initiation by Baseline Placement and Self-Control</w:t>
      </w:r>
      <w:r w:rsidRPr="00186B5A">
        <w:rPr>
          <w:rFonts w:ascii="Arial" w:hAnsi="Arial" w:cs="Arial"/>
          <w:b w:val="0"/>
          <w:caps w:val="0"/>
          <w:noProof/>
          <w:sz w:val="24"/>
          <w:szCs w:val="24"/>
        </w:rPr>
        <w:tab/>
      </w:r>
      <w:r w:rsidR="00C211AA">
        <w:rPr>
          <w:rFonts w:ascii="Arial" w:hAnsi="Arial" w:cs="Arial"/>
          <w:b w:val="0"/>
          <w:caps w:val="0"/>
          <w:noProof/>
          <w:sz w:val="24"/>
          <w:szCs w:val="24"/>
        </w:rPr>
        <w:t>115</w:t>
      </w:r>
    </w:p>
    <w:p w14:paraId="0BC0D325" w14:textId="594B5B1D"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5.9 Average Adjusted Probabilities of Early Sexual Initiation by Baseline Placement, Race, and Self-Control</w:t>
      </w:r>
      <w:r w:rsidRPr="00186B5A">
        <w:rPr>
          <w:rFonts w:ascii="Arial" w:hAnsi="Arial" w:cs="Arial"/>
          <w:b w:val="0"/>
          <w:caps w:val="0"/>
          <w:noProof/>
          <w:sz w:val="24"/>
          <w:szCs w:val="24"/>
        </w:rPr>
        <w:tab/>
      </w:r>
      <w:r w:rsidR="00C211AA">
        <w:rPr>
          <w:rFonts w:ascii="Arial" w:hAnsi="Arial" w:cs="Arial"/>
          <w:b w:val="0"/>
          <w:caps w:val="0"/>
          <w:noProof/>
          <w:sz w:val="24"/>
          <w:szCs w:val="24"/>
        </w:rPr>
        <w:t>116</w:t>
      </w:r>
    </w:p>
    <w:p w14:paraId="4387F445" w14:textId="0379B971"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lastRenderedPageBreak/>
        <w:t>Figure 6.1: Average Adjusted Probabilities of Criminal Justice Contact by Age and Gender</w:t>
      </w:r>
      <w:r w:rsidRPr="00186B5A">
        <w:rPr>
          <w:rFonts w:ascii="Arial" w:hAnsi="Arial" w:cs="Arial"/>
          <w:b w:val="0"/>
          <w:caps w:val="0"/>
          <w:noProof/>
          <w:sz w:val="24"/>
          <w:szCs w:val="24"/>
        </w:rPr>
        <w:tab/>
      </w:r>
      <w:r w:rsidR="006D1F5F">
        <w:rPr>
          <w:rFonts w:ascii="Arial" w:hAnsi="Arial" w:cs="Arial"/>
          <w:b w:val="0"/>
          <w:caps w:val="0"/>
          <w:noProof/>
          <w:sz w:val="24"/>
          <w:szCs w:val="24"/>
        </w:rPr>
        <w:t>141</w:t>
      </w:r>
    </w:p>
    <w:p w14:paraId="51B2C0E6" w14:textId="794C10E5"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6.2: Average Adjusted Probabilities of Criminal Justice Contact by Level of Harm and Gender</w:t>
      </w:r>
      <w:r w:rsidRPr="00186B5A">
        <w:rPr>
          <w:rFonts w:ascii="Arial" w:hAnsi="Arial" w:cs="Arial"/>
          <w:b w:val="0"/>
          <w:caps w:val="0"/>
          <w:noProof/>
          <w:sz w:val="24"/>
          <w:szCs w:val="24"/>
        </w:rPr>
        <w:tab/>
      </w:r>
      <w:r w:rsidR="006D1F5F">
        <w:rPr>
          <w:rFonts w:ascii="Arial" w:hAnsi="Arial" w:cs="Arial"/>
          <w:b w:val="0"/>
          <w:caps w:val="0"/>
          <w:noProof/>
          <w:sz w:val="24"/>
          <w:szCs w:val="24"/>
        </w:rPr>
        <w:t>142</w:t>
      </w:r>
    </w:p>
    <w:p w14:paraId="519F1C7B" w14:textId="53A78AC9"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6.3: Average Adjusted Probabilities of Criminal Justice Contact by Self-Control and Gender</w:t>
      </w:r>
      <w:r w:rsidRPr="00186B5A">
        <w:rPr>
          <w:rFonts w:ascii="Arial" w:hAnsi="Arial" w:cs="Arial"/>
          <w:b w:val="0"/>
          <w:caps w:val="0"/>
          <w:noProof/>
          <w:sz w:val="24"/>
          <w:szCs w:val="24"/>
        </w:rPr>
        <w:tab/>
      </w:r>
      <w:r w:rsidR="006D1F5F">
        <w:rPr>
          <w:rFonts w:ascii="Arial" w:hAnsi="Arial" w:cs="Arial"/>
          <w:b w:val="0"/>
          <w:caps w:val="0"/>
          <w:noProof/>
          <w:sz w:val="24"/>
          <w:szCs w:val="24"/>
        </w:rPr>
        <w:t>143</w:t>
      </w:r>
    </w:p>
    <w:p w14:paraId="60148E39" w14:textId="3154AC98"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6.4: Contour Plot for Average Probability of Criminal Justice Contact by Age and Self-Control</w:t>
      </w:r>
      <w:r w:rsidRPr="00186B5A">
        <w:rPr>
          <w:rFonts w:ascii="Arial" w:hAnsi="Arial" w:cs="Arial"/>
          <w:b w:val="0"/>
          <w:caps w:val="0"/>
          <w:noProof/>
          <w:sz w:val="24"/>
          <w:szCs w:val="24"/>
        </w:rPr>
        <w:tab/>
      </w:r>
      <w:r w:rsidR="006D1F5F">
        <w:rPr>
          <w:rFonts w:ascii="Arial" w:hAnsi="Arial" w:cs="Arial"/>
          <w:b w:val="0"/>
          <w:caps w:val="0"/>
          <w:noProof/>
          <w:sz w:val="24"/>
          <w:szCs w:val="24"/>
        </w:rPr>
        <w:t>144</w:t>
      </w:r>
    </w:p>
    <w:p w14:paraId="0FA0FDFF" w14:textId="50A5F96B"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6.5: Average Adjusted Probabilities of Criminal Justice Contact by Self-Control and Gender</w:t>
      </w:r>
      <w:r w:rsidRPr="00186B5A">
        <w:rPr>
          <w:rFonts w:ascii="Arial" w:hAnsi="Arial" w:cs="Arial"/>
          <w:b w:val="0"/>
          <w:caps w:val="0"/>
          <w:noProof/>
          <w:sz w:val="24"/>
          <w:szCs w:val="24"/>
        </w:rPr>
        <w:tab/>
      </w:r>
      <w:r w:rsidR="006D1F5F">
        <w:rPr>
          <w:rFonts w:ascii="Arial" w:hAnsi="Arial" w:cs="Arial"/>
          <w:b w:val="0"/>
          <w:caps w:val="0"/>
          <w:noProof/>
          <w:sz w:val="24"/>
          <w:szCs w:val="24"/>
        </w:rPr>
        <w:t>145</w:t>
      </w:r>
    </w:p>
    <w:p w14:paraId="2E3CD895" w14:textId="6040B3D2"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6.6 Average Adjusted Probabilities of Criminal Justice Contact by Maltreatment Type, Substantiation, and Age</w:t>
      </w:r>
      <w:r w:rsidRPr="00186B5A">
        <w:rPr>
          <w:rFonts w:ascii="Arial" w:hAnsi="Arial" w:cs="Arial"/>
          <w:b w:val="0"/>
          <w:caps w:val="0"/>
          <w:noProof/>
          <w:sz w:val="24"/>
          <w:szCs w:val="24"/>
        </w:rPr>
        <w:tab/>
      </w:r>
      <w:r w:rsidR="006D1F5F">
        <w:rPr>
          <w:rFonts w:ascii="Arial" w:hAnsi="Arial" w:cs="Arial"/>
          <w:b w:val="0"/>
          <w:caps w:val="0"/>
          <w:noProof/>
          <w:sz w:val="24"/>
          <w:szCs w:val="24"/>
        </w:rPr>
        <w:t>147</w:t>
      </w:r>
    </w:p>
    <w:p w14:paraId="6F4DA7C3" w14:textId="772AA088"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6.7: Average Adjusted Probability of Early Sexual Initiation for Gender and Race/Ethnicity by Self-Control</w:t>
      </w:r>
      <w:r w:rsidRPr="00186B5A">
        <w:rPr>
          <w:rFonts w:ascii="Arial" w:hAnsi="Arial" w:cs="Arial"/>
          <w:b w:val="0"/>
          <w:caps w:val="0"/>
          <w:noProof/>
          <w:sz w:val="24"/>
          <w:szCs w:val="24"/>
        </w:rPr>
        <w:tab/>
      </w:r>
      <w:r w:rsidR="006D1F5F">
        <w:rPr>
          <w:rFonts w:ascii="Arial" w:hAnsi="Arial" w:cs="Arial"/>
          <w:b w:val="0"/>
          <w:caps w:val="0"/>
          <w:noProof/>
          <w:sz w:val="24"/>
          <w:szCs w:val="24"/>
        </w:rPr>
        <w:t>148</w:t>
      </w:r>
    </w:p>
    <w:p w14:paraId="1129E9AA" w14:textId="4F9EB952"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6.8: Adjusted Average Probabilities for Criminal Justice Contact Before and After Three-Way Interaction Term</w:t>
      </w:r>
      <w:r w:rsidRPr="00186B5A">
        <w:rPr>
          <w:rFonts w:ascii="Arial" w:hAnsi="Arial" w:cs="Arial"/>
          <w:b w:val="0"/>
          <w:caps w:val="0"/>
          <w:noProof/>
          <w:sz w:val="24"/>
          <w:szCs w:val="24"/>
        </w:rPr>
        <w:tab/>
      </w:r>
      <w:r w:rsidR="006D1F5F">
        <w:rPr>
          <w:rFonts w:ascii="Arial" w:hAnsi="Arial" w:cs="Arial"/>
          <w:b w:val="0"/>
          <w:caps w:val="0"/>
          <w:noProof/>
          <w:sz w:val="24"/>
          <w:szCs w:val="24"/>
        </w:rPr>
        <w:t>149</w:t>
      </w:r>
    </w:p>
    <w:p w14:paraId="0FF5E21F" w14:textId="67878BD7"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6.9: Adjusted Average Probabilities for Criminal Justice Contact Before and After Three-Way Interaction Term Including Placements Other than a Group Home</w:t>
      </w:r>
      <w:r w:rsidRPr="00186B5A">
        <w:rPr>
          <w:rFonts w:ascii="Arial" w:hAnsi="Arial" w:cs="Arial"/>
          <w:b w:val="0"/>
          <w:caps w:val="0"/>
          <w:noProof/>
          <w:sz w:val="24"/>
          <w:szCs w:val="24"/>
        </w:rPr>
        <w:tab/>
      </w:r>
      <w:r w:rsidR="006D1F5F">
        <w:rPr>
          <w:rFonts w:ascii="Arial" w:hAnsi="Arial" w:cs="Arial"/>
          <w:b w:val="0"/>
          <w:caps w:val="0"/>
          <w:noProof/>
          <w:sz w:val="24"/>
          <w:szCs w:val="24"/>
        </w:rPr>
        <w:t>151</w:t>
      </w:r>
    </w:p>
    <w:p w14:paraId="66F07E0D" w14:textId="3D57AC1C" w:rsidR="00E87058" w:rsidRPr="00186B5A" w:rsidRDefault="00E87058" w:rsidP="007D4D0F">
      <w:pPr>
        <w:pStyle w:val="TOC1"/>
        <w:rPr>
          <w:rFonts w:ascii="Arial" w:eastAsiaTheme="minorEastAsia" w:hAnsi="Arial" w:cs="Arial"/>
          <w:b w:val="0"/>
          <w:caps w:val="0"/>
          <w:noProof/>
          <w:sz w:val="24"/>
          <w:szCs w:val="24"/>
        </w:rPr>
      </w:pPr>
      <w:r w:rsidRPr="00186B5A">
        <w:rPr>
          <w:rFonts w:ascii="Arial" w:eastAsia="Calibri" w:hAnsi="Arial" w:cs="Arial"/>
          <w:b w:val="0"/>
          <w:caps w:val="0"/>
          <w:noProof/>
          <w:sz w:val="24"/>
          <w:szCs w:val="24"/>
        </w:rPr>
        <w:t>Figure 6.10: Interaction Effect for Level of Harm and Sexual Abuse by Gender</w:t>
      </w:r>
      <w:r w:rsidRPr="00186B5A">
        <w:rPr>
          <w:rFonts w:ascii="Arial" w:hAnsi="Arial" w:cs="Arial"/>
          <w:b w:val="0"/>
          <w:caps w:val="0"/>
          <w:noProof/>
          <w:sz w:val="24"/>
          <w:szCs w:val="24"/>
        </w:rPr>
        <w:tab/>
      </w:r>
      <w:r w:rsidR="006D1F5F">
        <w:rPr>
          <w:rFonts w:ascii="Arial" w:hAnsi="Arial" w:cs="Arial"/>
          <w:b w:val="0"/>
          <w:caps w:val="0"/>
          <w:noProof/>
          <w:sz w:val="24"/>
          <w:szCs w:val="24"/>
        </w:rPr>
        <w:t>152</w:t>
      </w:r>
    </w:p>
    <w:p w14:paraId="33209ACE" w14:textId="2ED8D846" w:rsidR="00E87058" w:rsidRPr="00186B5A" w:rsidRDefault="00E87058" w:rsidP="007D4D0F">
      <w:pPr>
        <w:pStyle w:val="TOC1"/>
        <w:rPr>
          <w:rFonts w:ascii="Arial" w:eastAsiaTheme="minorEastAsia" w:hAnsi="Arial" w:cstheme="minorBidi"/>
          <w:b w:val="0"/>
          <w:caps w:val="0"/>
          <w:noProof/>
          <w:sz w:val="24"/>
        </w:rPr>
      </w:pPr>
      <w:r w:rsidRPr="00186B5A">
        <w:rPr>
          <w:rFonts w:ascii="Arial" w:eastAsia="Calibri" w:hAnsi="Arial" w:cs="Arial"/>
          <w:b w:val="0"/>
          <w:caps w:val="0"/>
          <w:noProof/>
          <w:sz w:val="24"/>
          <w:szCs w:val="24"/>
        </w:rPr>
        <w:lastRenderedPageBreak/>
        <w:t>Figure 6.11: AAPs of Criminal Justice Contact Across Levels of Harm by Gender and Maltreatment Type</w:t>
      </w:r>
      <w:r w:rsidRPr="00186B5A">
        <w:rPr>
          <w:rFonts w:ascii="Arial" w:hAnsi="Arial" w:cs="Arial"/>
          <w:b w:val="0"/>
          <w:caps w:val="0"/>
          <w:noProof/>
          <w:sz w:val="24"/>
          <w:szCs w:val="24"/>
        </w:rPr>
        <w:tab/>
      </w:r>
      <w:r w:rsidR="006D1F5F">
        <w:rPr>
          <w:rFonts w:ascii="Arial" w:hAnsi="Arial" w:cs="Arial"/>
          <w:b w:val="0"/>
          <w:caps w:val="0"/>
          <w:noProof/>
          <w:sz w:val="24"/>
          <w:szCs w:val="24"/>
        </w:rPr>
        <w:t>153</w:t>
      </w:r>
    </w:p>
    <w:p w14:paraId="28F67041" w14:textId="7E3E63E0" w:rsidR="00AA1475" w:rsidRDefault="00E87058" w:rsidP="00BB2373">
      <w:pPr>
        <w:rPr>
          <w:rFonts w:cstheme="minorHAnsi"/>
        </w:rPr>
      </w:pPr>
      <w:r w:rsidRPr="00186B5A">
        <w:rPr>
          <w:rFonts w:cstheme="minorHAnsi"/>
        </w:rPr>
        <w:fldChar w:fldCharType="end"/>
      </w:r>
    </w:p>
    <w:p w14:paraId="3A8A8FB2" w14:textId="77777777" w:rsidR="00AA1475" w:rsidRDefault="00AA1475">
      <w:pPr>
        <w:rPr>
          <w:rFonts w:cstheme="minorHAnsi"/>
        </w:rPr>
      </w:pPr>
      <w:r>
        <w:rPr>
          <w:rFonts w:cstheme="minorHAnsi"/>
        </w:rPr>
        <w:br w:type="page"/>
      </w:r>
    </w:p>
    <w:p w14:paraId="48C9BC02" w14:textId="612FA7BA" w:rsidR="00410044" w:rsidRDefault="00AA1475" w:rsidP="00AA1475">
      <w:pPr>
        <w:pStyle w:val="Heading1"/>
      </w:pPr>
      <w:bookmarkStart w:id="3" w:name="_Toc482112668"/>
      <w:r>
        <w:lastRenderedPageBreak/>
        <w:t>Abstract</w:t>
      </w:r>
      <w:bookmarkEnd w:id="3"/>
    </w:p>
    <w:p w14:paraId="72C36EA9" w14:textId="37B0B636" w:rsidR="00410044" w:rsidRPr="009F77BA" w:rsidRDefault="00AA1475" w:rsidP="009F77BA">
      <w:pPr>
        <w:spacing w:line="480" w:lineRule="auto"/>
        <w:sectPr w:rsidR="00410044" w:rsidRPr="009F77BA" w:rsidSect="00BA2F37">
          <w:footerReference w:type="default" r:id="rId8"/>
          <w:pgSz w:w="12240" w:h="15840"/>
          <w:pgMar w:top="1440" w:right="1440" w:bottom="1440" w:left="2304" w:header="720" w:footer="720" w:gutter="0"/>
          <w:pgNumType w:fmt="lowerRoman" w:start="4"/>
          <w:cols w:space="720"/>
          <w:docGrid w:linePitch="360"/>
        </w:sectPr>
      </w:pPr>
      <w:r w:rsidRPr="00AA1475">
        <w:t>Previous research suggests that experiences involving child maltreatment and the child welfare system are related to an increased likelihood of negative outcomes. Specifically, research often finds that placement in a group home significantly increases the likelihood of risky sexual behavior and both official and self-reported offending. Although this relationship is one of the more consistent findings in the literature, less is known about whether this relationship is one of state dependence or population heterogeneity. In other words, previous research has not adequately addressed whether placement in a group home is causally related to these negative outcomes (state dependence) or is simply another symptom related to the causes of group home placements (population heterogeneity). Using the National Survey of Child Adolescent Well-Being (NSCAW) data and the theoretical lenses of Gottfredson and Hirschi’s General Theory of Crime and Sampson and Laub’s Age-Graded Theory of Informal Social Control, I examine if factors such as the timing of maltreatment, type of maltreatment, and types of placements are significantly related to early sexual initiation and criminal justice contact when accounting for propensity via self-control. Findings suggest that when accounting for propensity via self-control, the timing of the maltreatment, type of maltreatment, and placement in a group home are still significantly related to early sexual initiation and criminal justice contact. Specifically, group home placements are related to a significant increase in the odds of early sexual initiation and criminal justice contact</w:t>
      </w:r>
      <w:r w:rsidR="009F139B">
        <w:t xml:space="preserve"> </w:t>
      </w:r>
    </w:p>
    <w:p w14:paraId="4E793F68" w14:textId="77777777" w:rsidR="004C4C39" w:rsidRPr="00A32EED" w:rsidRDefault="004C4C39" w:rsidP="004C4C39">
      <w:pPr>
        <w:keepNext/>
        <w:keepLines/>
        <w:spacing w:before="40" w:after="0" w:line="480" w:lineRule="auto"/>
        <w:outlineLvl w:val="0"/>
        <w:rPr>
          <w:rFonts w:eastAsia="ＭＳ ゴシック"/>
          <w:b/>
          <w:color w:val="000000"/>
          <w:szCs w:val="26"/>
          <w:u w:val="single"/>
        </w:rPr>
      </w:pPr>
      <w:bookmarkStart w:id="4" w:name="_Toc479938140"/>
      <w:bookmarkStart w:id="5" w:name="_Toc482112669"/>
      <w:r w:rsidRPr="00A32EED">
        <w:rPr>
          <w:rFonts w:eastAsia="ＭＳ ゴシック"/>
          <w:b/>
          <w:color w:val="000000"/>
          <w:szCs w:val="26"/>
          <w:u w:val="single"/>
        </w:rPr>
        <w:lastRenderedPageBreak/>
        <w:t>Chapter 1: Introduction</w:t>
      </w:r>
      <w:bookmarkEnd w:id="4"/>
      <w:bookmarkEnd w:id="5"/>
    </w:p>
    <w:p w14:paraId="1C8255EB" w14:textId="77777777" w:rsidR="004C4C39" w:rsidRPr="00A32EED" w:rsidRDefault="004C4C39" w:rsidP="004C4C39">
      <w:pPr>
        <w:spacing w:after="0" w:line="480" w:lineRule="auto"/>
        <w:ind w:firstLine="720"/>
        <w:rPr>
          <w:rFonts w:eastAsia="Calibri"/>
        </w:rPr>
      </w:pPr>
      <w:r w:rsidRPr="00A32EED">
        <w:rPr>
          <w:rFonts w:eastAsia="Calibri"/>
        </w:rPr>
        <w:t xml:space="preserve">At the federal level, child maltreatment is defined as “any recent act or failure to act on the part of a parent of caretaker which results in death, serious physical or emotional harm, sexual abuse or exploitation” or “an act or failure to act which presents an imminent risk of serious harm” </w:t>
      </w:r>
      <w:r w:rsidRPr="00A32EED">
        <w:rPr>
          <w:rFonts w:eastAsia="Calibri"/>
        </w:rPr>
        <w:fldChar w:fldCharType="begin"/>
      </w:r>
      <w:r w:rsidRPr="00A32EED">
        <w:rPr>
          <w:rFonts w:eastAsia="Calibri"/>
        </w:rPr>
        <w:instrText xml:space="preserve"> ADDIN ZOTERO_ITEM CSL_CITATION {"citationID":"1h3rr176tr","properties":{"formattedCitation":"(Child Welfare Information Gateway 2010)","plainCitation":"(Child Welfare Information Gateway 2010)"},"citationItems":[{"id":232,"uris":["http://zotero.org/users/1165382/items/F4Z8U4EF"],"uri":["http://zotero.org/users/1165382/items/F4Z8U4EF"],"itemData":{"id":232,"type":"webpage","title":"Definitions of Child Abuse and Neglect in Federal Law - Child Welfare Information Gateway","URL":"https://www.childwelfare.gov/topics/can/defining/federal/","note":"00000","author":[{"literal":"Child Welfare Information Gateway"}],"issued":{"date-parts":[["2010"]]},"accessed":{"date-parts":[["2016",4,13]]}}}],"schema":"https://github.com/citation-style-language/schema/raw/master/csl-citation.json"} </w:instrText>
      </w:r>
      <w:r w:rsidRPr="00A32EED">
        <w:rPr>
          <w:rFonts w:eastAsia="Calibri"/>
        </w:rPr>
        <w:fldChar w:fldCharType="separate"/>
      </w:r>
      <w:r w:rsidRPr="00A32EED">
        <w:rPr>
          <w:rFonts w:eastAsia="Times New Roman"/>
        </w:rPr>
        <w:t>(Child Welfare Information Gateway 2010)</w:t>
      </w:r>
      <w:r w:rsidRPr="00A32EED">
        <w:rPr>
          <w:rFonts w:eastAsia="Calibri"/>
        </w:rPr>
        <w:fldChar w:fldCharType="end"/>
      </w:r>
      <w:r w:rsidRPr="00A32EED">
        <w:rPr>
          <w:rFonts w:eastAsia="Calibri"/>
        </w:rPr>
        <w:t xml:space="preserve">. Research consistently shows children with histories of maltreatment and contact with child welfare systems are more likely to experience adverse outcomes throughout the life-course. For instance, previous research finds that children with histories of child maltreatment and/or contact with the child welfare system have higher rates of risky sexual behaviors such as teen pregnancy and early sexual initiation </w:t>
      </w:r>
      <w:r w:rsidRPr="00A32EED">
        <w:rPr>
          <w:rFonts w:eastAsia="Calibri"/>
        </w:rPr>
        <w:fldChar w:fldCharType="begin"/>
      </w:r>
      <w:r w:rsidRPr="00A32EED">
        <w:rPr>
          <w:rFonts w:eastAsia="Calibri"/>
        </w:rPr>
        <w:instrText xml:space="preserve"> ADDIN ZOTERO_ITEM CSL_CITATION {"citationID":"2eumdm00v5","properties":{"formattedCitation":"(James et al. 2009; Leslie et al. 2010)","plainCitation":"(James et al. 2009; Leslie et al. 2010)"},"citationItems":[{"id":438,"uris":["http://zotero.org/users/1165382/items/S87A2U8W"],"uri":["http://zotero.org/users/1165382/items/S87A2U8W"],"itemData":{"id":438,"type":"article-journal","title":"Sexual risk behaviors among youth in the child welfare system","container-title":"Children and Youth Services Review","page":"990-1000","volume":"31","issue":"9","source":"ScienceDirect","abstract":"This study uses data from the National Survey of Child and Adolescent Well-Being (NSCAW) to provide estimates of sexual risk behaviors for 877 youth, age 11–14 at baseline, in the child welfare system. It examines the association between baseline psychosocial risk and protective factors on engagement in sexual risk behaviors after 36 months. It further compares rates of sexual risk behaviors between youth placed in out-of-home care and those who remained with their biological family. Key findings include a high rate of pregnancy, a high percentage of youth who initiated sexual activity at or before age 13 as well as a limited role of protective factors in moderating sexual risk behaviors. A history of placement into out-of-home care is not significantly associated with greater engagement in sexual risk behaviors. Implications for intervention development and child welfare policy for this population are discussed.","DOI":"10.1016/j.childyouth.2009.04.014","ISSN":"0190-7409","journalAbbreviation":"Children and Youth Services Review","author":[{"family":"James","given":"Sigrid"},{"family":"Montgomery","given":"Susanne B."},{"family":"Leslie","given":"Laurel K."},{"family":"Zhang","given":"Jinjin"}],"issued":{"date-parts":[["2009",9]]}}},{"id":53,"uris":["http://zotero.org/users/1165382/items/4876QBPV"],"uri":["http://zotero.org/users/1165382/items/4876QBPV"],"itemData":{"id":53,"type":"article-journal","title":"Health-Risk Behaviors in Young Adolescents in the Child Welfare System","container-title":"Journal of Adolescent Health","page":"26-34","volume":"47","issue":"1","source":"ScienceDirect","abstract":"Purpose\nTo examine rates and patterns of health-risk behavior (e.g., sexuality, depression/suicidality, substance use, delinquency) among a national probability sample of youth active to the child welfare/child protective services system. Recent federal legislation, P.L. 110-351, encourages child welfare systems, Medicaid, and pediatric experts to collaborate to ensure youth entering foster care receive comprehensive health examinations.\nMethods\nAnalysis of baseline caregiver, caseworker, and child interviews, and assessment data for a subsample (n = 993) of youth, aged 11–15 years, from the National Survey of Child and Adolescent Well-Being, a national probability sample of children and adolescents undergoing investigation for abuse or neglect.\nResults\nAlmost half of the sample (46.3%) endorsed at least one health-risk behavior. On Poisson multivariate regression modeling, factors related to higher rates of health-risk behaviors included older age, female gender, abuse history, deviant peers, limited caregiver monitoring, and poor school engagement.\nConclusion\nGiven the heightened vulnerability of this population, early screening for health-risk behaviors must be prioritized. Further research should explore specific subpopulations at risk for health-risk behaviors and possible interventions to change these youths' trajectories.","DOI":"10.1016/j.jadohealth.2009.12.032","ISSN":"1054-139X","note":"00062","journalAbbreviation":"Journal of Adolescent Health","author":[{"family":"Leslie","given":"Laurel K."},{"family":"James","given":"Sigrid"},{"family":"Monn","given":"Amy"},{"family":"Kauten","given":"Milena C."},{"family":"Zhang","given":"Jinjin"},{"family":"Aarons","given":"Gregory"}],"issued":{"date-parts":[["2010",7]]}}}],"schema":"https://github.com/citation-style-language/schema/raw/master/csl-citation.json"} </w:instrText>
      </w:r>
      <w:r w:rsidRPr="00A32EED">
        <w:rPr>
          <w:rFonts w:eastAsia="Calibri"/>
        </w:rPr>
        <w:fldChar w:fldCharType="separate"/>
      </w:r>
      <w:r w:rsidRPr="00A32EED">
        <w:rPr>
          <w:rFonts w:eastAsia="Calibri"/>
          <w:noProof/>
        </w:rPr>
        <w:t>(James et al. 2009; Leslie et al. 2010)</w:t>
      </w:r>
      <w:r w:rsidRPr="00A32EED">
        <w:rPr>
          <w:rFonts w:eastAsia="Calibri"/>
        </w:rPr>
        <w:fldChar w:fldCharType="end"/>
      </w:r>
      <w:r w:rsidRPr="00A32EED">
        <w:rPr>
          <w:rFonts w:eastAsia="Calibri"/>
        </w:rPr>
        <w:t xml:space="preserve">, self-reported offending </w:t>
      </w:r>
      <w:r w:rsidRPr="00A32EED">
        <w:rPr>
          <w:rFonts w:eastAsia="Calibri"/>
        </w:rPr>
        <w:fldChar w:fldCharType="begin"/>
      </w:r>
      <w:r w:rsidRPr="00A32EED">
        <w:rPr>
          <w:rFonts w:eastAsia="Calibri"/>
        </w:rPr>
        <w:instrText xml:space="preserve"> ADDIN ZOTERO_ITEM CSL_CITATION {"citationID":"1uab1had3l","properties":{"formattedCitation":"(Brezina 1998; Chamberlain and Reid 1998; Chapple, Tyler, and Bersani 2005; Cusick et al. 2010a; Fagan 2005; Reilly 2003; Snyder and Merritt 2014; Stouthamer-Loeber et al. 2002; Taussig, Clyman, and Landsverk 2001)","plainCitation":"(Brezina 1998; Chamberlain and Reid 1998; Chapple, Tyler, and Bersani 2005; Cusick et al. 2010a; Fagan 2005; Reilly 2003; Snyder and Merritt 2014; Stouthamer-Loeber et al. 2002; Taussig, Clyman, and Landsverk 2001)"},"citationItems":[{"id":62,"uris":["http://zotero.org/users/1165382/items/4NSM4I7M"],"uri":["http://zotero.org/users/1165382/items/4NSM4I7M"],"itemData":{"id":62,"type":"article-journal","title":"Adolescent maltreatment and delinquency: The question of intervening processes","container-title":"Journal of Research in Crime and Delinquency","page":"71–99","volume":"35","issue":"1","source":"Google Scholar","note":"00255","shortTitle":"Adolescent maltreatment and delinquency","author":[{"family":"Brezina","given":"Timothy"}],"issued":{"date-parts":[["1998"]]}}},{"id":555,"uris":["http://zotero.org/users/1165382/items/XJJAIZ3A"],"uri":["http://zotero.org/users/1165382/items/XJJAIZ3A"],"itemData":{"id":555,"type":"article-journal","title":"Comparison of two community alternatives to incarceration for chronic juvenile offenders.","container-title":"Journal of consulting and clinical psychology","page":"624","volume":"66","issue":"4","source":"Google Scholar","author":[{"family":"Chamberlain","given":"Patricia"},{"family":"Reid","given":"John B."}],"issued":{"date-parts":[["1998"]]}}},{"id":86,"uris":["http://zotero.org/users/1165382/items/65ZNE4X4"],"uri":["http://zotero.org/users/1165382/items/65ZNE4X4"],"itemData":{"id":86,"type":"article-journal","title":"Child neglect and adolescent violence: Examining the effects of self-control and peer rejection","container-title":"Violence and victims","page":"39–53","volume":"20","issue":"1","source":"Google Scholar","note":"00083","shortTitle":"Child neglect and adolescent violence","author":[{"family":"Chapple","given":"Constance L."},{"family":"Tyler","given":"Kimberly A."},{"family":"Bersani","given":"Bianca E."}],"issued":{"date-parts":[["2005"]]}}},{"id":5,"uris":["http://zotero.org/users/1165382/items/26A6DIUW"],"uri":["http://zotero.org/users/1165382/items/26A6DIUW"],"itemData":{"id":5,"type":"book","title":"Crime during the transition to adulthood: How youth fare as they leave out-of-home care","publisher":"National Institute of Justice, Office of Justice Programs, US Department of Justice","source":"Google Scholar","URL":"http://www.ncjrs.gov/App/abstractdb/AbstractDBDetails.aspx?id=251697","note":"00025","shortTitle":"Crime during the transition to adulthood","author":[{"family":"Cusick","given":"Gretchen"},{"family":"Courtney","given":"Mark"},{"family":"Havlicek","given":"Judy"},{"family":"Hess","given":"Nathan"}],"issued":{"date-parts":[["2010"]]},"accessed":{"date-parts":[["2014",12,11]]}}},{"id":19,"uris":["http://zotero.org/users/1165382/items/2UDP4A7N"],"uri":["http://zotero.org/users/1165382/items/2UDP4A7N"],"itemData":{"id":19,"type":"article-journal","title":"The Relationship Between Adolescent Physical Abuse and Criminal Offending: Support for an Enduring and Generalized Cycle of Violence","container-title":"Journal of Family Violence","page":"279-290","volume":"20","issue":"5","source":"0-link.springer.com.library.uark.edu","abstract":"Prospective investigations have demonstrated support for the cycle of violence theory. However, few studies have examined whether or not abuse occurring during adolescence increases the prevalence and frequency of criminal involvement, or explored the long-term consequences of such victimization. In addition, there has been little investigation of whether or not the effects of abuse vary depending on characteristics of the victim, such as sex, race/ethnicity, age, family structure or income. Using data from the National Youth Survey, this study demonstrates that adolescent physical abuse has immediate and enduring effects on the prevalence and frequency of a variety of self-reported offenses, including violent and non-violent crimes, drug use and intimate partner violence. Furthermore, the study reveals that while victimization increases the prevalence of offending for victims of varying backgrounds, the frequency of offending is moderated by family income, area of residence, and family structure. Implications for prevention are discussed.","DOI":"10.1007/s10896-005-6604-7","ISSN":"0885-7482, 1573-2851","note":"00000","shortTitle":"The Relationship Between Adolescent Physical Abuse and Criminal Offending","journalAbbreviation":"J Fam Viol","language":"en","author":[{"family":"Fagan","given":"Abigail A."}],"issued":{"date-parts":[["2005",10]]}}},{"id":233,"uris":["http://zotero.org/users/1165382/items/FDGTJRZD"],"uri":["http://zotero.org/users/1165382/items/FDGTJRZD"],"itemData":{"id":233,"type":"article-journal","title":"Transition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care","author":[{"family":"Reilly","given":"Thom"}],"issued":{"date-parts":[["2003"]]}}},{"id":360,"uris":["http://zotero.org/users/1165382/items/N6SGEDJB"],"uri":["http://zotero.org/users/1165382/items/N6SGEDJB"],"itemData":{"id":360,"type":"article-journal","title":"Do childhood experiences of neglect affect delinquency among child welfare involved-youth?","container-title":"Children and Youth Services Review","page":"64-71","volume":"46","source":"ScienceDirect","abstract":"Child neglect, which is the most common form of maltreatment in the United States, has been repeatedly linked to an increased risk of delinquency. However, the existing literature lacks studies that simultaneously investigate how distinct types of neglect differentially influence delinquency among child welfare involved-youth. In addition, few studies of the relationship between neglect and delinquency include measures of ADHD, peer deviance or community violence, even though these variables have been strongly associated with delinquency. This study uses data from 784 11 to 17 year old youth who participated in Wave I of the Second National Survey of Child and Adolescent Wellbeing (NSCAW II) to examine whether supervisory neglect, physical neglect and parental substance abuse affect delinquency after controlling for ADHD, peer deviance, exposure to community violence, and out-of-home placements. We conducted a negative binomial regression to account for the low rates of delinquency among NSCAW II participants. We did not find significant main effects for supervisory neglect, physical neglect or parental substance abuse. Our study found that as youth age the count of delinquency acts increases. Black and Hispanic youth had higher counts of delinquency than youth with White, multi-racial, or “other” racial identities. Youth in out-of-home care had nearly double the rate of delinquency. Youth with more deviant peer affiliations and youth who had been exposed to community violence engaged in more delinquent behaviors. Our findings underscore the importance of the environment surrounding the youth, and the peers with whom the youth affiliates.","DOI":"10.1016/j.childyouth.2014.08.007","ISSN":"0190-7409","journalAbbreviation":"Children and Youth Services Review","author":[{"family":"Snyder","given":"Susan M."},{"family":"Merritt","given":"Darcey H."}],"issued":{"date-parts":[["2014",11]]}}},{"id":151,"uris":["http://zotero.org/users/1165382/items/9X35PG5W"],"uri":["http://zotero.org/users/1165382/items/9X35PG5W"],"itemData":{"id":151,"type":"article-journal","title":"Which family and demographic factors are related to both maltreatment and persistent serious juvenile delinquency?","container-title":"Children's Services: Social Policy, Research, and Practice","page":"261–272","volume":"5","issue":"4","source":"Google Scholar","author":[{"family":"Stouthamer-Loeber","given":"Magda"},{"family":"Wei","given":"Evelyn H."},{"family":"Homish","given":"D. Lynn"},{"family":"Loeber","given":"Rolf"}],"issued":{"date-parts":[["2002"]]}}},{"id":1250,"uris":["http://zotero.org/users/1165382/items/H5PADUN9"],"uri":["http://zotero.org/users/1165382/items/H5PADUN9"],"itemData":{"id":1250,"type":"article-journal","title":"Children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B."},{"family":"Landsverk","given":"J."}],"issued":{"date-parts":[["2001",7]]}}}],"schema":"https://github.com/citation-style-language/schema/raw/master/csl-citation.json"} </w:instrText>
      </w:r>
      <w:r w:rsidRPr="00A32EED">
        <w:rPr>
          <w:rFonts w:eastAsia="Calibri"/>
        </w:rPr>
        <w:fldChar w:fldCharType="separate"/>
      </w:r>
      <w:r w:rsidRPr="00A32EED">
        <w:rPr>
          <w:rFonts w:eastAsia="Calibri"/>
          <w:noProof/>
        </w:rPr>
        <w:t>(Brezina 1998; Chamberlain and Reid 1998; Chapple, Tyler, and Bersani 2005; Cusick et al. 2010a; Fagan 2005; Reilly 2003; Snyder and Merritt 2014; Stouthamer-Loeber et al. 2002; Taussig, Clyman, and Landsverk 2001)</w:t>
      </w:r>
      <w:r w:rsidRPr="00A32EED">
        <w:rPr>
          <w:rFonts w:eastAsia="Calibri"/>
        </w:rPr>
        <w:fldChar w:fldCharType="end"/>
      </w:r>
      <w:r w:rsidRPr="00A32EED">
        <w:rPr>
          <w:rFonts w:eastAsia="Calibri"/>
        </w:rPr>
        <w:t xml:space="preserve">, and criminal justice contact </w:t>
      </w:r>
      <w:r w:rsidRPr="00A32EED">
        <w:rPr>
          <w:rFonts w:eastAsia="Calibri"/>
        </w:rPr>
        <w:fldChar w:fldCharType="begin"/>
      </w:r>
      <w:r w:rsidRPr="00A32EED">
        <w:rPr>
          <w:rFonts w:eastAsia="Calibri"/>
        </w:rPr>
        <w:instrText xml:space="preserve"> ADDIN ZOTERO_ITEM CSL_CITATION {"citationID":"7lRIuZ4b","properties":{"formattedCitation":"{\\rtf (Chamberlain and Reid 1998; Ekstrand, Burton, and Erdman 1999; Forsman and L\\uc0\\u229{}ngstr\\uc0\\u246{}m 2012; Grogan-Kaylor and Otis 2003; Harlow 1999; Kazemian, Widom, and Farrington 2011; Mersky, Topitzes, and Reynolds 2012; Stewart, Livingston, and Dennison 2008; Taussig et al. 2001)}","plainCitation":"(Chamberlain and Reid 1998; Ekstrand, Burton, and Erdman 1999; Forsman and Långström 2012; Grogan-Kaylor and Otis 2003; Harlow 1999; Kazemian, Widom, and Farrington 2011; Mersky, Topitzes, and Reynolds 2012; Stewart, Livingston, and Dennison 2008; Taussig et al. 2001)"},"citationItems":[{"id":555,"uris":["http://zotero.org/users/1165382/items/XJJAIZ3A"],"uri":["http://zotero.org/users/1165382/items/XJJAIZ3A"],"itemData":{"id":555,"type":"article-journal","title":"Comparison of two community alternatives to incarceration for chronic juvenile offenders.","container-title":"Journal of consulting and clinical psychology","page":"624","volume":"66","issue":"4","source":"Google Scholar","author":[{"family":"Chamberlain","given":"Patricia"},{"family":"Reid","given":"John B."}],"issued":{"date-parts":[["1998"]]}}},{"id":1276,"uris":["http://zotero.org/users/1165382/items/WFAQDAWN"],"uri":["http://zotero.org/users/1165382/items/WFAQDAWN"],"itemData":{"id":1276,"type":"article-journal","title":"Women in prison: issues and challenges confronting US correctional systems","container-title":"Pp.[URL: http://www. gao. gov/new. items/gg00022. pdf]. Washington, DC: United States General Accounting Office","source":"Google Scholar","note":"00015","shortTitle":"Women in prison","author":[{"family":"Ekstrand","given":"Laurie"},{"family":"Burton","given":"Danny"},{"family":"Erdman","given":"Eric"}],"issued":{"date-parts":[["1999"]]}}},{"id":263,"uris":["http://zotero.org/users/1165382/items/GXK5EFMG"],"uri":["http://zotero.org/users/1165382/items/GXK5EFMG"],"itemData":{"id":263,"type":"article-journal","title":"Child maltreatment and adult violent offending: population-based twin study addressing the ‘cycle of violence’ hypothesis","container-title":"Psychological Medicine","page":"1977–1983","volume":"42","issue":"9","source":"Primo","abstract":"Background Associations between child maltreatment and adult violence, often termed the ‘cycle of violence’, are well documented. However, the nature of such links after appropriate control for confounding remains uncertain. We aimed to determine whether child maltreatment causes adult violent offending or whether suggested links are due to genetic or family environment confounding. Method A total of 18 083 20- to 47-year-old twins from the Swedish population-based Study of Twin Adults: Genes and Environment (STAGE) participated. We linked information on self-reported child maltreatment with national register data on convictions for adult crime. We used a case-control design to elucidate associations among unrelated individuals and also conducted within-discordant twin pair analyses to estimate the influence of familial confounding on this association. Results The odds ratio (OR), adjusted for age, sex and education, for violent offending in maltreated children grown up versus unrelated controls was 1.98 [95% confidence interval (CI) 1.52–2.57]. However, the association decreased to 1.18 (95% CI 0.62–2.25) when maltreated children were compared to their non-maltreated twins, suggesting substantial confounding by genetic or family environmental factors (within-twin OR &lt;1.98) and a weak, non-significant causal effect (within-twin OR &gt;1.00). Familial confounding was also pronounced for the association between child maltreatment and any offending. Conclusions Childhood maltreatment was found to be a weak causal risk factor for adult violent offending; hence, reducing maltreatment might decrease violent crime less than previously expected. Instead, considerable familial confounding of the link between child maltreatment and adult violent offending suggests that prevention strategies need to address overlapping genetic and/or family environmental liability for abusive and violent behavior.","DOI":"10.1017/S0033291711003060","ISSN":"0033-2917","note":"00000","shortTitle":"Child maltreatment and adult violent offending","author":[{"family":"Forsman","given":"M."},{"family":"Långström","given":"N."}],"issued":{"date-parts":[["2012"]]}}},{"id":93,"uris":["http://zotero.org/users/1165382/items/6G3KRDQC"],"uri":["http://zotero.org/users/1165382/items/6G3KRDQC"],"itemData":{"id":93,"type":"article-journal","title":"The effect of childhood maltreatment on adult criminality: A tobit regression analysis","container-title":"Child Maltreatment","page":"129–137","volume":"8","issue":"2","source":"Google Scholar","note":"00053","shortTitle":"The effect of childhood maltreatment on adult criminality","author":[{"family":"Grogan-Kaylor","given":"Andrew"},{"family":"Otis","given":"Melanie D."}],"issued":{"date-parts":[["2003"]]}}},{"id":1277,"uris":["http://zotero.org/users/1165382/items/C46DEDQU"],"uri":["http://zotero.org/users/1165382/items/C46DEDQU"],"itemData":{"id":1277,"type":"article-journal","title":"Prior abuse reported by inmates and probationers","container-title":"alcohol","page":"29–4","volume":"75","source":"Google Scholar","note":"00267","author":[{"family":"Harlow","given":"Caroline Wolf"}],"issued":{"date-parts":[["1999"]]}}},{"id":184,"uris":["http://zotero.org/users/1165382/items/BXC8W7MU"],"uri":["http://zotero.org/users/1165382/items/BXC8W7MU"],"itemData":{"id":184,"type":"article-journal","title":"A prospective examination of the relationship between childhood neglect and juvenile delinquency in the Cambridge study in delinquent development","container-title":"International Journal of Child, Youth and Family Studies","page":"65–82","volume":"2","issue":"1/2","source":"Google Scholar","author":[{"family":"Kazemian","given":"Lila"},{"family":"Widom","given":"Cathy Spatz"},{"family":"Farrington","given":"David P."}],"issued":{"date-parts":[["2011"]]}}},{"id":223,"uris":["http://zotero.org/users/1165382/items/EPHM4XPS"],"uri":["http://zotero.org/users/1165382/items/EPHM4XPS"],"itemData":{"id":223,"type":"article-journal","title":"Unsafe at Any Age Linking Childhood and Adolescent Maltreatment to Delinquency and Crime","container-title":"Journal of Research in Crime and Delinquency","page":"295-318","volume":"49","issue":"2","source":"jrc.sagepub.com","abstract":"Objectives. This study compares the effects of childhood maltreatment and adolescent maltreatment on delinquency and crime, including violent and nonviolent offending. Methods. Data were derived from the Chicago Longitudinal Study, a prospective investigation of 1,539 underprivileged, minority subjects. Results. Results confirmed that rates of overall delinquency, along with violent, drug, and property offending specifically, were elevated among childhood and adolescent maltreatment victims compared to their nonmaltreated peers. Childhood maltreatment was associated with delinquency independent of adolescent maltreatment, and strong connections between adolescent maltreatment and delinquency were present independent of prior victimization. Childhood maltreatment was also significantly related to a panel of adult crime measures, while the effects of adolescent maltreatment on adult crime were less robust. Conclusions. The study findings suggest that maltreatment at any age increases the risk of future offending, implying that investments in prevention and intervention strategies throughout childhood and adolescence may reduce delinquency and crime.","DOI":"10.1177/0022427811415284","ISSN":"0022-4278, 1552-731X","note":"00000","journalAbbreviation":"Journal of Research in Crime and Delinquency","language":"en","author":[{"family":"Mersky","given":"Joshua P."},{"family":"Topitzes","given":"James"},{"family":"Reynolds","given":"Arthur J."}],"issued":{"date-parts":[["2012",5,1]]}}},{"id":363,"uris":["http://zotero.org/users/1165382/items/NAFR5HQ2"],"uri":["http://zotero.org/users/1165382/items/NAFR5HQ2"],"itemData":{"id":363,"type":"article-journal","title":"Transitions and turning points: Examining the links between child maltreatment and juvenile offending","container-title":"Child Abuse &amp; Neglect","page":"51-66","volume":"32","issue":"1","source":"ScienceDirect","abstract":"Objective\nThe links between child maltreatment and juvenile offending are well established. However, the majority of maltreated children do not offend. The research presented in this paper examines the impact that timing and chronicity of child maltreatment have on juvenile offending.\nMethods\nAdministrative data were obtained on all children who were born in Queensland, Australia in 1983 or 1984 and had contact with child protective services for at least one child protection matter (N = 5,849). For these children information was obtained on all child protection and juvenile justice contacts until the age of 17. These data were analyzed using the Semi-Parametric Group-Based trajectory analyses [Nagin, D., &amp;amp; Land, L. (1993). Age, criminal careers, and population heterogeneity: Specification and estimation of a nonparametric mixed Poisson model. Criminology, 31, 327–362].\nResults\nSix distinctive maltreatment trajectory groups were identified, distinguished by the frequency of victimization, the age of onset and the duration of the maltreatment. Child maltreatment peaked around the transition from preschool to primary school and the transition from primary school to secondary school. Furthermore, children whose maltreatment trajectory started or extended into adolescence were more likely to offend as juveniles than children whose maltreatment occurred prior to, but not during, adolescence.\nConclusions\nTrajectory analysis provides a useful analytical tool for understanding heterogeneous nature of child maltreatment and the impact of maltreatment on subsequent juvenile offending.","DOI":"10.1016/j.chiabu.2007.04.011","ISSN":"0145-2134","shortTitle":"Transitions and turning points","journalAbbreviation":"Child Abuse &amp; Neglect","author":[{"family":"Stewart","given":"Anna"},{"family":"Livingston","given":"Michael"},{"family":"Dennison","given":"Susan"}],"issued":{"date-parts":[["2008",1]]}}},{"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B."},{"family":"Landsverk","given":"J."}],"issued":{"date-parts":[["2001",7]]}}}],"schema":"https://github.com/citation-style-language/schema/raw/master/csl-citation.json"} </w:instrText>
      </w:r>
      <w:r w:rsidRPr="00A32EED">
        <w:rPr>
          <w:rFonts w:eastAsia="Calibri"/>
        </w:rPr>
        <w:fldChar w:fldCharType="separate"/>
      </w:r>
      <w:r w:rsidRPr="00A32EED">
        <w:rPr>
          <w:rFonts w:eastAsia="Times New Roman"/>
        </w:rPr>
        <w:t>(Chamberlain and Reid 1998; Ekstrand, Burton, and Erdman 1999; Forsman and Långström 2012; Grogan-Kaylor and Otis 2003; Harlow 1999; Kazemian, Widom, and Farrington 2011; Mersky, Topitzes, and Reynolds 2012; Stewart, Livingston, and Dennison 2008; Taussig et al. 2001)</w:t>
      </w:r>
      <w:r w:rsidRPr="00A32EED">
        <w:rPr>
          <w:rFonts w:eastAsia="Calibri"/>
        </w:rPr>
        <w:fldChar w:fldCharType="end"/>
      </w:r>
      <w:r w:rsidRPr="00A32EED">
        <w:rPr>
          <w:rFonts w:eastAsia="Calibri"/>
        </w:rPr>
        <w:t xml:space="preserve">. </w:t>
      </w:r>
    </w:p>
    <w:p w14:paraId="4F26E9BE" w14:textId="77777777" w:rsidR="004C4C39" w:rsidRPr="00A32EED" w:rsidRDefault="004C4C39" w:rsidP="004C4C39">
      <w:pPr>
        <w:spacing w:after="0" w:line="480" w:lineRule="auto"/>
        <w:ind w:firstLine="720"/>
        <w:rPr>
          <w:rFonts w:eastAsia="Calibri"/>
        </w:rPr>
      </w:pPr>
      <w:r w:rsidRPr="00A32EED">
        <w:rPr>
          <w:rFonts w:eastAsia="Calibri"/>
        </w:rPr>
        <w:t xml:space="preserve">Despite previous literature linking child maltreatment and child welfare exposure with these adverse outcomes, the causal mechanisms through which this relationship operates is less clear. Furthermore, this relationship is not surprising given the chaotic social environments surrounding many of these </w:t>
      </w:r>
      <w:r w:rsidRPr="00A32EED">
        <w:rPr>
          <w:rFonts w:eastAsia="Calibri"/>
        </w:rPr>
        <w:lastRenderedPageBreak/>
        <w:t>youth. There are many events in their lives that may influence later outcomes. Factors such as parent background, SES, and neighborhoods may be correlated with both child maltreatment and later adverse outcomes for the child. Although difficult, disentangling the effects of these factors and distinguishing between their respective mechanisms is critical in understanding the influence of child maltreatment and child welfare experience on future adverse outcomes.</w:t>
      </w:r>
    </w:p>
    <w:p w14:paraId="22E201E8" w14:textId="77777777" w:rsidR="004C4C39" w:rsidRPr="00A32EED" w:rsidRDefault="004C4C39" w:rsidP="004C4C39">
      <w:pPr>
        <w:spacing w:after="0" w:line="480" w:lineRule="auto"/>
        <w:ind w:firstLine="720"/>
        <w:rPr>
          <w:rFonts w:eastAsia="Calibri"/>
        </w:rPr>
      </w:pPr>
      <w:r w:rsidRPr="00A32EED">
        <w:rPr>
          <w:rFonts w:eastAsia="Calibri"/>
        </w:rPr>
        <w:t>Additionally, a significant portion of previous literature focuses on child maltreatment or child welfare experiences independently. This is potentially problematic because it is likely that both child maltreatment and child welfare experiences exert unique main and joint effects on various adverse outcomes. Additionally, secondary consequences of child maltreatment and child welfare experiences, such as school disruption, are also likely to exert an independent effect on these adverse outcomes. It is also possible that different child welfare experiences may mediate any relationships between child maltreatment and later adverse outcomes. Taken together, any accurate understanding of the risk and protective factors of child maltreatment and child welfare experiences is likely to be complex.</w:t>
      </w:r>
    </w:p>
    <w:p w14:paraId="536FD9A0" w14:textId="77777777" w:rsidR="004C4C39" w:rsidRPr="00A32EED" w:rsidRDefault="004C4C39" w:rsidP="004C4C39">
      <w:pPr>
        <w:spacing w:after="0" w:line="480" w:lineRule="auto"/>
        <w:ind w:firstLine="720"/>
        <w:rPr>
          <w:rFonts w:eastAsia="Calibri"/>
          <w:color w:val="000000"/>
        </w:rPr>
      </w:pPr>
      <w:r w:rsidRPr="00A32EED">
        <w:rPr>
          <w:rFonts w:eastAsia="Calibri"/>
          <w:color w:val="000000"/>
        </w:rPr>
        <w:t xml:space="preserve">Criminological and sociological theories regarding the root causes of crime are potentially helpful in disentangling the protective and risk factors of child maltreatment and child welfare experiences. These theories have not been utilized often when exploring the relationship between child maltreatment, child welfare experiences, and adverse outcomes later in life. Some relevant </w:t>
      </w:r>
      <w:r w:rsidRPr="00A32EED">
        <w:rPr>
          <w:rFonts w:eastAsia="Calibri"/>
          <w:color w:val="000000"/>
        </w:rPr>
        <w:lastRenderedPageBreak/>
        <w:t xml:space="preserve">theories are classified as theories of population heterogeneity or state dependence </w:t>
      </w:r>
      <w:r w:rsidRPr="00A32EED">
        <w:rPr>
          <w:rFonts w:eastAsia="Calibri"/>
          <w:color w:val="000000"/>
        </w:rPr>
        <w:fldChar w:fldCharType="begin"/>
      </w:r>
      <w:r w:rsidRPr="00A32EED">
        <w:rPr>
          <w:rFonts w:eastAsia="Calibri"/>
          <w:color w:val="000000"/>
        </w:rPr>
        <w:instrText xml:space="preserve"> ADDIN ZOTERO_ITEM CSL_CITATION {"citationID":"y6U5iOoJ","properties":{"formattedCitation":"(Nagin and Paternoster 2000a)","plainCitation":"(Nagin and Paternoster 2000a)"},"citationItems":[{"id":497,"uris":["http://zotero.org/users/1165382/items/UWC4FZ9D"],"uri":["http://zotero.org/users/1165382/items/UWC4FZ9D"],"itemData":{"id":497,"type":"article-journal","title":"Population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1573-7799","shortTitle":"Population Heterogeneity and State Dependence","journalAbbreviation":"Journal of Quantitative Criminology","language":"en","author":[{"family":"Nagin","given":"Daniel"},{"family":"Paternoster","given":"Raymond"}],"issued":{"date-parts":[["2000",6,1]]}}}],"schema":"https://github.com/citation-style-language/schema/raw/master/csl-citation.json"} </w:instrText>
      </w:r>
      <w:r w:rsidRPr="00A32EED">
        <w:rPr>
          <w:rFonts w:eastAsia="Calibri"/>
          <w:color w:val="000000"/>
        </w:rPr>
        <w:fldChar w:fldCharType="separate"/>
      </w:r>
      <w:r w:rsidRPr="00A32EED">
        <w:rPr>
          <w:rFonts w:eastAsia="Calibri"/>
          <w:noProof/>
          <w:color w:val="000000"/>
        </w:rPr>
        <w:t>(Nagin and Paternoster 2000)</w:t>
      </w:r>
      <w:r w:rsidRPr="00A32EED">
        <w:rPr>
          <w:rFonts w:eastAsia="Calibri"/>
          <w:color w:val="000000"/>
        </w:rPr>
        <w:fldChar w:fldCharType="end"/>
      </w:r>
      <w:r w:rsidRPr="00A32EED">
        <w:rPr>
          <w:rFonts w:eastAsia="Calibri"/>
          <w:color w:val="000000"/>
        </w:rPr>
        <w:t xml:space="preserve">. Population heterogeneity theories maintain that there is a stable characteristic within an individual that is related to their propensity for criminal behavior. While stable over time, this propensity is believed to vary across individuals, meaning some individuals have a higher propensity for criminal behavior. One of the most empirically supported population heterogeneity theories is Gottfredson and Hirschi’s </w:t>
      </w:r>
      <w:r w:rsidRPr="00A32EED">
        <w:rPr>
          <w:rFonts w:eastAsia="Calibri"/>
          <w:color w:val="000000"/>
        </w:rPr>
        <w:fldChar w:fldCharType="begin"/>
      </w:r>
      <w:r w:rsidRPr="00A32EED">
        <w:rPr>
          <w:rFonts w:eastAsia="Calibri"/>
          <w:color w:val="000000"/>
        </w:rPr>
        <w:instrText xml:space="preserve"> ADDIN ZOTERO_ITEM CSL_CITATION {"citationID":"uEGDDgip","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(1990)</w:t>
      </w:r>
      <w:r w:rsidRPr="00A32EED">
        <w:rPr>
          <w:rFonts w:eastAsia="Calibri"/>
          <w:color w:val="000000"/>
        </w:rPr>
        <w:fldChar w:fldCharType="end"/>
      </w:r>
      <w:r w:rsidRPr="00A32EED">
        <w:rPr>
          <w:rFonts w:eastAsia="Calibri"/>
          <w:color w:val="000000"/>
        </w:rPr>
        <w:t xml:space="preserve"> general theory of crime. Hirschi and Gottfredson contend that levels of self-control are the major, individual-level cause of criminal offending. Specifically, those who learn self-control are much less likely to participate in criminal behavior. Furthermore, levels of self-control are stable at an early age (8-10 years old) and remain relatively stable throughout the life-course. For population heterogeneity theories, the high correlation between past and future behaviors is explained by an underlying propensity (low self-control) at the root of both the past and future behaviors.</w:t>
      </w:r>
    </w:p>
    <w:p w14:paraId="04FCBFBF" w14:textId="2E9EBDBD" w:rsidR="004C4C39" w:rsidRPr="00A32EED" w:rsidRDefault="004C4C39" w:rsidP="004C4C39">
      <w:pPr>
        <w:spacing w:after="0" w:line="480" w:lineRule="auto"/>
        <w:rPr>
          <w:rFonts w:eastAsia="Calibri"/>
          <w:color w:val="000000"/>
        </w:rPr>
      </w:pPr>
      <w:r w:rsidRPr="00A32EED">
        <w:rPr>
          <w:rFonts w:eastAsia="Calibri"/>
          <w:color w:val="000000"/>
        </w:rPr>
        <w:tab/>
        <w:t xml:space="preserve">Conversely, state dependence theories do not suggest that there are any initial differences in propensities for criminal behavior. Instead, state dependent theorists suggest that prior criminogenic events precipitate future criminal behavior via changes in lifestyles or opportunities to commit a crime. In other words, past criminal behavior is causally related to future criminal behavior. Whereas population heterogeneity maintains that propensities for criminal behavior are stable over the life-course, state dependence theories maintain that propensities for criminal behavior are fluid, and change as the result of past </w:t>
      </w:r>
      <w:r w:rsidRPr="00A32EED">
        <w:rPr>
          <w:rFonts w:eastAsia="Calibri"/>
          <w:color w:val="000000"/>
        </w:rPr>
        <w:lastRenderedPageBreak/>
        <w:t xml:space="preserve">behaviors. Labeling Theory </w:t>
      </w:r>
      <w:r w:rsidRPr="00A32EED">
        <w:rPr>
          <w:rFonts w:eastAsia="Calibri"/>
          <w:color w:val="000000"/>
        </w:rPr>
        <w:fldChar w:fldCharType="begin"/>
      </w:r>
      <w:r w:rsidRPr="00A32EED">
        <w:rPr>
          <w:rFonts w:eastAsia="Calibri"/>
          <w:color w:val="000000"/>
        </w:rPr>
        <w:instrText xml:space="preserve"> ADDIN ZOTERO_ITEM CSL_CITATION {"citationID":"18lnfm029o","properties":{"formattedCitation":"(Lemert 1972)","plainCitation":"(Lemert 1972)"},"citationItems":[{"id":159,"uris":["http://zotero.org/users/1165382/items/AD7ZGBQA"],"uri":["http://zotero.org/users/1165382/items/AD7ZGBQA"],"itemData":{"id":159,"type":"article-journal","title":"Human Deviance, Social Problems, and Social Control (2™\" Ed)","container-title":"Englewood Cliffs, NJ","source":"Google Scholar","URL":"https://www.ncjrs.gov/App/Publications/abstract.aspx?ID=7591","note":"00000","author":[{"family":"Lemert","given":"E. M."}],"issued":{"date-parts":[["1972"]]},"accessed":{"date-parts":[["2016",4,13]]}}}],"schema":"https://github.com/citation-style-language/schema/raw/master/csl-citation.json"} </w:instrText>
      </w:r>
      <w:r w:rsidRPr="00A32EED">
        <w:rPr>
          <w:rFonts w:eastAsia="Calibri"/>
          <w:color w:val="000000"/>
        </w:rPr>
        <w:fldChar w:fldCharType="separate"/>
      </w:r>
      <w:r w:rsidRPr="00A32EED">
        <w:rPr>
          <w:rFonts w:eastAsia="Calibri"/>
          <w:noProof/>
          <w:color w:val="000000"/>
        </w:rPr>
        <w:t>(Lemert 1972)</w:t>
      </w:r>
      <w:r w:rsidRPr="00A32EED">
        <w:rPr>
          <w:rFonts w:eastAsia="Calibri"/>
          <w:color w:val="000000"/>
        </w:rPr>
        <w:fldChar w:fldCharType="end"/>
      </w:r>
      <w:r w:rsidRPr="00A32EED">
        <w:rPr>
          <w:rFonts w:eastAsia="Calibri"/>
          <w:color w:val="000000"/>
        </w:rPr>
        <w:t xml:space="preserve">, Social Learning Theory </w:t>
      </w:r>
      <w:r w:rsidRPr="00A32EED">
        <w:rPr>
          <w:rFonts w:eastAsia="Calibri"/>
          <w:color w:val="000000"/>
        </w:rPr>
        <w:fldChar w:fldCharType="begin"/>
      </w:r>
      <w:r w:rsidRPr="00A32EED">
        <w:rPr>
          <w:rFonts w:eastAsia="Calibri"/>
          <w:color w:val="000000"/>
        </w:rPr>
        <w:instrText xml:space="preserve"> ADDIN ZOTERO_ITEM CSL_CITATION {"citationID":"2144b9otl1","properties":{"formattedCitation":"(Akers 1998)","plainCitation":"(Akers 1998)"},"citationItems":[{"id":128,"uris":["http://zotero.org/users/1165382/items/8CI2GSGK"],"uri":["http://zotero.org/users/1165382/items/8CI2GSGK"],"itemData":{"id":128,"type":"book","title":"Social learning and social structure: a general theory of crime and deviance","publisher":"Northeastern University Press","publisher-place":"Boston","source":"Open WorldCat","event-place":"Boston","ISBN":"1-55553-310-8","note":"00000","shortTitle":"Social learning and social structure","language":"English","author":[{"family":"Akers","given":"Ronald L"}],"issued":{"date-parts":[["1998"]]}}}],"schema":"https://github.com/citation-style-language/schema/raw/master/csl-citation.json"} </w:instrText>
      </w:r>
      <w:r w:rsidRPr="00A32EED">
        <w:rPr>
          <w:rFonts w:eastAsia="Calibri"/>
          <w:color w:val="000000"/>
        </w:rPr>
        <w:fldChar w:fldCharType="separate"/>
      </w:r>
      <w:r w:rsidRPr="00A32EED">
        <w:rPr>
          <w:rFonts w:eastAsia="Calibri"/>
          <w:noProof/>
          <w:color w:val="000000"/>
        </w:rPr>
        <w:t>(Akers 1998)</w:t>
      </w:r>
      <w:r w:rsidRPr="00A32EED">
        <w:rPr>
          <w:rFonts w:eastAsia="Calibri"/>
          <w:color w:val="000000"/>
        </w:rPr>
        <w:fldChar w:fldCharType="end"/>
      </w:r>
      <w:r w:rsidRPr="00A32EED">
        <w:rPr>
          <w:rFonts w:eastAsia="Calibri"/>
          <w:color w:val="000000"/>
        </w:rPr>
        <w:t xml:space="preserve">, and General Strain Theory </w:t>
      </w:r>
      <w:r w:rsidRPr="00A32EED">
        <w:rPr>
          <w:rFonts w:eastAsia="Calibri"/>
          <w:color w:val="000000"/>
        </w:rPr>
        <w:fldChar w:fldCharType="begin"/>
      </w:r>
      <w:r w:rsidRPr="00A32EED">
        <w:rPr>
          <w:rFonts w:eastAsia="Calibri"/>
          <w:color w:val="000000"/>
        </w:rPr>
        <w:instrText xml:space="preserve"> ADDIN ZOTERO_ITEM CSL_CITATION {"citationID":"1153urc166","properties":{"formattedCitation":"(Agnew 1992)","plainCitation":"(Agnew 1992)"},"citationItems":[{"id":500,"uris":["http://zotero.org/users/1165382/items/V43RG7SW"],"uri":["http://zotero.org/users/1165382/items/V43RG7SW"],"itemData":{"id":500,"type":"article-journal","title":"Foundation for a General Strain Theory of Crime and Delinquency*","container-title":"Criminology","page":"47-88","volume":"30","issue":"1","source":"Wiley Online Library","abstract":"This paper presents a general strain theory of crime and delinquency that is capable of overcoming the criticisms of previous strain theories. In the first section, strain theory is distinguished from social control and differential association/social learning theory. In the second section, the three major types of strain are described: (1) strain as the actual or anticipated failure to achieve positively valued goals, (2) strain as the actual or anticipated removal of positively valued stimuli, and (3) strain as the actual or anticipated presentation of negatively valued stimuli. In the third section, guidelines for the measurement of strain are presented. And in the fourth section, the major adaptations to strain are described, and those factors influencing the choice of delinquent versus nondelinquent adaptations are discussed.","DOI":"10.1111/j.1745-9125.1992.tb01093.x","ISSN":"1745-9125","language":"en","author":[{"family":"Agnew","given":"Robert"}],"issued":{"date-parts":[["1992",2,1]]}}}],"schema":"https://github.com/citation-style-language/schema/raw/master/csl-citation.json"} </w:instrText>
      </w:r>
      <w:r w:rsidRPr="00A32EED">
        <w:rPr>
          <w:rFonts w:eastAsia="Calibri"/>
          <w:color w:val="000000"/>
        </w:rPr>
        <w:fldChar w:fldCharType="separate"/>
      </w:r>
      <w:r w:rsidRPr="00A32EED">
        <w:rPr>
          <w:rFonts w:eastAsia="Calibri"/>
          <w:noProof/>
          <w:color w:val="000000"/>
        </w:rPr>
        <w:t>(Agnew 1992)</w:t>
      </w:r>
      <w:r w:rsidRPr="00A32EED">
        <w:rPr>
          <w:rFonts w:eastAsia="Calibri"/>
          <w:color w:val="000000"/>
        </w:rPr>
        <w:fldChar w:fldCharType="end"/>
      </w:r>
      <w:r w:rsidRPr="00A32EED">
        <w:rPr>
          <w:rFonts w:eastAsia="Calibri"/>
          <w:color w:val="000000"/>
        </w:rPr>
        <w:t xml:space="preserve"> are all theories that </w:t>
      </w:r>
      <w:r w:rsidR="000841E9">
        <w:rPr>
          <w:rFonts w:eastAsia="Calibri"/>
          <w:color w:val="000000"/>
        </w:rPr>
        <w:t xml:space="preserve">are </w:t>
      </w:r>
      <w:r w:rsidRPr="00A32EED">
        <w:rPr>
          <w:rFonts w:eastAsia="Calibri"/>
          <w:color w:val="000000"/>
        </w:rPr>
        <w:t xml:space="preserve">based on a state dependent framework. In all of these theories, the commission of a criminal act may have a causal influence on future criminal acts.  </w:t>
      </w:r>
    </w:p>
    <w:p w14:paraId="6F54B616" w14:textId="77777777" w:rsidR="004C4C39" w:rsidRPr="00A32EED" w:rsidRDefault="004C4C39" w:rsidP="004C4C39">
      <w:pPr>
        <w:spacing w:after="0" w:line="480" w:lineRule="auto"/>
        <w:ind w:firstLine="720"/>
        <w:rPr>
          <w:rFonts w:eastAsia="Calibri"/>
          <w:color w:val="000000"/>
        </w:rPr>
      </w:pPr>
      <w:r w:rsidRPr="00A32EED">
        <w:rPr>
          <w:rFonts w:eastAsia="Calibri"/>
          <w:color w:val="000000"/>
        </w:rPr>
        <w:t xml:space="preserve">While these theories are often pitted against each other, or offered as competing theories, Nagin and Paternoster </w:t>
      </w:r>
      <w:r w:rsidRPr="00A32EED">
        <w:rPr>
          <w:rFonts w:eastAsia="Calibri"/>
          <w:color w:val="000000"/>
        </w:rPr>
        <w:fldChar w:fldCharType="begin"/>
      </w:r>
      <w:r w:rsidRPr="00A32EED">
        <w:rPr>
          <w:rFonts w:eastAsia="Calibri"/>
          <w:color w:val="000000"/>
        </w:rPr>
        <w:instrText xml:space="preserve"> ADDIN ZOTERO_ITEM CSL_CITATION {"citationID":"242cen1pcp","properties":{"formattedCitation":"(2000a)","plainCitation":"(2000a)"},"citationItems":[{"id":497,"uris":["http://zotero.org/users/1165382/items/UWC4FZ9D"],"uri":["http://zotero.org/users/1165382/items/UWC4FZ9D"],"itemData":{"id":497,"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1573-7799","shortTitle":"Population Heterogeneity and State Dependence","journalAbbreviation":"Journal of Quantitative Criminology","language":"en","author":[{"family":"Nagin","given":"Daniel"},{"family":"Paternoster","given":"Raymond"}],"issued":{"date-parts":[["2000",6,1]]}},"suppress-author":true}],"schema":"https://github.com/citation-style-language/schema/raw/master/csl-citation.json"}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(2000)</w:t>
      </w:r>
      <w:r w:rsidRPr="00A32EED">
        <w:rPr>
          <w:rFonts w:eastAsia="Calibri"/>
          <w:color w:val="000000"/>
        </w:rPr>
        <w:fldChar w:fldCharType="end"/>
      </w:r>
      <w:r w:rsidRPr="00A32EED">
        <w:rPr>
          <w:rFonts w:eastAsia="Calibri"/>
          <w:color w:val="000000"/>
        </w:rPr>
        <w:t xml:space="preserve"> are clear to point out that population heterogeneity and state dependence theories need not be seen as mutually exclusive or incompatible. They contend that the best theories are those that incorporate both population heterogeneity and state dependence. </w:t>
      </w:r>
      <w:r w:rsidRPr="00A32EED">
        <w:rPr>
          <w:rFonts w:eastAsia="Calibri"/>
        </w:rPr>
        <w:t xml:space="preserve">Sampson and Laub’s </w:t>
      </w:r>
      <w:r w:rsidRPr="00A32EED">
        <w:rPr>
          <w:rFonts w:eastAsia="Calibri"/>
        </w:rPr>
        <w:fldChar w:fldCharType="begin"/>
      </w:r>
      <w:r w:rsidRPr="00A32EED">
        <w:rPr>
          <w:rFonts w:eastAsia="Calibri"/>
        </w:rPr>
        <w:instrText xml:space="preserve"> ADDIN ZOTERO_ITEM CSL_CITATION {"citationID":"W61QePOm","properties":{"formattedCitation":"(1990, 1995a, 1995b)","plainCitation":"(1990, 1995a, 1995b)"},"citationItems":[{"id":275,"uris":["http://zotero.org/users/1165382/items/HSZ7M9G6"],"uri":["http://zotero.org/users/1165382/items/HSZ7M9G6"],"itemData":{"id":275,"type":"article-journal","title":"Crime and Deviance over the Life Course: The Salience of Adult Social Bonds","container-title":"American Sociological Review","page":"609-627","volume":"55","issue":"5","source":"JSTOR","abstract":"Analyzing the natural histories of two samples of boys that differ dramatically in childhood delinquency, we test a model of crime and deviance over the life course. The first hypothesis is that childhood antisocial behavior predicts problems in adult development across a wide variety of dimensions. Second, we argue that social bonds in adulthood--to work and family--explain changes in crime and deviance over the life span. The longitudinal data were reconstructed from the Gluecks' classic study of delinquent and non-delinquent males from childhood to age 32. Childhood delinquency is linked to adult crime, alcohol abuse, general deviance, economic dependency, educational failure, unemployment, divorce, and even charges in the military. Despite this continuity, job stability and strong marital attachment in adulthood inhibit adult criminal and deviant behavior. The results support a model of informal social control that recognizes both stability and change in antisocial behavior over the life course.","DOI":"10.2307/2095859","ISSN":"0003-1224","note":"00000","shortTitle":"Crime and Deviance over the Life Course","journalAbbreviation":"American Sociological Review","author":[{"family":"Sampson","given":"Robert J."},{"family":"Laub","given":"John H."}],"issued":{"date-parts":[["1990"]]}},"suppress-author":true},{"id":569,"uris":["http://zotero.org/users/1165382/items/ZDAAURIF"],"uri":["http://zotero.org/users/1165382/items/ZDAAURIF"],"itemData":{"id":569,"type":"book","title":"Crime in the Making: Pathways and Turning Points through Life","publisher":"Harvard University Press","publisher-place":"Cambridge, Mass.","number-of-pages":"320","source":"Amazon.com","event-place":"Cambridge, Mass.","abstract":"This new theory of crime over the life course provides an important foundation for rethinking criminal justice policy. It is based on the reanalysis of a classic set of data: Sheldon and Eleanor Gluecks' mid-century study of 500 delinquents and 500 nondelinquents from childhood to adulthood. Several years ago, Robert Sampson and John Laub dusted off sixty cartons of the Gleucks' data that had been stored in the basement of the Harvard Law School and undertook a lengthy process of recoding, computerizing, and reanalyzing it. On the basis of their findings, they developed a theory of informal social control that acknowledges the importance of childhood behavior but rejects the implication that adult social factors have little relevance. This theory accounts for both stability and change in crime and deviance throughout the life course.","ISBN":"978-0-674-17605-8","shortTitle":"Crime in the Making","language":"English","author":[{"family":"Sampson","given":"Robert J."},{"family":"Laub","given":"John H."}],"issued":{"date-parts":[["1995",4,14]]}},"suppress-author":true},{"id":39,"uris":["http://zotero.org/users/1165382/items/3KQ73226"],"uri":["http://zotero.org/users/1165382/items/3KQ73226"],"itemData":{"id":39,"type":"article-journal","title":"Understanding variability in lives through time: Contributions of life-course criminology","container-title":"Studies on Crime &amp; Crime Prevention","page":"143-158","volume":"4","issue":"2","source":"APA PsycNET","abstract":"Examines the distinguishing features of a life-course perspective on crime. Integrated with an age-graded theory of informal social control, the authors argue that the nuts and bolts of life-course inquiry, especially aging (social and biological), stability and change, human agency, cohort, and historical period, yield powerful insights directly related to the substantive phenomenon of crime. The authors also identify points of both agreement and disagreement with M. Hirschi and T. Gottfredson's (1990) static perspective on crime, attempting to reconcile, or, where necessary, clarify differences in theoretical outlook. The main goal is to highlight the implications of static and dynamic perspectives on the life course for future research in criminology.","ISSN":"1102-3937(Print)","note":"00165","shortTitle":"Understanding variability in lives through time","author":[{"family":"Sampson","given":"Robert J."},{"family":"Laub","given":"John H."}],"issued":{"date-parts":[["1995"]]}},"suppress-author":true}],"schema":"https://github.com/citation-style-language/schema/raw/master/csl-citation.json"} </w:instrText>
      </w:r>
      <w:r w:rsidRPr="00A32EED">
        <w:rPr>
          <w:rFonts w:eastAsia="Calibri"/>
        </w:rPr>
        <w:fldChar w:fldCharType="separate"/>
      </w:r>
      <w:r w:rsidRPr="00A32EED">
        <w:rPr>
          <w:rFonts w:eastAsia="Calibri"/>
          <w:noProof/>
        </w:rPr>
        <w:t>(1990, 1995a, 1995b)</w:t>
      </w:r>
      <w:r w:rsidRPr="00A32EED">
        <w:rPr>
          <w:rFonts w:eastAsia="Calibri"/>
        </w:rPr>
        <w:fldChar w:fldCharType="end"/>
      </w:r>
      <w:r w:rsidRPr="00A32EED">
        <w:rPr>
          <w:rFonts w:eastAsia="Calibri"/>
          <w:color w:val="000000"/>
        </w:rPr>
        <w:t xml:space="preserve"> age-graded theory of informal social control is one such theory. Sampson and Laub’s age-graded theory of informal social control is also referred to as a life-course theory of crime. Life-course theory contends that there are initial differences in propensity for criminal behavior that influence offending throughout the life-course. Indeed, past criminal behavior can also have a causal effect on future criminal behavior by weakening social bonds and increasing the likelihood of more criminal behavior moving forward. Importantly, this process can also work in the reverse, with non-criminal behaviors such as stable employment or marriage working to strengthen bonds and reduce the likelihood of future criminal behavior. It is this life-course perspective that are used to frame this study. This theory allows for exploration of both population heterogeneity and state dependent effects of child maltreatment and child welfare on later adverse outcomes.</w:t>
      </w:r>
    </w:p>
    <w:p w14:paraId="1FDA5092" w14:textId="11727EC3" w:rsidR="004C4C39" w:rsidRPr="00A32EED" w:rsidRDefault="004C4C39" w:rsidP="004C4C39">
      <w:pPr>
        <w:spacing w:after="0" w:line="480" w:lineRule="auto"/>
        <w:ind w:firstLine="720"/>
        <w:rPr>
          <w:rFonts w:eastAsia="Calibri"/>
        </w:rPr>
      </w:pPr>
      <w:r w:rsidRPr="00A32EED">
        <w:rPr>
          <w:rFonts w:eastAsia="Calibri"/>
        </w:rPr>
        <w:lastRenderedPageBreak/>
        <w:t xml:space="preserve">Regarding the continuity of offending throughout the life-course, Nagin and Paternoster </w:t>
      </w:r>
      <w:r w:rsidRPr="00A32EED">
        <w:rPr>
          <w:rFonts w:eastAsia="Calibri"/>
        </w:rPr>
        <w:fldChar w:fldCharType="begin"/>
      </w:r>
      <w:r w:rsidRPr="00A32EED">
        <w:rPr>
          <w:rFonts w:eastAsia="Calibri"/>
        </w:rPr>
        <w:instrText xml:space="preserve"> ADDIN ZOTERO_ITEM CSL_CITATION {"citationID":"gHvbnGFS","properties":{"formattedCitation":"(2000a)","plainCitation":"(2000a)"},"citationItems":[{"id":497,"uris":["http://zotero.org/users/1165382/items/UWC4FZ9D"],"uri":["http://zotero.org/users/1165382/items/UWC4FZ9D"],"itemData":{"id":497,"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1573-7799","shortTitle":"Population Heterogeneity and State Dependence","journalAbbreviation":"Journal of Quantitative Criminology","language":"en","author":[{"family":"Nagin","given":"Daniel"},{"family":"Paternoster","given":"Raymond"}],"issued":{"date-parts":[["2000",6,1]]}},"suppress-author":true}],"schema":"https://github.com/citation-style-language/schema/raw/master/csl-citation.json"} </w:instrText>
      </w:r>
      <w:r w:rsidRPr="00A32EED">
        <w:rPr>
          <w:rFonts w:eastAsia="Calibri"/>
        </w:rPr>
        <w:fldChar w:fldCharType="separate"/>
      </w:r>
      <w:r w:rsidRPr="00A32EED">
        <w:rPr>
          <w:rFonts w:eastAsia="Calibri"/>
          <w:noProof/>
        </w:rPr>
        <w:t>(2000)</w:t>
      </w:r>
      <w:r w:rsidRPr="00A32EED">
        <w:rPr>
          <w:rFonts w:eastAsia="Calibri"/>
        </w:rPr>
        <w:fldChar w:fldCharType="end"/>
      </w:r>
      <w:r w:rsidRPr="00A32EED">
        <w:rPr>
          <w:rFonts w:eastAsia="Calibri"/>
        </w:rPr>
        <w:t xml:space="preserve"> explain population heterogeneity processes as being those in which offending is the result of differences in propensities. This propensity is also related to other adverse outcomes such as risky sexual behavior, drug use, or employment instability and therefore may manifest in various ways throughout the life-course. To further explain population heterogeneity’s effects, they use the image of an urn that is filled with red and blue balls that represent the individual’s anti-social and pro-social tendencies respectively. The ratio of red to blue balls varies across the population and therefore, those with </w:t>
      </w:r>
      <w:r w:rsidR="00367EFA">
        <w:rPr>
          <w:rFonts w:eastAsia="Calibri"/>
        </w:rPr>
        <w:t>colored</w:t>
      </w:r>
      <w:r w:rsidRPr="00A32EED">
        <w:rPr>
          <w:rFonts w:eastAsia="Calibri"/>
        </w:rPr>
        <w:t xml:space="preserve"> balls (anti-social tendencies) will be consistently more likely to draw upon an anti-social trait and therefore be more likely to experience an adverse outcome. As a result, the person’s past actions are a significant predictor of their future actions due to their stable ratio of anti and pro-social tendencies. </w:t>
      </w:r>
    </w:p>
    <w:p w14:paraId="1551BE25" w14:textId="466F59F4" w:rsidR="004C4C39" w:rsidRPr="00A32EED" w:rsidRDefault="004C4C39" w:rsidP="004C4C39">
      <w:pPr>
        <w:spacing w:after="0" w:line="480" w:lineRule="auto"/>
        <w:ind w:firstLine="720"/>
        <w:rPr>
          <w:rFonts w:eastAsia="Calibri"/>
        </w:rPr>
      </w:pPr>
      <w:r w:rsidRPr="00A32EED">
        <w:rPr>
          <w:rFonts w:eastAsia="Calibri"/>
        </w:rPr>
        <w:t>A population heterogeneity explanation of the relationship between child maltreatment, child welfare exposure, and adverse outcomes would be that maltreatment experi</w:t>
      </w:r>
      <w:r w:rsidR="00367EFA">
        <w:rPr>
          <w:rFonts w:eastAsia="Calibri"/>
        </w:rPr>
        <w:t>enced at early ages results in</w:t>
      </w:r>
      <w:r w:rsidRPr="00A32EED">
        <w:rPr>
          <w:rFonts w:eastAsia="Calibri"/>
        </w:rPr>
        <w:t xml:space="preserve"> failure of the child to attain appropriate levels of self-control. The lack of adequate levels of</w:t>
      </w:r>
      <w:r w:rsidR="00367EFA">
        <w:rPr>
          <w:rFonts w:eastAsia="Calibri"/>
        </w:rPr>
        <w:t xml:space="preserve"> self-control may then manifest</w:t>
      </w:r>
      <w:r w:rsidRPr="00A32EED">
        <w:rPr>
          <w:rFonts w:eastAsia="Calibri"/>
        </w:rPr>
        <w:t xml:space="preserve"> itself via an increased propensity for risky sexual behavior, higher rates of self-reported offending, and higher prevalence of criminal justice contact. The maltreatment and resulting lack of sufficient parenting and socialization results in maltreated children having more red balls (anti-social tendencies) than blue balls (pro-social tendencies). Additionally, previous </w:t>
      </w:r>
      <w:r w:rsidRPr="00A32EED">
        <w:rPr>
          <w:rFonts w:eastAsia="Calibri"/>
        </w:rPr>
        <w:lastRenderedPageBreak/>
        <w:t xml:space="preserve">research has shown that the relationship between child behavior and parenting practices can be reciprocal </w:t>
      </w:r>
      <w:r w:rsidRPr="00A32EED">
        <w:rPr>
          <w:rFonts w:eastAsia="Calibri"/>
        </w:rPr>
        <w:fldChar w:fldCharType="begin"/>
      </w:r>
      <w:r w:rsidRPr="00A32EED">
        <w:rPr>
          <w:rFonts w:eastAsia="Calibri"/>
        </w:rPr>
        <w:instrText xml:space="preserve"> ADDIN ZOTERO_ITEM CSL_CITATION {"citationID":"26mgmrcdpg","properties":{"formattedCitation":"(Lytton 1990)","plainCitation":"(Lytton 1990)"},"citationItems":[{"id":1465,"uris":["http://zotero.org/users/1165382/items/FDCXAMTQ"],"uri":["http://zotero.org/users/1165382/items/FDCXAMTQ"],"itemData":{"id":1465,"type":"article-journal","title":"Child and parent effects in boys' conduct disorder: A reinterpretation.","container-title":"Developmental Psychology","page":"683","volume":"26","issue":"5","source":"Google Scholar","note":"00783","shortTitle":"Child and parent effects in boys' conduct disorder","author":[{"family":"Lytton","given":"Hugh"}],"issued":{"date-parts":[["1990"]]}}}],"schema":"https://github.com/citation-style-language/schema/raw/master/csl-citation.json"} </w:instrText>
      </w:r>
      <w:r w:rsidRPr="00A32EED">
        <w:rPr>
          <w:rFonts w:eastAsia="Calibri"/>
        </w:rPr>
        <w:fldChar w:fldCharType="separate"/>
      </w:r>
      <w:r w:rsidRPr="00A32EED">
        <w:rPr>
          <w:rFonts w:eastAsia="Calibri"/>
          <w:noProof/>
        </w:rPr>
        <w:t>(Lytton 1990)</w:t>
      </w:r>
      <w:r w:rsidRPr="00A32EED">
        <w:rPr>
          <w:rFonts w:eastAsia="Calibri"/>
        </w:rPr>
        <w:fldChar w:fldCharType="end"/>
      </w:r>
      <w:r w:rsidRPr="00A32EED">
        <w:rPr>
          <w:rFonts w:eastAsia="Calibri"/>
        </w:rPr>
        <w:t xml:space="preserve">. In other words, adverse child temperament can result in harsher and less effective parenting styles which could in turn lead to maltreatment.  </w:t>
      </w:r>
    </w:p>
    <w:p w14:paraId="7BF84164" w14:textId="3887089D" w:rsidR="004C4C39" w:rsidRPr="00A32EED" w:rsidRDefault="004C4C39" w:rsidP="004C4C39">
      <w:pPr>
        <w:spacing w:after="0" w:line="480" w:lineRule="auto"/>
        <w:ind w:firstLine="720"/>
        <w:rPr>
          <w:rFonts w:eastAsia="Calibri"/>
        </w:rPr>
      </w:pPr>
      <w:r w:rsidRPr="00A32EED">
        <w:rPr>
          <w:rFonts w:eastAsia="Calibri"/>
        </w:rPr>
        <w:t xml:space="preserve">Regarding the continuity of offending throughout the life-course, Nagin and Paternoster </w:t>
      </w:r>
      <w:r w:rsidRPr="00A32EED">
        <w:rPr>
          <w:rFonts w:eastAsia="Calibri"/>
        </w:rPr>
        <w:fldChar w:fldCharType="begin"/>
      </w:r>
      <w:r w:rsidRPr="00A32EED">
        <w:rPr>
          <w:rFonts w:eastAsia="Calibri"/>
        </w:rPr>
        <w:instrText xml:space="preserve"> ADDIN ZOTERO_ITEM CSL_CITATION {"citationID":"FfRDUIHt","properties":{"formattedCitation":"(2000a)","plainCitation":"(2000a)"},"citationItems":[{"id":497,"uris":["http://zotero.org/users/1165382/items/UWC4FZ9D"],"uri":["http://zotero.org/users/1165382/items/UWC4FZ9D"],"itemData":{"id":497,"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1573-7799","shortTitle":"Population Heterogeneity and State Dependence","journalAbbreviation":"Journal of Quantitative Criminology","language":"en","author":[{"family":"Nagin","given":"Daniel"},{"family":"Paternoster","given":"Raymond"}],"issued":{"date-parts":[["2000",6,1]]}},"suppress-author":true}],"schema":"https://github.com/citation-style-language/schema/raw/master/csl-citation.json"} </w:instrText>
      </w:r>
      <w:r w:rsidRPr="00A32EED">
        <w:rPr>
          <w:rFonts w:eastAsia="Calibri"/>
        </w:rPr>
        <w:fldChar w:fldCharType="separate"/>
      </w:r>
      <w:r w:rsidRPr="00A32EED">
        <w:rPr>
          <w:rFonts w:eastAsia="Calibri"/>
          <w:noProof/>
        </w:rPr>
        <w:t>(2000)</w:t>
      </w:r>
      <w:r w:rsidRPr="00A32EED">
        <w:rPr>
          <w:rFonts w:eastAsia="Calibri"/>
        </w:rPr>
        <w:fldChar w:fldCharType="end"/>
      </w:r>
      <w:r w:rsidRPr="00A32EED">
        <w:rPr>
          <w:rFonts w:eastAsia="Calibri"/>
        </w:rPr>
        <w:t xml:space="preserve"> explain state dependent processes as those in which a negative life event increases the likelihood of a future negative life events. State dependent processes are those of “contagion” meaning that actions committed by an individual influence multiple areas of their life (such as effecting social bonds or involvement in social institutions), which directly effects their future odds of committing anti or pro-social acts in the future. In other words, rather than differences in offending being the result of individual propensities, different outcomes are the result of differences in external controls preventing crime. To once again use the imagery of an urn and criminal behavior, in a state dependent process, every individual begins with an urn of equally proportioned red and blue balls, meaning every individual has the same initial propensity for committing a crime. If a red ball (anti-social behavior) is removed, it may be replaced with more than one red ball, changing the proportion of balls and increasing the chance of a future anti-social behavior. The same process occurs for every pro-social act that occurs. In this process, the chances of committing a criminal (anti-social) act are constantly changing as events take place. In this process, past behaviors are related to future behaviors, not </w:t>
      </w:r>
      <w:r w:rsidRPr="00A32EED">
        <w:rPr>
          <w:rFonts w:eastAsia="Calibri"/>
        </w:rPr>
        <w:lastRenderedPageBreak/>
        <w:t xml:space="preserve">through some underlying propensity like in a population heterogeneity process, but rather past behaviors are causally related to future behaviors.  </w:t>
      </w:r>
    </w:p>
    <w:p w14:paraId="7DF1A31E" w14:textId="77777777" w:rsidR="004C4C39" w:rsidRPr="00A32EED" w:rsidRDefault="004C4C39" w:rsidP="004C4C39">
      <w:pPr>
        <w:spacing w:after="0" w:line="480" w:lineRule="auto"/>
        <w:ind w:firstLine="720"/>
        <w:rPr>
          <w:rFonts w:eastAsia="Calibri"/>
        </w:rPr>
      </w:pPr>
      <w:r w:rsidRPr="00A32EED">
        <w:rPr>
          <w:rFonts w:eastAsia="Calibri"/>
        </w:rPr>
        <w:t xml:space="preserve">As it applies to the current study, I suggest that even when controlling for population heterogeneity via self-control, child maltreatment and child welfare experiences will still exert a state dependent effect on later adverse outcomes. Sampson and Laub’s </w:t>
      </w:r>
      <w:r w:rsidRPr="00A32EED">
        <w:rPr>
          <w:rFonts w:eastAsia="Calibri"/>
        </w:rPr>
        <w:fldChar w:fldCharType="begin"/>
      </w:r>
      <w:r w:rsidRPr="00A32EED">
        <w:rPr>
          <w:rFonts w:eastAsia="Calibri"/>
        </w:rPr>
        <w:instrText xml:space="preserve"> ADDIN ZOTERO_ITEM CSL_CITATION {"citationID":"Ws0O2GVz","properties":{"formattedCitation":"(1990, 1995a, 1995b)","plainCitation":"(1990, 1995a, 1995b)"},"citationItems":[{"id":275,"uris":["http://zotero.org/users/1165382/items/HSZ7M9G6"],"uri":["http://zotero.org/users/1165382/items/HSZ7M9G6"],"itemData":{"id":275,"type":"article-journal","title":"Crime and Deviance over the Life Course: The Salience of Adult Social Bonds","container-title":"American Sociological Review","page":"609-627","volume":"55","issue":"5","source":"JSTOR","abstract":"Analyzing the natural histories of two samples of boys that differ dramatically in childhood delinquency, we test a model of crime and deviance over the life course. The first hypothesis is that childhood antisocial behavior predicts problems in adult development across a wide variety of dimensions. Second, we argue that social bonds in adulthood--to work and family--explain changes in crime and deviance over the life span. The longitudinal data were reconstructed from the Gluecks' classic study of delinquent and non-delinquent males from childhood to age 32. Childhood delinquency is linked to adult crime, alcohol abuse, general deviance, economic dependency, educational failure, unemployment, divorce, and even charges in the military. Despite this continuity, job stability and strong marital attachment in adulthood inhibit adult criminal and deviant behavior. The results support a model of informal social control that recognizes both stability and change in antisocial behavior over the life course.","DOI":"10.2307/2095859","ISSN":"0003-1224","note":"00000","shortTitle":"Crime and Deviance over the Life Course","journalAbbreviation":"American Sociological Review","author":[{"family":"Sampson","given":"Robert J."},{"family":"Laub","given":"John H."}],"issued":{"date-parts":[["1990"]]}},"suppress-author":true},{"id":569,"uris":["http://zotero.org/users/1165382/items/ZDAAURIF"],"uri":["http://zotero.org/users/1165382/items/ZDAAURIF"],"itemData":{"id":569,"type":"book","title":"Crime in the Making: Pathways and Turning Points through Life","publisher":"Harvard University Press","publisher-place":"Cambridge, Mass.","number-of-pages":"320","source":"Amazon.com","event-place":"Cambridge, Mass.","abstract":"This new theory of crime over the life course provides an important foundation for rethinking criminal justice policy. It is based on the reanalysis of a classic set of data: Sheldon and Eleanor Gluecks' mid-century study of 500 delinquents and 500 nondelinquents from childhood to adulthood. Several years ago, Robert Sampson and John Laub dusted off sixty cartons of the Gleucks' data that had been stored in the basement of the Harvard Law School and undertook a lengthy process of recoding, computerizing, and reanalyzing it. On the basis of their findings, they developed a theory of informal social control that acknowledges the importance of childhood behavior but rejects the implication that adult social factors have little relevance. This theory accounts for both stability and change in crime and deviance throughout the life course.","ISBN":"978-0-674-17605-8","shortTitle":"Crime in the Making","language":"English","author":[{"family":"Sampson","given":"Robert J."},{"family":"Laub","given":"John H."}],"issued":{"date-parts":[["1995",4,14]]}},"suppress-author":true},{"id":39,"uris":["http://zotero.org/users/1165382/items/3KQ73226"],"uri":["http://zotero.org/users/1165382/items/3KQ73226"],"itemData":{"id":39,"type":"article-journal","title":"Understanding variability in lives through time: Contributions of life-course criminology","container-title":"Studies on Crime &amp; Crime Prevention","page":"143-158","volume":"4","issue":"2","source":"APA PsycNET","abstract":"Examines the distinguishing features of a life-course perspective on crime. Integrated with an age-graded theory of informal social control, the authors argue that the nuts and bolts of life-course inquiry, especially aging (social and biological), stability and change, human agency, cohort, and historical period, yield powerful insights directly related to the substantive phenomenon of crime. The authors also identify points of both agreement and disagreement with M. Hirschi and T. Gottfredson's (1990) static perspective on crime, attempting to reconcile, or, where necessary, clarify differences in theoretical outlook. The main goal is to highlight the implications of static and dynamic perspectives on the life course for future research in criminology.","ISSN":"1102-3937(Print)","note":"00165","shortTitle":"Understanding variability in lives through time","author":[{"family":"Sampson","given":"Robert J."},{"family":"Laub","given":"John H."}],"issued":{"date-parts":[["1995"]]}},"suppress-author":true}],"schema":"https://github.com/citation-style-language/schema/raw/master/csl-citation.json"} </w:instrText>
      </w:r>
      <w:r w:rsidRPr="00A32EED">
        <w:rPr>
          <w:rFonts w:eastAsia="Calibri"/>
        </w:rPr>
        <w:fldChar w:fldCharType="separate"/>
      </w:r>
      <w:r w:rsidRPr="00A32EED">
        <w:rPr>
          <w:rFonts w:eastAsia="Calibri"/>
          <w:noProof/>
        </w:rPr>
        <w:t>(1990, 1995a, 1995b)</w:t>
      </w:r>
      <w:r w:rsidRPr="00A32EED">
        <w:rPr>
          <w:rFonts w:eastAsia="Calibri"/>
        </w:rPr>
        <w:fldChar w:fldCharType="end"/>
      </w:r>
      <w:r w:rsidRPr="00A32EED">
        <w:rPr>
          <w:rFonts w:eastAsia="Calibri"/>
        </w:rPr>
        <w:t xml:space="preserve"> age-graded theory of informal social control, provides theoretical explanations for both the population heterogeneity effect of self-control and the state dependence effects of child maltreatment and child welfare experience on later adverse outcomes. As such, the focus is how child maltreatment and resulting placement in child welfare custody weakens the child’s bonds to institutions such as family, education, and perhaps even employment as they grow older.  To once again use urn imagery, every placement disruption or change in school may result in more and more red balls being placed in the urn, resulting in an increased likelihood of adverse outcomes. Conversely, long term placement in a stable foster home, or in a home that could strengthen bonds to various institutions and result in the opposite effect and therefore a decrease in the odds of later adverse outcomes. </w:t>
      </w:r>
    </w:p>
    <w:p w14:paraId="3A0BB79A" w14:textId="77777777" w:rsidR="004C4C39" w:rsidRPr="00A32EED" w:rsidRDefault="004C4C39" w:rsidP="004C4C39">
      <w:pPr>
        <w:spacing w:after="0" w:line="480" w:lineRule="auto"/>
        <w:rPr>
          <w:rFonts w:eastAsia="Calibri"/>
          <w:color w:val="000000"/>
        </w:rPr>
      </w:pPr>
      <w:r w:rsidRPr="00A32EED">
        <w:rPr>
          <w:rFonts w:eastAsia="Calibri"/>
          <w:color w:val="000000"/>
        </w:rPr>
        <w:tab/>
        <w:t xml:space="preserve">Although age graded theory of informal social control is helpful in explaining the link between child maltreatment, child welfare experiences, and adverse outcomes, the current study is particularly interested in the relationship between child maltreatment and child welfare experiences and the specific outcomes of risky sexual behavior and criminal justice contact (arrest and incarceration). Using age graded theory of informal social control and the </w:t>
      </w:r>
      <w:r w:rsidRPr="00A32EED">
        <w:rPr>
          <w:rFonts w:eastAsia="Calibri"/>
          <w:color w:val="000000"/>
        </w:rPr>
        <w:lastRenderedPageBreak/>
        <w:t>presence of both population heterogeneity and state dependent effects, the current study answers the following research questions:</w:t>
      </w:r>
    </w:p>
    <w:p w14:paraId="6E8F529A" w14:textId="77777777" w:rsidR="004C4C39" w:rsidRPr="00A32EED" w:rsidRDefault="004C4C39" w:rsidP="004C4C39">
      <w:pPr>
        <w:numPr>
          <w:ilvl w:val="0"/>
          <w:numId w:val="8"/>
        </w:numPr>
        <w:spacing w:after="0" w:line="480" w:lineRule="auto"/>
        <w:contextualSpacing/>
        <w:rPr>
          <w:rFonts w:eastAsia="Calibri"/>
          <w:color w:val="000000"/>
        </w:rPr>
      </w:pPr>
      <w:r w:rsidRPr="00A32EED">
        <w:rPr>
          <w:rFonts w:eastAsia="Calibri"/>
          <w:i/>
          <w:color w:val="000000"/>
        </w:rPr>
        <w:t>What are the effects of child maltreatment and child welfare experiences on risky sexual behavior throughout the life-course?</w:t>
      </w:r>
    </w:p>
    <w:p w14:paraId="0B60DEFA" w14:textId="77777777" w:rsidR="004C4C39" w:rsidRPr="00A32EED" w:rsidRDefault="004C4C39" w:rsidP="004C4C39">
      <w:pPr>
        <w:numPr>
          <w:ilvl w:val="0"/>
          <w:numId w:val="8"/>
        </w:numPr>
        <w:spacing w:after="0" w:line="480" w:lineRule="auto"/>
        <w:contextualSpacing/>
        <w:rPr>
          <w:rFonts w:eastAsia="Calibri"/>
          <w:color w:val="000000"/>
        </w:rPr>
      </w:pPr>
      <w:r w:rsidRPr="00A32EED">
        <w:rPr>
          <w:rFonts w:eastAsia="Calibri"/>
          <w:i/>
          <w:color w:val="000000"/>
        </w:rPr>
        <w:t>What are the effects of child maltreatment and child welfare experiences on criminal justice contact throughout the life-course?</w:t>
      </w:r>
    </w:p>
    <w:p w14:paraId="1E56C835" w14:textId="77777777" w:rsidR="004C4C39" w:rsidRPr="00A32EED" w:rsidRDefault="004C4C39" w:rsidP="004C4C39">
      <w:pPr>
        <w:spacing w:after="0" w:line="480" w:lineRule="auto"/>
        <w:ind w:firstLine="360"/>
        <w:rPr>
          <w:rFonts w:eastAsia="Calibri"/>
          <w:color w:val="000000"/>
        </w:rPr>
      </w:pPr>
      <w:r w:rsidRPr="00A32EED">
        <w:rPr>
          <w:rFonts w:eastAsia="Calibri"/>
          <w:color w:val="000000"/>
        </w:rPr>
        <w:t xml:space="preserve">Literature regarding risky sexual behavior typically focuses on outcomes and behaviors such as failure to use a condom, multiple partners, age at sexual initiation, early/unintended pregnancy, sexually transmitted infections, commercial sex, and sexual activity in general. Child maltreatment has been linked to decreased use of condoms </w:t>
      </w:r>
      <w:r w:rsidRPr="00A32EED">
        <w:rPr>
          <w:rFonts w:eastAsia="Calibri"/>
          <w:color w:val="000000"/>
        </w:rPr>
        <w:fldChar w:fldCharType="begin"/>
      </w:r>
      <w:r w:rsidRPr="00A32EED">
        <w:rPr>
          <w:rFonts w:eastAsia="Calibri"/>
          <w:color w:val="000000"/>
        </w:rPr>
        <w:instrText xml:space="preserve"> ADDIN ZOTERO_ITEM CSL_CITATION {"citationID":"1klt56bf4e","properties":{"formattedCitation":"(Lodico and DiClemente 1994; Noll, Trickett, and Putnam 2003; Paolucci, Genuis, and Violato 2001a; Purcell et al. 2004)","plainCitation":"(Lodico and DiClemente 1994; Noll, Trickett, and Putnam 2003; Paolucci, Genuis, and Violato 2001a; Purcell et al. 2004)"},"citationItems":[{"id":35,"uris":["http://zotero.org/users/1165382/items/3HZQ3B5M"],"uri":["http://zotero.org/users/1165382/items/3HZQ3B5M"],"itemData":{"id":35,"type":"article-journal","title":"The association between childhood sexual abuse and prevalence of HIV-related risk behaviors.","container-title":"Clinical Pediatrics","source":"Google Scholar","URL":"http://0-psycnet.apa.org.library.uark.edu/psycinfo/1996-90645-001","note":"00103","author":[{"family":"Lodico","given":"Mark A."},{"family":"DiClemente","given":"Ralph J."}],"issued":{"date-parts":[["1994"]]},"accessed":{"date-parts":[["2016",3,30]]}}},{"id":195,"uris":["http://zotero.org/users/1165382/items/CR7KNPJE"],"uri":["http://zotero.org/users/1165382/items/CR7KNPJE"],"itemData":{"id":195,"type":"article-journal","title":"A prospective investigation of the impact of childhood sexual abuse on the development of sexuality.","container-title":"Journal of consulting and clinical psychology","page":"575","volume":"71","issue":"3","source":"Google Scholar","note":"00000","author":[{"family":"Noll","given":"Jennie G."},{"family":"Trickett","given":"Penelope K."},{"family":"Putnam","given":"Frank W."}],"issued":{"date-parts":[["2003"]]}}},{"id":472,"uris":["http://zotero.org/users/1165382/items/U3SJM89Z"],"uri":["http://zotero.org/users/1165382/items/U3SJM89Z"],"itemData":{"id":472,"type":"article-journal","title":"A Meta-Analysis of the Published Research on the Effects of Child Sexual Abuse","container-title":"Journal of Psychology","page":"17","volume":"135","issue":"1","source":"EBSCOhost","abstract":"ABSTRACT. A meta-analysis of the published research on the effects of child sexual abuse (CSA) was undertaken for 6 outcomes: posttraumatic stress disorder (PTSD), depression, suicide, sexual promiscuity, victim-perpetrator cycle, and poor academic performance. Thirty-seven studies published between 1981 and 1995 involving 25,367 people were included. Many of the studies were published in 1994 (24; 65%), and most were done in the United States (22; 59%). All six dependent variables were coded, and effect sizes (d) were computed for each outcome. Average unweighted and weighted ds for each of the respective outcome variables were .50 and .40 for PTSD, .63 and .44 for depression, .64 and .44 for suicide, .59 and .29 for sexual promiscuity, .41 and .16 for victim-perpetrator cycle, and .24 and .19 for academic performance. A file drawer analysis indicated that 277 studies with null ds would be required to negate the present findings. The analyses provide clear evidence confirming the link between CSA and subsequent negative short- and long-term effects on development. There were no statistically significant differences on ds when various potentially mediating variables such as gender, socioeconomic status, type of abuse, age when abused, relationship to perpetrator, and number of abuse incidents were assessed. The results of the present meta-analysis support the multifaceted model of traumatization rather than a specific sexual abuse syndrome of CSA.","ISSN":"00223980","note":"00832","journalAbbreviation":"Journal of Psychology","author":[{"family":"Paolucci","given":"Elizabeth Oddone"},{"family":"Genuis","given":"Mark L."},{"family":"Violato","given":"Claudio"}],"issued":{"date-parts":[["2001",1]]}}},{"id":63,"uris":["http://zotero.org/users/1165382/items/4PHT9I6Q"],"uri":["http://zotero.org/users/1165382/items/4PHT9I6Q"],"itemData":{"id":63,"type":"article-journal","title":"Sexual abuse of boys: Short-and long-term associations and implications for HIV prevention.","source":"Google Scholar","URL":"http://0-psycnet.apa.org.library.uark.edu/books/10785/005","note":"00032","shortTitle":"Sexual abuse of boys","author":[{"family":"Purcell","given":"David W."},{"family":"Malow","given":"Robert M."},{"family":"Dolezal","given":"Curtis"},{"family":"Carballo-Dieguez","given":"Alex"}],"issued":{"date-parts":[["2004"]]},"accessed":{"date-parts":[["2016",3,30]]}}}],"schema":"https://github.com/citation-style-language/schema/raw/master/csl-citation.json"} </w:instrText>
      </w:r>
      <w:r w:rsidRPr="00A32EED">
        <w:rPr>
          <w:rFonts w:eastAsia="Calibri"/>
          <w:color w:val="000000"/>
        </w:rPr>
        <w:fldChar w:fldCharType="separate"/>
      </w:r>
      <w:r w:rsidRPr="00A32EED">
        <w:rPr>
          <w:rFonts w:eastAsia="Calibri"/>
          <w:noProof/>
          <w:color w:val="000000"/>
        </w:rPr>
        <w:t>(Lodico and DiClemente 1994; Noll, Trickett, and Putnam 2003; Paolucci, Genuis, and Violato 2001a; Purcell et al. 2004)</w:t>
      </w:r>
      <w:r w:rsidRPr="00A32EED">
        <w:rPr>
          <w:rFonts w:eastAsia="Calibri"/>
          <w:color w:val="000000"/>
        </w:rPr>
        <w:fldChar w:fldCharType="end"/>
      </w:r>
      <w:r w:rsidRPr="00A32EED">
        <w:rPr>
          <w:rFonts w:eastAsia="Calibri"/>
          <w:color w:val="000000"/>
        </w:rPr>
        <w:t xml:space="preserve">. Research has also shown that child maltreatment is significantly related to an increase in the odds of an early pregnancy </w:t>
      </w:r>
      <w:r w:rsidRPr="00A32EED">
        <w:rPr>
          <w:rFonts w:eastAsia="Calibri"/>
          <w:color w:val="000000"/>
        </w:rPr>
        <w:fldChar w:fldCharType="begin"/>
      </w:r>
      <w:r w:rsidRPr="00A32EED">
        <w:rPr>
          <w:rFonts w:eastAsia="Calibri"/>
          <w:color w:val="000000"/>
        </w:rPr>
        <w:instrText xml:space="preserve"> ADDIN ZOTERO_ITEM CSL_CITATION {"citationID":"dXmWJBhI","properties":{"formattedCitation":"(Fiscella et al. 1998; Herrenkohl et al. 1998; Rainey, Stevens-Simon, and Kaplan 1995; Romans, Martin, and Morris 1997; Stevens-Simon C and Reichert S 1994)","plainCitation":"(Fiscella et al. 1998; Herrenkohl et al. 1998; Rainey, Stevens-Simon, and Kaplan 1995; Romans, Martin, and Morris 1997; Stevens-Simon C and Reichert S 1994)"},"citationItems":[{"id":536,"uris":["http://zotero.org/users/1165382/items/WSEIJETT"],"uri":["http://zotero.org/users/1165382/items/WSEIJETT"],"itemData":{"id":536,"type":"article-journal","title":"Does Child Abuse Predict Adolescent Pregnancy?","container-title":"Pediatrics","page":"620-624","volume":"101","issue":"4","source":"0-pediatrics.aappublications.org.library.uark.edu","abstract":"Objective. To determine whether sexual and nonsexual childhood abuse are risk factors for early adolescent sexual activity and pregnancy.\nDesign. Cross-sectional study.\nSetting. Prenatal clinic within an inner-city teaching hospital from June 1990 to August 1991.\nPopulation. One thousand twenty-six primiparous, African-American women enrolled in a randomized clinical trial of nurse home visitation.\nMain Outcome Measures. Four measures of child abuse were used: sexual abuse, incidents of physical abuse, any major physical abuse, and emotional abuse. The outcome measures were age of first consensual coitus and age of first pregnancy.\nResults. After adjustments for household income, parental separation, urban residence, age of menarche, and teen smoking, sexual abuse during childhood was associated with younger age at first coitus (7.2 months; 95% confidence interval [CI], 2.6 to 11.7 months) and younger age at first pregnancy (9.7 months; 95% CI, 3.0 to 16.3 months). Incidents of physical abuse showed minimal effect on age at first coitus (1.2 days per incident; 95% CI, 0.5 to 1.9 days) and no effect on age of first pregnancy. A history of major physical abuse or emotional abuse showed no effect on age of first coitus or first pregnancy.\nConclusion. Child sexual abuse, but not child physical or emotional abuse, seems to be a risk factor for earlier pregnancy among African-American adolescents.","ISSN":"0031-4005, 1098-4275","note":"00116","language":"en","author":[{"family":"Fiscella","given":"Kevin"},{"family":"Kitzman","given":"Harriet J."},{"family":"Cole","given":"Robert E."},{"family":"Sidora","given":"Kimberly J."},{"family":"Olds","given":"David"}],"issued":{"date-parts":[["1998",4,1]]}}},{"id":362,"uris":["http://zotero.org/users/1165382/items/N8NVNACR"],"uri":["http://zotero.org/users/1165382/items/N8NVNACR"],"itemData":{"id":362,"type":"article-journal","title":"The relationship between early maltreatment and teenage parenthood","container-title":"Journal of Adolescence","page":"291-303","volume":"21","issue":"3","source":"ScienceDirect","abstract":"In a longitudinal study of the effects of early childhood maltreatment, 92 adolescents who had become parents while under 20 years of age were compared to 297 adolescents who had not become parents during their teenage years. Preschool and school-age physical abuse alone and in combination with neglect were found to have significant relationships with teenage parenthood. Low self-esteem, as evaluated by elementary school teachers, was related to both early maltreatment and teenage parenthood. Sexual abuse, based on retrospective reports of the adolescents, had a significant but weaker relationship to teenage parenthood. The implications of these findings and the findings that high school dropout, assaultive behavior, and drug use are also related to teenage parenthood are discussed.","DOI":"10.1006/jado.1998.0154","ISSN":"0140-1971","note":"00115","journalAbbreviation":"Journal of Adolescence","author":[{"family":"Herrenkohl","given":"Ellen C."},{"family":"Herrenkohl","given":"Roy C."},{"family":"Egolf","given":"Brenda P."},{"family":"Russo","given":"M. Jean"}],"issued":{"date-parts":[["1998",6]]}}},{"id":44,"uris":["http://zotero.org/users/1165382/items/3TJS36H4"],"uri":["http://zotero.org/users/1165382/items/3TJS36H4"],"itemData":{"id":44,"type":"article-journal","title":"Are adolescents who report prior sexual abuse at higher risk for pregnancy?","container-title":"Child Abuse &amp; Neglect","page":"1283-1288","volume":"19","issue":"10","source":"ScienceDirect","abstract":"Adolescents who report prior sexual abuse are at increased risk for adolescent pregnancy. This may result from earlier, more frequent, less well-protected sexual activity or from a greater desire to conceive. To determine the relative contribution of these two possible explanations to the reported association between sexual abuse and adolescent pregnancy, we studied the reproductive and sexual histories of 200 sexually active 13–18 year old females in relation to self-reported sexual abuse. Anonymous questionnaires revealed that 40 (20%) of the 200 subjects reported sexual abuse. Analyses revealed no group differences in the median age of first voluntary intercourse, the frequency of sexual intercourse, or the consistency of birth control use. Compared to their nonabused peers, however, teenagers reporting abuse were more likely to be trying to conceive (35% vs. 14% p &amp;lt; .01), to have boyfriends pressuring them to conceive (76% vs. 44% p &amp;lt; .01), and to have fears about infertility (38% vs. 16% p &amp;lt; .01). Our findings suggest that childhood sexual abuse may increase the risk of adolescent pregnancy by fostering the desire to conceive. Further study is needed to determine why a disproportionate number of sexually abused adolescents desire pregnancy. The efficacy of adolescent pregnancy prevention programs may be improved by identifying previously abused adolescents and by designing educational interventions that specifically address their desire to conceive.","DOI":"10.1016/0145-2134(95)00088-P","ISSN":"0145-2134","note":"00083","journalAbbreviation":"Child Abuse &amp; Neglect","author":[{"family":"Rainey","given":"David Y."},{"family":"Stevens-Simon","given":"Catherine"},{"family":"Kaplan","given":"David W."}],"issued":{"date-parts":[["1995",10]]}}},{"id":440,"uris":["http://zotero.org/users/1165382/items/SBD5TXC7"],"uri":["http://zotero.org/users/1165382/items/SBD5TXC7"],"itemData":{"id":440,"type":"article-journal","title":"Risk factors for adolescent pregnancy: how important is child sexual abuse? Otago Women's Health Study.","container-title":"The New Zealand medical journal","page":"30–33","volume":"110","issue":"1037","source":"Google Scholar","note":"00026","shortTitle":"Risk factors for adolescent pregnancy","author":[{"family":"Romans","given":"Sarah E."},{"family":"Martin","given":"J. L."},{"family":"Morris","given":"E. M."}],"issued":{"date-parts":[["1997"]]}}},{"id":98,"uris":["http://zotero.org/users/1165382/items/6KQ9AIW9"],"uri":["http://zotero.org/users/1165382/items/6KQ9AIW9"],"itemData":{"id":98,"type":"article-journal","title":"Sexual abuse, adolescent pregnancy, and child abuse: A developmental approach to an intergenerational cycle","container-title":"Archives of Pediatrics &amp; Adolescent Medicine","page":"23-27","volume":"148","issue":"1","source":"Silverchair","abstract":"Objective: \nTo elucidate the relationship between childhood sexual abuse and adolescent pregnancy.Data Source:\nArticles published in English during the past two decades and pertaining to the sequelae of childhood sexual abuse or the antecedents of adolescent pregnancy.Study Selection:\nStudies that did not contain data pertinent to the relationship between childhood sexual abuse and adolescent pregnancy were excluded.Results:\nStudies suggest that former victims of childhood sexual abuse may be at increased risk for conception during adolescence and that adolescent pregnancies that are antedated by childhood sexual abuse are often only one manifestation of socially deviant behavior.Conclusions:\nExperiences associated with childhood sexual abuse may affect the incidence and the outcome of adolescent childbearing. Identification and treatment of previously abused adolescent prenatal patients may break this vicious intergenerational cycle of violence.(Arch Pediatr Adolesc Med. 1994;148:23-27)","DOI":"10.1001/archpedi.1994.02170010025005","ISSN":"1072-4710","note":"00000","shortTitle":"Sexual abuse, adolescent pregnancy, and child abuse","journalAbbreviation":"Arch Pediatr Adolesc Med","author":[{"literal":"Stevens-Simon C"},{"literal":"Reichert S"}],"issued":{"date-parts":[["1994",1,1]]}}}],"schema":"https://github.com/citation-style-language/schema/raw/master/csl-citation.json"} </w:instrText>
      </w:r>
      <w:r w:rsidRPr="00A32EED">
        <w:rPr>
          <w:rFonts w:eastAsia="Calibri"/>
          <w:color w:val="000000"/>
        </w:rPr>
        <w:fldChar w:fldCharType="separate"/>
      </w:r>
      <w:r w:rsidRPr="00A32EED">
        <w:rPr>
          <w:rFonts w:eastAsia="Calibri"/>
          <w:noProof/>
          <w:color w:val="000000"/>
        </w:rPr>
        <w:t>(Fiscella et al. 1998; Herrenkohl et al. 1998; Rainey, Stevens-Simon, and Kaplan 1995; Romans, Martin, and Morris 1997; Stevens-Simon C and Reichert S 1994)</w:t>
      </w:r>
      <w:r w:rsidRPr="00A32EED">
        <w:rPr>
          <w:rFonts w:eastAsia="Calibri"/>
          <w:color w:val="000000"/>
        </w:rPr>
        <w:fldChar w:fldCharType="end"/>
      </w:r>
      <w:r w:rsidRPr="00A32EED">
        <w:rPr>
          <w:rFonts w:eastAsia="Calibri"/>
          <w:color w:val="000000"/>
        </w:rPr>
        <w:t xml:space="preserve"> and a decrease in the age at sexual initiation </w:t>
      </w:r>
      <w:r w:rsidRPr="00A32EED">
        <w:rPr>
          <w:rFonts w:eastAsia="Calibri"/>
          <w:color w:val="000000"/>
        </w:rPr>
        <w:fldChar w:fldCharType="begin"/>
      </w:r>
      <w:r w:rsidRPr="00A32EED">
        <w:rPr>
          <w:rFonts w:eastAsia="Calibri"/>
          <w:color w:val="000000"/>
        </w:rPr>
        <w:instrText xml:space="preserve"> ADDIN ZOTERO_ITEM CSL_CITATION {"citationID":"28q96igu26","properties":{"formattedCitation":"(Lodico and DiClemente 1994)","plainCitation":"(Lodico and DiClemente 1994)"},"citationItems":[{"id":35,"uris":["http://zotero.org/users/1165382/items/3HZQ3B5M"],"uri":["http://zotero.org/users/1165382/items/3HZQ3B5M"],"itemData":{"id":35,"type":"article-journal","title":"The association between childhood sexual abuse and prevalence of HIV-related risk behaviors.","container-title":"Clinical Pediatrics","source":"Google Scholar","URL":"http://0-psycnet.apa.org.library.uark.edu/psycinfo/1996-90645-001","note":"00103","author":[{"family":"Lodico","given":"Mark A."},{"family":"DiClemente","given":"Ralph J."}],"issued":{"date-parts":[["1994"]]},"accessed":{"date-parts":[["2016",3,30]]}}}],"schema":"https://github.com/citation-style-language/schema/raw/master/csl-citation.json"} </w:instrText>
      </w:r>
      <w:r w:rsidRPr="00A32EED">
        <w:rPr>
          <w:rFonts w:eastAsia="Calibri"/>
          <w:color w:val="000000"/>
        </w:rPr>
        <w:fldChar w:fldCharType="separate"/>
      </w:r>
      <w:r w:rsidRPr="00A32EED">
        <w:rPr>
          <w:rFonts w:eastAsia="Calibri"/>
          <w:noProof/>
          <w:color w:val="000000"/>
        </w:rPr>
        <w:t>(Lodico and DiClemente 1994)</w:t>
      </w:r>
      <w:r w:rsidRPr="00A32EED">
        <w:rPr>
          <w:rFonts w:eastAsia="Calibri"/>
          <w:color w:val="000000"/>
        </w:rPr>
        <w:fldChar w:fldCharType="end"/>
      </w:r>
      <w:r w:rsidRPr="00A32EED">
        <w:rPr>
          <w:rFonts w:eastAsia="Calibri"/>
          <w:color w:val="000000"/>
        </w:rPr>
        <w:t xml:space="preserve">, an increase in the number of both overall partners and high-risk partners </w:t>
      </w:r>
      <w:r w:rsidRPr="00A32EED">
        <w:rPr>
          <w:rFonts w:eastAsia="Calibri"/>
          <w:color w:val="000000"/>
        </w:rPr>
        <w:fldChar w:fldCharType="begin"/>
      </w:r>
      <w:r w:rsidRPr="00A32EED">
        <w:rPr>
          <w:rFonts w:eastAsia="Calibri"/>
          <w:color w:val="000000"/>
        </w:rPr>
        <w:instrText xml:space="preserve"> ADDIN ZOTERO_ITEM CSL_CITATION {"citationID":"2gjv0v953r","properties":{"formattedCitation":"(Cunningham et al. 1994)","plainCitation":"(Cunningham et al. 1994)"},"citationItems":[{"id":431,"uris":["http://zotero.org/users/1165382/items/RW6UW3R6"],"uri":["http://zotero.org/users/1165382/items/RW6UW3R6"],"itemData":{"id":431,"type":"article-journal","title":"The association of physical and sexual abuse with HIV risk behaviors in adolescence and young adulthood: Implications for public health","container-title":"Child Abuse &amp; Neglect","page":"233-245","volume":"18","issue":"3","source":"ScienceDirect","abstract":"This paper explores the relationship between changes in HIV risk behaviors and physical and sexual abuse. A stratified random sampling procedure selected 602 youths from a sample of 2,787 patients seen consecutively at public health clinics in 10 cities. Face-to-face structured interviews conducted since 1984–1985 provide a history of change in risk behavior from adolescence to young adulthood. Univariate and bivariate analyses assessed differences in demographic and number and type of risk behaviors between those experiencing single or multiple types of abuse and those with no abuse history at all. The results show that a history of physical abuse, sexual abuse, or rape is related to engaging in a variety of HIV risk behaviors and to a continuation or increase in the total number of these behaviors between adolescence and young adulthood. This information might help practitioners to both prevent initial involvement in HIV risk behaviors and to prevent continuation of behaviors as youths move into young adulthood. Ce papier explore la relation entre les changements de comportements à risque de SIDA et les abus physiques et sexuels. Une procédure d'échantillonage randomisée stratifiée a sélectionné 602 jeunes parmi une cohorte de 2787 patients consécutifs vus dans des cliniques publiques dans dix villes. Des interrogatoires structurés face à face, conduits de 1984–1985 ont fourni une histoire des comportements à risque depuis l'adolescence jusqu'a l'âge adulte. Les analyses uni et bivariées ont évalué les différences dans les caractéristiques démographiques, dans les nobres et dans les types de comportement à risque entre ceux qui ont subi un type ou de multiples types d'abus et ceux sans histoire d'abus du tout. Ces résultats montrent qu'une histoire d'abus physique, d'abus sexuel ou de viol est correlée à l'engagement dans une variété de comportements à risque de SIDA et avec une continuation ou un accroissement du nombre total de ces comportements entre l'adolescence et le jeune âge adulte. Cette information pourrait aider les proaticiens à la fois à prevenir l'engagement initial dans des comportements à risque de SIDA ainsi que la continuation de ces comportements lorsque les jeunes évoluent vers l'âge adulte. Les analyses uni et bivarées ont évalué les différences dans les caractéristiques démographiques dans les nombres et dans les types de comportement à risque entre ceux qui ont subi un type ou de multiples types d'abus-et-ecux sans histoire d'abus du tout. Ses résultats montrent qu'une histoire d'abus physique, d'abus sexuel ou de viol est correlée à l'engagement dans une variété de comportements à risque de SIDA et avec une continuation ou un accroissement du nombre total de ces comportements entre l'adolescence et le jeune âge adulte, cette information pouvait aider les praticiens à la fois à prévenir l'engagement initial dans le comportements à risque de SIDA ainsi que la continuation de ces comportements lorsque les jeunes évoluent vers l'âge adulte. Este trabajo explora la relación entre conductas de riesgo para HIV y abuso físico y sexual. Se seleccionó al azar una muestra estratificada de 602 jóvenes de un total de 2787 pacientes vistos consecutivamente en clínicas sanitarias públicas de 10 ciudades. Entrevistas estructuradas cara a cara, realizadas desde 1984–1985 ofrecieron una historia de cambio en conductas de riesgo desde la adolescencia hasta la adultez joven. Análisis univariados y bivariados evaluaro n las diferencias en demografia y número de las conductas de riesgo entre auquellos que eran sometidos a uno o varios tipos de abuso y aquellos que no tenían ninguna historia de abuso. Los resultados indican que una historia de abuso fisico, abuso sexual, o violación está relacionado con involucarse en una variedad de conductas de riesgo para HIV y a una continuación o aumento en el número total de estas conductas entre la adolescencia y la adultez joven. Esta información podría ayudar a los profesionales a prevenir tanto un involucramiento en conductas de riesgo para HIV como a prevenir que continúen las conductas durante el proceso en que los jóvenes pasan a la adultez joven.","DOI":"10.1016/0145-2134(94)90108-2","ISSN":"0145-2134","note":"00233","shortTitle":"The association of physical and sexual abuse with HIV risk behaviors in adolescence and young adulthood","journalAbbreviation":"Child Abuse &amp; Neglect","author":[{"family":"Cunningham","given":"Renee M."},{"family":"Stiffman","given":"Arlene Rubin"},{"family":"Doré","given":"Peter"},{"family":"Earls","given":"Felton"}],"issued":{"date-parts":[["1994",3,1]]}}}],"schema":"https://github.com/citation-style-language/schema/raw/master/csl-citation.json"} </w:instrText>
      </w:r>
      <w:r w:rsidRPr="00A32EED">
        <w:rPr>
          <w:rFonts w:eastAsia="Calibri"/>
          <w:color w:val="000000"/>
        </w:rPr>
        <w:fldChar w:fldCharType="separate"/>
      </w:r>
      <w:r w:rsidRPr="00A32EED">
        <w:rPr>
          <w:rFonts w:eastAsia="Calibri"/>
          <w:noProof/>
          <w:color w:val="000000"/>
        </w:rPr>
        <w:t>(Cunningham et al. 1994)</w:t>
      </w:r>
      <w:r w:rsidRPr="00A32EED">
        <w:rPr>
          <w:rFonts w:eastAsia="Calibri"/>
          <w:color w:val="000000"/>
        </w:rPr>
        <w:fldChar w:fldCharType="end"/>
      </w:r>
      <w:r w:rsidRPr="00A32EED">
        <w:rPr>
          <w:rFonts w:eastAsia="Calibri"/>
          <w:color w:val="000000"/>
        </w:rPr>
        <w:t xml:space="preserve">, and an overall increase in general sexual activity </w:t>
      </w:r>
      <w:r w:rsidRPr="00A32EED">
        <w:rPr>
          <w:rFonts w:eastAsia="Calibri"/>
          <w:color w:val="000000"/>
        </w:rPr>
        <w:fldChar w:fldCharType="begin"/>
      </w:r>
      <w:r w:rsidRPr="00A32EED">
        <w:rPr>
          <w:rFonts w:eastAsia="Calibri"/>
          <w:color w:val="000000"/>
        </w:rPr>
        <w:instrText xml:space="preserve"> ADDIN ZOTERO_ITEM CSL_CITATION {"citationID":"1g49i7muhh","properties":{"formattedCitation":"(Lodico and DiClemente 1994)","plainCitation":"(Lodico and DiClemente 1994)"},"citationItems":[{"id":35,"uris":["http://zotero.org/users/1165382/items/3HZQ3B5M"],"uri":["http://zotero.org/users/1165382/items/3HZQ3B5M"],"itemData":{"id":35,"type":"article-journal","title":"The association between childhood sexual abuse and prevalence of HIV-related risk behaviors.","container-title":"Clinical Pediatrics","source":"Google Scholar","URL":"http://0-psycnet.apa.org.library.uark.edu/psycinfo/1996-90645-001","note":"00103","author":[{"family":"Lodico","given":"Mark A."},{"family":"DiClemente","given":"Ralph J."}],"issued":{"date-parts":[["1994"]]},"accessed":{"date-parts":[["2016",3,30]]}}}],"schema":"https://github.com/citation-style-language/schema/raw/master/csl-citation.json"} </w:instrText>
      </w:r>
      <w:r w:rsidRPr="00A32EED">
        <w:rPr>
          <w:rFonts w:eastAsia="Calibri"/>
          <w:color w:val="000000"/>
        </w:rPr>
        <w:fldChar w:fldCharType="separate"/>
      </w:r>
      <w:r w:rsidRPr="00A32EED">
        <w:rPr>
          <w:rFonts w:eastAsia="Calibri"/>
          <w:noProof/>
          <w:color w:val="000000"/>
        </w:rPr>
        <w:t>(Lodico and DiClemente 1994)</w:t>
      </w:r>
      <w:r w:rsidRPr="00A32EED">
        <w:rPr>
          <w:rFonts w:eastAsia="Calibri"/>
          <w:color w:val="000000"/>
        </w:rPr>
        <w:fldChar w:fldCharType="end"/>
      </w:r>
      <w:r w:rsidRPr="00A32EED">
        <w:rPr>
          <w:rFonts w:eastAsia="Calibri"/>
          <w:color w:val="000000"/>
        </w:rPr>
        <w:t xml:space="preserve">. </w:t>
      </w:r>
    </w:p>
    <w:p w14:paraId="024B5341" w14:textId="77777777" w:rsidR="004C4C39" w:rsidRPr="00A32EED" w:rsidRDefault="004C4C39" w:rsidP="004C4C39">
      <w:pPr>
        <w:spacing w:after="0" w:line="480" w:lineRule="auto"/>
        <w:rPr>
          <w:rFonts w:eastAsia="Calibri"/>
          <w:color w:val="000000"/>
        </w:rPr>
      </w:pPr>
      <w:r w:rsidRPr="00A32EED">
        <w:rPr>
          <w:rFonts w:eastAsia="Calibri"/>
          <w:color w:val="000000"/>
        </w:rPr>
        <w:tab/>
        <w:t xml:space="preserve">As it pertains to sex crimes and prostitution, research has shown that child maltreatment in general increases the likelihood of an individual participating in prostitution or other commercial sex </w:t>
      </w:r>
      <w:r w:rsidRPr="00A32EED">
        <w:rPr>
          <w:rFonts w:eastAsia="Calibri"/>
          <w:color w:val="000000"/>
        </w:rPr>
        <w:fldChar w:fldCharType="begin"/>
      </w:r>
      <w:r w:rsidRPr="00A32EED">
        <w:rPr>
          <w:rFonts w:eastAsia="Calibri"/>
          <w:color w:val="000000"/>
        </w:rPr>
        <w:instrText xml:space="preserve"> ADDIN ZOTERO_ITEM CSL_CITATION {"citationID":"222qli43hm","properties":{"formattedCitation":"(Cunningham et al. 1994; Wilson and Widom 2008; Zierler et al. 1991)","plainCitation":"(Cunningham et al. 1994; Wilson and Widom 2008; Zierler et al. 1991)"},"citationItems":[{"id":431,"uris":["http://zotero.org/users/1165382/items/RW6UW3R6"],"uri":["http://zotero.org/users/1165382/items/RW6UW3R6"],"itemData":{"id":431,"type":"article-journal","title":"The association of physical and sexual abuse with HIV risk behaviors in adolescence and young adulthood: Implications for public health","container-title":"Child Abuse &amp; Neglect","page":"233-245","volume":"18","issue":"3","source":"ScienceDirect","abstract":"This paper explores the relationship between changes in HIV risk behaviors and physical and sexual abuse. A stratified random sampling procedure selected 602 youths from a sample of 2,787 patients seen consecutively at public health clinics in 10 cities. Face-to-face structured interviews conducted since 1984–1985 provide a history of change in risk behavior from adolescence to young adulthood. Univariate and bivariate analyses assessed differences in demographic and number and type of risk behaviors between those experiencing single or multiple types of abuse and those with no abuse history at all. The results show that a history of physical abuse, sexual abuse, or rape is related to engaging in a variety of HIV risk behaviors and to a continuation or increase in the total number of these behaviors between adolescence and young adulthood. This information might help practitioners to both prevent initial involvement in HIV risk behaviors and to prevent continuation of behaviors as youths move into young adulthood. Ce papier explore la relation entre les changements de comportements à risque de SIDA et les abus physiques et sexuels. Une procédure d'échantillonage randomisée stratifiée a sélectionné 602 jeunes parmi une cohorte de 2787 patients consécutifs vus dans des cliniques publiques dans dix villes. Des interrogatoires structurés face à face, conduits de 1984–1985 ont fourni une histoire des comportements à risque depuis l'adolescence jusqu'a l'âge adulte. Les analyses uni et bivariées ont évalué les différences dans les caractéristiques démographiques, dans les nobres et dans les types de comportement à risque entre ceux qui ont subi un type ou de multiples types d'abus et ceux sans histoire d'abus du tout. Ces résultats montrent qu'une histoire d'abus physique, d'abus sexuel ou de viol est correlée à l'engagement dans une variété de comportements à risque de SIDA et avec une continuation ou un accroissement du nombre total de ces comportements entre l'adolescence et le jeune âge adulte. Cette information pourrait aider les proaticiens à la fois à prevenir l'engagement initial dans des comportements à risque de SIDA ainsi que la continuation de ces comportements lorsque les jeunes évoluent vers l'âge adulte. Les analyses uni et bivarées ont évalué les différences dans les caractéristiques démographiques dans les nombres et dans les types de comportement à risque entre ceux qui ont subi un type ou de multiples types d'abus-et-ecux sans histoire d'abus du tout. Ses résultats montrent qu'une histoire d'abus physique, d'abus sexuel ou de viol est correlée à l'engagement dans une variété de comportements à risque de SIDA et avec une continuation ou un accroissement du nombre total de ces comportements entre l'adolescence et le jeune âge adulte, cette information pouvait aider les praticiens à la fois à prévenir l'engagement initial dans le comportements à risque de SIDA ainsi que la continuation de ces comportements lorsque les jeunes évoluent vers l'âge adulte. Este trabajo explora la relación entre conductas de riesgo para HIV y abuso físico y sexual. Se seleccionó al azar una muestra estratificada de 602 jóvenes de un total de 2787 pacientes vistos consecutivamente en clínicas sanitarias públicas de 10 ciudades. Entrevistas estructuradas cara a cara, realizadas desde 1984–1985 ofrecieron una historia de cambio en conductas de riesgo desde la adolescencia hasta la adultez joven. Análisis univariados y bivariados evaluaro n las diferencias en demografia y número de las conductas de riesgo entre auquellos que eran sometidos a uno o varios tipos de abuso y aquellos que no tenían ninguna historia de abuso. Los resultados indican que una historia de abuso fisico, abuso sexual, o violación está relacionado con involucarse en una variedad de conductas de riesgo para HIV y a una continuación o aumento en el número total de estas conductas entre la adolescencia y la adultez joven. Esta información podría ayudar a los profesionales a prevenir tanto un involucramiento en conductas de riesgo para HIV como a prevenir que continúen las conductas durante el proceso en que los jóvenes pasan a la adultez joven.","DOI":"10.1016/0145-2134(94)90108-2","ISSN":"0145-2134","note":"00233","shortTitle":"The association of physical and sexual abuse with HIV risk behaviors in adolescence and young adulthood","journalAbbreviation":"Child Abuse &amp; Neglect","author":[{"family":"Cunningham","given":"Renee M."},{"family":"Stiffman","given":"Arlene Rubin"},{"family":"Doré","given":"Peter"},{"family":"Earls","given":"Felton"}],"issued":{"date-parts":[["1994",3,1]]}}},{"id":306,"uris":["http://zotero.org/users/1165382/items/J9J68DG2"],"uri":["http://zotero.org/users/1165382/items/J9J68DG2"],"itemData":{"id":306,"type":"article-journal","title":"An examination of risky sexual behavior and HIV in victims of child abuse and neglect: A 30-year follow-up","container-title":"Health Psychology","page":"149-158","volume":"27","issue":"2","source":"APA PsycNET","abstract":"Objective: This article examined links between childhood maltreatment and risky sexual behavior (early sexual contact, promiscuity, prostitution) and HIV in adulthood. Design: Using a prospective cohort design, physically and sexually abused and neglected children (ages 0-11) with documented cases during 1967-1971 were matched with nonmaltreated children and followed into adulthood. Main Outcome Measures: Early sexual contact, promiscuity, and prostitution were assessed through in-person interviews and official records (prostitution) at approximate age 29 (N = 1196). HIV tests were conducted at approximate age 41 (N = 631). Results: Child maltreatment was associated with prostitution (OR = 2.47, 95% CI = 1.35-4.50) and early sexual contact (OR = 1.73, 95% CI = 1.24-2.40). Prevalence of HIV in the abuse/neglect group was twice that in controls (OR = 2.35, 95% CI = .64-8.62), although this difference did not reach conventional levels of statistical significance. SEM provided significant support for a model linking child abuse and neglect to prostitution through early sexual contact and a marginal link to HIV through prostitution. Conclusion: These findings provide prospective evidence that maltreated children are more likely to report sexual contact before age 15, engage in prostitution by young adulthood, and test positive for HIV in middle adulthood.","DOI":"10.1037/0278-6133.27.2.149","ISSN":"1930-7810(Electronic);0278-6133(Print)","shortTitle":"An examination of risky sexual behavior and HIV in victims of child abuse and neglect","author":[{"family":"Wilson","given":"Helen W."},{"family":"Widom","given":"Cathy Spatz"}],"issued":{"date-parts":[["2008"]]}}},{"id":60,"uris":["http://zotero.org/users/1165382/items/4M5Q4F9B"],"uri":["http://zotero.org/users/1165382/items/4M5Q4F9B"],"itemData":{"id":60,"type":"article-journal","title":"Adult survivors of childhood sexual abuse and subsequent risk of HIV infection.","container-title":"American Journal of Public Health","page":"572-575","volume":"81","issue":"5","source":"0-ajph.aphapublications.org.library.uark.edu (Atypon)","abstract":"BACKGROUND: Epidemiologic description of long-term adverse health effects of childhood sexual abuse is lacking, despite estimates that perhaps 30 percent of adults have experienced sexual assault in childhood. METHODS: In an adult cohort enrolled to investigate causes of transmission of human immunodeficiency virus, we identified current behaviors affecting risk of infection that were associated with a history of early sexual abuse. One hundred and eighty-six individuals provided information on the occurrence of abuse and subsequent sexual and drug using activities. RESULTS: Approximately half of the women and one-fifth of the men reported a history of rape during childhood or adulthood. Twenty-eight percent of the women and 15 percent of the men recalled that they had been sexually assaulted during childhood. People who reported childhood rape compared with people who did not were four times more likely to be working as prostitutes (90 percent confidence interval = 2.0, 8.0). Women were nearly three times more likely to become pregnant before the age of 18 (90% CI = 1.6, 4.1). Men who reported a history of sexual abuse had a twofold increase in prevalence of HIV infection relative to unabused men (90% CI = 1.0, 3.9). CONCLUSIONS: The disturbing prevalence of early sexual abuse and its possible health-related consequences call for prompt and routine investigation of sexual abuse histories. Identification of sexual victimization may be an important component for management of risk factors for human immunodeficiency virus.","DOI":"10.2105/AJPH.81.5.572","ISSN":"0090-0036","note":"00463","journalAbbreviation":"Am J Public Health","author":[{"family":"Zierler","given":"S"},{"family":"Feingold","given":"L"},{"family":"Laufer","given":"D"},{"family":"Velentgas","given":"P"},{"family":"Kantrowitz-Gordon","given":"I"},{"family":"Mayer","given":"K"}],"issued":{"date-parts":[["1991",5,1]]}}}],"schema":"https://github.com/citation-style-language/schema/raw/master/csl-citation.json"} </w:instrText>
      </w:r>
      <w:r w:rsidRPr="00A32EED">
        <w:rPr>
          <w:rFonts w:eastAsia="Calibri"/>
          <w:color w:val="000000"/>
        </w:rPr>
        <w:fldChar w:fldCharType="separate"/>
      </w:r>
      <w:r w:rsidRPr="00A32EED">
        <w:rPr>
          <w:rFonts w:eastAsia="Calibri"/>
          <w:noProof/>
          <w:color w:val="000000"/>
        </w:rPr>
        <w:t xml:space="preserve">(Cunningham et al. 1994; </w:t>
      </w:r>
      <w:r w:rsidRPr="00A32EED">
        <w:rPr>
          <w:rFonts w:eastAsia="Calibri"/>
          <w:noProof/>
          <w:color w:val="000000"/>
        </w:rPr>
        <w:lastRenderedPageBreak/>
        <w:t>Wilson and Widom 2008; Zierler et al. 1991)</w:t>
      </w:r>
      <w:r w:rsidRPr="00A32EED">
        <w:rPr>
          <w:rFonts w:eastAsia="Calibri"/>
          <w:color w:val="000000"/>
        </w:rPr>
        <w:fldChar w:fldCharType="end"/>
      </w:r>
      <w:r w:rsidRPr="00A32EED">
        <w:rPr>
          <w:rFonts w:eastAsia="Calibri"/>
          <w:color w:val="000000"/>
        </w:rPr>
        <w:t xml:space="preserve">. Some research has shown that child sexual abuse specifically is related to an increase in prostitution when there is not a history of neglect or physical abuse </w:t>
      </w:r>
      <w:r w:rsidRPr="00A32EED">
        <w:rPr>
          <w:rFonts w:eastAsia="Calibri"/>
          <w:color w:val="000000"/>
        </w:rPr>
        <w:fldChar w:fldCharType="begin"/>
      </w:r>
      <w:r w:rsidRPr="00A32EED">
        <w:rPr>
          <w:rFonts w:eastAsia="Calibri"/>
          <w:color w:val="000000"/>
        </w:rPr>
        <w:instrText xml:space="preserve"> ADDIN ZOTERO_ITEM CSL_CITATION {"citationID":"26320t68j9","properties":{"formattedCitation":"(Widom and Ames 1994)","plainCitation":"(Widom and Ames 1994)"},"citationItems":[{"id":554,"uris":["http://zotero.org/users/1165382/items/XIMH7ZHQ"],"uri":["http://zotero.org/users/1165382/items/XIMH7ZHQ"],"itemData":{"id":554,"type":"article-journal","title":"Criminal consequences of childhood sexual victimization","container-title":"Child Abuse &amp; Neglect","page":"303-318","volume":"18","issue":"4","source":"ScienceDirect","abstract":"Using a prospective cohorts design, we assess the long-term criminal consequences of childhood sexual abuse through an examination of official criminal histories for a large sample of validated cases of childhood sexual abuse, compared to cases of physical abuse and neglect and a control group matched for age, race, sex, and approximate family socioeconomic status. Compared to other types of abuse and neglect, early childhood sexual abuse does not uniquely increase an individual's risk for later delinquent and adult criminal behavior. Childhood sexual abuse victims were at increased risk of arrest as a juvenile for being a runaway. As adults, child sexual abuse victims were at higher risk of arrest for sex crimes than controls, as were victims of physical abuse and neglect. Childhood sexual abuse victims were more likely to be arrested for prostitution as adults than other abuse and neglect victims and controls, regardless of gender. However, there was no support for a direct relationship among child sexual abuse, arrests for running away in adolescence, and adult arrests for prostitution. The findings also suggest an association for males between physical abuse and arrests for violent sex crimes (rape and/or sodomy). Caution is needed in interpreting these findings because of exclusive reliance on official record data and the possible impact of agency intervention.","DOI":"10.1016/0145-2134(94)90033-7","ISSN":"0145-2134","note":"00482","journalAbbreviation":"Child Abuse &amp; Neglect","author":[{"family":"Widom","given":"Cathy Spatz"},{"family":"Ames","given":"M. Ashley"}],"issued":{"date-parts":[["1994",4]]}}}],"schema":"https://github.com/citation-style-language/schema/raw/master/csl-citation.json"} </w:instrText>
      </w:r>
      <w:r w:rsidRPr="00A32EED">
        <w:rPr>
          <w:rFonts w:eastAsia="Calibri"/>
          <w:color w:val="000000"/>
        </w:rPr>
        <w:fldChar w:fldCharType="separate"/>
      </w:r>
      <w:r w:rsidRPr="00A32EED">
        <w:rPr>
          <w:rFonts w:eastAsia="Calibri"/>
          <w:noProof/>
          <w:color w:val="000000"/>
        </w:rPr>
        <w:t>(Widom and Ames 1994)</w:t>
      </w:r>
      <w:r w:rsidRPr="00A32EED">
        <w:rPr>
          <w:rFonts w:eastAsia="Calibri"/>
          <w:color w:val="000000"/>
        </w:rPr>
        <w:fldChar w:fldCharType="end"/>
      </w:r>
      <w:r w:rsidRPr="00A32EED">
        <w:rPr>
          <w:rFonts w:eastAsia="Calibri"/>
          <w:color w:val="000000"/>
        </w:rPr>
        <w:t xml:space="preserve">. Perhaps related to many of the above-mentioned outcomes, child maltreatment has also shown to be significantly more prevalent in populations with an HIV infection than the general population </w:t>
      </w:r>
      <w:r w:rsidRPr="00A32EED">
        <w:rPr>
          <w:rFonts w:eastAsia="Calibri"/>
          <w:color w:val="000000"/>
        </w:rPr>
        <w:fldChar w:fldCharType="begin"/>
      </w:r>
      <w:r w:rsidRPr="00A32EED">
        <w:rPr>
          <w:rFonts w:eastAsia="Calibri"/>
          <w:color w:val="000000"/>
        </w:rPr>
        <w:instrText xml:space="preserve"> ADDIN ZOTERO_ITEM CSL_CITATION {"citationID":"24lo9atr1a","properties":{"formattedCitation":"(Anaya, Swendeman, and Rotheram-Borus 2005; Cohen et al. 2000; Loeb et al. 2005; Wilson and Widom 2008)","plainCitation":"(Anaya, Swendeman, and Rotheram-Borus 2005; Cohen et al. 2000; Loeb et al. 2005; Wilson and Widom 2008)"},"citationItems":[{"id":298,"uris":["http://zotero.org/users/1165382/items/IT3H6JMH"],"uri":["http://zotero.org/users/1165382/items/IT3H6JMH"],"itemData":{"id":298,"type":"article-journal","title":"Differences Among Sexually Abused and Nonabused Youth Living With HIV","container-title":"Journal of Interpersonal Violence","page":"1547-1559","volume":"20","issue":"12","source":"0-jiv.sagepub.com.library.uark.edu","abstract":"Risk behaviors were compared between sexually abused and nonabused youth living with HIV (YLH). Abused YLH were significantly more likely to have attempted suicide, to have been admitted into an alcohol and/or drug treatment program, and to have engaged in crack cocaineuse than were nonabused YLH and hada greater number of sexual partners. A significantly higher proportion of abused YLH had been incarcerated in contrast to nonabused youth. There were also significantly greater conduct problems among abused YLH. Finally, abused YLH had significantly higher scores on positive action and social-support coping styles than nonabused youth. Consistent with previous research, abused youth are at higher risk for a variety of negative outcomes and are also similar in many respects to sexually abused youth who are not HIV-positive. The high frequencies of two positive styles of coping among abused YLH were also observed.","DOI":"10.1177/0886260505280340","ISSN":"0886-2605, 1552-6518","note":"00016 \nPMID: 16246916","journalAbbreviation":"J Interpers Violence","language":"en","author":[{"family":"Anaya","given":"Henry D."},{"family":"Swendeman","given":"Dallas"},{"family":"Rotheram-Borus","given":"Mary Jane"}],"issued":{"date-parts":[["2005",12,1]]}}},{"id":547,"uris":["http://zotero.org/users/1165382/items/X8NN7U8P"],"uri":["http://zotero.org/users/1165382/items/X8NN7U8P"],"itemData":{"id":547,"type":"article-journal","title":"Domestic violence and childhood sexual abuse in HIV-infected women and women at risk for HIV.","container-title":"American journal of public health","page":"560","volume":"90","issue":"4","source":"Google Scholar","note":"00340","author":[{"family":"Cohen","given":"Mardge"},{"family":"Deamant","given":"Catherine"},{"family":"Barkan","given":"Susan"},{"family":"Richardson","given":"Jean"},{"family":"Young","given":"Mary"},{"family":"Holman","given":"Susan"},{"family":"Anastos","given":"Kathryn"},{"family":"Cohen","given":"Judith"},{"family":"Melnick","given":"Sandra"}],"issued":{"date-parts":[["2000"]]}}},{"id":206,"uris":["http://zotero.org/users/1165382/items/DKQRIARS"],"uri":["http://zotero.org/users/1165382/items/DKQRIARS"],"itemData":{"id":206,"type":"article-journal","title":"HIV-positive black women with histories of childhood sexual abuse: patterns of substance use and barriers to health care","container-title":"Journal of Health Care for the Poor and Underserved","page":"9–23","volume":"16","issue":"4","source":"Google Scholar","note":"00000","shortTitle":"HIV-positive black women with histories of childhood sexual abuse","author":[{"family":"Loeb","given":"Tamra Burns"},{"family":"Wyatt","given":"Gail Elizabeth"},{"family":"Carmona","given":"Jennifer Vargas"},{"family":"Williams","given":"John K."}],"issued":{"date-parts":[["2005"]]}}},{"id":306,"uris":["http://zotero.org/users/1165382/items/J9J68DG2"],"uri":["http://zotero.org/users/1165382/items/J9J68DG2"],"itemData":{"id":306,"type":"article-journal","title":"An examination of risky sexual behavior and HIV in victims of child abuse and neglect: A 30-year follow-up","container-title":"Health Psychology","page":"149-158","volume":"27","issue":"2","source":"APA PsycNET","abstract":"Objective: This article examined links between childhood maltreatment and risky sexual behavior (early sexual contact, promiscuity, prostitution) and HIV in adulthood. Design: Using a prospective cohort design, physically and sexually abused and neglected children (ages 0-11) with documented cases during 1967-1971 were matched with nonmaltreated children and followed into adulthood. Main Outcome Measures: Early sexual contact, promiscuity, and prostitution were assessed through in-person interviews and official records (prostitution) at approximate age 29 (N = 1196). HIV tests were conducted at approximate age 41 (N = 631). Results: Child maltreatment was associated with prostitution (OR = 2.47, 95% CI = 1.35-4.50) and early sexual contact (OR = 1.73, 95% CI = 1.24-2.40). Prevalence of HIV in the abuse/neglect group was twice that in controls (OR = 2.35, 95% CI = .64-8.62), although this difference did not reach conventional levels of statistical significance. SEM provided significant support for a model linking child abuse and neglect to prostitution through early sexual contact and a marginal link to HIV through prostitution. Conclusion: These findings provide prospective evidence that maltreated children are more likely to report sexual contact before age 15, engage in prostitution by young adulthood, and test positive for HIV in middle adulthood.","DOI":"10.1037/0278-6133.27.2.149","ISSN":"1930-7810(Electronic);0278-6133(Print)","shortTitle":"An examination of risky sexual behavior and HIV in victims of child abuse and neglect","author":[{"family":"Wilson","given":"Helen W."},{"family":"Widom","given":"Cathy Spatz"}],"issued":{"date-parts":[["2008"]]}}}],"schema":"https://github.com/citation-style-language/schema/raw/master/csl-citation.json"} </w:instrText>
      </w:r>
      <w:r w:rsidRPr="00A32EED">
        <w:rPr>
          <w:rFonts w:eastAsia="Calibri"/>
          <w:color w:val="000000"/>
        </w:rPr>
        <w:fldChar w:fldCharType="separate"/>
      </w:r>
      <w:r w:rsidRPr="00A32EED">
        <w:rPr>
          <w:rFonts w:eastAsia="Calibri"/>
          <w:noProof/>
          <w:color w:val="000000"/>
        </w:rPr>
        <w:t>(Anaya, Swendeman, and Rotheram-Borus 2005; Cohen et al. 2000; Loeb et al. 2005; Wilson and Widom 2008)</w:t>
      </w:r>
      <w:r w:rsidRPr="00A32EED">
        <w:rPr>
          <w:rFonts w:eastAsia="Calibri"/>
          <w:color w:val="000000"/>
        </w:rPr>
        <w:fldChar w:fldCharType="end"/>
      </w:r>
      <w:r w:rsidRPr="00A32EED">
        <w:rPr>
          <w:rFonts w:eastAsia="Calibri"/>
          <w:color w:val="000000"/>
        </w:rPr>
        <w:t xml:space="preserve">. </w:t>
      </w:r>
    </w:p>
    <w:p w14:paraId="1EC5885B" w14:textId="77777777" w:rsidR="004C4C39" w:rsidRPr="00A32EED" w:rsidRDefault="004C4C39" w:rsidP="004C4C39">
      <w:pPr>
        <w:spacing w:after="0" w:line="480" w:lineRule="auto"/>
        <w:rPr>
          <w:rFonts w:eastAsia="Calibri"/>
          <w:color w:val="000000"/>
        </w:rPr>
      </w:pPr>
      <w:r w:rsidRPr="00A32EED">
        <w:rPr>
          <w:rFonts w:eastAsia="Calibri"/>
          <w:i/>
          <w:color w:val="FF0000"/>
        </w:rPr>
        <w:tab/>
      </w:r>
      <w:r w:rsidRPr="00A32EED">
        <w:rPr>
          <w:rFonts w:eastAsia="Calibri"/>
          <w:color w:val="000000"/>
        </w:rPr>
        <w:t xml:space="preserve">Child maltreatment has also been linked to a higher prevalence of official criminal justice contact. Criminal justice contact involves events such as an arrest, petition, conviction, and/or incarceration. Research in these areas has shown that being a victim of child maltreatment can lead to increased risk of official criminal justice contact for juveniles </w:t>
      </w:r>
      <w:r w:rsidRPr="00A32EED">
        <w:rPr>
          <w:rFonts w:eastAsia="Calibri"/>
          <w:color w:val="000000"/>
        </w:rPr>
        <w:fldChar w:fldCharType="begin"/>
      </w:r>
      <w:r w:rsidRPr="00A32EED">
        <w:rPr>
          <w:rFonts w:eastAsia="Calibri"/>
          <w:color w:val="000000"/>
        </w:rPr>
        <w:instrText xml:space="preserve"> ADDIN ZOTERO_ITEM CSL_CITATION {"citationID":"2leoa3uh6r","properties":{"formattedCitation":"(Smith et al. 2012; Spohn 2000; Stewart et al. 2008)","plainCitation":"(Smith et al. 2012; Spohn 2000; Stewart et al. 2008)"},"citationItems":[{"id":492,"uris":["http://zotero.org/users/1165382/items/UQVQSS4G"],"uri":["http://zotero.org/users/1165382/items/UQVQSS4G"],"itemData":{"id":492,"type":"article-journal","title":"Long-term outcomes of young adults exposed to maltreatment: the role of educational experiences in promoting resilience to crime and violence in early adulthood","container-title":"Journal of interpersonal violence","page":"0886260512448845","source":"Google Scholar","note":"00013","shortTitle":"Long-term outcomes of young adults exposed to maltreatment","author":[{"family":"Smith","given":"Carolyn A."},{"family":"Park","given":"Aely"},{"family":"Ireland","given":"Timothy O."},{"family":"Elwyn","given":"Laura"},{"family":"Thornberry","given":"Terence P."}],"issued":{"date-parts":[["2012"]]}}},{"id":153,"uris":["http://zotero.org/users/1165382/items/ABCCE7SV"],"uri":["http://zotero.org/users/1165382/items/ABCCE7SV"],"itemData":{"id":153,"type":"article-journal","title":"Gender differences in the effect of child maltreatment on criminal activity over the life course","container-title":"Contemporary Perspectives in Family Research","page":"207–231","volume":"2","source":"Google Scholar","note":"00000","author":[{"family":"Spohn","given":"Ryan E."}],"issued":{"date-parts":[["2000"]]}}},{"id":363,"uris":["http://zotero.org/users/1165382/items/NAFR5HQ2"],"uri":["http://zotero.org/users/1165382/items/NAFR5HQ2"],"itemData":{"id":363,"type":"article-journal","title":"Transitions and turning points: Examining the links between child maltreatment and juvenile offending","container-title":"Child Abuse &amp; Neglect","page":"51-66","volume":"32","issue":"1","source":"ScienceDirect","abstract":"Objective\nThe links between child maltreatment and juvenile offending are well established. However, the majority of maltreated children do not offend. The research presented in this paper examines the impact that timing and chronicity of child maltreatment have on juvenile offending.\nMethods\nAdministrative data were obtained on all children who were born in Queensland, Australia in 1983 or 1984 and had contact with child protective services for at least one child protection matter (N = 5,849). For these children information was obtained on all child protection and juvenile justice contacts until the age of 17. These data were analyzed using the Semi-Parametric Group-Based trajectory analyses [Nagin, D., &amp;amp; Land, L. (1993). Age, criminal careers, and population heterogeneity: Specification and estimation of a nonparametric mixed Poisson model. Criminology, 31, 327–362].\nResults\nSix distinctive maltreatment trajectory groups were identified, distinguished by the frequency of victimization, the age of onset and the duration of the maltreatment. Child maltreatment peaked around the transition from preschool to primary school and the transition from primary school to secondary school. Furthermore, children whose maltreatment trajectory started or extended into adolescence were more likely to offend as juveniles than children whose maltreatment occurred prior to, but not during, adolescence.\nConclusions\nTrajectory analysis provides a useful analytical tool for understanding heterogeneous nature of child maltreatment and the impact of maltreatment on subsequent juvenile offending.","DOI":"10.1016/j.chiabu.2007.04.011","ISSN":"0145-2134","shortTitle":"Transitions and turning points","journalAbbreviation":"Child Abuse &amp; Neglect","author":[{"family":"Stewart","given":"Anna"},{"family":"Livingston","given":"Michael"},{"family":"Dennison","given":"Susan"}],"issued":{"date-parts":[["2008",1]]}}}],"schema":"https://github.com/citation-style-language/schema/raw/master/csl-citation.json"} </w:instrText>
      </w:r>
      <w:r w:rsidRPr="00A32EED">
        <w:rPr>
          <w:rFonts w:eastAsia="Calibri"/>
          <w:color w:val="000000"/>
        </w:rPr>
        <w:fldChar w:fldCharType="separate"/>
      </w:r>
      <w:r w:rsidRPr="00A32EED">
        <w:rPr>
          <w:rFonts w:eastAsia="Calibri"/>
          <w:noProof/>
          <w:color w:val="000000"/>
        </w:rPr>
        <w:t>(Smith et al. 2012; Spohn 2000; Stewart et al. 2008)</w:t>
      </w:r>
      <w:r w:rsidRPr="00A32EED">
        <w:rPr>
          <w:rFonts w:eastAsia="Calibri"/>
          <w:color w:val="000000"/>
        </w:rPr>
        <w:fldChar w:fldCharType="end"/>
      </w:r>
      <w:r w:rsidRPr="00A32EED">
        <w:rPr>
          <w:rFonts w:eastAsia="Calibri"/>
          <w:color w:val="000000"/>
        </w:rPr>
        <w:t xml:space="preserve"> and adults </w:t>
      </w:r>
      <w:r w:rsidRPr="00A32EED">
        <w:rPr>
          <w:rFonts w:eastAsia="Calibri"/>
          <w:color w:val="000000"/>
        </w:rPr>
        <w:fldChar w:fldCharType="begin"/>
      </w:r>
      <w:r w:rsidRPr="00A32EED">
        <w:rPr>
          <w:rFonts w:eastAsia="Calibri"/>
          <w:color w:val="000000"/>
        </w:rPr>
        <w:instrText xml:space="preserve"> ADDIN ZOTERO_ITEM CSL_CITATION {"citationID":"mc5o5gp1p","properties":{"formattedCitation":"(Jung et al. 2014; Mersky and Topitzes 2010; Ou and Reynolds 2010; Thornberry et al. 2010)","plainCitation":"(Jung et al. 2014; Mersky and Topitzes 2010; Ou and Reynolds 2010; Thornberry et al. 2010)"},"citationItems":[{"id":245,"uris":["http://zotero.org/users/1165382/items/FZE2TK8W"],"uri":["http://zotero.org/users/1165382/items/FZE2TK8W"],"itemData":{"id":245,"type":"article-journal","title":"Does child maltreatment predict adult crime? Reexamining the question in a prospective study of gender differences, education, and marital status","container-title":"Journal of interpersonal violence","page":"0886260514552446","source":"Google Scholar","note":"00000","shortTitle":"Does child maltreatment predict adult crime?","author":[{"family":"Jung","given":"Hyunzee"},{"family":"Herrenkohl","given":"Todd I."},{"family":"Klika","given":"J. Bart"},{"family":"Lee","given":"Jungeun Olivia"},{"family":"Brown","given":"Eric C."}],"issued":{"date-parts":[["2014"]]}}},{"id":114,"uris":["http://zotero.org/users/1165382/items/7K4ZXD5H"],"uri":["http://zotero.org/users/1165382/items/7K4ZXD5H"],"itemData":{"id":114,"type":"article-journal","title":"Comparing early adult outcomes of maltreated and non-maltreated children: A prospective longitudinal investigation","container-title":"Children and Youth Services Review","collection-title":"Early Childhood to Young Adulthood: Intervention and Alterable Influences on Well-Being","page":"1086-1096","volume":"32","issue":"8","source":"ScienceDirect","abstract":"Using prospective data from the Chicago Longitudinal Study, this investigation examined associations between child maltreatment and an array of outcomes in early adulthood. Findings from bivariate and multivariate analyses indicated that verified maltreatment victims fared significantly worse than participants without an indicated maltreatment report on indicators of educational and economic attainment, criminal offending, and behavioral and mental health. Results also revealed that, while many maltreated children appeared to function well on individual outcomes, a large majority did not achieve criteria for resilience when development was assessed across domains. For example, non-maltreated participants were more than twice as likely to attain five or more positive outcomes (38.2%) on an aggregate seven-item index as the maltreated group (15.7%). These findings suggest that child maltreatment is associated with extensive and enduring impacts, reinforcing the need to develop and implement effective maltreatment prevention and intervention strategies.","DOI":"10.1016/j.childyouth.2009.10.018","ISSN":"0190-7409","note":"00000","shortTitle":"Comparing early adult outcomes of maltreated and non-maltreated children","journalAbbreviation":"Children and Youth Services Review","author":[{"family":"Mersky","given":"Joshua P."},{"family":"Topitzes","given":"James"}],"issued":{"date-parts":[["2010",8]]}}},{"id":416,"uris":["http://zotero.org/users/1165382/items/QW34UZUX"],"uri":["http://zotero.org/users/1165382/items/QW34UZUX"],"itemData":{"id":416,"type":"article-journal","title":"Childhood predictors of young adult male crime","container-title":"Children and youth services review","page":"1097–1107","volume":"32","issue":"8","source":"Google Scholar","note":"00020","author":[{"family":"Ou","given":"Suh-Ruu"},{"family":"Reynolds","given":"Arthur J."}],"issued":{"date-parts":[["2010"]]}}},{"id":113,"uris":["http://zotero.org/users/1165382/items/7J5SJS7C"],"uri":["http://zotero.org/users/1165382/items/7J5SJS7C"],"itemData":{"id":113,"type":"article-journal","title":"The Causal Impact of Childhood-Limited Maltreatment and Adolescent Maltreatment on Early Adult Adjustment","container-title":"Journal of Adolescent Health","page":"359-365","volume":"46","issue":"4","source":"ScienceDirect","abstract":"Purpose\nWe use full-matching propensity score models to test whether developmentally specific measures of maltreatment, in particular childhood-limited maltreatment versus adolescent maltreatment, are causally related to involvement in crime, substance use, health-risking sex behaviors, and internalizing problems during early adulthood.\nMethods\nOur design includes 907 participants (72% male) in the Rochester Youth Development Study, a community sample followed from age 14 to age 31 with 14 assessments, including complete maltreatment histories from Child Protective Services records.\nResults\nAfter balancing the data sets, childhood-limited maltreatment is significantly related to drug use, problem drug use, depressive symptoms, and suicidal thoughts. Maltreatment during adolescence has a significant effect on a broader range of outcomes: official arrest or incarceration, self-reported criminal offending, violent crime, alcohol use, problem alcohol use, drug use, problem drug use, risky sex behaviors, self-reported sexually transmitted disease diagnosis, and suicidal thoughts.\nConclusions\nThe causal effect of childhood-limited maltreatment is focused on internalizing problems, whereas adolescent maltreatment has a stronger and more pervasive effect on later adjustment. Increased vigilance by mandated reporters, especially for adolescent victims of maltreatment, along with provision of appropriate services, may prevent a wide range of subsequent adjustment problems.","DOI":"10.1016/j.jadohealth.2009.09.011","ISSN":"1054-139X","note":"00000","journalAbbreviation":"Journal of Adolescent Health","author":[{"family":"Thornberry","given":"Terence P."},{"family":"Henry","given":"Kimberly L."},{"family":"Ireland","given":"Timothy O."},{"family":"Smith","given":"Carolyn A."}],"issued":{"date-parts":[["2010",4]]}}}],"schema":"https://github.com/citation-style-language/schema/raw/master/csl-citation.json"} </w:instrText>
      </w:r>
      <w:r w:rsidRPr="00A32EED">
        <w:rPr>
          <w:rFonts w:eastAsia="Calibri"/>
          <w:color w:val="000000"/>
        </w:rPr>
        <w:fldChar w:fldCharType="separate"/>
      </w:r>
      <w:r w:rsidRPr="00A32EED">
        <w:rPr>
          <w:rFonts w:eastAsia="Calibri"/>
          <w:noProof/>
          <w:color w:val="000000"/>
        </w:rPr>
        <w:t>(Jung et al. 2014; Mersky and Topitzes 2010; Ou and Reynolds 2010; Thornberry et al. 2010)</w:t>
      </w:r>
      <w:r w:rsidRPr="00A32EED">
        <w:rPr>
          <w:rFonts w:eastAsia="Calibri"/>
          <w:color w:val="000000"/>
        </w:rPr>
        <w:fldChar w:fldCharType="end"/>
      </w:r>
      <w:r w:rsidRPr="00A32EED">
        <w:rPr>
          <w:rFonts w:eastAsia="Calibri"/>
          <w:color w:val="000000"/>
        </w:rPr>
        <w:t xml:space="preserve">. Research on the relationship between child welfare and criminal justice contact has found that various aspects of child welfare experiences such as placement type, placement stability, and final placement are related to criminal justice contact throughout the life-course. Some studies have found placement outside of the home to be related to higher risk for juvenile justice contact </w:t>
      </w:r>
      <w:r w:rsidRPr="00A32EED">
        <w:rPr>
          <w:rFonts w:eastAsia="Calibri"/>
          <w:color w:val="000000"/>
        </w:rPr>
        <w:fldChar w:fldCharType="begin"/>
      </w:r>
      <w:r w:rsidRPr="00A32EED">
        <w:rPr>
          <w:rFonts w:eastAsia="Calibri"/>
          <w:color w:val="000000"/>
        </w:rPr>
        <w:instrText xml:space="preserve"> ADDIN ZOTERO_ITEM CSL_CITATION {"citationID":"EziI7ErU","properties":{"formattedCitation":"(Doyle 2007; Ryan and Testa 2005)","plainCitation":"(Doyle 2007; Ryan and Testa 2005)"},"citationItems":[{"id":349,"uris":["http://zotero.org/users/1165382/items/MEUVED7D"],"uri":["http://zotero.org/users/1165382/items/MEUVED7D"],"itemData":{"id":349,"type":"article-journal","title":"Child Protection and Child Outcomes: Measuring the Effects of Foster Care","container-title":"The American Economic Review","page":"1583–1610","volume":"97","issue":"5","source":"Primo","abstract":"Little is known about the effects of placing children who are abused or neglected into foster care. This paper uses the placement tendency of child protection investigators as an instrumental variable to identify causal effects of foster care on long-term outcomes-including juvenile delinquency, teen motherhood, and employmentamong children in Illinois where a rotational assignment process effectively randomizes families to investigators. Large marginal treatment effect estimates suggest caution in the interpretation, but the results suggest that children on the margin of placement tend to have better outcomes when they remain at home, especially older children.","ISSN":"0002-8282","shortTitle":"Child Protection and Child Outcomes","language":"eng","author":[{"family":"Doyle","given":"Joseph J."}],"issued":{"date-parts":[["2007"]]}}},{"id":312,"uris":["http://zotero.org/users/1165382/items/JMQHCHTB"],"uri":["http://zotero.org/users/1165382/items/JMQHCHTB"],"itemData":{"id":312,"type":"article-journal","title":"Child maltreatment and juvenile delinquency: Investigating the role of placement and placement instability","container-title":"Children and Youth Services Review","page":"227-249","volume":"27","issue":"3","source":"ScienceDirect","abstract":"Children who experience maltreatment are at increased risk of engaging in delinquent behavior. Although little is known about the mechanisms responsible for this increased risk, the use of substitute care placement and placement instability are often identified as correlates. It is not clear from prior studies, however, whether delinquency precedes or follows placement instability. The current study adds significantly to the literature by identifying selected factors related to child maltreatment and delinquency and disentangling the timing of delinquency petitions relative to movements within the child welfare system. The results indicate that substantiated victims of maltreatment average 47% higher delinquency rates relative to children not indicated for abuse or neglect. In addition, approximately 16% of children placed into substitute care experience at least one delinquency petition compared to 7% of all maltreatment victims who are not removed from their family. Placement instability further increases the risk of delinquency for male foster children, but not for female foster children. Other characteristics related to delinquency include race, age, and recurrence of maltreatment.","DOI":"10.1016/j.childyouth.2004.05.007","ISSN":"0190-7409","shortTitle":"Child maltreatment and juvenile delinquency","journalAbbreviation":"Children and Youth Services Review","author":[{"family":"Ryan","given":"Joseph P."},{"family":"Testa","given":"Mark F."}],"issued":{"date-parts":[["2005",3]]}}}],"schema":"https://github.com/citation-style-language/schema/raw/master/csl-citation.json"} </w:instrText>
      </w:r>
      <w:r w:rsidRPr="00A32EED">
        <w:rPr>
          <w:rFonts w:eastAsia="Calibri"/>
          <w:color w:val="000000"/>
        </w:rPr>
        <w:fldChar w:fldCharType="separate"/>
      </w:r>
      <w:r w:rsidRPr="00A32EED">
        <w:rPr>
          <w:rFonts w:eastAsia="Calibri"/>
          <w:noProof/>
          <w:color w:val="000000"/>
        </w:rPr>
        <w:t>(Doyle 2007; Ryan and Testa 2005)</w:t>
      </w:r>
      <w:r w:rsidRPr="00A32EED">
        <w:rPr>
          <w:rFonts w:eastAsia="Calibri"/>
          <w:color w:val="000000"/>
        </w:rPr>
        <w:fldChar w:fldCharType="end"/>
      </w:r>
      <w:r w:rsidRPr="00A32EED">
        <w:rPr>
          <w:rFonts w:eastAsia="Calibri"/>
          <w:color w:val="000000"/>
        </w:rPr>
        <w:t xml:space="preserve">. Similarly, research has shown placement in out of home care to result in a higher chance of criminal justice contact as an adult </w:t>
      </w:r>
      <w:r w:rsidRPr="00A32EED">
        <w:rPr>
          <w:rFonts w:eastAsia="Calibri"/>
          <w:color w:val="000000"/>
        </w:rPr>
        <w:fldChar w:fldCharType="begin"/>
      </w:r>
      <w:r w:rsidRPr="00A32EED">
        <w:rPr>
          <w:rFonts w:eastAsia="Calibri"/>
          <w:color w:val="000000"/>
        </w:rPr>
        <w:instrText xml:space="preserve"> ADDIN ZOTERO_ITEM CSL_CITATION {"citationID":"1rmjffedqp","properties":{"formattedCitation":"(DeGue and Widom 2009; Doyle Jr 2008)","plainCitation":"(DeGue and Widom 2009; Doyle Jr 2008)"},"citationItems":[{"id":173,"uris":["http://zotero.org/users/1165382/items/BA9GA7N9"],"uri":["http://zotero.org/users/1165382/items/BA9GA7N9"],"itemData":{"id":173,"type":"article-journal","title":"Does Out-of-Home Placement Mediate the Relationship Between Child Maltreatment and Adult Criminality?","container-title":"Child Maltreatment","page":"344-355","volume":"14","issue":"4","abstract":"Existing research on child welfare interventions as mediators of the criminal consequences of child maltreatment has focused on juvenile delinquency rather than adult criminality. This study uses a prospective sample of 772 maltreated youth to examine out-of-home placement as a mediator of adult criminality. Arrest data were collected from official records when the full sample was a mean age of 31.8, having ample opportunity for involvement with the criminal justice system. Overall, out-of-home placement showed a neutral or slightly positive effect on adult criminality compared to no placement, consistent with earlier findings. However, prior delinquency and placement instability were significant risk factors for adult criminality. Gender, not race, was identified as a significant moderator of the relationship between placement and adult criminality, with different patterns of response to placement for males and females. Thus, whether placement experiences influence adult criminal consequences of child maltreatment might depend on prior delinquency, placement stability, and gender.","DOI":"10.1177/1077559509332264","note":"00000","journalAbbreviation":"Child Maltreatment","author":[{"family":"DeGue","given":"Sarah"},{"family":"Widom","given":"Cathy Spatz"}],"issued":{"date-parts":[["2009",11,1]]}}},{"id":9,"uris":["http://zotero.org/users/1165382/items/2D4P24QD"],"uri":["http://zotero.org/users/1165382/items/2D4P24QD"],"itemData":{"id":9,"type":"article-journal","title":"Child protection and adult crime: Using investigator assignment to estimate causal effects of foster care","container-title":"Journal of Political Economy","page":"746–770","volume":"116","issue":"4","source":"Google Scholar","note":"00117","shortTitle":"Child protection and adult crime","author":[{"family":"Doyle Jr","given":"Joseph J."}],"issued":{"date-parts":[["2008"]]}}}],"schema":"https://github.com/citation-style-language/schema/raw/master/csl-citation.json"} </w:instrText>
      </w:r>
      <w:r w:rsidRPr="00A32EED">
        <w:rPr>
          <w:rFonts w:eastAsia="Calibri"/>
          <w:color w:val="000000"/>
        </w:rPr>
        <w:fldChar w:fldCharType="separate"/>
      </w:r>
      <w:r w:rsidRPr="00A32EED">
        <w:rPr>
          <w:rFonts w:eastAsia="Calibri"/>
          <w:noProof/>
          <w:color w:val="000000"/>
        </w:rPr>
        <w:t>(DeGue and Widom 2009; Doyle Jr 2008)</w:t>
      </w:r>
      <w:r w:rsidRPr="00A32EED">
        <w:rPr>
          <w:rFonts w:eastAsia="Calibri"/>
          <w:color w:val="000000"/>
        </w:rPr>
        <w:fldChar w:fldCharType="end"/>
      </w:r>
      <w:r w:rsidRPr="00A32EED">
        <w:rPr>
          <w:rFonts w:eastAsia="Calibri"/>
          <w:color w:val="000000"/>
        </w:rPr>
        <w:t xml:space="preserve">. Research has also shown that those who experience a higher number of placements are also at higher risk for criminal justice contact </w:t>
      </w:r>
      <w:r w:rsidRPr="00A32EED">
        <w:rPr>
          <w:rFonts w:eastAsia="Calibri"/>
          <w:color w:val="000000"/>
        </w:rPr>
        <w:lastRenderedPageBreak/>
        <w:fldChar w:fldCharType="begin"/>
      </w:r>
      <w:r w:rsidRPr="00A32EED">
        <w:rPr>
          <w:rFonts w:eastAsia="Calibri"/>
          <w:color w:val="000000"/>
        </w:rPr>
        <w:instrText xml:space="preserve"> ADDIN ZOTERO_ITEM CSL_CITATION {"citationID":"OreBxngt","properties":{"formattedCitation":"(Cusick et al. 2010b; Widom 1991a)","plainCitation":"(Cusick et al. 2010b; Widom 1991a)"},"citationItems":[{"id":406,"uris":["http://zotero.org/users/1165382/items/QJ9PPN5M"],"uri":["http://zotero.org/users/1165382/items/QJ9PPN5M"],"itemData":{"id":406,"type":"book","title":"Crime during the transition to adulthood: How youth fare as they leave out-of-home care","publisher":"National Institute of Justice, Office of Justice Programs, US Department of Justice","URL":"http://www.ncjrs.gov/App/abstractdb/AbstractDBDetails.aspx?id=251697","author":[{"family":"Cusick","given":"Gretchen"},{"family":"Courtney","given":"Mark"},{"family":"Havlicek","given":"Judy"},{"family":"Hess","given":"Nathan"}],"issued":{"date-parts":[["2010",1,1]]}}},{"id":1326,"uris":["http://zotero.org/users/1165382/items/N957V9ZG"],"uri":["http://zotero.org/users/1165382/items/N957V9ZG"],"itemData":{"id":1326,"type":"report","title":"Child Abuse, Neglect, and Violent Criminal Behavior in a Midwest Metropolitan Area of the United States, 1967-1988: Version 1","source":"CrossRef","URL":"http://www.icpsr.umich.edu/NACJD/studies/09480/version/1","note":"00000","shortTitle":"Child Abuse, Neglect, and Violent Criminal Behavior in a Midwest Metropolitan Area of the United States, 1967-1988","author":[{"family":"Widom","given":"Cathy Spatz"}],"issued":{"date-parts":[["1991",3,5]]},"accessed":{"date-parts":[["2016",7,12]]}}}],"schema":"https://github.com/citation-style-language/schema/raw/master/csl-citation.json"} </w:instrText>
      </w:r>
      <w:r w:rsidRPr="00A32EED">
        <w:rPr>
          <w:rFonts w:eastAsia="Calibri"/>
          <w:color w:val="000000"/>
        </w:rPr>
        <w:fldChar w:fldCharType="separate"/>
      </w:r>
      <w:r w:rsidRPr="00A32EED">
        <w:rPr>
          <w:rFonts w:eastAsia="Calibri"/>
          <w:noProof/>
          <w:color w:val="000000"/>
        </w:rPr>
        <w:t>(Cusick et al. 2010b; Widom 1991a)</w:t>
      </w:r>
      <w:r w:rsidRPr="00A32EED">
        <w:rPr>
          <w:rFonts w:eastAsia="Calibri"/>
          <w:color w:val="000000"/>
        </w:rPr>
        <w:fldChar w:fldCharType="end"/>
      </w:r>
      <w:r w:rsidRPr="00A32EED">
        <w:rPr>
          <w:rFonts w:eastAsia="Calibri"/>
          <w:color w:val="000000"/>
        </w:rPr>
        <w:t xml:space="preserve">. Another area of focus for child welfare research is related to youth who emancipate, or “age out” of care. Emancipation or aging out of care means the child turns 18 while in care and leaves care independently as an adult. When a child exits care due to emancipation they are not considered to have achieved permanency. Aging out of care has been found to result in a significant increase in the odds of criminal justice contact as an adult </w:t>
      </w:r>
      <w:r w:rsidRPr="00A32EED">
        <w:rPr>
          <w:rFonts w:eastAsia="Calibri"/>
          <w:color w:val="000000"/>
        </w:rPr>
        <w:fldChar w:fldCharType="begin"/>
      </w:r>
      <w:r w:rsidRPr="00A32EED">
        <w:rPr>
          <w:rFonts w:eastAsia="Calibri"/>
          <w:color w:val="000000"/>
        </w:rPr>
        <w:instrText xml:space="preserve"> ADDIN ZOTERO_ITEM CSL_CITATION {"citationID":"28ohvl4660","properties":{"formattedCitation":"(Courtney et al. 2011; Mark E. Courtney and Dworsky 2006; Cusick et al. 2010a; Cusick, Havlicek, and Courtney 2012; Ryan, Hernandez, and Herz 2007)","plainCitation":"(Courtney et al. 2011; Mark E. Courtney and Dworsky 2006; Cusick et al. 2010a; Cusick, Havlicek, and Courtney 2012; Ryan, Hernandez, and Herz 2007)"},"citationItems":[{"id":125,"uris":["http://zotero.org/users/1165382/items/85U3QFKH"],"uri":["http://zotero.org/users/1165382/items/85U3QFKH"],"itemData":{"id":125,"type":"report","title":"Midwest Evaluation of the Adult Functioning of Former Foster Youth: Outcomes at Age 26","note":"00000","author":[{"family":"Courtney","given":"Mark E."},{"family":"Dworsky","given":"Amy"},{"family":"Brown","given":"Adam"},{"family":"Cary","given":"Colleen"},{"family":"Love","given":"Kara"},{"family":"Vorhies","given":"Vanessa"}],"issued":{"date-parts":[["2011"]]}}},{"id":287,"uris":["http://zotero.org/users/1165382/items/IAFSPTV4"],"uri":["http://zotero.org/users/1165382/items/IAFSPTV4"],"itemData":{"id":287,"type":"article-journal","title":"Early outcomes for young adults transitioning from out-of-home care in the USA","container-title":"Child &amp; family social work","page":"209–219","volume":"11","issue":"3","source":"Google Scholar","note":"00000","author":[{"family":"Courtney","given":"Mark E."},{"family":"Dworsky","given":"Amy"}],"issued":{"date-parts":[["2006"]]}}},{"id":5,"uris":["http://zotero.org/users/1165382/items/26A6DIUW"],"uri":["http://zotero.org/users/1165382/items/26A6DIUW"],"itemData":{"id":5,"type":"book","title":"Crime during the transition to adulthood: How youth fare as they leave out-of-home care","publisher":"National Institute of Justice, Office of Justice Programs, US Department of Justice","source":"Google Scholar","URL":"http://www.ncjrs.gov/App/abstractdb/AbstractDBDetails.aspx?id=251697","note":"00025","shortTitle":"Crime during the transition to adulthood","author":[{"family":"Cusick","given":"Gretchen"},{"family":"Courtney","given":"Mark"},{"family":"Havlicek","given":"Judy"},{"family":"Hess","given":"Nathan"}],"issued":{"date-parts":[["2010"]]},"accessed":{"date-parts":[["2014",12,11]]}}},{"id":115,"uris":["http://zotero.org/users/1165382/items/7PND6TWR"],"uri":["http://zotero.org/users/1165382/items/7PND6TWR"],"itemData":{"id":115,"type":"article-journal","title":"Risk for Arrest: The Role of Social Bonds in Protecting Foster Youth Making the Transition to Adulthood","container-title":"American Journal of Orthopsychiatry","page":"19-31","volume":"82","issue":"1","source":"Wiley Online Library","abstract":"This study examines a sample of foster youth at the onset of the transition to adulthood and explores how social bonds are related to the risk of arrest during adulthood. Drawing from official arrest records, event history models are used to examine the time to arrest. Because individuals may be at risk for different types of crime, competing risk regression models are used to distinguish among arrests for drug-related, nonviolent, or violent crimes. Between the ages of 17–18 and 24, 46% of former foster youth experience an arrest. Arrests were evenly distributed across drug, nonviolent, and violent crimes columns. Although findings fail to support the significance of social bonds to interpersonal domains, bonds to employment and education are associated with a lower risk for arrest. Child welfare policy and practice implications for building connections and protections around foster youth are discussed.","DOI":"10.1111/j.1939-0025.2011.01136.x","ISSN":"1939-0025","note":"00000","shortTitle":"Risk for Arrest","language":"en","author":[{"family":"Cusick","given":"Gretchen Ruth"},{"family":"Havlicek","given":"Judy R."},{"family":"Courtney","given":"Mark E."}],"issued":{"date-parts":[["2012"]]}}},{"id":6,"uris":["http://zotero.org/users/1165382/items/26FWNK79"],"uri":["http://zotero.org/users/1165382/items/26FWNK79"],"itemData":{"id":6,"type":"article-journal","title":"Developmental Trajectories of Offending for Male Adolescents Leaving Foster Care","container-title":"Social Work Research","page":"83-93","volume":"31","issue":"2","abstract":"The difficulties that adolescents encounter as they age out of the foster care system are numerous and fairly well documented. Such difficulties include poor health, lack of affordable housing, low-wage employment, limited educational opportunities, and unreliable or nonexistent familial support. These difficulties often increase the likelihood of a wide variety of negative outcomes. One such outcome is involvement with juvenile justice and adult corrections. Adolescents aging out of foster care are at an increased risk of engaging in delinquency and crime. Unfortunately, little is known about the developmental trajectories of such juvenile and adult offending for the foster care population. The present study addresses this gap in the literature. Using a semiparametric group-based modeling approach, the authors identify three unique offending trajectories among 294 male adolescents leaving a large midwestern foster care agency: nonoffenders, early onset desisters, and chronic offenders. Using multinomial logistic regression, they then identify a variety of risk and protective factors associated with each development trajectory. Placement stability and school enrollment emerge as two of the most important predictors.","DOI":"10.1093/swr/31.2.83","note":"00060","journalAbbreviation":"Social Work Research","author":[{"family":"Ryan","given":"Joseph P"},{"family":"Hernandez","given":"Pedro M"},{"family":"Herz","given":"Denise"}],"issued":{"date-parts":[["2007",6,1]]}}}],"schema":"https://github.com/citation-style-language/schema/raw/master/csl-citation.json"} </w:instrText>
      </w:r>
      <w:r w:rsidRPr="00A32EED">
        <w:rPr>
          <w:rFonts w:eastAsia="Calibri"/>
          <w:color w:val="000000"/>
        </w:rPr>
        <w:fldChar w:fldCharType="separate"/>
      </w:r>
      <w:r w:rsidRPr="00A32EED">
        <w:rPr>
          <w:rFonts w:eastAsia="Calibri"/>
          <w:noProof/>
          <w:color w:val="000000"/>
        </w:rPr>
        <w:t>(Courtney et al. 2011; Mark E. Courtney and Dworsky 2006; Cusick et al. 2010a; Cusick, Havlicek, and Courtney 2012; Ryan, Hernandez, and Herz 2007)</w:t>
      </w:r>
      <w:r w:rsidRPr="00A32EED">
        <w:rPr>
          <w:rFonts w:eastAsia="Calibri"/>
          <w:color w:val="000000"/>
        </w:rPr>
        <w:fldChar w:fldCharType="end"/>
      </w:r>
      <w:r w:rsidRPr="00A32EED">
        <w:rPr>
          <w:rFonts w:eastAsia="Calibri"/>
          <w:color w:val="000000"/>
        </w:rPr>
        <w:t>.</w:t>
      </w:r>
    </w:p>
    <w:p w14:paraId="1B0CD731" w14:textId="77777777" w:rsidR="004C4C39" w:rsidRPr="00A32EED" w:rsidRDefault="004C4C39" w:rsidP="004C4C39">
      <w:pPr>
        <w:spacing w:after="0" w:line="480" w:lineRule="auto"/>
        <w:ind w:firstLine="720"/>
        <w:rPr>
          <w:rFonts w:eastAsia="Calibri"/>
          <w:color w:val="000000"/>
        </w:rPr>
      </w:pPr>
      <w:r w:rsidRPr="00A32EED">
        <w:rPr>
          <w:rFonts w:eastAsia="Calibri"/>
          <w:color w:val="000000"/>
        </w:rPr>
        <w:t xml:space="preserve">Although the current study focuses on criminal justice contact, child maltreatment has also been linked to increases in rates of self-reported offending. Research in these areas examines the relationship between both specific types of maltreatment (neglect, physical abuse, sexual abuse) and maltreatment in general. Studies have found child maltreatment to be linked to an increase in self-reported offending for both juveniles </w:t>
      </w:r>
      <w:r w:rsidRPr="00A32EED">
        <w:rPr>
          <w:rFonts w:eastAsia="Calibri"/>
          <w:color w:val="000000"/>
        </w:rPr>
        <w:fldChar w:fldCharType="begin"/>
      </w:r>
      <w:r w:rsidRPr="00A32EED">
        <w:rPr>
          <w:rFonts w:eastAsia="Calibri"/>
          <w:color w:val="000000"/>
        </w:rPr>
        <w:instrText xml:space="preserve"> ADDIN ZOTERO_ITEM CSL_CITATION {"citationID":"1of29au1cr","properties":{"formattedCitation":"(Brezina 1998; Chapple et al. 2005; Fagan 2005; Stouthamer-Loeber et al. 2002; Yun, Ball, and Lim 2011)","plainCitation":"(Brezina 1998; Chapple et al. 2005; Fagan 2005; Stouthamer-Loeber et al. 2002; Yun, Ball, and Lim 2011)"},"citationItems":[{"id":62,"uris":["http://zotero.org/users/1165382/items/4NSM4I7M"],"uri":["http://zotero.org/users/1165382/items/4NSM4I7M"],"itemData":{"id":62,"type":"article-journal","title":"Adolescent maltreatment and delinquency: The question of intervening processes","container-title":"Journal of Research in Crime and Delinquency","page":"71–99","volume":"35","issue":"1","source":"Google Scholar","note":"00255","shortTitle":"Adolescent maltreatment and delinquency","author":[{"family":"Brezina","given":"Timothy"}],"issued":{"date-parts":[["1998"]]}}},{"id":86,"uris":["http://zotero.org/users/1165382/items/65ZNE4X4"],"uri":["http://zotero.org/users/1165382/items/65ZNE4X4"],"itemData":{"id":86,"type":"article-journal","title":"Child neglect and adolescent violence: Examining the effects of self-control and peer rejection","container-title":"Violence and victims","page":"39–53","volume":"20","issue":"1","source":"Google Scholar","note":"00083","shortTitle":"Child neglect and adolescent violence","author":[{"family":"Chapple","given":"Constance L."},{"family":"Tyler","given":"Kimberly A."},{"family":"Bersani","given":"Bianca E."}],"issued":{"date-parts":[["2005"]]}}},{"id":19,"uris":["http://zotero.org/users/1165382/items/2UDP4A7N"],"uri":["http://zotero.org/users/1165382/items/2UDP4A7N"],"itemData":{"id":19,"type":"article-journal","title":"The Relationship Between Adolescent Physical Abuse and Criminal Offending: Support for an Enduring and Generalized Cycle of Violence","container-title":"Journal of Family Violence","page":"279-290","volume":"20","issue":"5","source":"0-link.springer.com.library.uark.edu","abstract":"Prospective investigations have demonstrated support for the cycle of violence theory. However, few studies have examined whether or not abuse occurring during adolescence increases the prevalence and frequency of criminal involvement, or explored the long-term consequences of such victimization. In addition, there has been little investigation of whether or not the effects of abuse vary depending on characteristics of the victim, such as sex, race/ethnicity, age, family structure or income. Using data from the National Youth Survey, this study demonstrates that adolescent physical abuse has immediate and enduring effects on the prevalence and frequency of a variety of self-reported offenses, including violent and non-violent crimes, drug use and intimate partner violence. Furthermore, the study reveals that while victimization increases the prevalence of offending for victims of varying backgrounds, the frequency of offending is moderated by family income, area of residence, and family structure. Implications for prevention are discussed.","DOI":"10.1007/s10896-005-6604-7","ISSN":"0885-7482, 1573-2851","note":"00000","shortTitle":"The Relationship Between Adolescent Physical Abuse and Criminal Offending","journalAbbreviation":"J Fam Viol","language":"en","author":[{"family":"Fagan","given":"Abigail A."}],"issued":{"date-parts":[["2005",10]]}}},{"id":151,"uris":["http://zotero.org/users/1165382/items/9X35PG5W"],"uri":["http://zotero.org/users/1165382/items/9X35PG5W"],"itemData":{"id":151,"type":"article-journal","title":"Which family and demographic factors are related to both maltreatment and persistent serious juvenile delinquency?","container-title":"Children's Services: Social Policy, Research, and Practice","page":"261–272","volume":"5","issue":"4","source":"Google Scholar","author":[{"family":"Stouthamer-Loeber","given":"Magda"},{"family":"Wei","given":"Evelyn H."},{"family":"Homish","given":"D. Lynn"},{"family":"Loeber","given":"Rolf"}],"issued":{"date-parts":[["2002"]]}}},{"id":422,"uris":["http://zotero.org/users/1165382/items/RCNG3A4C"],"uri":["http://zotero.org/users/1165382/items/RCNG3A4C"],"itemData":{"id":422,"type":"article-journal","title":"Disentangling the relationship between child maltreatment and violent delinquency: Using a nationally representative sample","container-title":"Journal of interpersonal violence","page":"88–110","volume":"26","issue":"1","source":"Google Scholar","note":"00040","shortTitle":"Disentangling the relationship between child maltreatment and violent delinquency","author":[{"family":"Yun","given":"Ilhong"},{"family":"Ball","given":"Jeremy D."},{"family":"Lim","given":"Hyeyoung"}],"issued":{"date-parts":[["2011"]]}}}],"schema":"https://github.com/citation-style-language/schema/raw/master/csl-citation.json"} </w:instrText>
      </w:r>
      <w:r w:rsidRPr="00A32EED">
        <w:rPr>
          <w:rFonts w:eastAsia="Calibri"/>
          <w:color w:val="000000"/>
        </w:rPr>
        <w:fldChar w:fldCharType="separate"/>
      </w:r>
      <w:r w:rsidRPr="00A32EED">
        <w:rPr>
          <w:rFonts w:eastAsia="Calibri"/>
          <w:noProof/>
          <w:color w:val="000000"/>
        </w:rPr>
        <w:t>(Brezina 1998; Chapple et al. 2005; Fagan 2005; Stouthamer-Loeber et al. 2002; Yun, Ball, and Lim 2011)</w:t>
      </w:r>
      <w:r w:rsidRPr="00A32EED">
        <w:rPr>
          <w:rFonts w:eastAsia="Calibri"/>
          <w:color w:val="000000"/>
        </w:rPr>
        <w:fldChar w:fldCharType="end"/>
      </w:r>
      <w:r w:rsidRPr="00A32EED">
        <w:rPr>
          <w:rFonts w:eastAsia="Calibri"/>
          <w:color w:val="000000"/>
        </w:rPr>
        <w:t xml:space="preserve"> and adults </w:t>
      </w:r>
      <w:r w:rsidRPr="00A32EED">
        <w:rPr>
          <w:rFonts w:eastAsia="Calibri"/>
          <w:color w:val="000000"/>
        </w:rPr>
        <w:fldChar w:fldCharType="begin"/>
      </w:r>
      <w:r w:rsidRPr="00A32EED">
        <w:rPr>
          <w:rFonts w:eastAsia="Calibri"/>
          <w:color w:val="000000"/>
        </w:rPr>
        <w:instrText xml:space="preserve"> ADDIN ZOTERO_ITEM CSL_CITATION {"citationID":"d67ejnif8","properties":{"formattedCitation":"(Buehler et al. 2000; Fagan 2005; Smith et al. 2012; Teague et al. 2008)","plainCitation":"(Buehler et al. 2000; Fagan 2005; Smith et al. 2012; Teague et al. 2008)"},"citationItems":[{"id":390,"uris":["http://zotero.org/users/1165382/items/PPU8AVXA"],"uri":["http://zotero.org/users/1165382/items/PPU8AVXA"],"itemData":{"id":390,"type":"article-journal","title":"The long-term correlates of family foster care","container-title":"Children and Youth Services Review","page":"595-625","volume":"22","issue":"8","source":"ScienceDirect","abstract":"The purpose of this paper is to examine long-term correlates of experiencing family foster care sometime before the age of 19. Subjects for the study were selected from participants in the 1988 National Survey of Families and Households. Three groups were compared: 101 adults experiencing family foster care, 101 adults selected at random, and 101 adults matched to those experiencing family foster care on age, race, gender, parent's educational attainment, and the presence of a stepparent. Within the areas of self-sufficiency, behavioral adjustment, family and social support, and personal well-being, 36 indicators of adult adjustment were examined. When compared with the adults in the randomly selected comparison group, adults experiencing family foster care were less adjusted on 20 of 36 indicators, particularly in the areas of education, economic well-being, marital relations, and community involvement. Adults in the foster care group were similar to the adults in the matched comparison group on almost all indicators of adjustment.","DOI":"10.1016/S0190-7409(00)00108-0","ISSN":"0190-7409","journalAbbreviation":"Children and Youth Services Review","author":[{"family":"Buehler","given":"Cheryl"},{"family":"Orme","given":"John G."},{"family":"Post","given":"James"},{"family":"Patterson","given":"David A."}],"issued":{"date-parts":[["2000",8]]}}},{"id":19,"uris":["http://zotero.org/users/1165382/items/2UDP4A7N"],"uri":["http://zotero.org/users/1165382/items/2UDP4A7N"],"itemData":{"id":19,"type":"article-journal","title":"The Relationship Between Adolescent Physical Abuse and Criminal Offending: Support for an Enduring and Generalized Cycle of Violence","container-title":"Journal of Family Violence","page":"279-290","volume":"20","issue":"5","source":"0-link.springer.com.library.uark.edu","abstract":"Prospective investigations have demonstrated support for the cycle of violence theory. However, few studies have examined whether or not abuse occurring during adolescence increases the prevalence and frequency of criminal involvement, or explored the long-term consequences of such victimization. In addition, there has been little investigation of whether or not the effects of abuse vary depending on characteristics of the victim, such as sex, race/ethnicity, age, family structure or income. Using data from the National Youth Survey, this study demonstrates that adolescent physical abuse has immediate and enduring effects on the prevalence and frequency of a variety of self-reported offenses, including violent and non-violent crimes, drug use and intimate partner violence. Furthermore, the study reveals that while victimization increases the prevalence of offending for victims of varying backgrounds, the frequency of offending is moderated by family income, area of residence, and family structure. Implications for prevention are discussed.","DOI":"10.1007/s10896-005-6604-7","ISSN":"0885-7482, 1573-2851","note":"00000","shortTitle":"The Relationship Between Adolescent Physical Abuse and Criminal Offending","journalAbbreviation":"J Fam Viol","language":"en","author":[{"family":"Fagan","given":"Abigail A."}],"issued":{"date-parts":[["2005",10]]}}},{"id":492,"uris":["http://zotero.org/users/1165382/items/UQVQSS4G"],"uri":["http://zotero.org/users/1165382/items/UQVQSS4G"],"itemData":{"id":492,"type":"article-journal","title":"Long-term outcomes of young adults exposed to maltreatment: the role of educational experiences in promoting resilience to crime and violence in early adulthood","container-title":"Journal of interpersonal violence","page":"0886260512448845","source":"Google Scholar","note":"00013","shortTitle":"Long-term outcomes of young adults exposed to maltreatment","author":[{"family":"Smith","given":"Carolyn A."},{"family":"Park","given":"Aely"},{"family":"Ireland","given":"Timothy O."},{"family":"Elwyn","given":"Laura"},{"family":"Thornberry","given":"Terence P."}],"issued":{"date-parts":[["2012"]]}}},{"id":100,"uris":["http://zotero.org/users/1165382/items/759725VW"],"uri":["http://zotero.org/users/1165382/items/759725VW"],"itemData":{"id":100,"type":"article-journal","title":"Linking childhood exposure to physical abuse and adult offending: Examining mediating factors and gendered relationships","container-title":"Justice Quarterly","page":"313–348","volume":"25","issue":"2","source":"Google Scholar","note":"00000","shortTitle":"Linking childhood exposure to physical abuse and adult offending","author":[{"family":"Teague","given":"Rosie"},{"family":"Mazerolle","given":"Paul"},{"family":"Legosz","given":"Margot"},{"family":"Sanderson","given":"Jennifer"}],"issued":{"date-parts":[["2008"]]}}}],"schema":"https://github.com/citation-style-language/schema/raw/master/csl-citation.json"} </w:instrText>
      </w:r>
      <w:r w:rsidRPr="00A32EED">
        <w:rPr>
          <w:rFonts w:eastAsia="Calibri"/>
          <w:color w:val="000000"/>
        </w:rPr>
        <w:fldChar w:fldCharType="separate"/>
      </w:r>
      <w:r w:rsidRPr="00A32EED">
        <w:rPr>
          <w:rFonts w:eastAsia="Calibri"/>
          <w:noProof/>
          <w:color w:val="000000"/>
        </w:rPr>
        <w:t>(Buehler et al. 2000; Fagan 2005; Smith et al. 2012; Teague et al. 2008)</w:t>
      </w:r>
      <w:r w:rsidRPr="00A32EED">
        <w:rPr>
          <w:rFonts w:eastAsia="Calibri"/>
          <w:color w:val="000000"/>
        </w:rPr>
        <w:fldChar w:fldCharType="end"/>
      </w:r>
      <w:r w:rsidRPr="00A32EED">
        <w:rPr>
          <w:rFonts w:eastAsia="Calibri"/>
          <w:color w:val="000000"/>
        </w:rPr>
        <w:t xml:space="preserve">. Similarly, experiences with child welfare have also been linked to higher rates of self-reported offending among juveniles </w:t>
      </w:r>
      <w:r w:rsidRPr="00A32EED">
        <w:rPr>
          <w:rFonts w:eastAsia="Calibri"/>
          <w:color w:val="000000"/>
        </w:rPr>
        <w:fldChar w:fldCharType="begin"/>
      </w:r>
      <w:r w:rsidRPr="00A32EED">
        <w:rPr>
          <w:rFonts w:eastAsia="Calibri"/>
          <w:color w:val="000000"/>
        </w:rPr>
        <w:instrText xml:space="preserve"> ADDIN ZOTERO_ITEM CSL_CITATION {"citationID":"26vt6lpeg2","properties":{"formattedCitation":"(Chamberlain and Reid 1998; Cusick and Courtney 2007; Snyder and Merritt 2014; Taussig et al. 2001)","plainCitation":"(Chamberlain and Reid 1998; Cusick and Courtney 2007; Snyder and Merritt 2014; Taussig et al. 2001)"},"citationItems":[{"id":555,"uris":["http://zotero.org/users/1165382/items/XJJAIZ3A"],"uri":["http://zotero.org/users/1165382/items/XJJAIZ3A"],"itemData":{"id":555,"type":"article-journal","title":"Comparison of two community alternatives to incarceration for chronic juvenile offenders.","container-title":"Journal of consulting and clinical psychology","page":"624","volume":"66","issue":"4","source":"Google Scholar","author":[{"family":"Chamberlain","given":"Patricia"},{"family":"Reid","given":"John B."}],"issued":{"date-parts":[["1998"]]}}},{"id":66,"uris":["http://zotero.org/users/1165382/items/59AKTAMB"],"uri":["http://zotero.org/users/1165382/items/59AKTAMB"],"itemData":{"id":66,"type":"book","title":"Offending during late adolescence: How do youth aging out of care compare with their peers?","publisher":"Chapin Hall Center for Children at the University of Chicago Chicago, IL","source":"Google Scholar","URL":"http://www.chapinhall.org/sites/default/files/publications/ChapinHallDocument_0.pdf","note":"00045","shortTitle":"Offending during late adolescence","author":[{"family":"Cusick","given":"Gretchen R."},{"family":"Courtney","given":"Mark E."}],"issued":{"date-parts":[["2007"]]},"accessed":{"date-parts":[["2015",1,28]]}}},{"id":360,"uris":["http://zotero.org/users/1165382/items/N6SGEDJB"],"uri":["http://zotero.org/users/1165382/items/N6SGEDJB"],"itemData":{"id":360,"type":"article-journal","title":"Do childhood experiences of neglect affect delinquency among child welfare involved-youth?","container-title":"Children and Youth Services Review","page":"64-71","volume":"46","source":"ScienceDirect","abstract":"Child neglect, which is the most common form of maltreatment in the United States, has been repeatedly linked to an increased risk of delinquency. However, the existing literature lacks studies that simultaneously investigate how distinct types of neglect differentially influence delinquency among child welfare involved-youth. In addition, few studies of the relationship between neglect and delinquency include measures of ADHD, peer deviance or community violence, even though these variables have been strongly associated with delinquency. This study uses data from 784 11 to 17 year old youth who participated in Wave I of the Second National Survey of Child and Adolescent Wellbeing (NSCAW II) to examine whether supervisory neglect, physical neglect and parental substance abuse affect delinquency after controlling for ADHD, peer deviance, exposure to community violence, and out-of-home placements. We conducted a negative binomial regression to account for the low rates of delinquency among NSCAW II participants. We did not find significant main effects for supervisory neglect, physical neglect or parental substance abuse. Our study found that as youth age the count of delinquency acts increases. Black and Hispanic youth had higher counts of delinquency than youth with White, multi-racial, or “other” racial identities. Youth in out-of-home care had nearly double the rate of delinquency. Youth with more deviant peer affiliations and youth who had been exposed to community violence engaged in more delinquent behaviors. Our findings underscore the importance of the environment surrounding the youth, and the peers with whom the youth affiliates.","DOI":"10.1016/j.childyouth.2014.08.007","ISSN":"0190-7409","journalAbbreviation":"Children and Youth Services Review","author":[{"family":"Snyder","given":"Susan M."},{"family":"Merritt","given":"Darcey H."}],"issued":{"date-parts":[["2014",11]]}}},{"id":1250,"uris":["http://zotero.org/users/1165382/items/H5PADUN9"],"uri":["http://zotero.org/users/1165382/items/H5PADUN9"],"itemData":{"id":1250,"type":"article-journal","title":"Children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B."},{"family":"Landsverk","given":"J."}],"issued":{"date-parts":[["2001",7]]}}}],"schema":"https://github.com/citation-style-language/schema/raw/master/csl-citation.json"} </w:instrText>
      </w:r>
      <w:r w:rsidRPr="00A32EED">
        <w:rPr>
          <w:rFonts w:eastAsia="Calibri"/>
          <w:color w:val="000000"/>
        </w:rPr>
        <w:fldChar w:fldCharType="separate"/>
      </w:r>
      <w:r w:rsidRPr="00A32EED">
        <w:rPr>
          <w:rFonts w:eastAsia="Calibri"/>
          <w:noProof/>
          <w:color w:val="000000"/>
        </w:rPr>
        <w:t>(Chamberlain and Reid 1998; Cusick and Courtney 2007; Snyder and Merritt 2014; Taussig et al. 2001)</w:t>
      </w:r>
      <w:r w:rsidRPr="00A32EED">
        <w:rPr>
          <w:rFonts w:eastAsia="Calibri"/>
          <w:color w:val="000000"/>
        </w:rPr>
        <w:fldChar w:fldCharType="end"/>
      </w:r>
      <w:r w:rsidRPr="00A32EED">
        <w:rPr>
          <w:rFonts w:eastAsia="Calibri"/>
          <w:color w:val="000000"/>
        </w:rPr>
        <w:t xml:space="preserve"> and adults </w:t>
      </w:r>
      <w:r w:rsidRPr="00A32EED">
        <w:rPr>
          <w:rFonts w:eastAsia="Calibri"/>
          <w:color w:val="000000"/>
        </w:rPr>
        <w:fldChar w:fldCharType="begin"/>
      </w:r>
      <w:r w:rsidRPr="00A32EED">
        <w:rPr>
          <w:rFonts w:eastAsia="Calibri"/>
          <w:color w:val="000000"/>
        </w:rPr>
        <w:instrText xml:space="preserve"> ADDIN ZOTERO_ITEM CSL_CITATION {"citationID":"1cmkbsvmjv","properties":{"formattedCitation":"(Courtney et al. 2001; Cusick et al. 2010a; Reilly 2003)","plainCitation":"(Courtney et al. 2001; Cusick et al. 2010a; Reilly 2003)"},"citationItems":[{"id":262,"uris":["http://zotero.org/users/1165382/items/GTSM7DB8"],"uri":["http://zotero.org/users/1165382/items/GTSM7DB8"],"itemData":{"id":262,"type":"article-journal","title":"Foster Youth Transitions to Adulthood: A Longitudinal View of Youth Leaving Care","container-title":"Child Welfare","page":"685-717","volume":"80","issue":"6","source":"EBSCOhost","abstract":"The well-being of youths who age out of the out-of-home care system in the U.S. has long been of great interest to child welfare practitioners and policymakers. In spite of this interest, however, very little is known about how these youths fare when they must make the transition to independence. The Foster Youth Transitions to Adulthood Study is tracking the experiences of 141 young adults who left care in Wisconsin in 1995 and 1996. This article describes these youths and their experiences in the first 12 to 18 months after leaving care. The findings suggest that the transition to independence is a difficult time for youth leaving the out-of-home care system.","ISSN":"00094021","note":"00000","shortTitle":"Foster Youth Transitions to Adulthood","journalAbbreviation":"Child Welfare","author":[{"family":"Courtney","given":"Mark E."},{"family":"Piliavin","given":"Irving"},{"family":"Grogan-Kaylor","given":"Andrew"},{"family":"Nesmith","given":"Ande"}],"issued":{"date-parts":[["2001",12,11]]}}},{"id":5,"uris":["http://zotero.org/users/1165382/items/26A6DIUW"],"uri":["http://zotero.org/users/1165382/items/26A6DIUW"],"itemData":{"id":5,"type":"book","title":"Crime during the transition to adulthood: How youth fare as they leave out-of-home care","publisher":"National Institute of Justice, Office of Justice Programs, US Department of Justice","source":"Google Scholar","URL":"http://www.ncjrs.gov/App/abstractdb/AbstractDBDetails.aspx?id=251697","note":"00025","shortTitle":"Crime during the transition to adulthood","author":[{"family":"Cusick","given":"Gretchen"},{"family":"Courtney","given":"Mark"},{"family":"Havlicek","given":"Judy"},{"family":"Hess","given":"Nathan"}],"issued":{"date-parts":[["2010"]]},"accessed":{"date-parts":[["2014",12,11]]}}},{"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care","author":[{"family":"Reilly","given":"Thom"}],"issued":{"date-parts":[["2003"]]}}}],"schema":"https://github.com/citation-style-language/schema/raw/master/csl-citation.json"} </w:instrText>
      </w:r>
      <w:r w:rsidRPr="00A32EED">
        <w:rPr>
          <w:rFonts w:eastAsia="Calibri"/>
          <w:color w:val="000000"/>
        </w:rPr>
        <w:fldChar w:fldCharType="separate"/>
      </w:r>
      <w:r w:rsidRPr="00A32EED">
        <w:rPr>
          <w:rFonts w:eastAsia="Calibri"/>
          <w:noProof/>
          <w:color w:val="000000"/>
        </w:rPr>
        <w:t>(Courtney et al. 2001; Cusick et al. 2010a; Reilly 2003)</w:t>
      </w:r>
      <w:r w:rsidRPr="00A32EED">
        <w:rPr>
          <w:rFonts w:eastAsia="Calibri"/>
          <w:color w:val="000000"/>
        </w:rPr>
        <w:fldChar w:fldCharType="end"/>
      </w:r>
      <w:r w:rsidRPr="00A32EED">
        <w:rPr>
          <w:rFonts w:eastAsia="Calibri"/>
          <w:color w:val="000000"/>
        </w:rPr>
        <w:t xml:space="preserve">. </w:t>
      </w:r>
    </w:p>
    <w:p w14:paraId="56A82BE5" w14:textId="77777777" w:rsidR="004C4C39" w:rsidRPr="00A32EED" w:rsidRDefault="004C4C39" w:rsidP="004C4C39">
      <w:pPr>
        <w:spacing w:after="0" w:line="480" w:lineRule="auto"/>
        <w:ind w:firstLine="720"/>
        <w:rPr>
          <w:rFonts w:eastAsia="Calibri"/>
        </w:rPr>
      </w:pPr>
      <w:r w:rsidRPr="00A32EED">
        <w:rPr>
          <w:rFonts w:eastAsia="Calibri"/>
        </w:rPr>
        <w:t xml:space="preserve">The current study uses the National Survey of Child Adolescent Well-Being (NSCAW) </w:t>
      </w:r>
      <w:r w:rsidRPr="00A32EED">
        <w:rPr>
          <w:rFonts w:eastAsia="Calibri"/>
        </w:rPr>
        <w:fldChar w:fldCharType="begin"/>
      </w:r>
      <w:r w:rsidRPr="00A32EED">
        <w:rPr>
          <w:rFonts w:eastAsia="Calibri"/>
        </w:rPr>
        <w:instrText xml:space="preserve"> ADDIN ZOTERO_ITEM CSL_CITATION {"citationID":"g0tb0iavr","properties":{"formattedCitation":"(Dowd et al. 2008)","plainCitation":"(Dowd et al. 2008)"},"citationItems":[{"id":340,"uris":["http://zotero.org/users/1165382/items/KXZHA9XC"],"uri":["http://zotero.org/users/1165382/items/KXZHA9XC"],"itemData":{"id":340,"type":"article","title":"National Survey of Child and Adolescent Well-Being (NSCAW), Combined Waves 1–5, Data File User’s Manual, Restricted Release Version.","publisher":"National Data Archive on Child Abuse and Neglect","source":"Google Scholar","note":"00000","author":[{"family":"Dowd","given":"Kathryn"},{"family":"Kinsey","given":"Susan"},{"family":"Wheeless","given":"Sara"},{"family":"Thissen","given":"Rita"},{"family":"Richardson","given":"Jean"},{"family":"Suresh","given":"R."},{"family":"Mierzwa","given":"Frank"},{"family":"Biemer","given":"Paul"},{"family":"Johnson","given":"Ilona"},{"family":"Lytle","given":"Tiffany"},{"family":"Dolan","given":"Melissa"},{"family":"Hendershott","given":"Amy"},{"family":"Smith","given":"Keith"}],"issued":{"date-parts":[["2008"]]}}}],"schema":"https://github.com/citation-style-language/schema/raw/master/csl-citation.json"} </w:instrText>
      </w:r>
      <w:r w:rsidRPr="00A32EED">
        <w:rPr>
          <w:rFonts w:eastAsia="Calibri"/>
        </w:rPr>
        <w:fldChar w:fldCharType="separate"/>
      </w:r>
      <w:r w:rsidRPr="00A32EED">
        <w:rPr>
          <w:rFonts w:eastAsia="Calibri"/>
          <w:noProof/>
        </w:rPr>
        <w:t>(Dowd et al. 2008)</w:t>
      </w:r>
      <w:r w:rsidRPr="00A32EED">
        <w:rPr>
          <w:rFonts w:eastAsia="Calibri"/>
        </w:rPr>
        <w:fldChar w:fldCharType="end"/>
      </w:r>
      <w:r w:rsidRPr="00A32EED">
        <w:rPr>
          <w:rFonts w:eastAsia="Calibri"/>
        </w:rPr>
        <w:t xml:space="preserve">. The NSCAW data is a longitudinal data set </w:t>
      </w:r>
      <w:r w:rsidRPr="00A32EED">
        <w:rPr>
          <w:rFonts w:eastAsia="Calibri"/>
        </w:rPr>
        <w:lastRenderedPageBreak/>
        <w:t xml:space="preserve">of 6,228 children who had contact with a child welfare services agency in a 15 month period beginning in 1999. The data are comprised of two groups with the majority (5,501) consisting of children who were the subject of a child maltreatment investigation conducted by a Child Protection Agency (CPS Sample) and a smaller group (727) consisting of children who had been in out-of-home care for approximately 1 year at the time of sampling as the result of a child maltreatment referral (Longer-term Foster Care Sample). These children ranged from 0-14 years old at the time of sampling. To date, there have been five waves of data collection with the first occurring 2-6 months after the close of the investigation and the last occurring between 59-96 months after the close of the investigation. At the time of the final wave, children were between the ages of 4 and 21. NSCAW data were collected from the child, current caregivers, investigator/services caseworkers, and teachers providing a fairly robust accounting of background and environmental factors surrounding the case. </w:t>
      </w:r>
    </w:p>
    <w:p w14:paraId="0CA8D9C5" w14:textId="77777777" w:rsidR="004C4C39" w:rsidRPr="00A32EED" w:rsidRDefault="004C4C39" w:rsidP="004C4C39">
      <w:pPr>
        <w:spacing w:after="0" w:line="480" w:lineRule="auto"/>
        <w:ind w:firstLine="360"/>
        <w:rPr>
          <w:rFonts w:eastAsia="Calibri"/>
          <w:color w:val="000000"/>
        </w:rPr>
      </w:pPr>
      <w:r w:rsidRPr="00A32EED">
        <w:rPr>
          <w:rFonts w:eastAsia="Calibri"/>
          <w:color w:val="000000"/>
        </w:rPr>
        <w:t xml:space="preserve">Based on previous research I predict that age at baseline, previous child welfare involvement, the level of harm for the most severe form of maltreatment, case substantiation, and placement in a group home at baseline will all be related to increases in the odds of early sexual initiation and criminal justice contact. Additionally, I predict that receiving baseline services and placement in a foster home may be related to a reduction in the odds of early sexual initiation and criminal justice contact. I suggest that these relationships </w:t>
      </w:r>
      <w:r w:rsidRPr="00A32EED">
        <w:rPr>
          <w:rFonts w:eastAsia="Calibri"/>
          <w:color w:val="000000"/>
        </w:rPr>
        <w:lastRenderedPageBreak/>
        <w:t>will remain even when controlling for the population heterogeneity effect of self-control.</w:t>
      </w:r>
    </w:p>
    <w:p w14:paraId="44B70B6B" w14:textId="77777777" w:rsidR="004C4C39" w:rsidRPr="00A32EED" w:rsidRDefault="004C4C39" w:rsidP="004C4C39">
      <w:pPr>
        <w:spacing w:after="0" w:line="480" w:lineRule="auto"/>
        <w:rPr>
          <w:rFonts w:eastAsia="Calibri"/>
          <w:color w:val="000000"/>
        </w:rPr>
      </w:pPr>
      <w:r w:rsidRPr="00A32EED">
        <w:rPr>
          <w:rFonts w:eastAsia="Calibri"/>
          <w:color w:val="000000"/>
        </w:rPr>
        <w:tab/>
        <w:t xml:space="preserve">To assess the accuracy of these predictions and the various risk and protective factors for later adverse outcomes in the areas of risky sexual behavior and criminal justice contact, multiple analytic techniques are used. Both analytical models involve dichotomous dependent variables and use logistic regression and provide estimated margins to aid in interpretation. Additionally, given the complex sampling design of the NSCAW data, the </w:t>
      </w:r>
      <w:r w:rsidRPr="00A32EED">
        <w:rPr>
          <w:rFonts w:eastAsia="Calibri"/>
          <w:i/>
          <w:color w:val="000000"/>
        </w:rPr>
        <w:t>svy</w:t>
      </w:r>
      <w:r w:rsidRPr="00A32EED">
        <w:rPr>
          <w:rFonts w:eastAsia="Calibri"/>
          <w:color w:val="000000"/>
        </w:rPr>
        <w:t xml:space="preserve"> module within STATA is used to obtain accurate estimates. By using the </w:t>
      </w:r>
      <w:r w:rsidRPr="00A32EED">
        <w:rPr>
          <w:rFonts w:eastAsia="Calibri"/>
          <w:i/>
          <w:color w:val="000000"/>
        </w:rPr>
        <w:t>svy</w:t>
      </w:r>
      <w:r w:rsidRPr="00A32EED">
        <w:rPr>
          <w:rFonts w:eastAsia="Calibri"/>
          <w:color w:val="000000"/>
        </w:rPr>
        <w:t xml:space="preserve"> module within STATA, findings are generalizable to a national population of children who were the alleged victim of a maltreatment report in the United States.  </w:t>
      </w:r>
    </w:p>
    <w:p w14:paraId="3D3DF232" w14:textId="77777777" w:rsidR="004C4C39" w:rsidRPr="00A32EED" w:rsidRDefault="004C4C39" w:rsidP="004C4C39">
      <w:pPr>
        <w:spacing w:after="0" w:line="480" w:lineRule="auto"/>
        <w:ind w:firstLine="720"/>
        <w:rPr>
          <w:rFonts w:eastAsia="Calibri"/>
        </w:rPr>
      </w:pPr>
      <w:r w:rsidRPr="00A32EED">
        <w:rPr>
          <w:rFonts w:eastAsia="Calibri"/>
          <w:color w:val="000000"/>
        </w:rPr>
        <w:t xml:space="preserve">As seen above, there are many different pathways in which child maltreatment and child welfare experiences may increase the odds of various adverse events. The current study examines both population heterogeneity and state dependence effects to identify both main and interaction effects of child maltreatment and child welfare experiences on later adverse outcomes related to risky sexual behavior and criminality. The current study contributes to the literature by providing a more comprehensive analysis of adverse outcomes later in life for maltreated children by including various measures of both child maltreatment and child welfare experiences. Additionally, the rigorous underpinnings age graded theory of informal social control in these analyses adds to the literature by providing further insight into how and why certain </w:t>
      </w:r>
      <w:r w:rsidRPr="00A32EED">
        <w:rPr>
          <w:rFonts w:eastAsia="Calibri"/>
          <w:color w:val="000000"/>
        </w:rPr>
        <w:lastRenderedPageBreak/>
        <w:t>experiences related to child maltreatment and child welfare may increase the likelihood of adverse outcomes later in life.</w:t>
      </w:r>
    </w:p>
    <w:p w14:paraId="0C813857" w14:textId="77777777" w:rsidR="004C4C39" w:rsidRPr="00A32EED" w:rsidRDefault="004C4C39" w:rsidP="004C4C39">
      <w:pPr>
        <w:spacing w:after="0" w:line="480" w:lineRule="auto"/>
        <w:rPr>
          <w:rFonts w:eastAsia="Calibri"/>
        </w:rPr>
      </w:pPr>
    </w:p>
    <w:p w14:paraId="545B22B8" w14:textId="77777777" w:rsidR="004C4C39" w:rsidRPr="00A32EED" w:rsidRDefault="004C4C39" w:rsidP="004C4C39">
      <w:pPr>
        <w:spacing w:after="0"/>
        <w:rPr>
          <w:rFonts w:eastAsia="ＭＳ ゴシック"/>
          <w:b/>
          <w:color w:val="000000"/>
          <w:szCs w:val="26"/>
          <w:u w:val="single"/>
        </w:rPr>
      </w:pPr>
      <w:r w:rsidRPr="00A32EED">
        <w:rPr>
          <w:rFonts w:eastAsia="Calibri"/>
        </w:rPr>
        <w:br w:type="page"/>
      </w:r>
    </w:p>
    <w:p w14:paraId="474FC0C3" w14:textId="77777777" w:rsidR="004C4C39" w:rsidRPr="00A32EED" w:rsidRDefault="004C4C39" w:rsidP="004C4C39">
      <w:pPr>
        <w:keepNext/>
        <w:keepLines/>
        <w:spacing w:before="40" w:after="0" w:line="480" w:lineRule="auto"/>
        <w:outlineLvl w:val="0"/>
        <w:rPr>
          <w:rFonts w:eastAsia="ＭＳ ゴシック"/>
          <w:b/>
          <w:color w:val="000000"/>
          <w:szCs w:val="26"/>
          <w:u w:val="single"/>
        </w:rPr>
      </w:pPr>
      <w:bookmarkStart w:id="6" w:name="_Toc479938141"/>
      <w:bookmarkStart w:id="7" w:name="_Toc482112670"/>
      <w:r w:rsidRPr="00A32EED">
        <w:rPr>
          <w:rFonts w:eastAsia="ＭＳ ゴシック"/>
          <w:b/>
          <w:color w:val="000000"/>
          <w:szCs w:val="26"/>
          <w:u w:val="single"/>
        </w:rPr>
        <w:lastRenderedPageBreak/>
        <w:t>Chapter 2: Review of Relevant Literature</w:t>
      </w:r>
      <w:bookmarkEnd w:id="6"/>
      <w:bookmarkEnd w:id="7"/>
    </w:p>
    <w:p w14:paraId="59A2E376" w14:textId="77777777" w:rsidR="004C4C39" w:rsidRPr="00A32EED" w:rsidRDefault="004C4C39" w:rsidP="004C4C39">
      <w:pPr>
        <w:spacing w:after="0" w:line="480" w:lineRule="auto"/>
        <w:rPr>
          <w:rFonts w:eastAsia="Calibri"/>
        </w:rPr>
      </w:pPr>
      <w:r w:rsidRPr="00A32EED">
        <w:rPr>
          <w:rFonts w:eastAsia="Calibri"/>
        </w:rPr>
        <w:tab/>
        <w:t xml:space="preserve">The following section provides an overview of the literature regarding child maltreatment, child welfare experience, risky sexual behaviors, self-reported offending, and criminal justice contact. Although the current study is concerned with early sexual initiation and criminal justice contact, a more complete review of outcomes similar or related to early sexual initiation are provided. </w:t>
      </w:r>
    </w:p>
    <w:p w14:paraId="58FD11EA"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8" w:name="_Toc464640991"/>
      <w:bookmarkStart w:id="9" w:name="_Toc479938142"/>
      <w:bookmarkStart w:id="10" w:name="_Toc482112671"/>
      <w:r w:rsidRPr="00A32EED">
        <w:rPr>
          <w:rFonts w:eastAsia="ＭＳ ゴシック"/>
          <w:i/>
          <w:color w:val="000000"/>
          <w:szCs w:val="26"/>
          <w:u w:val="single"/>
        </w:rPr>
        <w:t>Risky Sexual Behavior</w:t>
      </w:r>
      <w:bookmarkEnd w:id="8"/>
      <w:bookmarkEnd w:id="9"/>
      <w:bookmarkEnd w:id="10"/>
    </w:p>
    <w:p w14:paraId="7FA514FF" w14:textId="77777777" w:rsidR="004C4C39" w:rsidRPr="00A32EED" w:rsidRDefault="004C4C39" w:rsidP="004C4C39">
      <w:pPr>
        <w:spacing w:after="0" w:line="480" w:lineRule="auto"/>
        <w:rPr>
          <w:rFonts w:eastAsia="Calibri"/>
        </w:rPr>
      </w:pPr>
      <w:r w:rsidRPr="00A32EED">
        <w:rPr>
          <w:rFonts w:eastAsia="Calibri"/>
        </w:rPr>
        <w:tab/>
        <w:t xml:space="preserve">The following section will provide an overview of existing literature regarding child maltreatment, child welfare experiences, and a range of risky sexual behaviors. Although not all disciplines agree on what should be considered risky sexual behavior, I will be focusing on behaviors and outcomes such as ever having had sex, age at sexual initiation, number of partners, frequency of sexual activity, use of protective and contraceptive measures, pregnancy, sexually transmitted infections, and commercial sex. Studies typically focus on the influence of different types of maltreatment and child welfare experiences and their effect on sexual behaviors. </w:t>
      </w:r>
    </w:p>
    <w:p w14:paraId="7B23766A" w14:textId="77777777" w:rsidR="004C4C39" w:rsidRPr="00A32EED" w:rsidRDefault="004C4C39" w:rsidP="004C4C39">
      <w:pPr>
        <w:keepNext/>
        <w:keepLines/>
        <w:spacing w:before="40" w:after="0" w:line="480" w:lineRule="auto"/>
        <w:outlineLvl w:val="2"/>
        <w:rPr>
          <w:rFonts w:eastAsia="ＭＳ ゴシック"/>
          <w:i/>
          <w:color w:val="000000"/>
        </w:rPr>
      </w:pPr>
      <w:r w:rsidRPr="00A32EED">
        <w:rPr>
          <w:rFonts w:eastAsia="ＭＳ ゴシック"/>
          <w:i/>
          <w:color w:val="000000"/>
        </w:rPr>
        <w:tab/>
      </w:r>
      <w:bookmarkStart w:id="11" w:name="_Toc464640992"/>
      <w:bookmarkStart w:id="12" w:name="_Toc479938143"/>
      <w:bookmarkStart w:id="13" w:name="_Toc482112672"/>
      <w:r w:rsidRPr="00A32EED">
        <w:rPr>
          <w:rFonts w:eastAsia="ＭＳ ゴシック"/>
          <w:i/>
          <w:color w:val="000000"/>
        </w:rPr>
        <w:t>Child Maltreatment and Risky Sexual Behaviors</w:t>
      </w:r>
      <w:bookmarkEnd w:id="11"/>
      <w:bookmarkEnd w:id="12"/>
      <w:bookmarkEnd w:id="13"/>
    </w:p>
    <w:p w14:paraId="1A82C369" w14:textId="77777777" w:rsidR="004C4C39" w:rsidRPr="00A32EED" w:rsidRDefault="004C4C39" w:rsidP="004C4C39">
      <w:pPr>
        <w:spacing w:after="0" w:line="480" w:lineRule="auto"/>
        <w:rPr>
          <w:rFonts w:eastAsia="Calibri"/>
        </w:rPr>
      </w:pPr>
      <w:r w:rsidRPr="00A32EED">
        <w:rPr>
          <w:rFonts w:eastAsia="Calibri"/>
        </w:rPr>
        <w:tab/>
        <w:t xml:space="preserve">Although there is some inconsistency in the strength of the relationship between child maltreatment and risky sexual behaviors, studies generally show that victims of child maltreatment are at higher risk for engaging in risky sexual behavior throughout the life-course. A significant portion of the research on child maltreatment and risky sexual behaviors focuses solely on childhood </w:t>
      </w:r>
      <w:r w:rsidRPr="00A32EED">
        <w:rPr>
          <w:rFonts w:eastAsia="Calibri"/>
        </w:rPr>
        <w:lastRenderedPageBreak/>
        <w:t xml:space="preserve">sexual abuse. There is some support for childhood sexual abuse being a higher risk factor for sexually risky behavior than other forms of maltreatment. For example, previous research using bivariate analyses of the NSCAW data shows that youth who were victims of childhood sexual abuse are more likely to engage in sexual intercourse than children who experienced a form of maltreatment other than childhood sexual abuse </w:t>
      </w:r>
      <w:r w:rsidRPr="00A32EED">
        <w:rPr>
          <w:rFonts w:eastAsia="Calibri"/>
        </w:rPr>
        <w:fldChar w:fldCharType="begin"/>
      </w:r>
      <w:r w:rsidRPr="00A32EED">
        <w:rPr>
          <w:rFonts w:eastAsia="Calibri"/>
        </w:rPr>
        <w:instrText xml:space="preserve"> ADDIN ZOTERO_ITEM CSL_CITATION {"citationID":"gi8jd99p","properties":{"formattedCitation":"(Leslie et al. 2010)","plainCitation":"(Leslie et al. 2010)"},"citationItems":[{"id":53,"uris":["http://zotero.org/users/1165382/items/4876QBPV"],"uri":["http://zotero.org/users/1165382/items/4876QBPV"],"itemData":{"id":53,"type":"article-journal","title":"Health-Risk Behaviors in Young Adolescents in the Child Welfare System","container-title":"Journal of Adolescent Health","page":"26-34","volume":"47","issue":"1","source":"ScienceDirect","abstract":"Purpose\nTo examine rates and patterns of health-risk behavior (e.g., sexuality, depression/suicidality, substance use, delinquency) among a national probability sample of youth active to the child welfare/child protective services system. Recent federal legislation, P.L. 110-351, encourages child welfare systems, Medicaid, and pediatric experts to collaborate to ensure youth entering foster care receive comprehensive health examinations.\nMethods\nAnalysis of baseline caregiver, caseworker, and child interviews, and assessment data for a subsample (n = 993) of youth, aged 11–15 years, from the National Survey of Child and Adolescent Well-Being, a national probability sample of children and adolescents undergoing investigation for abuse or neglect.\nResults\nAlmost half of the sample (46.3%) endorsed at least one health-risk behavior. On Poisson multivariate regression modeling, factors related to higher rates of health-risk behaviors included older age, female gender, abuse history, deviant peers, limited caregiver monitoring, and poor school engagement.\nConclusion\nGiven the heightened vulnerability of this population, early screening for health-risk behaviors must be prioritized. Further research should explore specific subpopulations at risk for health-risk behaviors and possible interventions to change these youths' trajectories.","DOI":"10.1016/j.jadohealth.2009.12.032","ISSN":"1054-139X","note":"00062","journalAbbreviation":"Journal of Adolescent Health","author":[{"family":"Leslie","given":"Laurel K."},{"family":"James","given":"Sigrid"},{"family":"Monn","given":"Amy"},{"family":"Kauten","given":"Milena C."},{"family":"Zhang","given":"Jinjin"},{"family":"Aarons","given":"Gregory"}],"issued":{"date-parts":[["2010",7]]}}}],"schema":"https://github.com/citation-style-language/schema/raw/master/csl-citation.json"} </w:instrText>
      </w:r>
      <w:r w:rsidRPr="00A32EED">
        <w:rPr>
          <w:rFonts w:eastAsia="Calibri"/>
        </w:rPr>
        <w:fldChar w:fldCharType="separate"/>
      </w:r>
      <w:r w:rsidRPr="00A32EED">
        <w:rPr>
          <w:rFonts w:eastAsia="Calibri"/>
          <w:noProof/>
        </w:rPr>
        <w:t>(Leslie et al. 2010)</w:t>
      </w:r>
      <w:r w:rsidRPr="00A32EED">
        <w:rPr>
          <w:rFonts w:eastAsia="Calibri"/>
        </w:rPr>
        <w:fldChar w:fldCharType="end"/>
      </w:r>
      <w:r w:rsidRPr="00A32EED">
        <w:rPr>
          <w:rFonts w:eastAsia="Calibri"/>
        </w:rPr>
        <w:t xml:space="preserve">. However, a more recent study using multivariate analyses of the Longitudinal Studies of Child Abuse and Neglect (LONGSCAN), shows that childhood sexual abuse is not directly related to ever having had intercourse but rather has an indirect effect on having intercourse through externalizing behaviors in both 12-year-old boys and girls. </w:t>
      </w:r>
    </w:p>
    <w:p w14:paraId="258F5336" w14:textId="77777777" w:rsidR="004C4C39" w:rsidRPr="00A32EED" w:rsidRDefault="004C4C39" w:rsidP="004C4C39">
      <w:pPr>
        <w:spacing w:after="0" w:line="480" w:lineRule="auto"/>
        <w:rPr>
          <w:rFonts w:eastAsia="Calibri"/>
        </w:rPr>
      </w:pPr>
      <w:r w:rsidRPr="00A32EED">
        <w:rPr>
          <w:rFonts w:eastAsia="Calibri"/>
        </w:rPr>
        <w:tab/>
        <w:t xml:space="preserve">Regarding general sexual behaviors, a meta-analysis by Kendall-Tackett, Williams, and Finkelhor </w:t>
      </w:r>
      <w:r w:rsidRPr="00A32EED">
        <w:rPr>
          <w:rFonts w:eastAsia="Calibri"/>
        </w:rPr>
        <w:fldChar w:fldCharType="begin"/>
      </w:r>
      <w:r w:rsidRPr="00A32EED">
        <w:rPr>
          <w:rFonts w:eastAsia="Calibri"/>
        </w:rPr>
        <w:instrText xml:space="preserve"> ADDIN ZOTERO_ITEM CSL_CITATION {"citationID":"1vs51ivvbf","properties":{"formattedCitation":"(1993)","plainCitation":"(1993)"},"citationItems":[{"id":36,"uris":["http://zotero.org/users/1165382/items/3J8JHB24"],"uri":["http://zotero.org/users/1165382/items/3J8JHB24"],"itemData":{"id":36,"type":"article-journal","title":"Impact of sexual abuse on children: a review and synthesis of recent empirical studies.","container-title":"Psychological bulletin","page":"164","volume":"113","issue":"1","source":"Google Scholar","note":"02753","shortTitle":"Impact of sexual abuse on children","author":[{"family":"Kendall-Tackett","given":"Kathleen A."},{"family":"Williams","given":"Linda M."},{"family":"Finkelhor","given":"David"}],"issued":{"date-parts":[["1993"]]}},"suppress-author":true}],"schema":"https://github.com/citation-style-language/schema/raw/master/csl-citation.json"} </w:instrText>
      </w:r>
      <w:r w:rsidRPr="00A32EED">
        <w:rPr>
          <w:rFonts w:eastAsia="Calibri"/>
        </w:rPr>
        <w:fldChar w:fldCharType="separate"/>
      </w:r>
      <w:r w:rsidRPr="00A32EED">
        <w:rPr>
          <w:rFonts w:eastAsia="Calibri"/>
          <w:noProof/>
        </w:rPr>
        <w:t>(1993)</w:t>
      </w:r>
      <w:r w:rsidRPr="00A32EED">
        <w:rPr>
          <w:rFonts w:eastAsia="Calibri"/>
        </w:rPr>
        <w:fldChar w:fldCharType="end"/>
      </w:r>
      <w:r w:rsidRPr="00A32EED">
        <w:rPr>
          <w:rFonts w:eastAsia="Calibri"/>
        </w:rPr>
        <w:t xml:space="preserve"> found that childhood sexual abuse victims have higher rates of sexualized behavior when compared to children who were not the victims of childhood sexual abuse. Furthermore, the authors found that childhood sexual abuse accounted for as much as 45% of the variance in these studies. A more recent study found that childhood sexual abuse victims not only had a higher prevalence of sexual behaviors, but also exhibited a higher frequency of engaging in these behaviors </w:t>
      </w:r>
      <w:r w:rsidRPr="00A32EED">
        <w:rPr>
          <w:rFonts w:eastAsia="Calibri"/>
        </w:rPr>
        <w:fldChar w:fldCharType="begin"/>
      </w:r>
      <w:r w:rsidRPr="00A32EED">
        <w:rPr>
          <w:rFonts w:eastAsia="Calibri"/>
        </w:rPr>
        <w:instrText xml:space="preserve"> ADDIN ZOTERO_ITEM CSL_CITATION {"citationID":"1o2c34b6nn","properties":{"formattedCitation":"(Friedrich et al. 2001)","plainCitation":"(Friedrich et al. 2001)"},"citationItems":[{"id":158,"uris":["http://zotero.org/users/1165382/items/ACPG5656"],"uri":["http://zotero.org/users/1165382/items/ACPG5656"],"itemData":{"id":158,"type":"article-journal","title":"Child Sexual Behavior Inventory: Normative, Psychiatric, and Sexual Abuse Comparisons","container-title":"Child Maltreatment","page":"37-49","volume":"6","issue":"1","source":"0-cmx.sagepub.com.library.uark.edu","abstract":"A normative sample of 1,114 children was contrasted with a sample of 620 sexually abused children and 577 psychiatric outpatients on the Child Sexual Behavior Inventory (CSBI), a 38-item behavior checklist assessing sexual behavior in children 2 to 12 years old. The CSBI total score and each individual item differed significantly between the three groups after controlling for age, sex, maternal education, and family income. Sexually abused children exhibited a greater frequency of sexual behaviors than either the normative or psychiatric outpatient samples. Test-retest reliability and interitem correlation were satisfactory. Sexual behavior problems were related to other generic behavior problems. This contributed to the reduced discrimination between psychiatric outpatients and sexually abused children when compared to the normative/sexually abused discrimination.","DOI":"10.1177/1077559501006001004","ISSN":"1077-5595, 1552-6119","note":"00000 \nPMID: 11217169","shortTitle":"Child Sexual Behavior Inventory","journalAbbreviation":"Child Maltreat","language":"en","author":[{"family":"Friedrich","given":"William N."},{"family":"Fisher","given":"Jennifer L."},{"family":"Dittner","given":"Carrie Anne"},{"family":"Acton","given":"Robert"},{"family":"Berliner","given":"Lucy"},{"family":"Butler","given":"Judy"},{"family":"Damon","given":"Linda"},{"family":"Davies","given":"W. Hobart"},{"family":"Gray","given":"Alison"},{"family":"Wright","given":"John"}],"issued":{"date-parts":[["2001",2,1]]}}}],"schema":"https://github.com/citation-style-language/schema/raw/master/csl-citation.json"} </w:instrText>
      </w:r>
      <w:r w:rsidRPr="00A32EED">
        <w:rPr>
          <w:rFonts w:eastAsia="Calibri"/>
        </w:rPr>
        <w:fldChar w:fldCharType="separate"/>
      </w:r>
      <w:r w:rsidRPr="00A32EED">
        <w:rPr>
          <w:rFonts w:eastAsia="Calibri"/>
          <w:noProof/>
        </w:rPr>
        <w:t>(Friedrich et al. 2001)</w:t>
      </w:r>
      <w:r w:rsidRPr="00A32EED">
        <w:rPr>
          <w:rFonts w:eastAsia="Calibri"/>
        </w:rPr>
        <w:fldChar w:fldCharType="end"/>
      </w:r>
      <w:r w:rsidRPr="00A32EED">
        <w:rPr>
          <w:rFonts w:eastAsia="Calibri"/>
        </w:rPr>
        <w:t xml:space="preserve">. Previous research has also shown individuals who were the victims of childhood sexual abuse to be more likely to engage in various high-risk sexual behaviors (HRSB) such as lower birth control efficacy and earlier sexual </w:t>
      </w:r>
      <w:r w:rsidRPr="00A32EED">
        <w:rPr>
          <w:rFonts w:eastAsia="Calibri"/>
        </w:rPr>
        <w:lastRenderedPageBreak/>
        <w:t xml:space="preserve">initiation, when compared to those without a history of maltreatment </w:t>
      </w:r>
      <w:r w:rsidRPr="00A32EED">
        <w:rPr>
          <w:rFonts w:eastAsia="Calibri"/>
        </w:rPr>
        <w:fldChar w:fldCharType="begin"/>
      </w:r>
      <w:r w:rsidRPr="00A32EED">
        <w:rPr>
          <w:rFonts w:eastAsia="Calibri"/>
        </w:rPr>
        <w:instrText xml:space="preserve"> ADDIN ZOTERO_ITEM CSL_CITATION {"citationID":"hfc4hoi4t","properties":{"formattedCitation":"(Noll et al. 2003)","plainCitation":"(Noll et al. 2003)"},"citationItems":[{"id":195,"uris":["http://zotero.org/users/1165382/items/CR7KNPJE"],"uri":["http://zotero.org/users/1165382/items/CR7KNPJE"],"itemData":{"id":195,"type":"article-journal","title":"A prospective investigation of the impact of childhood sexual abuse on the development of sexuality.","container-title":"Journal of consulting and clinical psychology","page":"575","volume":"71","issue":"3","source":"Google Scholar","note":"00000","author":[{"family":"Noll","given":"Jennie G."},{"family":"Trickett","given":"Penelope K."},{"family":"Putnam","given":"Frank W."}],"issued":{"date-parts":[["2003"]]}}}],"schema":"https://github.com/citation-style-language/schema/raw/master/csl-citation.json"} </w:instrText>
      </w:r>
      <w:r w:rsidRPr="00A32EED">
        <w:rPr>
          <w:rFonts w:eastAsia="Calibri"/>
        </w:rPr>
        <w:fldChar w:fldCharType="separate"/>
      </w:r>
      <w:r w:rsidRPr="00A32EED">
        <w:rPr>
          <w:rFonts w:eastAsia="Calibri"/>
          <w:noProof/>
        </w:rPr>
        <w:t>(Noll et al. 2003)</w:t>
      </w:r>
      <w:r w:rsidRPr="00A32EED">
        <w:rPr>
          <w:rFonts w:eastAsia="Calibri"/>
        </w:rPr>
        <w:fldChar w:fldCharType="end"/>
      </w:r>
      <w:r w:rsidRPr="00A32EED">
        <w:rPr>
          <w:rFonts w:eastAsia="Calibri"/>
        </w:rPr>
        <w:t xml:space="preserve">. </w:t>
      </w:r>
    </w:p>
    <w:p w14:paraId="0677FDB6" w14:textId="77777777" w:rsidR="004C4C39" w:rsidRPr="00A32EED" w:rsidRDefault="004C4C39" w:rsidP="004C4C39">
      <w:pPr>
        <w:spacing w:after="0" w:line="480" w:lineRule="auto"/>
        <w:ind w:firstLine="720"/>
        <w:rPr>
          <w:rFonts w:eastAsia="Calibri"/>
        </w:rPr>
      </w:pPr>
      <w:r w:rsidRPr="00A32EED">
        <w:rPr>
          <w:rFonts w:eastAsia="Calibri"/>
        </w:rPr>
        <w:t xml:space="preserve">When examining the prevalence of risky sexual behaviors among those with various forms of child maltreatment, findings are mixed. A survey of 257 female undergrad students at a university in the Western United States revealed that women who experienced childhood sexual abuse scored higher on a measure of HRSB than both those who experienced maltreatment other than childhood sexual abuse or no maltreatment at all </w:t>
      </w:r>
      <w:r w:rsidRPr="00A32EED">
        <w:rPr>
          <w:rFonts w:eastAsia="Calibri"/>
        </w:rPr>
        <w:fldChar w:fldCharType="begin"/>
      </w:r>
      <w:r w:rsidRPr="00A32EED">
        <w:rPr>
          <w:rFonts w:eastAsia="Calibri"/>
        </w:rPr>
        <w:instrText xml:space="preserve"> ADDIN ZOTERO_ITEM CSL_CITATION {"citationID":"1cddjv2jtl","properties":{"formattedCitation":"(Batten, Follette, and Aban 2002)","plainCitation":"(Batten, Follette, and Aban 2002)"},"citationItems":[{"id":478,"uris":["http://zotero.org/users/1165382/items/UAU6N5HE"],"uri":["http://zotero.org/users/1165382/items/UAU6N5HE"],"itemData":{"id":478,"type":"article-journal","title":"Experiential Avoidance and High-Risk Sexual Behavior in Survivors of Child Sexual Abuse","container-title":"Journal of Child Sexual Abuse","page":"101-120","volume":"10","issue":"2","source":"Taylor and Francis+NEJM","abstract":"While many long-term correlates of child sexual abuse (CSA) have been identified, theories to explain the development of these correlates have received little empirical validation. The process of experiential avoidance is one theory that has been proposed to account for many of the correlates of CSA. The purpose of the current study was twofold: (1) To attempt to develop a more complex measure of experiential avoidance in women with and without a CSA history, and (2) to explore variables related to two of the long-term correlates of CSA, general psychological distress and high risk sexual behavior. Levels of current distress, high-risk sex, and experiential avoidance were examined in 257 undergraduate females (mean age 20.0) using self-report questionnaires. The results of the current study indicate that CSA survivors report higher levels of experiential avoidance and high-risk sexual behavior with persons other than their primary partners. Implications of these findings for theory development, therapy with CSA survivors, and HIV prevention programs are discussed.","DOI":"10.1300/J070v10n02_06","ISSN":"1053-8712","note":"00097","author":[{"family":"Batten","given":"Sonja V."},{"family":"Follette","given":"Victoria M."},{"family":"Aban","given":"Inmaculada B."}],"issued":{"date-parts":[["2002",4,17]]}}}],"schema":"https://github.com/citation-style-language/schema/raw/master/csl-citation.json"} </w:instrText>
      </w:r>
      <w:r w:rsidRPr="00A32EED">
        <w:rPr>
          <w:rFonts w:eastAsia="Calibri"/>
        </w:rPr>
        <w:fldChar w:fldCharType="separate"/>
      </w:r>
      <w:r w:rsidRPr="00A32EED">
        <w:rPr>
          <w:rFonts w:eastAsia="Calibri"/>
          <w:noProof/>
        </w:rPr>
        <w:t>(Batten, Follette, and Aban 2002)</w:t>
      </w:r>
      <w:r w:rsidRPr="00A32EED">
        <w:rPr>
          <w:rFonts w:eastAsia="Calibri"/>
        </w:rPr>
        <w:fldChar w:fldCharType="end"/>
      </w:r>
      <w:r w:rsidRPr="00A32EED">
        <w:rPr>
          <w:rFonts w:eastAsia="Calibri"/>
        </w:rPr>
        <w:t xml:space="preserve">. However, when examining follow-up data for a cohort of 214 youth who were in foster care between the ages of 7-12, victims of childhood sexual abuse were no more likely to participate in risky sexual behavior than their peers who were victims of a form of maltreatment other than childhood sexual abuse </w:t>
      </w:r>
      <w:r w:rsidRPr="00A32EED">
        <w:rPr>
          <w:rFonts w:eastAsia="Calibri"/>
        </w:rPr>
        <w:fldChar w:fldCharType="begin"/>
      </w:r>
      <w:r w:rsidRPr="00A32EED">
        <w:rPr>
          <w:rFonts w:eastAsia="Calibri"/>
        </w:rPr>
        <w:instrText xml:space="preserve"> ADDIN ZOTERO_ITEM CSL_CITATION {"citationID":"16jljtmvvj","properties":{"formattedCitation":"(Taussig 2002)","plainCitation":"(Taussig 2002)"},"citationItems":[{"id":1249,"uris":["http://zotero.org/users/1165382/items/CCTUT8HS"],"uri":["http://zotero.org/users/1165382/items/CCTUT8HS"],"itemData":{"id":1249,"type":"article-journal","title":"Risk behaviors in maltreated youth placed in foster care: A longitudinal study of protective and vulnerability factors","container-title":"Child Abuse &amp; Neglect","page":"1179–1199","volume":"26","issue":"11","source":"Google Scholar","shortTitle":"Risk behaviors in maltreated youth placed in foster care","author":[{"family":"Taussig","given":"Heather N."}],"issued":{"date-parts":[["2002"]]}}}],"schema":"https://github.com/citation-style-language/schema/raw/master/csl-citation.json"} </w:instrText>
      </w:r>
      <w:r w:rsidRPr="00A32EED">
        <w:rPr>
          <w:rFonts w:eastAsia="Calibri"/>
        </w:rPr>
        <w:fldChar w:fldCharType="separate"/>
      </w:r>
      <w:r w:rsidRPr="00A32EED">
        <w:rPr>
          <w:rFonts w:eastAsia="Calibri"/>
          <w:noProof/>
        </w:rPr>
        <w:t>(Taussig 2002)</w:t>
      </w:r>
      <w:r w:rsidRPr="00A32EED">
        <w:rPr>
          <w:rFonts w:eastAsia="Calibri"/>
        </w:rPr>
        <w:fldChar w:fldCharType="end"/>
      </w:r>
      <w:r w:rsidRPr="00A32EED">
        <w:rPr>
          <w:rFonts w:eastAsia="Calibri"/>
        </w:rPr>
        <w:t xml:space="preserve">. </w:t>
      </w:r>
    </w:p>
    <w:p w14:paraId="444CE058" w14:textId="77777777" w:rsidR="004C4C39" w:rsidRPr="00A32EED" w:rsidRDefault="004C4C39" w:rsidP="004C4C39">
      <w:pPr>
        <w:spacing w:after="0" w:line="480" w:lineRule="auto"/>
        <w:rPr>
          <w:rFonts w:eastAsia="Calibri"/>
        </w:rPr>
      </w:pPr>
      <w:r w:rsidRPr="00A32EED">
        <w:rPr>
          <w:rFonts w:eastAsia="Calibri"/>
        </w:rPr>
        <w:tab/>
        <w:t xml:space="preserve">Another proxy for risky sexual behaviors is a person’s age at sexual initiation. For these studies, sexual initiation (the age at which a person first engages in sexualized behaviors such as vaginal/penile intercourse, oral sex, genital touching, etc.) before the ages of 13-15 is considered a risky behavior. Early sexual initiation has been linked with an increase in the number of partners and a higher likelihood of sexual intercourse under the influence of alcohol </w:t>
      </w:r>
      <w:r w:rsidRPr="00A32EED">
        <w:rPr>
          <w:rFonts w:eastAsia="Calibri"/>
        </w:rPr>
        <w:fldChar w:fldCharType="begin"/>
      </w:r>
      <w:r w:rsidRPr="00A32EED">
        <w:rPr>
          <w:rFonts w:eastAsia="Calibri"/>
        </w:rPr>
        <w:instrText xml:space="preserve"> ADDIN ZOTERO_ITEM CSL_CITATION {"citationID":"1909fcme65","properties":{"formattedCitation":"(Sandfort et al. 2008)","plainCitation":"(Sandfort et al. 2008)"},"citationItems":[{"id":1328,"uris":["http://zotero.org/users/1165382/items/TCFAHWKD"],"uri":["http://zotero.org/users/1165382/items/TCFAHWKD"],"itemData":{"id":1328,"type":"article-journal","title":"Long-Term Health Correlates of Timing of Sexual Debut: Results From a National US Study","container-title":"American Journal of Public Health","page":"155-161","volume":"98","issue":"1","source":"ajph.aphapublications.org (Atypon)","abstract":"Objectives. We explored long-term health consequences of age at sexual initiation and of abstinence until marriage to evaluate empirical support for the claim that postponing sexual initiation has beneficial health effects.Methods. We analyzed data from the 1996 National Sexual Health Survey, a cross-sectional study of the US adult population. We compared sexual health outcomes among individuals who had initiated sexual activity at an early or late age versus a normative age. We also compared individuals whose first sexual intercourse had occurred before versus after marriage.Results. Early initiation of sexual intercourse was associated with various sexual risk factors, including increased numbers of sexual partners and recent sexual intercourse under the influence of alcohol, whereas late initiation was associated with fewer risk factors. However, both early and late initiation were associated with sexual problems such as problems with arousal and orgasm, primarily among men. Relationship solidity and sexual relationship satisfaction were not associated with early or late initiation.Conclusions. Early sexual debut is associated with certain long-term negative sexual health outcomes, including increased sexual risk behaviors and problems in sexual functioning. Late initiation was also associated with sexual problems, especially among men. Further research is needed to understand how sexual initiation patterns affect later health outcomes.","DOI":"10.2105/AJPH.2006.097444","ISSN":"0090-0036","note":"00202","shortTitle":"Long-Term Health Correlates of Timing of Sexual Debut","journalAbbreviation":"Am J Public Health","author":[{"family":"Sandfort","given":"Theo G.M."},{"family":"Orr","given":"Mark"},{"family":"Hirsch","given":"Jennifer S."},{"family":"Santelli","given":"John"}],"issued":{"date-parts":[["2008",1,1]]}}}],"schema":"https://github.com/citation-style-language/schema/raw/master/csl-citation.json"} </w:instrText>
      </w:r>
      <w:r w:rsidRPr="00A32EED">
        <w:rPr>
          <w:rFonts w:eastAsia="Calibri"/>
        </w:rPr>
        <w:fldChar w:fldCharType="separate"/>
      </w:r>
      <w:r w:rsidRPr="00A32EED">
        <w:rPr>
          <w:rFonts w:eastAsia="Calibri"/>
          <w:noProof/>
        </w:rPr>
        <w:t>(Sandfort et al. 2008)</w:t>
      </w:r>
      <w:r w:rsidRPr="00A32EED">
        <w:rPr>
          <w:rFonts w:eastAsia="Calibri"/>
        </w:rPr>
        <w:fldChar w:fldCharType="end"/>
      </w:r>
      <w:r w:rsidRPr="00A32EED">
        <w:rPr>
          <w:rFonts w:eastAsia="Calibri"/>
        </w:rPr>
        <w:t xml:space="preserve"> and a higher risk of contracting HIV </w:t>
      </w:r>
      <w:r w:rsidRPr="00A32EED">
        <w:rPr>
          <w:rFonts w:eastAsia="Calibri"/>
        </w:rPr>
        <w:fldChar w:fldCharType="begin"/>
      </w:r>
      <w:r w:rsidRPr="00A32EED">
        <w:rPr>
          <w:rFonts w:eastAsia="Calibri"/>
        </w:rPr>
        <w:instrText xml:space="preserve"> ADDIN ZOTERO_ITEM CSL_CITATION {"citationID":"1f8u9kkqc1","properties":{"formattedCitation":"(Koenig and Clark 2004)","plainCitation":"(Koenig and Clark 2004)"},"citationItems":[{"id":1259,"uris":["http://zotero.org/users/1165382/items/PAVS6R4Q"],"uri":["http://zotero.org/users/1165382/items/PAVS6R4Q"],"itemData":{"id":1259,"type":"article-journal","title":"Sexual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J."},{"family":"Clark","given":"Hollie"}],"issued":{"date-parts":[["2004"]]},"accessed":{"date-parts":[["2016",5,29]]}}}],"schema":"https://github.com/citation-style-language/schema/raw/master/csl-citation.json"} </w:instrText>
      </w:r>
      <w:r w:rsidRPr="00A32EED">
        <w:rPr>
          <w:rFonts w:eastAsia="Calibri"/>
        </w:rPr>
        <w:fldChar w:fldCharType="separate"/>
      </w:r>
      <w:r w:rsidRPr="00A32EED">
        <w:rPr>
          <w:rFonts w:eastAsia="Calibri"/>
          <w:noProof/>
        </w:rPr>
        <w:t>(Koenig and Clark 2004)</w:t>
      </w:r>
      <w:r w:rsidRPr="00A32EED">
        <w:rPr>
          <w:rFonts w:eastAsia="Calibri"/>
        </w:rPr>
        <w:fldChar w:fldCharType="end"/>
      </w:r>
      <w:r w:rsidRPr="00A32EED">
        <w:rPr>
          <w:rFonts w:eastAsia="Calibri"/>
        </w:rPr>
        <w:t xml:space="preserve">.  Wilson and Widom </w:t>
      </w:r>
      <w:r w:rsidRPr="00A32EED">
        <w:rPr>
          <w:rFonts w:eastAsia="Calibri"/>
        </w:rPr>
        <w:fldChar w:fldCharType="begin"/>
      </w:r>
      <w:r w:rsidRPr="00A32EED">
        <w:rPr>
          <w:rFonts w:eastAsia="Calibri"/>
        </w:rPr>
        <w:instrText xml:space="preserve"> ADDIN ZOTERO_ITEM CSL_CITATION {"citationID":"2bh9brruu0","properties":{"formattedCitation":"(2008)","plainCitation":"(2008)"},"citationItems":[{"id":306,"uris":["http://zotero.org/users/1165382/items/J9J68DG2"],"uri":["http://zotero.org/users/1165382/items/J9J68DG2"],"itemData":{"id":306,"type":"article-journal","title":"An examination of risky sexual behavior and HIV in victims of child abuse and neglect: A 30-year follow-up","container-title":"Health Psychology","page":"149-158","volume":"27","issue":"2","source":"APA PsycNET","abstract":"Objective: This article examined links between childhood maltreatment and risky sexual behavior (early sexual contact, promiscuity, prostitution) and HIV in adulthood. Design: Using a prospective cohort design, physically and sexually abused and neglected children (ages 0-11) with documented cases during 1967-1971 were matched with nonmaltreated children and followed into adulthood. Main Outcome Measures: Early sexual contact, promiscuity, and prostitution were assessed through in-person interviews and official records (prostitution) at approximate age 29 (N = 1196). HIV tests were conducted at approximate age 41 (N = 631). Results: Child maltreatment was associated with prostitution (OR = 2.47, 95% CI = 1.35-4.50) and early sexual contact (OR = 1.73, 95% CI = 1.24-2.40). Prevalence of HIV in the abuse/neglect group was twice that in controls (OR = 2.35, 95% CI = .64-8.62), although this difference did not reach conventional levels of statistical significance. SEM provided significant support for a model linking child abuse and neglect to prostitution through early sexual contact and a marginal link to HIV through prostitution. Conclusion: These findings provide prospective evidence that maltreated children are more likely to report sexual contact before age 15, engage in prostitution by young adulthood, and test positive for HIV in middle adulthood.","DOI":"10.1037/0278-6133.27.2.149","ISSN":"1930-7810(Electronic);0278-6133(Print)","shortTitle":"An examination of risky sexual behavior and HIV in victims of child abuse and neglect","author":[{"family":"Wilson","given":"Helen W."},{"family":"Widom","given":"Cathy Spatz"}],"issued":{"date-parts":[["2008"]]}},"suppress-author":true}],"schema":"https://github.com/citation-style-language/schema/raw/master/csl-citation.json"} </w:instrText>
      </w:r>
      <w:r w:rsidRPr="00A32EED">
        <w:rPr>
          <w:rFonts w:eastAsia="Calibri"/>
        </w:rPr>
        <w:fldChar w:fldCharType="separate"/>
      </w:r>
      <w:r w:rsidRPr="00A32EED">
        <w:rPr>
          <w:rFonts w:eastAsia="Calibri"/>
          <w:noProof/>
        </w:rPr>
        <w:t>(2008)</w:t>
      </w:r>
      <w:r w:rsidRPr="00A32EED">
        <w:rPr>
          <w:rFonts w:eastAsia="Calibri"/>
        </w:rPr>
        <w:fldChar w:fldCharType="end"/>
      </w:r>
      <w:r w:rsidRPr="00A32EED">
        <w:rPr>
          <w:rFonts w:eastAsia="Calibri"/>
        </w:rPr>
        <w:t xml:space="preserve"> found victims of childhood sexual abuse were 1.75 times more likely to have their sexual initiation before the age of 15 than children who experienced physical abuse or neglect. Furthermore, </w:t>
      </w:r>
      <w:r w:rsidRPr="00A32EED">
        <w:rPr>
          <w:rFonts w:eastAsia="Calibri"/>
        </w:rPr>
        <w:lastRenderedPageBreak/>
        <w:t xml:space="preserve">although childhood sexual abuse was a risk factor for both male and female victims, childhood sexual abuse was a greater risk factor for female victims. Multiple studies suggest that female victims of childhood sexual abuse are typically younger at their sexual initiation than female non-victims </w:t>
      </w:r>
      <w:r w:rsidRPr="00A32EED">
        <w:rPr>
          <w:rFonts w:eastAsia="Calibri"/>
        </w:rPr>
        <w:fldChar w:fldCharType="begin"/>
      </w:r>
      <w:r w:rsidRPr="00A32EED">
        <w:rPr>
          <w:rFonts w:eastAsia="Calibri"/>
        </w:rPr>
        <w:instrText xml:space="preserve"> ADDIN ZOTERO_ITEM CSL_CITATION {"citationID":"hbhlsdc2k","properties":{"formattedCitation":"(Koenig and Clark 2004; Ryan, Mendle, and Markowitz 2015)","plainCitation":"(Koenig and Clark 2004; Ryan, Mendle, and Markowitz 2015)"},"citationItems":[{"id":1259,"uris":["http://zotero.org/users/1165382/items/PAVS6R4Q"],"uri":["http://zotero.org/users/1165382/items/PAVS6R4Q"],"itemData":{"id":1259,"type":"article-journal","title":"Sexual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id":149,"uris":["http://zotero.org/users/1165382/items/9W3NVHUQ"],"uri":["http://zotero.org/users/1165382/items/9W3NVHUQ"],"itemData":{"id":149,"type":"article-journal","title":"Early Childhood Maltreatment and Girls' Sexual Behavior: The Mediating Role of Pubertal Timing","container-title":"Journal of Adolescent Health","page":"342-347","volume":"57","issue":"3","source":"ScienceDirect","abstract":"Purpose\nAlthough links between early childhood maltreatment and girls' sexual behavior in adolescence have been well established, it is unclear whether different forms of maltreatment are differentially associated with sexual outcomes and whether distinct mechanisms explain associations across maltreatment types.\nMethods\nUsing data from National Longitudinal Study of Adolescent Health (Add Health), the present study examines whether physical abuse, sexual abuse, and physical neglect in early childhood differentially predict girls' age at first intercourse and number of sexual partners in early adulthood. The study also tests whether early pubertal timing mediates the link between early maltreatment and sexual behavior (N = 6,364).\nResults\nFindings indicate that early sexual and physical abuse were equally predictive of earlier age at first intercourse and a greater number of sexual partners, but that only the sexual abuse—age at first intercourse link was mediated by early puberty.\nConclusions\nThese results suggest that sexual abuse and physical abuse are associated with earlier and riskier sexual behavior in girls relative to no maltreatment and to similar degrees. However, only the link between sexual abuse and sexual behavior involves a biological mechanism manifested in early pubertal timing.","DOI":"10.1016/j.jadohealth.2015.06.005","ISSN":"1054-139X","note":"00000","shortTitle":"Early Childhood Maltreatment and Girls' Sexual Behavior","journalAbbreviation":"Journal of Adolescent Health","author":[{"family":"Ryan","given":"Rebecca M."},{"family":"Mendle","given":"Jane"},{"family":"Markowitz","given":"Anna J."}],"issued":{"date-parts":[["2015",9]]}}}],"schema":"https://github.com/citation-style-language/schema/raw/master/csl-citation.json"} </w:instrText>
      </w:r>
      <w:r w:rsidRPr="00A32EED">
        <w:rPr>
          <w:rFonts w:eastAsia="Calibri"/>
        </w:rPr>
        <w:fldChar w:fldCharType="separate"/>
      </w:r>
      <w:r w:rsidRPr="00A32EED">
        <w:rPr>
          <w:rFonts w:eastAsia="Calibri"/>
          <w:noProof/>
        </w:rPr>
        <w:t>(Koenig and Clark 2004; Ryan, Mendle, and Markowitz 2015)</w:t>
      </w:r>
      <w:r w:rsidRPr="00A32EED">
        <w:rPr>
          <w:rFonts w:eastAsia="Calibri"/>
        </w:rPr>
        <w:fldChar w:fldCharType="end"/>
      </w:r>
      <w:r w:rsidRPr="00A32EED">
        <w:rPr>
          <w:rFonts w:eastAsia="Calibri"/>
        </w:rPr>
        <w:t xml:space="preserve">. In addition to childhood sexual abuse, female victims of physical abuse have also exhibited a higher risk for having an early sexual initiation </w:t>
      </w:r>
      <w:r w:rsidRPr="00A32EED">
        <w:rPr>
          <w:rFonts w:eastAsia="Calibri"/>
        </w:rPr>
        <w:fldChar w:fldCharType="begin"/>
      </w:r>
      <w:r w:rsidRPr="00A32EED">
        <w:rPr>
          <w:rFonts w:eastAsia="Calibri"/>
        </w:rPr>
        <w:instrText xml:space="preserve"> ADDIN ZOTERO_ITEM CSL_CITATION {"citationID":"1g8esvh4l0","properties":{"formattedCitation":"(Ryan et al. 2015)","plainCitation":"(Ryan et al. 2015)"},"citationItems":[{"id":149,"uris":["http://zotero.org/users/1165382/items/9W3NVHUQ"],"uri":["http://zotero.org/users/1165382/items/9W3NVHUQ"],"itemData":{"id":149,"type":"article-journal","title":"Early Childhood Maltreatment and Girls' Sexual Behavior: The Mediating Role of Pubertal Timing","container-title":"Journal of Adolescent Health","page":"342-347","volume":"57","issue":"3","source":"ScienceDirect","abstract":"Purpose\nAlthough links between early childhood maltreatment and girls' sexual behavior in adolescence have been well established, it is unclear whether different forms of maltreatment are differentially associated with sexual outcomes and whether distinct mechanisms explain associations across maltreatment types.\nMethods\nUsing data from National Longitudinal Study of Adolescent Health (Add Health), the present study examines whether physical abuse, sexual abuse, and physical neglect in early childhood differentially predict girls' age at first intercourse and number of sexual partners in early adulthood. The study also tests whether early pubertal timing mediates the link between early maltreatment and sexual behavior (N = 6,364).\nResults\nFindings indicate that early sexual and physical abuse were equally predictive of earlier age at first intercourse and a greater number of sexual partners, but that only the sexual abuse—age at first intercourse link was mediated by early puberty.\nConclusions\nThese results suggest that sexual abuse and physical abuse are associated with earlier and riskier sexual behavior in girls relative to no maltreatment and to similar degrees. However, only the link between sexual abuse and sexual behavior involves a biological mechanism manifested in early pubertal timing.","DOI":"10.1016/j.jadohealth.2015.06.005","ISSN":"1054-139X","note":"00000","shortTitle":"Early Childhood Maltreatment and Girls' Sexual Behavior","journalAbbreviation":"Journal of Adolescent Health","author":[{"family":"Ryan","given":"Rebecca M."},{"family":"Mendle","given":"Jane"},{"family":"Markowitz","given":"Anna J."}],"issued":{"date-parts":[["2015",9]]}}}],"schema":"https://github.com/citation-style-language/schema/raw/master/csl-citation.json"} </w:instrText>
      </w:r>
      <w:r w:rsidRPr="00A32EED">
        <w:rPr>
          <w:rFonts w:eastAsia="Calibri"/>
        </w:rPr>
        <w:fldChar w:fldCharType="separate"/>
      </w:r>
      <w:r w:rsidRPr="00A32EED">
        <w:rPr>
          <w:rFonts w:eastAsia="Calibri"/>
          <w:noProof/>
        </w:rPr>
        <w:t>(Ryan et al. 2015)</w:t>
      </w:r>
      <w:r w:rsidRPr="00A32EED">
        <w:rPr>
          <w:rFonts w:eastAsia="Calibri"/>
        </w:rPr>
        <w:fldChar w:fldCharType="end"/>
      </w:r>
      <w:r w:rsidRPr="00A32EED">
        <w:rPr>
          <w:rFonts w:eastAsia="Calibri"/>
        </w:rPr>
        <w:t xml:space="preserve">. </w:t>
      </w:r>
    </w:p>
    <w:p w14:paraId="544776C5" w14:textId="77777777" w:rsidR="004C4C39" w:rsidRPr="00A32EED" w:rsidRDefault="004C4C39" w:rsidP="004C4C39">
      <w:pPr>
        <w:spacing w:after="0" w:line="480" w:lineRule="auto"/>
        <w:ind w:firstLine="720"/>
        <w:rPr>
          <w:rFonts w:eastAsia="Calibri"/>
        </w:rPr>
      </w:pPr>
      <w:r w:rsidRPr="00A32EED">
        <w:rPr>
          <w:rFonts w:eastAsia="Calibri"/>
        </w:rPr>
        <w:t xml:space="preserve">Several studies have also explored the relationship between various forms of childhood maltreatment and the number of lifetime sexual partners. When limiting childhood maltreatment to only childhood sexual abuse, multiple studies have found no significant differences in the number of lifetime sexual partners for victims and non-victims of childhood sexual abuse. However, multivariate analyses of data from The National Longitudinal Study of Adolescent Health (Add Health) found female victims of childhood sexual abuse had a significantly more lifetime sexual partners than non-victims </w:t>
      </w:r>
      <w:r w:rsidRPr="00A32EED">
        <w:rPr>
          <w:rFonts w:eastAsia="Calibri"/>
        </w:rPr>
        <w:fldChar w:fldCharType="begin"/>
      </w:r>
      <w:r w:rsidRPr="00A32EED">
        <w:rPr>
          <w:rFonts w:eastAsia="Calibri"/>
        </w:rPr>
        <w:instrText xml:space="preserve"> ADDIN ZOTERO_ITEM CSL_CITATION {"citationID":"1fbd37reqc","properties":{"formattedCitation":"(Ryan et al. 2015)","plainCitation":"(Ryan et al. 2015)"},"citationItems":[{"id":149,"uris":["http://zotero.org/users/1165382/items/9W3NVHUQ"],"uri":["http://zotero.org/users/1165382/items/9W3NVHUQ"],"itemData":{"id":149,"type":"article-journal","title":"Early Childhood Maltreatment and Girls' Sexual Behavior: The Mediating Role of Pubertal Timing","container-title":"Journal of Adolescent Health","page":"342-347","volume":"57","issue":"3","source":"ScienceDirect","abstract":"Purpose\nAlthough links between early childhood maltreatment and girls' sexual behavior in adolescence have been well established, it is unclear whether different forms of maltreatment are differentially associated with sexual outcomes and whether distinct mechanisms explain associations across maltreatment types.\nMethods\nUsing data from National Longitudinal Study of Adolescent Health (Add Health), the present study examines whether physical abuse, sexual abuse, and physical neglect in early childhood differentially predict girls' age at first intercourse and number of sexual partners in early adulthood. The study also tests whether early pubertal timing mediates the link between early maltreatment and sexual behavior (N = 6,364).\nResults\nFindings indicate that early sexual and physical abuse were equally predictive of earlier age at first intercourse and a greater number of sexual partners, but that only the sexual abuse—age at first intercourse link was mediated by early puberty.\nConclusions\nThese results suggest that sexual abuse and physical abuse are associated with earlier and riskier sexual behavior in girls relative to no maltreatment and to similar degrees. However, only the link between sexual abuse and sexual behavior involves a biological mechanism manifested in early pubertal timing.","DOI":"10.1016/j.jadohealth.2015.06.005","ISSN":"1054-139X","note":"00000","shortTitle":"Early Childhood Maltreatment and Girls' Sexual Behavior","journalAbbreviation":"Journal of Adolescent Health","author":[{"family":"Ryan","given":"Rebecca M."},{"family":"Mendle","given":"Jane"},{"family":"Markowitz","given":"Anna J."}],"issued":{"date-parts":[["2015",9]]}}}],"schema":"https://github.com/citation-style-language/schema/raw/master/csl-citation.json"} </w:instrText>
      </w:r>
      <w:r w:rsidRPr="00A32EED">
        <w:rPr>
          <w:rFonts w:eastAsia="Calibri"/>
        </w:rPr>
        <w:fldChar w:fldCharType="separate"/>
      </w:r>
      <w:r w:rsidRPr="00A32EED">
        <w:rPr>
          <w:rFonts w:eastAsia="Calibri"/>
          <w:noProof/>
        </w:rPr>
        <w:t>(Ryan et al. 2015)</w:t>
      </w:r>
      <w:r w:rsidRPr="00A32EED">
        <w:rPr>
          <w:rFonts w:eastAsia="Calibri"/>
        </w:rPr>
        <w:fldChar w:fldCharType="end"/>
      </w:r>
      <w:r w:rsidRPr="00A32EED">
        <w:rPr>
          <w:rFonts w:eastAsia="Calibri"/>
        </w:rPr>
        <w:t xml:space="preserve">. Similarly, analyses of 298 men between the ages of 18-49 found victims of childhood sexual abuse to have a significantly higher number of lifetime sexual partners than non-victims </w:t>
      </w:r>
      <w:r w:rsidRPr="00A32EED">
        <w:rPr>
          <w:rFonts w:eastAsia="Calibri"/>
        </w:rPr>
        <w:fldChar w:fldCharType="begin"/>
      </w:r>
      <w:r w:rsidRPr="00A32EED">
        <w:rPr>
          <w:rFonts w:eastAsia="Calibri"/>
        </w:rPr>
        <w:instrText xml:space="preserve"> ADDIN ZOTERO_ITEM CSL_CITATION {"citationID":"2fof0i1s4t","properties":{"formattedCitation":"(Holmes, Foa, and Sammel 2005)","plainCitation":"(Holmes, Foa, and Sammel 2005)"},"citationItems":[{"id":341,"uris":["http://zotero.org/users/1165382/items/M25DZTF9"],"uri":["http://zotero.org/users/1165382/items/M25DZTF9"],"itemData":{"id":341,"type":"article-journal","title":"Men's pathways to risky sexual behavior: role of co-occurring childhood sexual abuse, posttraumatic stress disorder, and depression histories","container-title":"Journal of Urban Health: Bulletin of the New York Academy of Medicine","page":"i89-i99","volume":"82","issue":"Suppl. 1","source":"EBSCOhost","abstract":"Recent reports of sexually transmitted infection-rate increases among men indicate the need for renewed study of male sexual risk behavior to aid development of updated and novel risk reduction interventions. Men who have childhood sexual abuse (CSA) histories consistently report frequent sexual risk behavior. The objective of this sturdy is to explore whether posttraumatic stress disorder (PTSD) and depression are moderators and/or mediators of the association between CSA and sexual risk in adult men. A cross-sectional survey study employing random digit dial recruitment was administered to men aged 18-49 years from Philadelphia County. Two hundred ninety eight men were recruited and screened for CSA history, administered items from the Posttraumatic Stress Diagnostic Scale (PDS) and Center for Epidemiologic Studies-Depression (CES-D), and asked to estimate their number of lifetime sexual partners (LSPs). Effects of sociodemographic characteristics, CSA, PTSD, and depression on the number of LSPs were modeled using Poisson regression. Results show that 197 (66%) men participated; 43 (22%) had CSA histories. CSA was significantly associated with PTSD/depression (P=.03). Four sociodemographic variables (age, race, sexual identity, and education), CSA (incidence rate ratio, IRR=1.47, P&lt;.001), PTSD (IRR=1.19, P=.04), depression (IRR=1.29, P=.001), all 2-way interactions, and the 3-way CSA/PTSD/depression interaction (IRR=11.00, P&lt;.001) were associated with the number of LSPs (R2=0.27). In conclusion, sexual partnership patterns unique to men with CSA histories and comorbid PTSD/depression appear to lead to substantially higher numbers of LSPs. Estimates of this relationship may have been biased toward the null by underreporting that can occur with phone surveys. Cross-sectional studies do not support causal inferences; however, the identification of a moderating and mediating influence of PTSD/depression on the relationship between CSA and sexual risk behavior is important and suggests the need for future studies with larger samples that examine trajectories for CSA, psychiatric illness, and sexual partnerships.","ISSN":"1099-3460","note":"00058","shortTitle":"Men's pathways to risky sexual behavior","journalAbbreviation":"Journal of Urban Health: Bulletin of the New York Academy of Medicine","author":[{"family":"Holmes","given":"W. C."},{"family":"Foa","given":"E. B."},{"family":"Sammel","given":"M. D."}],"issued":{"date-parts":[["2005"]]}}}],"schema":"https://github.com/citation-style-language/schema/raw/master/csl-citation.json"} </w:instrText>
      </w:r>
      <w:r w:rsidRPr="00A32EED">
        <w:rPr>
          <w:rFonts w:eastAsia="Calibri"/>
        </w:rPr>
        <w:fldChar w:fldCharType="separate"/>
      </w:r>
      <w:r w:rsidRPr="00A32EED">
        <w:rPr>
          <w:rFonts w:eastAsia="Calibri"/>
          <w:noProof/>
        </w:rPr>
        <w:t>(Holmes, Foa, and Sammel 2005)</w:t>
      </w:r>
      <w:r w:rsidRPr="00A32EED">
        <w:rPr>
          <w:rFonts w:eastAsia="Calibri"/>
        </w:rPr>
        <w:fldChar w:fldCharType="end"/>
      </w:r>
      <w:r w:rsidRPr="00A32EED">
        <w:rPr>
          <w:rFonts w:eastAsia="Calibri"/>
        </w:rPr>
        <w:t xml:space="preserve">. Although much of the research has focused on the relationship between childhood sexual abuse and lifetime sexual partners, there is also some support for childhood victims of physical abuse also having more lifetime sexual partners than non-victims </w:t>
      </w:r>
      <w:r w:rsidRPr="00A32EED">
        <w:rPr>
          <w:rFonts w:eastAsia="Calibri"/>
        </w:rPr>
        <w:fldChar w:fldCharType="begin"/>
      </w:r>
      <w:r w:rsidRPr="00A32EED">
        <w:rPr>
          <w:rFonts w:eastAsia="Calibri"/>
        </w:rPr>
        <w:instrText xml:space="preserve"> ADDIN ZOTERO_ITEM CSL_CITATION {"citationID":"14ne525c2r","properties":{"formattedCitation":"(Ryan et al. 2015)","plainCitation":"(Ryan et al. 2015)"},"citationItems":[{"id":149,"uris":["http://zotero.org/users/1165382/items/9W3NVHUQ"],"uri":["http://zotero.org/users/1165382/items/9W3NVHUQ"],"itemData":{"id":149,"type":"article-journal","title":"Early Childhood Maltreatment and Girls' Sexual Behavior: The Mediating Role of Pubertal Timing","container-title":"Journal of Adolescent Health","page":"342-347","volume":"57","issue":"3","source":"ScienceDirect","abstract":"Purpose\nAlthough links between early childhood maltreatment and girls' sexual behavior in adolescence have been well established, it is unclear whether different forms of maltreatment are differentially associated with sexual outcomes and whether distinct mechanisms explain associations across maltreatment types.\nMethods\nUsing data from National Longitudinal Study of Adolescent Health (Add Health), the present study examines whether physical abuse, sexual abuse, and physical neglect in early childhood differentially predict girls' age at first intercourse and number of sexual partners in early adulthood. The study also tests whether early pubertal timing mediates the link between early maltreatment and sexual behavior (N = 6,364).\nResults\nFindings indicate that early sexual and physical abuse were equally predictive of earlier age at first intercourse and a greater number of sexual partners, but that only the sexual abuse—age at first intercourse link was mediated by early puberty.\nConclusions\nThese results suggest that sexual abuse and physical abuse are associated with earlier and riskier sexual behavior in girls relative to no maltreatment and to similar degrees. However, only the link between sexual abuse and sexual behavior involves a biological mechanism manifested in early pubertal timing.","DOI":"10.1016/j.jadohealth.2015.06.005","ISSN":"1054-139X","note":"00000","shortTitle":"Early Childhood Maltreatment and Girls' Sexual Behavior","journalAbbreviation":"Journal of Adolescent Health","author":[{"family":"Ryan","given":"Rebecca M."},{"family":"Mendle","given":"Jane"},{"family":"Markowitz","given":"Anna J."}],"issued":{"date-parts":[["2015",9]]}}}],"schema":"https://github.com/citation-style-language/schema/raw/master/csl-citation.json"} </w:instrText>
      </w:r>
      <w:r w:rsidRPr="00A32EED">
        <w:rPr>
          <w:rFonts w:eastAsia="Calibri"/>
        </w:rPr>
        <w:fldChar w:fldCharType="separate"/>
      </w:r>
      <w:r w:rsidRPr="00A32EED">
        <w:rPr>
          <w:rFonts w:eastAsia="Calibri"/>
          <w:noProof/>
        </w:rPr>
        <w:t>(Ryan et al. 2015)</w:t>
      </w:r>
      <w:r w:rsidRPr="00A32EED">
        <w:rPr>
          <w:rFonts w:eastAsia="Calibri"/>
        </w:rPr>
        <w:fldChar w:fldCharType="end"/>
      </w:r>
      <w:r w:rsidRPr="00A32EED">
        <w:rPr>
          <w:rFonts w:eastAsia="Calibri"/>
        </w:rPr>
        <w:t>.</w:t>
      </w:r>
    </w:p>
    <w:p w14:paraId="54A4457F" w14:textId="77777777" w:rsidR="004C4C39" w:rsidRPr="00A32EED" w:rsidRDefault="004C4C39" w:rsidP="004C4C39">
      <w:pPr>
        <w:spacing w:after="0" w:line="480" w:lineRule="auto"/>
        <w:ind w:firstLine="720"/>
        <w:rPr>
          <w:rFonts w:eastAsia="Calibri"/>
        </w:rPr>
      </w:pPr>
      <w:r w:rsidRPr="00A32EED">
        <w:rPr>
          <w:rFonts w:eastAsia="Calibri"/>
        </w:rPr>
        <w:lastRenderedPageBreak/>
        <w:t xml:space="preserve">Promiscuity is another behavior used as an example of risky sexual behavior. Definitions of promiscuity may vary, but definitions typically involve behaviors such as frequent involvement in sexual activity and/or engagement in commercial sex. A meta-analysis of 37 studies on the relationship between childhood sexual abuse and promiscuity found childhood sexual abuse to have an unweighted effect size of .59 </w:t>
      </w:r>
      <w:r w:rsidRPr="00A32EED">
        <w:rPr>
          <w:rFonts w:eastAsia="Calibri"/>
        </w:rPr>
        <w:fldChar w:fldCharType="begin"/>
      </w:r>
      <w:r w:rsidRPr="00A32EED">
        <w:rPr>
          <w:rFonts w:eastAsia="Calibri"/>
        </w:rPr>
        <w:instrText xml:space="preserve"> ADDIN ZOTERO_ITEM CSL_CITATION {"citationID":"aouJucA8","properties":{"formattedCitation":"(Paolucci, Genuis, and Violato 2001b)","plainCitation":"(Paolucci, Genuis, and Violato 2001b)"},"citationItems":[{"id":38,"uris":["http://zotero.org/users/1165382/items/3KCWH9SX"],"uri":["http://zotero.org/users/1165382/items/3KCWH9SX"],"itemData":{"id":38,"type":"article-journal","title":"A Meta-Analysis of the Published Research on the Effects of Child Sexual Abuse","container-title":"The Journal of Psychology","page":"17-36","volume":"135","issue":"1","source":"Taylor and Francis+NEJM","abstract":"A meta-analysis of the published research on the effects of child sexual abuse (CSA) was undertaken for 6 outcomes: posttraumatic stress disorder (PTSD), depression, suicide, sexual promiscuity, victim-perpetrator cycle, and poor academic performance. Thirty-seven studies published between 1981 and 1995 involving 25,367 people were included. Many of the studies were published in 1994 (24; 65%), and most were done in the United States (22; 59%). All six dependent variables were coded, and effect sizes (d) were computed for each outcome. Average unweighted and weighted ds for each of the respective outcome variables were .50 and .40 for PTSD, .63 and .44 for depression, .64 and .44 for suicide, .59 and .29 for sexual promiscuity, .41 and .16 for victim-perpetrator cycle, and .24 and .19 for academic performance. A file drawer analysis indicated that 277 studies with null ds would be required to negate the present findings. The analyses provide clear evidence confirming the link between CSA and subsequent negative short- and long-term effects on development. There were no statistically significant differences on ds when various potentially mediating variables such as gender, socioeconomic status, type of abuse, age when abused, relationship to perpetrator, and number of abuse incidents were assessed. The results of the present meta-analysis support the multifaceted model of traumatization rather than a specific sexual abuse syndrome of CSA.","DOI":"10.1080/00223980109603677","ISSN":"0022-3980","note":"00838 \nPMID: 11235837","author":[{"family":"Paolucci","given":"Elizabeth Oddone"},{"family":"Genuis","given":"Mark L."},{"family":"Violato","given":"Claudio"}],"issued":{"date-parts":[["2001",1,1]]}}}],"schema":"https://github.com/citation-style-language/schema/raw/master/csl-citation.json"} </w:instrText>
      </w:r>
      <w:r w:rsidRPr="00A32EED">
        <w:rPr>
          <w:rFonts w:eastAsia="Calibri"/>
        </w:rPr>
        <w:fldChar w:fldCharType="separate"/>
      </w:r>
      <w:r w:rsidRPr="00A32EED">
        <w:rPr>
          <w:rFonts w:eastAsia="Calibri"/>
          <w:noProof/>
        </w:rPr>
        <w:t>(Paolucci, Genuis, and Violato 2001b)</w:t>
      </w:r>
      <w:r w:rsidRPr="00A32EED">
        <w:rPr>
          <w:rFonts w:eastAsia="Calibri"/>
        </w:rPr>
        <w:fldChar w:fldCharType="end"/>
      </w:r>
      <w:r w:rsidRPr="00A32EED">
        <w:rPr>
          <w:rFonts w:eastAsia="Calibri"/>
        </w:rPr>
        <w:t xml:space="preserve">. Findings from more than one-third of the 37 studies exhibited a significant relationship between childhood sexual abuse and promiscuity. Across all the studies, childhood sexual abuse resulted in a 14% increase in sexual promiscuity. Although the meta-analysis did not show any significant differences between male and female victims of childhood sexual abuse, a more recent study did find female victims of childhood sexual abuse to be more likely to engage in promiscuity </w:t>
      </w:r>
      <w:r w:rsidRPr="00A32EED">
        <w:rPr>
          <w:rFonts w:eastAsia="Calibri"/>
        </w:rPr>
        <w:fldChar w:fldCharType="begin"/>
      </w:r>
      <w:r w:rsidRPr="00A32EED">
        <w:rPr>
          <w:rFonts w:eastAsia="Calibri"/>
        </w:rPr>
        <w:instrText xml:space="preserve"> ADDIN ZOTERO_ITEM CSL_CITATION {"citationID":"3ng8e685f","properties":{"formattedCitation":"(Koenig and Clark 2004)","plainCitation":"(Koenig and Clark 2004)"},"citationItems":[{"id":1259,"uris":["http://zotero.org/users/1165382/items/PAVS6R4Q"],"uri":["http://zotero.org/users/1165382/items/PAVS6R4Q"],"itemData":{"id":1259,"type":"article-journal","title":"Sexual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J."},{"family":"Clark","given":"Hollie"}],"issued":{"date-parts":[["2004"]]},"accessed":{"date-parts":[["2016",5,29]]}}}],"schema":"https://github.com/citation-style-language/schema/raw/master/csl-citation.json"} </w:instrText>
      </w:r>
      <w:r w:rsidRPr="00A32EED">
        <w:rPr>
          <w:rFonts w:eastAsia="Calibri"/>
        </w:rPr>
        <w:fldChar w:fldCharType="separate"/>
      </w:r>
      <w:r w:rsidRPr="00A32EED">
        <w:rPr>
          <w:rFonts w:eastAsia="Calibri"/>
          <w:noProof/>
        </w:rPr>
        <w:t>(Koenig and Clark 2004)</w:t>
      </w:r>
      <w:r w:rsidRPr="00A32EED">
        <w:rPr>
          <w:rFonts w:eastAsia="Calibri"/>
        </w:rPr>
        <w:fldChar w:fldCharType="end"/>
      </w:r>
      <w:r w:rsidRPr="00A32EED">
        <w:rPr>
          <w:rFonts w:eastAsia="Calibri"/>
        </w:rPr>
        <w:t xml:space="preserve">. </w:t>
      </w:r>
    </w:p>
    <w:p w14:paraId="3D0B027D" w14:textId="213513C0" w:rsidR="004C4C39" w:rsidRPr="00A32EED" w:rsidRDefault="004C4C39" w:rsidP="004C4C39">
      <w:pPr>
        <w:spacing w:after="0" w:line="480" w:lineRule="auto"/>
        <w:ind w:firstLine="720"/>
        <w:rPr>
          <w:rFonts w:eastAsia="Calibri"/>
        </w:rPr>
      </w:pPr>
      <w:r w:rsidRPr="00A32EED">
        <w:rPr>
          <w:rFonts w:eastAsia="Calibri"/>
        </w:rPr>
        <w:t xml:space="preserve">Some studies have found a negative relationship between neglect and condom use </w:t>
      </w:r>
      <w:r w:rsidRPr="00A32EED">
        <w:rPr>
          <w:rFonts w:eastAsia="Calibri"/>
        </w:rPr>
        <w:fldChar w:fldCharType="begin"/>
      </w:r>
      <w:r w:rsidRPr="00A32EED">
        <w:rPr>
          <w:rFonts w:eastAsia="Calibri"/>
        </w:rPr>
        <w:instrText xml:space="preserve"> ADDIN ZOTERO_ITEM CSL_CITATION {"citationID":"2lp241oa9a","properties":{"formattedCitation":"(Klein, Elifson, and Sterk 2007)","plainCitation":"(Klein, Elifson, and Sterk 2007)"},"citationItems":[{"id":1331,"uris":["http://zotero.org/users/1165382/items/EZ6W5QDD"],"uri":["http://zotero.org/users/1165382/items/EZ6W5QDD"],"itemData":{"id":1331,"type":"article-journal","title":"Childhood neglect and adulthood involvement in HIV-related risk behaviors","container-title":"Child Abuse &amp; Neglect","page":"39-53","volume":"31","issue":"1","source":"ScienceDirect","abstract":"Objective\nMuch research has been done to examine the long-term effects of being victimized by sexual, physical, and/or emotional abuse in childhood, but much less research has focused on the impact of childhood neglect experiences. This study examines the role that childhood neglect has on adult women's involvement in HIV-related risky behaviors.\nMethods\nThe data come from a study of 250 “at risk” women living in the Atlanta, GA metropolitan area, most of whom were African American. Data were collected in face-to-face interviews between 1997 and 2000. Multiple regression was used to explore the relationship between childhood neglect experiences, self-esteem, attitudes toward condom use, and involvement in HIV-related risky behaviors.\nResults\nOverall, the model tested received strong support by the study data. Childhood neglect led to reduced self-esteem. Neglect was associated with worsened attitudes toward condom use and women who experienced childhood neglect also reported more involvement in HIV risk behaviors.\nConclusions\nHIV intervention programs ought to target women who have experienced childhood neglect, as neglect experiences have adverse impacts upon their self-esteem, condom-related attitudes, and HIV risk behavior practices in adulthood.","DOI":"10.1016/j.chiabu.2006.08.005","ISSN":"0145-2134","note":"00045","journalAbbreviation":"Child Abuse &amp; Neglect","author":[{"family":"Klein","given":"Hugh"},{"family":"Elifson","given":"Kirk W."},{"family":"Sterk","given":"Claire E."}],"issued":{"date-parts":[["2007",1]]}}}],"schema":"https://github.com/citation-style-language/schema/raw/master/csl-citation.json"} </w:instrText>
      </w:r>
      <w:r w:rsidRPr="00A32EED">
        <w:rPr>
          <w:rFonts w:eastAsia="Calibri"/>
        </w:rPr>
        <w:fldChar w:fldCharType="separate"/>
      </w:r>
      <w:r w:rsidRPr="00A32EED">
        <w:rPr>
          <w:rFonts w:eastAsia="Calibri"/>
          <w:noProof/>
        </w:rPr>
        <w:t>(Klein, Elifson, and Sterk 2007)</w:t>
      </w:r>
      <w:r w:rsidRPr="00A32EED">
        <w:rPr>
          <w:rFonts w:eastAsia="Calibri"/>
        </w:rPr>
        <w:fldChar w:fldCharType="end"/>
      </w:r>
      <w:r w:rsidR="00F41999">
        <w:rPr>
          <w:rFonts w:eastAsia="Calibri"/>
        </w:rPr>
        <w:t>, and physical abuse</w:t>
      </w:r>
      <w:r w:rsidRPr="00A32EED">
        <w:rPr>
          <w:rFonts w:eastAsia="Calibri"/>
        </w:rPr>
        <w:t xml:space="preserve"> and condom use </w:t>
      </w:r>
      <w:r w:rsidRPr="00A32EED">
        <w:rPr>
          <w:rFonts w:eastAsia="Calibri"/>
        </w:rPr>
        <w:fldChar w:fldCharType="begin"/>
      </w:r>
      <w:r w:rsidRPr="00A32EED">
        <w:rPr>
          <w:rFonts w:eastAsia="Calibri"/>
        </w:rPr>
        <w:instrText xml:space="preserve"> ADDIN ZOTERO_ITEM CSL_CITATION {"citationID":"1vbfmbvqca","properties":{"formattedCitation":"(Mason, Zimmerman, and Evans 1998)","plainCitation":"(Mason, Zimmerman, and Evans 1998)"},"citationItems":[{"id":1334,"uris":["http://zotero.org/users/1165382/items/QDPJ9ZBN"],"uri":["http://zotero.org/users/1165382/items/QDPJ9ZBN"],"itemData":{"id":1334,"type":"article-journal","title":"Sexual and physical abuse among incarcerated youth: implications for sexual behavior, contraceptive use, and teenage pregnancy1","container-title":"Child Abuse &amp; Neglect","page":"987-995","volume":"22","issue":"10","source":"ScienceDirect","abstract":"Objective: In the present study, physical and sexual abuse among incarcerated youth were examined with respect to sexual activity, contraceptive use, and pregnancy.\n\nMethod: The self-report survey data were collected from 62 females and 334 males who were incarcerated in Nevada youth correctional facilities in the summer of 1994. Of the males, 46.8% (n = 156) reported a history of physical abuse and 9.9% (n = 33) reported sexual abuse. A surprisingly high 73% (n = 46) of the females reported a history of physical abuse and 68.3% (n = 43) reported sexual abuse.\n\nResults: The analyses indicated that females who reported a history of sexual abuse had an earlier mean age of first intercourse than those who reported no sexual abuse. In addition, male and female respondents with a history of physical and/or sexual abuse reported using no method of contraception as compared to youth with no history of abuse.\n\nConclusions: Implications of these results for detention-based counseling and prevention programming are discussed.","DOI":"10.1016/S0145-2134(98)00080-5","ISSN":"0145-2134","note":"00000","shortTitle":"Sexual and physical abuse among incarcerated youth","journalAbbreviation":"Child Abuse &amp; Neglect","author":[{"family":"Mason","given":"W. Alex"},{"family":"Zimmerman","given":"Laura"},{"family":"Evans","given":"William"}],"issued":{"date-parts":[["1998",10]]}}}],"schema":"https://github.com/citation-style-language/schema/raw/master/csl-citation.json"} </w:instrText>
      </w:r>
      <w:r w:rsidRPr="00A32EED">
        <w:rPr>
          <w:rFonts w:eastAsia="Calibri"/>
        </w:rPr>
        <w:fldChar w:fldCharType="separate"/>
      </w:r>
      <w:r w:rsidRPr="00A32EED">
        <w:rPr>
          <w:rFonts w:eastAsia="Calibri"/>
          <w:noProof/>
        </w:rPr>
        <w:t>(Mason, Zimmerman, and Evans 1998)</w:t>
      </w:r>
      <w:r w:rsidRPr="00A32EED">
        <w:rPr>
          <w:rFonts w:eastAsia="Calibri"/>
        </w:rPr>
        <w:fldChar w:fldCharType="end"/>
      </w:r>
      <w:r w:rsidRPr="00A32EED">
        <w:rPr>
          <w:rFonts w:eastAsia="Calibri"/>
        </w:rPr>
        <w:t xml:space="preserve">. However, when looking exclusively at childhood sexual abuse, most research finds no difference in the consistent use of a condom or other contraceptive and protective methods between victims and non-victims </w:t>
      </w:r>
      <w:r w:rsidRPr="00A32EED">
        <w:rPr>
          <w:rFonts w:eastAsia="Calibri"/>
        </w:rPr>
        <w:fldChar w:fldCharType="begin"/>
      </w:r>
      <w:r w:rsidRPr="00A32EED">
        <w:rPr>
          <w:rFonts w:eastAsia="Calibri"/>
        </w:rPr>
        <w:instrText xml:space="preserve"> ADDIN ZOTERO_ITEM CSL_CITATION {"citationID":"4mvd18c6f","properties":{"formattedCitation":"(Miner, Flitter, and Robinson 2006; Wingood and DiClemente 1997; Wyatt, Guthrie, and Notgrass 1992)","plainCitation":"(Miner, Flitter, and Robinson 2006; Wingood and DiClemente 1997; Wyatt, Guthrie, and Notgrass 1992)"},"citationItems":[{"id":1261,"uris":["http://zotero.org/users/1165382/items/5CCB8Z3J"],"uri":["http://zotero.org/users/1165382/items/5CCB8Z3J"],"itemData":{"id":1261,"type":"article-journal","title":"Association of sexual revictimization with sexuality and psychological function","container-title":"Journal of Interpersonal Violence","page":"503–524","volume":"21","issue":"4","source":"Google Scholar","note":"00063","author":[{"family":"Miner","given":"Michael H."},{"family":"Flitter","given":"Jill M. Klotz"},{"family":"Robinson","given":"Beatrice Bean E."}],"issued":{"date-parts":[["2006"]]}}},{"id":1264,"uris":["http://zotero.org/users/1165382/items/AVCEDVPU"],"uri":["http://zotero.org/users/1165382/items/AVCEDVPU"],"itemData":{"id":1264,"type":"article-journal","title":"Child sexual abuse, HIV sexual risk, and gender relations of African-American women.","container-title":"American journal of preventive medicine","source":"Google Scholar","URL":"http://psycnet.apa.org/psycinfo/1997-43063-002","note":"00181","author":[{"family":"Wingood","given":"Gina M."},{"family":"DiClemente","given":"Ralph J."}],"issued":{"date-parts":[["1997"]]},"accessed":{"date-parts":[["2016",5,29]]}}},{"id":1266,"uris":["http://zotero.org/users/1165382/items/AIW92Z5B"],"uri":["http://zotero.org/users/1165382/items/AIW92Z5B"],"itemData":{"id":1266,"type":"article-journal","title":"Differential effects of women's child sexual abuse and subsequent sexual revictimization.","container-title":"Journal of consulting and clinical psychology","page":"167","volume":"60","issue":"2","source":"Google Scholar","note":"00522","author":[{"family":"Wyatt","given":"Gail E."},{"family":"Guthrie","given":"Donald"},{"family":"Notgrass","given":"Cindy M."}],"issued":{"date-parts":[["1992"]]}}}],"schema":"https://github.com/citation-style-language/schema/raw/master/csl-citation.json"} </w:instrText>
      </w:r>
      <w:r w:rsidRPr="00A32EED">
        <w:rPr>
          <w:rFonts w:eastAsia="Calibri"/>
        </w:rPr>
        <w:fldChar w:fldCharType="separate"/>
      </w:r>
      <w:r w:rsidRPr="00A32EED">
        <w:rPr>
          <w:rFonts w:eastAsia="Calibri"/>
          <w:noProof/>
        </w:rPr>
        <w:t>(Miner, Flitter, and Robinson 2006; Wingood and DiClemente 1997; Wyatt, Guthrie, and Notgrass 1992)</w:t>
      </w:r>
      <w:r w:rsidRPr="00A32EED">
        <w:rPr>
          <w:rFonts w:eastAsia="Calibri"/>
        </w:rPr>
        <w:fldChar w:fldCharType="end"/>
      </w:r>
      <w:r w:rsidRPr="00A32EED">
        <w:rPr>
          <w:rFonts w:eastAsia="Calibri"/>
        </w:rPr>
        <w:t xml:space="preserve">. However, as with promiscuity, Koenig and Clark </w:t>
      </w:r>
      <w:r w:rsidRPr="00A32EED">
        <w:rPr>
          <w:rFonts w:eastAsia="Calibri"/>
        </w:rPr>
        <w:fldChar w:fldCharType="begin"/>
      </w:r>
      <w:r w:rsidRPr="00A32EED">
        <w:rPr>
          <w:rFonts w:eastAsia="Calibri"/>
        </w:rPr>
        <w:instrText xml:space="preserve"> ADDIN ZOTERO_ITEM CSL_CITATION {"citationID":"yrCTrfna","properties":{"formattedCitation":"(2004)","plainCitation":"(2004)"},"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J."},{"family":"Clark","given":"Hollie"}],"issued":{"date-parts":[["2004"]]},"accessed":{"date-parts":[["2016",5,29]]}},"suppress-author":true}],"schema":"https://github.com/citation-style-language/schema/raw/master/csl-citation.json"} </w:instrText>
      </w:r>
      <w:r w:rsidRPr="00A32EED">
        <w:rPr>
          <w:rFonts w:eastAsia="Calibri"/>
        </w:rPr>
        <w:fldChar w:fldCharType="separate"/>
      </w:r>
      <w:r w:rsidRPr="00A32EED">
        <w:rPr>
          <w:rFonts w:eastAsia="Calibri"/>
          <w:noProof/>
        </w:rPr>
        <w:t>(2004)</w:t>
      </w:r>
      <w:r w:rsidRPr="00A32EED">
        <w:rPr>
          <w:rFonts w:eastAsia="Calibri"/>
        </w:rPr>
        <w:fldChar w:fldCharType="end"/>
      </w:r>
      <w:r w:rsidRPr="00A32EED">
        <w:rPr>
          <w:rFonts w:eastAsia="Calibri"/>
        </w:rPr>
        <w:t xml:space="preserve"> found that female victims of childhood sexual abuse are less likely to use a condom than non-victims. Similarly, previous studies find that childhood sexual abuse victims are at higher risk of </w:t>
      </w:r>
      <w:r w:rsidRPr="00A32EED">
        <w:rPr>
          <w:rFonts w:eastAsia="Calibri"/>
        </w:rPr>
        <w:lastRenderedPageBreak/>
        <w:t xml:space="preserve">teenage pregnancy when compared to non-victims </w:t>
      </w:r>
      <w:r w:rsidRPr="00A32EED">
        <w:rPr>
          <w:rFonts w:eastAsia="Calibri"/>
        </w:rPr>
        <w:fldChar w:fldCharType="begin"/>
      </w:r>
      <w:r w:rsidRPr="00A32EED">
        <w:rPr>
          <w:rFonts w:eastAsia="Calibri"/>
        </w:rPr>
        <w:instrText xml:space="preserve"> ADDIN ZOTERO_ITEM CSL_CITATION {"citationID":"20vgoamiju","properties":{"formattedCitation":"(Leslie et al. 2010; Noll et al. 2003)","plainCitation":"(Leslie et al. 2010; Noll et al. 2003)"},"citationItems":[{"id":53,"uris":["http://zotero.org/users/1165382/items/4876QBPV"],"uri":["http://zotero.org/users/1165382/items/4876QBPV"],"itemData":{"id":53,"type":"article-journal","title":"Health-Risk Behaviors in Young Adolescents in the Child Welfare System","container-title":"Journal of Adolescent Health","page":"26-34","volume":"47","issue":"1","source":"ScienceDirect","abstract":"Purpose\nTo examine rates and patterns of health-risk behavior (e.g., sexuality, depression/suicidality, substance use, delinquency) among a national probability sample of youth active to the child welfare/child protective services system. Recent federal legislation, P.L. 110-351, encourages child welfare systems, Medicaid, and pediatric experts to collaborate to ensure youth entering foster care receive comprehensive health examinations.\nMethods\nAnalysis of baseline caregiver, caseworker, and child interviews, and assessment data for a subsample (n = 993) of youth, aged 11–15 years, from the National Survey of Child and Adolescent Well-Being, a national probability sample of children and adolescents undergoing investigation for abuse or neglect.\nResults\nAlmost half of the sample (46.3%) endorsed at least one health-risk behavior. On Poisson multivariate regression modeling, factors related to higher rates of health-risk behaviors included older age, female gender, abuse history, deviant peers, limited caregiver monitoring, and poor school engagement.\nConclusion\nGiven the heightened vulnerability of this population, early screening for health-risk behaviors must be prioritized. Further research should explore specific subpopulations at risk for health-risk behaviors and possible interventions to change these youths' trajectories.","DOI":"10.1016/j.jadohealth.2009.12.032","ISSN":"1054-139X","note":"00062","journalAbbreviation":"Journal of Adolescent Health","author":[{"family":"Leslie","given":"Laurel K."},{"family":"James","given":"Sigrid"},{"family":"Monn","given":"Amy"},{"family":"Kauten","given":"Milena C."},{"family":"Zhang","given":"Jinjin"},{"family":"Aarons","given":"Gregory"}],"issued":{"date-parts":[["2010",7]]}}},{"id":195,"uris":["http://zotero.org/users/1165382/items/CR7KNPJE"],"uri":["http://zotero.org/users/1165382/items/CR7KNPJE"],"itemData":{"id":195,"type":"article-journal","title":"A prospective investigation of the impact of childhood sexual abuse on the development of sexuality.","container-title":"Journal of consulting and clinical psychology","page":"575","volume":"71","issue":"3","source":"Google Scholar","note":"00000","author":[{"family":"Noll","given":"Jennie G."},{"family":"Trickett","given":"Penelope K."},{"family":"Putnam","given":"Frank W."}],"issued":{"date-parts":[["2003"]]}}}],"schema":"https://github.com/citation-style-language/schema/raw/master/csl-citation.json"} </w:instrText>
      </w:r>
      <w:r w:rsidRPr="00A32EED">
        <w:rPr>
          <w:rFonts w:eastAsia="Calibri"/>
        </w:rPr>
        <w:fldChar w:fldCharType="separate"/>
      </w:r>
      <w:r w:rsidRPr="00A32EED">
        <w:rPr>
          <w:rFonts w:eastAsia="Calibri"/>
          <w:noProof/>
        </w:rPr>
        <w:t>(Leslie et al. 2010; Noll et al. 2003)</w:t>
      </w:r>
      <w:r w:rsidRPr="00A32EED">
        <w:rPr>
          <w:rFonts w:eastAsia="Calibri"/>
        </w:rPr>
        <w:fldChar w:fldCharType="end"/>
      </w:r>
      <w:r w:rsidRPr="00A32EED">
        <w:rPr>
          <w:rFonts w:eastAsia="Calibri"/>
        </w:rPr>
        <w:t xml:space="preserve">. Furthermore, Koenig and Clark </w:t>
      </w:r>
      <w:r w:rsidRPr="00A32EED">
        <w:rPr>
          <w:rFonts w:eastAsia="Calibri"/>
        </w:rPr>
        <w:fldChar w:fldCharType="begin"/>
      </w:r>
      <w:r w:rsidRPr="00A32EED">
        <w:rPr>
          <w:rFonts w:eastAsia="Calibri"/>
        </w:rPr>
        <w:instrText xml:space="preserve"> ADDIN ZOTERO_ITEM CSL_CITATION {"citationID":"1hmfougk2t","properties":{"formattedCitation":"(2004)","plainCitation":"(2004)"},"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J."},{"family":"Clark","given":"Hollie"}],"issued":{"date-parts":[["2004"]]},"accessed":{"date-parts":[["2016",5,29]]}},"suppress-author":true}],"schema":"https://github.com/citation-style-language/schema/raw/master/csl-citation.json"} </w:instrText>
      </w:r>
      <w:r w:rsidRPr="00A32EED">
        <w:rPr>
          <w:rFonts w:eastAsia="Calibri"/>
        </w:rPr>
        <w:fldChar w:fldCharType="separate"/>
      </w:r>
      <w:r w:rsidRPr="00A32EED">
        <w:rPr>
          <w:rFonts w:eastAsia="Calibri"/>
          <w:noProof/>
        </w:rPr>
        <w:t>(2004)</w:t>
      </w:r>
      <w:r w:rsidRPr="00A32EED">
        <w:rPr>
          <w:rFonts w:eastAsia="Calibri"/>
        </w:rPr>
        <w:fldChar w:fldCharType="end"/>
      </w:r>
      <w:r w:rsidRPr="00A32EED">
        <w:rPr>
          <w:rFonts w:eastAsia="Calibri"/>
        </w:rPr>
        <w:t xml:space="preserve"> also found female victims of childhood sexual abuse are more likely to engage in behaviors related to increased</w:t>
      </w:r>
      <w:r w:rsidR="0041678A">
        <w:rPr>
          <w:rFonts w:eastAsia="Calibri"/>
        </w:rPr>
        <w:t xml:space="preserve"> HIV risk, report ever having a  sexually transmitted infection</w:t>
      </w:r>
      <w:r w:rsidRPr="00A32EED">
        <w:rPr>
          <w:rFonts w:eastAsia="Calibri"/>
        </w:rPr>
        <w:t xml:space="preserve">, and commercial sex. Wilson and Widom </w:t>
      </w:r>
      <w:r w:rsidRPr="00A32EED">
        <w:rPr>
          <w:rFonts w:eastAsia="Calibri"/>
        </w:rPr>
        <w:fldChar w:fldCharType="begin"/>
      </w:r>
      <w:r w:rsidRPr="00A32EED">
        <w:rPr>
          <w:rFonts w:eastAsia="Calibri"/>
        </w:rPr>
        <w:instrText xml:space="preserve"> ADDIN ZOTERO_ITEM CSL_CITATION {"citationID":"1s91pl73gm","properties":{"formattedCitation":"(2008)","plainCitation":"(2008)"},"citationItems":[{"id":306,"uris":["http://zotero.org/users/1165382/items/J9J68DG2"],"uri":["http://zotero.org/users/1165382/items/J9J68DG2"],"itemData":{"id":306,"type":"article-journal","title":"An examination of risky sexual behavior and HIV in victims of child abuse and neglect: A 30-year follow-up","container-title":"Health Psychology","page":"149-158","volume":"27","issue":"2","source":"APA PsycNET","abstract":"Objective: This article examined links between childhood maltreatment and risky sexual behavior (early sexual contact, promiscuity, prostitution) and HIV in adulthood. Design: Using a prospective cohort design, physically and sexually abused and neglected children (ages 0-11) with documented cases during 1967-1971 were matched with nonmaltreated children and followed into adulthood. Main Outcome Measures: Early sexual contact, promiscuity, and prostitution were assessed through in-person interviews and official records (prostitution) at approximate age 29 (N = 1196). HIV tests were conducted at approximate age 41 (N = 631). Results: Child maltreatment was associated with prostitution (OR = 2.47, 95% CI = 1.35-4.50) and early sexual contact (OR = 1.73, 95% CI = 1.24-2.40). Prevalence of HIV in the abuse/neglect group was twice that in controls (OR = 2.35, 95% CI = .64-8.62), although this difference did not reach conventional levels of statistical significance. SEM provided significant support for a model linking child abuse and neglect to prostitution through early sexual contact and a marginal link to HIV through prostitution. Conclusion: These findings provide prospective evidence that maltreated children are more likely to report sexual contact before age 15, engage in prostitution by young adulthood, and test positive for HIV in middle adulthood.","DOI":"10.1037/0278-6133.27.2.149","ISSN":"1930-7810(Electronic);0278-6133(Print)","shortTitle":"An examination of risky sexual behavior and HIV in victims of child abuse and neglect","author":[{"family":"Wilson","given":"Helen W."},{"family":"Widom","given":"Cathy Spatz"}],"issued":{"date-parts":[["2008"]]}},"suppress-author":true}],"schema":"https://github.com/citation-style-language/schema/raw/master/csl-citation.json"} </w:instrText>
      </w:r>
      <w:r w:rsidRPr="00A32EED">
        <w:rPr>
          <w:rFonts w:eastAsia="Calibri"/>
        </w:rPr>
        <w:fldChar w:fldCharType="separate"/>
      </w:r>
      <w:r w:rsidRPr="00A32EED">
        <w:rPr>
          <w:rFonts w:eastAsia="Calibri"/>
          <w:noProof/>
        </w:rPr>
        <w:t>(2008)</w:t>
      </w:r>
      <w:r w:rsidRPr="00A32EED">
        <w:rPr>
          <w:rFonts w:eastAsia="Calibri"/>
        </w:rPr>
        <w:fldChar w:fldCharType="end"/>
      </w:r>
      <w:r w:rsidRPr="00A32EED">
        <w:rPr>
          <w:rFonts w:eastAsia="Calibri"/>
        </w:rPr>
        <w:t xml:space="preserve"> found that both male and female victims of childhood sexual abuse and neglect are more likely to participate in commercial sex than non-victims. Due to neglect being a larger risk factor for females and physical abuse only being a risk factor for females, the authors find that overall, maltreatment is a bigger risk factor for female victims than for males.</w:t>
      </w:r>
    </w:p>
    <w:p w14:paraId="6A6B37B8" w14:textId="77777777" w:rsidR="004C4C39" w:rsidRPr="00A32EED" w:rsidRDefault="004C4C39" w:rsidP="004C4C39">
      <w:pPr>
        <w:keepNext/>
        <w:keepLines/>
        <w:spacing w:before="40" w:after="0" w:line="480" w:lineRule="auto"/>
        <w:outlineLvl w:val="2"/>
        <w:rPr>
          <w:rFonts w:eastAsia="ＭＳ ゴシック"/>
          <w:i/>
          <w:color w:val="000000"/>
        </w:rPr>
      </w:pPr>
      <w:bookmarkStart w:id="14" w:name="_Toc464640993"/>
      <w:bookmarkStart w:id="15" w:name="_Toc479938144"/>
      <w:bookmarkStart w:id="16" w:name="_Toc482112673"/>
      <w:r w:rsidRPr="00A32EED">
        <w:rPr>
          <w:rFonts w:eastAsia="ＭＳ ゴシック"/>
          <w:i/>
          <w:color w:val="000000"/>
        </w:rPr>
        <w:t>Child Welfare and Risky Sexual Behaviors</w:t>
      </w:r>
      <w:bookmarkEnd w:id="14"/>
      <w:bookmarkEnd w:id="15"/>
      <w:bookmarkEnd w:id="16"/>
    </w:p>
    <w:p w14:paraId="2E458488" w14:textId="77777777" w:rsidR="004C4C39" w:rsidRPr="00A32EED" w:rsidRDefault="004C4C39" w:rsidP="004C4C39">
      <w:pPr>
        <w:spacing w:after="0" w:line="480" w:lineRule="auto"/>
        <w:ind w:firstLine="720"/>
        <w:rPr>
          <w:rFonts w:eastAsia="Calibri"/>
        </w:rPr>
      </w:pPr>
      <w:r w:rsidRPr="00A32EED">
        <w:rPr>
          <w:rFonts w:eastAsia="Calibri"/>
        </w:rPr>
        <w:t xml:space="preserve">Research on child welfare experiences and risky sexual behaviors typically focuses on differences between those who experienced different forms of placement and various permanency outcomes. As with child maltreatment experiences, findings regarding child welfare experiences and various risky sexual behaviors are mixed. Regarding ever having had sex, James et al. </w:t>
      </w:r>
      <w:r w:rsidRPr="00A32EED">
        <w:rPr>
          <w:rFonts w:eastAsia="Calibri"/>
        </w:rPr>
        <w:fldChar w:fldCharType="begin"/>
      </w:r>
      <w:r w:rsidRPr="00A32EED">
        <w:rPr>
          <w:rFonts w:eastAsia="Calibri"/>
        </w:rPr>
        <w:instrText xml:space="preserve"> ADDIN ZOTERO_ITEM CSL_CITATION {"citationID":"9nXzZU8U","properties":{"formattedCitation":"(2009)","plainCitation":"(2009)"},"citationItems":[{"id":438,"uris":["http://zotero.org/users/1165382/items/S87A2U8W"],"uri":["http://zotero.org/users/1165382/items/S87A2U8W"],"itemData":{"id":438,"type":"article-journal","title":"Sexual risk behaviors among youth in the child welfare system","container-title":"Children and Youth Services Review","page":"990-1000","volume":"31","issue":"9","source":"ScienceDirect","abstract":"This study uses data from the National Survey of Child and Adolescent Well-Being (NSCAW) to provide estimates of sexual risk behaviors for 877 youth, age 11–14 at baseline, in the child welfare system. It examines the association between baseline psychosocial risk and protective factors on engagement in sexual risk behaviors after 36 months. It further compares rates of sexual risk behaviors between youth placed in out-of-home care and those who remained with their biological family. Key findings include a high rate of pregnancy, a high percentage of youth who initiated sexual activity at or before age 13 as well as a limited role of protective factors in moderating sexual risk behaviors. A history of placement into out-of-home care is not significantly associated with greater engagement in sexual risk behaviors. Implications for intervention development and child welfare policy for this population are discussed.","DOI":"10.1016/j.childyouth.2009.04.014","ISSN":"0190-7409","journalAbbreviation":"Children and Youth Services Review","author":[{"family":"James","given":"Sigrid"},{"family":"Montgomery","given":"Susanne B."},{"family":"Leslie","given":"Laurel K."},{"family":"Zhang","given":"Jinjin"}],"issued":{"date-parts":[["2009",9]]}},"suppress-author":true}],"schema":"https://github.com/citation-style-language/schema/raw/master/csl-citation.json"} </w:instrText>
      </w:r>
      <w:r w:rsidRPr="00A32EED">
        <w:rPr>
          <w:rFonts w:eastAsia="Calibri"/>
        </w:rPr>
        <w:fldChar w:fldCharType="separate"/>
      </w:r>
      <w:r w:rsidRPr="00A32EED">
        <w:rPr>
          <w:rFonts w:eastAsia="Calibri"/>
          <w:noProof/>
        </w:rPr>
        <w:t>(2009)</w:t>
      </w:r>
      <w:r w:rsidRPr="00A32EED">
        <w:rPr>
          <w:rFonts w:eastAsia="Calibri"/>
        </w:rPr>
        <w:fldChar w:fldCharType="end"/>
      </w:r>
      <w:r w:rsidRPr="00A32EED">
        <w:rPr>
          <w:rFonts w:eastAsia="Calibri"/>
        </w:rPr>
        <w:t xml:space="preserve">, found children who were removed and placed in out of home care were not more likely to have had sexual intercourse than those who were not removed. To explore risky sexual behavior outcomes among youth formerly in foster care based on how they exited care, Taussig et al. </w:t>
      </w:r>
      <w:r w:rsidRPr="00A32EED">
        <w:rPr>
          <w:rFonts w:eastAsia="Calibri"/>
        </w:rPr>
        <w:fldChar w:fldCharType="begin"/>
      </w:r>
      <w:r w:rsidRPr="00A32EED">
        <w:rPr>
          <w:rFonts w:eastAsia="Calibri"/>
        </w:rPr>
        <w:instrText xml:space="preserve"> ADDIN ZOTERO_ITEM CSL_CITATION {"citationID":"23s6c5fjtk","properties":{"formattedCitation":"(2001)","plainCitation":"(2001)"},"citationItems":[{"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B."},{"family":"Landsverk","given":"J."}],"issued":{"date-parts":[["2001",7]]}},"suppress-author":true}],"schema":"https://github.com/citation-style-language/schema/raw/master/csl-citation.json"} </w:instrText>
      </w:r>
      <w:r w:rsidRPr="00A32EED">
        <w:rPr>
          <w:rFonts w:eastAsia="Calibri"/>
        </w:rPr>
        <w:fldChar w:fldCharType="separate"/>
      </w:r>
      <w:r w:rsidRPr="00A32EED">
        <w:rPr>
          <w:rFonts w:eastAsia="Calibri"/>
          <w:noProof/>
        </w:rPr>
        <w:t>(2001)</w:t>
      </w:r>
      <w:r w:rsidRPr="00A32EED">
        <w:rPr>
          <w:rFonts w:eastAsia="Calibri"/>
        </w:rPr>
        <w:fldChar w:fldCharType="end"/>
      </w:r>
      <w:r w:rsidRPr="00A32EED">
        <w:rPr>
          <w:rFonts w:eastAsia="Calibri"/>
        </w:rPr>
        <w:t xml:space="preserve"> created a composite measure of risky sexual behaviors that included the number of sexual partners, frequency of intercourse, and the use of protection. When comparing scores among 149 individuals who were placed in foster care </w:t>
      </w:r>
      <w:r w:rsidRPr="00A32EED">
        <w:rPr>
          <w:rFonts w:eastAsia="Calibri"/>
        </w:rPr>
        <w:lastRenderedPageBreak/>
        <w:t>between the ages of 7-12, the authors found no significant differences in the scores between those who were not reunified and those who were reunified.</w:t>
      </w:r>
    </w:p>
    <w:p w14:paraId="3BFA2475" w14:textId="77777777" w:rsidR="004C4C39" w:rsidRPr="00A32EED" w:rsidRDefault="004C4C39" w:rsidP="004C4C39">
      <w:pPr>
        <w:spacing w:after="0" w:line="480" w:lineRule="auto"/>
        <w:ind w:firstLine="720"/>
        <w:rPr>
          <w:rFonts w:eastAsia="Calibri"/>
        </w:rPr>
      </w:pPr>
      <w:r w:rsidRPr="00A32EED">
        <w:rPr>
          <w:rFonts w:eastAsia="Calibri"/>
        </w:rPr>
        <w:t xml:space="preserve">The relationship between child welfare histories and age at sexual initiation is another common area of examination. Risley-Curtiss </w:t>
      </w:r>
      <w:r w:rsidRPr="00A32EED">
        <w:rPr>
          <w:rFonts w:eastAsia="Calibri"/>
        </w:rPr>
        <w:fldChar w:fldCharType="begin"/>
      </w:r>
      <w:r w:rsidRPr="00A32EED">
        <w:rPr>
          <w:rFonts w:eastAsia="Calibri"/>
        </w:rPr>
        <w:instrText xml:space="preserve"> ADDIN ZOTERO_ITEM CSL_CITATION {"citationID":"28vugjonj","properties":{"formattedCitation":"(1997)","plainCitation":"(1997)"},"citationItems":[{"id":1297,"uris":["http://zotero.org/users/1165382/items/7J2RKPUZ"],"uri":["http://zotero.org/users/1165382/items/7J2RKPUZ"],"itemData":{"id":1297,"type":"article-journal","title":"Sexual activity and contraceptive use among children entering out-of-home care","container-title":"Child Welfare","page":"475-99","volume":"76","issue":"4","source":"ProQuest","abstract":"This study explored the prevalence of reported sexual activity of a cohort of children entering out-of-home care and the ability of selected factors to explain reported sexual activity and use or nonuse of contraceptives. It found that children as young as age 8 reported sexual activity, and that more than one-third of the children age 8 to 18 reported being sexually active. Of those who were sexually active, more than one-third were not using contraceptives. Using logistic regression, five variables are identified as having importance in explaining sexual activity. Two variables had some limited ability to explain contraceptive use. Implications of these findings are discussed and suggestions for policy and practice are made.","ISSN":"00094021","note":"00039","language":"English","author":[{"family":"Risley-Curtiss","given":"Christina"}],"issued":{"date-parts":[["1997",8]]}},"suppress-author":true}],"schema":"https://github.com/citation-style-language/schema/raw/master/csl-citation.json"} </w:instrText>
      </w:r>
      <w:r w:rsidRPr="00A32EED">
        <w:rPr>
          <w:rFonts w:eastAsia="Calibri"/>
        </w:rPr>
        <w:fldChar w:fldCharType="separate"/>
      </w:r>
      <w:r w:rsidRPr="00A32EED">
        <w:rPr>
          <w:rFonts w:eastAsia="Calibri"/>
          <w:noProof/>
        </w:rPr>
        <w:t>(1997)</w:t>
      </w:r>
      <w:r w:rsidRPr="00A32EED">
        <w:rPr>
          <w:rFonts w:eastAsia="Calibri"/>
        </w:rPr>
        <w:fldChar w:fldCharType="end"/>
      </w:r>
      <w:r w:rsidRPr="00A32EED">
        <w:rPr>
          <w:rFonts w:eastAsia="Calibri"/>
        </w:rPr>
        <w:t xml:space="preserve"> found youth placed in out of home care had a higher risk of early participation in sexual behaviors. Carpenter et al. </w:t>
      </w:r>
      <w:r w:rsidRPr="00A32EED">
        <w:rPr>
          <w:rFonts w:eastAsia="Calibri"/>
        </w:rPr>
        <w:fldChar w:fldCharType="begin"/>
      </w:r>
      <w:r w:rsidRPr="00A32EED">
        <w:rPr>
          <w:rFonts w:eastAsia="Calibri"/>
        </w:rPr>
        <w:instrText xml:space="preserve"> ADDIN ZOTERO_ITEM CSL_CITATION {"citationID":"yu12EMks","properties":{"formattedCitation":"(2001)","plainCitation":"(2001)"},"citationItems":[{"id":1282,"uris":["http://zotero.org/users/1165382/items/RPZSQ957"],"uri":["http://zotero.org/users/1165382/items/RPZSQ957"],"itemData":{"id":1282,"type":"article-journal","title":"The Association of Foster Care or Kinship Care With Adolescent Sexual Behavior and First Pregnancy","container-title":"Pediatrics","page":"e46-e46","volume":"108","issue":"3","source":"0-pediatrics.aappublications.org.library.uark.edu","abstract":"Objective. Each year more than 500 000 children enter out-of-home placement. Few outcome studies of these children specifically address high-risk sexual behavior and adolescent pregnancy. Our study investigated the relationship between living in kinship or foster care and high-risk reproductive behaviors in a nationally representative sample of women.\nMethods. Data from 9620 women ages 15 to 44 years in the 1995 National Survey of Family Growth were analyzed in a cross-sectional study. Three groups—foster (n = 89), kinship (n = 513), and comparison (n = 9018)—were identified on the basis of self-reported childhood living situations. Bivariate and multiple linear regression analyses were performed. The outcome variables were age at first sexual intercourse and at first conception and the number of sexual partners.\nResults. After adjustment for multiple predictor variables, foster care was associated with younger age at first conception (difference: 11.3 months) and having greater than the median number of sexual partners (odds ratio: 1.7, 1.0–2.8). Kinship care was associated with younger age both at first intercourse (difference = 6 months) and at first conception (difference: 8.6 months) and having greater than the median number of sexual partners (odds ratio: 1.4, 1.1–1.8). There were no differences between the kinship and foster groups.\nConclusions. A history of living in either foster or kinship care is a marker for high-risk sexual behaviors, and the risk is comparable in both out-of-home living arrangements. Recognition of these risks may enable health care providers to intervene with high-risk youth to prevent early initiation of sexual intercourse and early pregnancy.","DOI":"10.1542/peds.108.3.e46","ISSN":"0031-4005, 1098-4275","note":"00116 \nPMID: 11533364","language":"en","author":[{"family":"Carpenter","given":"Sara C."},{"family":"Clyman","given":"Robert B."},{"family":"Davidson","given":"Arthur J."},{"family":"Steiner","given":"John F."}],"issued":{"date-parts":[["2001",9,1]]}},"suppress-author":true}],"schema":"https://github.com/citation-style-language/schema/raw/master/csl-citation.json"} </w:instrText>
      </w:r>
      <w:r w:rsidRPr="00A32EED">
        <w:rPr>
          <w:rFonts w:eastAsia="Calibri"/>
        </w:rPr>
        <w:fldChar w:fldCharType="separate"/>
      </w:r>
      <w:r w:rsidRPr="00A32EED">
        <w:rPr>
          <w:rFonts w:eastAsia="Calibri"/>
          <w:noProof/>
        </w:rPr>
        <w:t>(2001)</w:t>
      </w:r>
      <w:r w:rsidRPr="00A32EED">
        <w:rPr>
          <w:rFonts w:eastAsia="Calibri"/>
        </w:rPr>
        <w:fldChar w:fldCharType="end"/>
      </w:r>
      <w:r w:rsidRPr="00A32EED">
        <w:rPr>
          <w:rFonts w:eastAsia="Calibri"/>
        </w:rPr>
        <w:t xml:space="preserve"> also explored age at initiation but distinguished between out of home foster care and out of home kinship care. The addition of this distinction allows for the comparison of three groups: kinship out of home placement, foster care out of home placement, and no history of out of home placements. The authors found foster care was not a significant predictor of age at initiation, however, youths placed in out of home kinship care were significantly more likely to have an earlier initiation. Specifically, when compared to the comparison group, those placed in kinship care had their sexual initiation six months earlier than the comparison group with no out of home placements. When comparing the two types of out of home placements, there were no significant differences between the foster and kinship placements across any of the outcomes.  </w:t>
      </w:r>
    </w:p>
    <w:p w14:paraId="0655682F" w14:textId="77777777" w:rsidR="004C4C39" w:rsidRPr="00A32EED" w:rsidRDefault="004C4C39" w:rsidP="004C4C39">
      <w:pPr>
        <w:spacing w:after="0" w:line="480" w:lineRule="auto"/>
        <w:ind w:firstLine="720"/>
        <w:rPr>
          <w:rFonts w:eastAsia="Calibri"/>
          <w:color w:val="000000"/>
        </w:rPr>
      </w:pPr>
      <w:r w:rsidRPr="00A32EED">
        <w:rPr>
          <w:rFonts w:eastAsia="Calibri"/>
          <w:color w:val="000000"/>
        </w:rPr>
        <w:t xml:space="preserve">Being placed in out of home care has been shown to increase the overall number of lifetime sexual partners. Specifically, Carpenter et al. </w:t>
      </w:r>
      <w:r w:rsidRPr="00A32EED">
        <w:rPr>
          <w:rFonts w:eastAsia="Calibri"/>
          <w:color w:val="000000"/>
        </w:rPr>
        <w:fldChar w:fldCharType="begin"/>
      </w:r>
      <w:r w:rsidRPr="00A32EED">
        <w:rPr>
          <w:rFonts w:eastAsia="Calibri"/>
          <w:color w:val="000000"/>
        </w:rPr>
        <w:instrText xml:space="preserve"> ADDIN ZOTERO_ITEM CSL_CITATION {"citationID":"SABR3JJW","properties":{"formattedCitation":"(2001)","plainCitation":"(2001)"},"citationItems":[{"id":1282,"uris":["http://zotero.org/users/1165382/items/RPZSQ957"],"uri":["http://zotero.org/users/1165382/items/RPZSQ957"],"itemData":{"id":1282,"type":"article-journal","title":"The Association of Foster Care or Kinship Care With Adolescent Sexual Behavior and First Pregnancy","container-title":"Pediatrics","page":"e46-e46","volume":"108","issue":"3","source":"0-pediatrics.aappublications.org.library.uark.edu","abstract":"Objective. Each year more than 500 000 children enter out-of-home placement. Few outcome studies of these children specifically address high-risk sexual behavior and adolescent pregnancy. Our study investigated the relationship between living in kinship or foster care and high-risk reproductive behaviors in a nationally representative sample of women.\nMethods. Data from 9620 women ages 15 to 44 years in the 1995 National Survey of Family Growth were analyzed in a cross-sectional study. Three groups—foster (n = 89), kinship (n = 513), and comparison (n = 9018)—were identified on the basis of self-reported childhood living situations. Bivariate and multiple linear regression analyses were performed. The outcome variables were age at first sexual intercourse and at first conception and the number of sexual partners.\nResults. After adjustment for multiple predictor variables, foster care was associated with younger age at first conception (difference: 11.3 months) and having greater than the median number of sexual partners (odds ratio: 1.7, 1.0–2.8). Kinship care was associated with younger age both at first intercourse (difference = 6 months) and at first conception (difference: 8.6 months) and having greater than the median number of sexual partners (odds ratio: 1.4, 1.1–1.8). There were no differences between the kinship and foster groups.\nConclusions. A history of living in either foster or kinship care is a marker for high-risk sexual behaviors, and the risk is comparable in both out-of-home living arrangements. Recognition of these risks may enable health care providers to intervene with high-risk youth to prevent early initiation of sexual intercourse and early pregnancy.","DOI":"10.1542/peds.108.3.e46","ISSN":"0031-4005, 1098-4275","note":"00116 \nPMID: 11533364","language":"en","author":[{"family":"Carpenter","given":"Sara C."},{"family":"Clyman","given":"Robert B."},{"family":"Davidson","given":"Arthur J."},{"family":"Steiner","given":"John F."}],"issued":{"date-parts":[["2001",9,1]]}},"suppress-author":true}],"schema":"https://github.com/citation-style-language/schema/raw/master/csl-citation.json"}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(2001)</w:t>
      </w:r>
      <w:r w:rsidRPr="00A32EED">
        <w:rPr>
          <w:rFonts w:eastAsia="Calibri"/>
          <w:color w:val="000000"/>
        </w:rPr>
        <w:fldChar w:fldCharType="end"/>
      </w:r>
      <w:r w:rsidRPr="00A32EED">
        <w:rPr>
          <w:rFonts w:eastAsia="Calibri"/>
          <w:color w:val="000000"/>
        </w:rPr>
        <w:t xml:space="preserve"> found both children placed in out of home foster care and out of home kinship care were more likely to have more than the median number of lifetime sexual partners when compared to individuals with no history of out of home placements. However, as with age at initiation, there was no significant </w:t>
      </w:r>
      <w:r w:rsidRPr="00A32EED">
        <w:rPr>
          <w:rFonts w:eastAsia="Calibri"/>
          <w:color w:val="000000"/>
        </w:rPr>
        <w:lastRenderedPageBreak/>
        <w:t xml:space="preserve">difference between the two types of out of home placements. When examining the frequency of sexual activity for youth aged 11-15 in the NSCAW data, Leslie et al. </w:t>
      </w:r>
      <w:r w:rsidRPr="00A32EED">
        <w:rPr>
          <w:rFonts w:eastAsia="Calibri"/>
          <w:color w:val="000000"/>
        </w:rPr>
        <w:fldChar w:fldCharType="begin"/>
      </w:r>
      <w:r w:rsidRPr="00A32EED">
        <w:rPr>
          <w:rFonts w:eastAsia="Calibri"/>
          <w:color w:val="000000"/>
        </w:rPr>
        <w:instrText xml:space="preserve"> ADDIN ZOTERO_ITEM CSL_CITATION {"citationID":"0quyIFma","properties":{"formattedCitation":"(2010)","plainCitation":"(2010)"},"citationItems":[{"id":53,"uris":["http://zotero.org/users/1165382/items/4876QBPV"],"uri":["http://zotero.org/users/1165382/items/4876QBPV"],"itemData":{"id":53,"type":"article-journal","title":"Health-Risk Behaviors in Young Adolescents in the Child Welfare System","container-title":"Journal of Adolescent Health","page":"26-34","volume":"47","issue":"1","source":"ScienceDirect","abstract":"Purpose\nTo examine rates and patterns of health-risk behavior (e.g., sexuality, depression/suicidality, substance use, delinquency) among a national probability sample of youth active to the child welfare/child protective services system. Recent federal legislation, P.L. 110-351, encourages child welfare systems, Medicaid, and pediatric experts to collaborate to ensure youth entering foster care receive comprehensive health examinations.\nMethods\nAnalysis of baseline caregiver, caseworker, and child interviews, and assessment data for a subsample (n = 993) of youth, aged 11–15 years, from the National Survey of Child and Adolescent Well-Being, a national probability sample of children and adolescents undergoing investigation for abuse or neglect.\nResults\nAlmost half of the sample (46.3%) endorsed at least one health-risk behavior. On Poisson multivariate regression modeling, factors related to higher rates of health-risk behaviors included older age, female gender, abuse history, deviant peers, limited caregiver monitoring, and poor school engagement.\nConclusion\nGiven the heightened vulnerability of this population, early screening for health-risk behaviors must be prioritized. Further research should explore specific subpopulations at risk for health-risk behaviors and possible interventions to change these youths' trajectories.","DOI":"10.1016/j.jadohealth.2009.12.032","ISSN":"1054-139X","note":"00062","journalAbbreviation":"Journal of Adolescent Health","author":[{"family":"Leslie","given":"Laurel K."},{"family":"James","given":"Sigrid"},{"family":"Monn","given":"Amy"},{"family":"Kauten","given":"Milena C."},{"family":"Zhang","given":"Jinjin"},{"family":"Aarons","given":"Gregory"}],"issued":{"date-parts":[["2010",7]]}},"suppress-author":true}],"schema":"https://github.com/citation-style-language/schema/raw/master/csl-citation.json"}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(2010)</w:t>
      </w:r>
      <w:r w:rsidRPr="00A32EED">
        <w:rPr>
          <w:rFonts w:eastAsia="Calibri"/>
          <w:color w:val="000000"/>
        </w:rPr>
        <w:fldChar w:fldCharType="end"/>
      </w:r>
      <w:r w:rsidRPr="00A32EED">
        <w:rPr>
          <w:rFonts w:eastAsia="Calibri"/>
          <w:color w:val="000000"/>
        </w:rPr>
        <w:t xml:space="preserve"> found no significant differences between youths with a history of out of home placements and youths with no history of out of home placements after controlling for factors such as maltreatment type, behavioral and cognitive functioning, deviant peers, and other background demographics. This suggests that the above controls mediate the relationship between out of home placements and frequency of sexual activity. </w:t>
      </w:r>
    </w:p>
    <w:p w14:paraId="158A9816" w14:textId="77777777" w:rsidR="004C4C39" w:rsidRPr="00A32EED" w:rsidRDefault="004C4C39" w:rsidP="004C4C39">
      <w:pPr>
        <w:spacing w:after="0" w:line="480" w:lineRule="auto"/>
        <w:ind w:firstLine="720"/>
        <w:rPr>
          <w:rFonts w:eastAsia="Calibri"/>
          <w:color w:val="000000"/>
        </w:rPr>
      </w:pPr>
      <w:r w:rsidRPr="00A32EED">
        <w:rPr>
          <w:rFonts w:eastAsia="Calibri"/>
          <w:color w:val="000000"/>
        </w:rPr>
        <w:t xml:space="preserve">Inconsistent use of condoms, as well as other protective and contraceptive methods, is another risky sexual behavior that has been examined among youth with child welfare experiences. When maltreated youths with a history of out of home placements were compared to youths without a history of out of home placements there was no significant differences in the frequency or age at first use of condoms or other contraceptive and protective methods </w:t>
      </w:r>
      <w:r w:rsidRPr="00A32EED">
        <w:rPr>
          <w:rFonts w:eastAsia="Calibri"/>
          <w:color w:val="000000"/>
        </w:rPr>
        <w:fldChar w:fldCharType="begin"/>
      </w:r>
      <w:r w:rsidRPr="00A32EED">
        <w:rPr>
          <w:rFonts w:eastAsia="Calibri"/>
          <w:color w:val="000000"/>
        </w:rPr>
        <w:instrText xml:space="preserve"> ADDIN ZOTERO_ITEM CSL_CITATION {"citationID":"1adro82h0d","properties":{"formattedCitation":"(James et al. 2009)","plainCitation":"(James et al. 2009)"},"citationItems":[{"id":438,"uris":["http://zotero.org/users/1165382/items/S87A2U8W"],"uri":["http://zotero.org/users/1165382/items/S87A2U8W"],"itemData":{"id":438,"type":"article-journal","title":"Sexual risk behaviors among youth in the child welfare system","container-title":"Children and Youth Services Review","page":"990-1000","volume":"31","issue":"9","source":"ScienceDirect","abstract":"This study uses data from the National Survey of Child and Adolescent Well-Being (NSCAW) to provide estimates of sexual risk behaviors for 877 youth, age 11–14 at baseline, in the child welfare system. It examines the association between baseline psychosocial risk and protective factors on engagement in sexual risk behaviors after 36 months. It further compares rates of sexual risk behaviors between youth placed in out-of-home care and those who remained with their biological family. Key findings include a high rate of pregnancy, a high percentage of youth who initiated sexual activity at or before age 13 as well as a limited role of protective factors in moderating sexual risk behaviors. A history of placement into out-of-home care is not significantly associated with greater engagement in sexual risk behaviors. Implications for intervention development and child welfare policy for this population are discussed.","DOI":"10.1016/j.childyouth.2009.04.014","ISSN":"0190-7409","journalAbbreviation":"Children and Youth Services Review","author":[{"family":"James","given":"Sigrid"},{"family":"Montgomery","given":"Susanne B."},{"family":"Leslie","given":"Laurel K."},{"family":"Zhang","given":"Jinjin"}],"issued":{"date-parts":[["2009",9]]}}}],"schema":"https://github.com/citation-style-language/schema/raw/master/csl-citation.json"} </w:instrText>
      </w:r>
      <w:r w:rsidRPr="00A32EED">
        <w:rPr>
          <w:rFonts w:eastAsia="Calibri"/>
          <w:color w:val="000000"/>
        </w:rPr>
        <w:fldChar w:fldCharType="separate"/>
      </w:r>
      <w:r w:rsidRPr="00A32EED">
        <w:rPr>
          <w:rFonts w:eastAsia="Calibri"/>
          <w:noProof/>
          <w:color w:val="000000"/>
        </w:rPr>
        <w:t>(James et al. 2009)</w:t>
      </w:r>
      <w:r w:rsidRPr="00A32EED">
        <w:rPr>
          <w:rFonts w:eastAsia="Calibri"/>
          <w:color w:val="000000"/>
        </w:rPr>
        <w:fldChar w:fldCharType="end"/>
      </w:r>
      <w:r w:rsidRPr="00A32EED">
        <w:rPr>
          <w:rFonts w:eastAsia="Calibri"/>
          <w:color w:val="000000"/>
        </w:rPr>
        <w:t xml:space="preserve">. In contrast, analyses by Carpenter et al. </w:t>
      </w:r>
      <w:r w:rsidRPr="00A32EED">
        <w:rPr>
          <w:rFonts w:eastAsia="Calibri"/>
          <w:color w:val="000000"/>
        </w:rPr>
        <w:fldChar w:fldCharType="begin"/>
      </w:r>
      <w:r w:rsidRPr="00A32EED">
        <w:rPr>
          <w:rFonts w:eastAsia="Calibri"/>
          <w:color w:val="000000"/>
        </w:rPr>
        <w:instrText xml:space="preserve"> ADDIN ZOTERO_ITEM CSL_CITATION {"citationID":"1sppiidcqh","properties":{"formattedCitation":"(2001)","plainCitation":"(2001)"},"citationItems":[{"id":1282,"uris":["http://zotero.org/users/1165382/items/RPZSQ957"],"uri":["http://zotero.org/users/1165382/items/RPZSQ957"],"itemData":{"id":1282,"type":"article-journal","title":"The Association of Foster Care or Kinship Care With Adolescent Sexual Behavior and First Pregnancy","container-title":"Pediatrics","page":"e46-e46","volume":"108","issue":"3","source":"0-pediatrics.aappublications.org.library.uark.edu","abstract":"Objective. Each year more than 500 000 children enter out-of-home placement. Few outcome studies of these children specifically address high-risk sexual behavior and adolescent pregnancy. Our study investigated the relationship between living in kinship or foster care and high-risk reproductive behaviors in a nationally representative sample of women.\nMethods. Data from 9620 women ages 15 to 44 years in the 1995 National Survey of Family Growth were analyzed in a cross-sectional study. Three groups—foster (n = 89), kinship (n = 513), and comparison (n = 9018)—were identified on the basis of self-reported childhood living situations. Bivariate and multiple linear regression analyses were performed. The outcome variables were age at first sexual intercourse and at first conception and the number of sexual partners.\nResults. After adjustment for multiple predictor variables, foster care was associated with younger age at first conception (difference: 11.3 months) and having greater than the median number of sexual partners (odds ratio: 1.7, 1.0–2.8). Kinship care was associated with younger age both at first intercourse (difference = 6 months) and at first conception (difference: 8.6 months) and having greater than the median number of sexual partners (odds ratio: 1.4, 1.1–1.8). There were no differences between the kinship and foster groups.\nConclusions. A history of living in either foster or kinship care is a marker for high-risk sexual behaviors, and the risk is comparable in both out-of-home living arrangements. Recognition of these risks may enable health care providers to intervene with high-risk youth to prevent early initiation of sexual intercourse and early pregnancy.","DOI":"10.1542/peds.108.3.e46","ISSN":"0031-4005, 1098-4275","note":"00116 \nPMID: 11533364","language":"en","author":[{"family":"Carpenter","given":"Sara C."},{"family":"Clyman","given":"Robert B."},{"family":"Davidson","given":"Arthur J."},{"family":"Steiner","given":"John F."}],"issued":{"date-parts":[["2001",9,1]]}},"suppress-author":true}],"schema":"https://github.com/citation-style-language/schema/raw/master/csl-citation.json"}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(2001)</w:t>
      </w:r>
      <w:r w:rsidRPr="00A32EED">
        <w:rPr>
          <w:rFonts w:eastAsia="Calibri"/>
          <w:color w:val="000000"/>
        </w:rPr>
        <w:fldChar w:fldCharType="end"/>
      </w:r>
      <w:r w:rsidRPr="00A32EED">
        <w:rPr>
          <w:rFonts w:eastAsia="Calibri"/>
          <w:color w:val="000000"/>
        </w:rPr>
        <w:t xml:space="preserve"> found both individuals placed in out of home foster care and out of home kinship care were younger upon their first use of contraceptives when compared to individuals with no history of out of home placements. However, as with their previous findings, there were no significant differences between the two out of home placement groups. </w:t>
      </w:r>
    </w:p>
    <w:p w14:paraId="00F942A3" w14:textId="77777777" w:rsidR="004C4C39" w:rsidRPr="00A32EED" w:rsidRDefault="004C4C39" w:rsidP="004C4C39">
      <w:pPr>
        <w:spacing w:after="0" w:line="480" w:lineRule="auto"/>
        <w:ind w:firstLine="720"/>
        <w:rPr>
          <w:rFonts w:eastAsia="Calibri"/>
          <w:color w:val="000000"/>
        </w:rPr>
      </w:pPr>
      <w:r w:rsidRPr="00A32EED">
        <w:rPr>
          <w:rFonts w:eastAsia="Calibri"/>
          <w:color w:val="000000"/>
        </w:rPr>
        <w:t xml:space="preserve">Related to the use of condoms and other contraceptive and protective measures, pregnancy, especially at a young age, has also been explored as a risky sexual behavior related to child welfare experiences. Generally, placement </w:t>
      </w:r>
      <w:r w:rsidRPr="00A32EED">
        <w:rPr>
          <w:rFonts w:eastAsia="Calibri"/>
          <w:color w:val="000000"/>
        </w:rPr>
        <w:lastRenderedPageBreak/>
        <w:t xml:space="preserve">in out of home care has not been found to significantly increase the odds of pregnancy when compared to non-removals </w:t>
      </w:r>
      <w:r w:rsidRPr="00A32EED">
        <w:rPr>
          <w:rFonts w:eastAsia="Calibri"/>
          <w:color w:val="000000"/>
        </w:rPr>
        <w:fldChar w:fldCharType="begin"/>
      </w:r>
      <w:r w:rsidRPr="00A32EED">
        <w:rPr>
          <w:rFonts w:eastAsia="Calibri"/>
          <w:color w:val="000000"/>
        </w:rPr>
        <w:instrText xml:space="preserve"> ADDIN ZOTERO_ITEM CSL_CITATION {"citationID":"XCwvAaYR","properties":{"formattedCitation":"(James et al. 2009; Leslie et al. 2010; Risley-Curtiss 1997)","plainCitation":"(James et al. 2009; Leslie et al. 2010; Risley-Curtiss 1997)"},"citationItems":[{"id":438,"uris":["http://zotero.org/users/1165382/items/S87A2U8W"],"uri":["http://zotero.org/users/1165382/items/S87A2U8W"],"itemData":{"id":438,"type":"article-journal","title":"Sexual risk behaviors among youth in the child welfare system","container-title":"Children and Youth Services Review","page":"990-1000","volume":"31","issue":"9","source":"ScienceDirect","abstract":"This study uses data from the National Survey of Child and Adolescent Well-Being (NSCAW) to provide estimates of sexual risk behaviors for 877 youth, age 11–14 at baseline, in the child welfare system. It examines the association between baseline psychosocial risk and protective factors on engagement in sexual risk behaviors after 36 months. It further compares rates of sexual risk behaviors between youth placed in out-of-home care and those who remained with their biological family. Key findings include a high rate of pregnancy, a high percentage of youth who initiated sexual activity at or before age 13 as well as a limited role of protective factors in moderating sexual risk behaviors. A history of placement into out-of-home care is not significantly associated with greater engagement in sexual risk behaviors. Implications for intervention development and child welfare policy for this population are discussed.","DOI":"10.1016/j.childyouth.2009.04.014","ISSN":"0190-7409","journalAbbreviation":"Children and Youth Services Review","author":[{"family":"James","given":"Sigrid"},{"family":"Montgomery","given":"Susanne B."},{"family":"Leslie","given":"Laurel K."},{"family":"Zhang","given":"Jinjin"}],"issued":{"date-parts":[["2009",9]]}}},{"id":53,"uris":["http://zotero.org/users/1165382/items/4876QBPV"],"uri":["http://zotero.org/users/1165382/items/4876QBPV"],"itemData":{"id":53,"type":"article-journal","title":"Health-Risk Behaviors in Young Adolescents in the Child Welfare System","container-title":"Journal of Adolescent Health","page":"26-34","volume":"47","issue":"1","source":"ScienceDirect","abstract":"Purpose\nTo examine rates and patterns of health-risk behavior (e.g., sexuality, depression/suicidality, substance use, delinquency) among a national probability sample of youth active to the child welfare/child protective services system. Recent federal legislation, P.L. 110-351, encourages child welfare systems, Medicaid, and pediatric experts to collaborate to ensure youth entering foster care receive comprehensive health examinations.\nMethods\nAnalysis of baseline caregiver, caseworker, and child interviews, and assessment data for a subsample (n = 993) of youth, aged 11–15 years, from the National Survey of Child and Adolescent Well-Being, a national probability sample of children and adolescents undergoing investigation for abuse or neglect.\nResults\nAlmost half of the sample (46.3%) endorsed at least one health-risk behavior. On Poisson multivariate regression modeling, factors related to higher rates of health-risk behaviors included older age, female gender, abuse history, deviant peers, limited caregiver monitoring, and poor school engagement.\nConclusion\nGiven the heightened vulnerability of this population, early screening for health-risk behaviors must be prioritized. Further research should explore specific subpopulations at risk for health-risk behaviors and possible interventions to change these youths' trajectories.","DOI":"10.1016/j.jadohealth.2009.12.032","ISSN":"1054-139X","note":"00062","journalAbbreviation":"Journal of Adolescent Health","author":[{"family":"Leslie","given":"Laurel K."},{"family":"James","given":"Sigrid"},{"family":"Monn","given":"Amy"},{"family":"Kauten","given":"Milena C."},{"family":"Zhang","given":"Jinjin"},{"family":"Aarons","given":"Gregory"}],"issued":{"date-parts":[["2010",7]]}}},{"id":1297,"uris":["http://zotero.org/users/1165382/items/7J2RKPUZ"],"uri":["http://zotero.org/users/1165382/items/7J2RKPUZ"],"itemData":{"id":1297,"type":"article-journal","title":"Sexual activity and contraceptive use among children entering out-of-home care","container-title":"Child Welfare","page":"475-99","volume":"76","issue":"4","source":"ProQuest","abstract":"This study explored the prevalence of reported sexual activity of a cohort of children entering out-of-home care and the ability of selected factors to explain reported sexual activity and use or nonuse of contraceptives. It found that children as young as age 8 reported sexual activity, and that more than one-third of the children age 8 to 18 reported being sexually active. Of those who were sexually active, more than one-third were not using contraceptives. Using logistic regression, five variables are identified as having importance in explaining sexual activity. Two variables had some limited ability to explain contraceptive use. Implications of these findings are discussed and suggestions for policy and practice are made.","ISSN":"00094021","note":"00039","language":"English","author":[{"family":"Risley-Curtiss","given":"Christina"}],"issued":{"date-parts":[["1997",8]]}}}],"schema":"https://github.com/citation-style-language/schema/raw/master/csl-citation.json"} </w:instrText>
      </w:r>
      <w:r w:rsidRPr="00A32EED">
        <w:rPr>
          <w:rFonts w:eastAsia="Calibri"/>
          <w:color w:val="000000"/>
        </w:rPr>
        <w:fldChar w:fldCharType="separate"/>
      </w:r>
      <w:r w:rsidRPr="00A32EED">
        <w:rPr>
          <w:rFonts w:eastAsia="Calibri"/>
          <w:noProof/>
          <w:color w:val="000000"/>
        </w:rPr>
        <w:t>(James et al. 2009; Leslie et al. 2010; Risley-Curtiss 1997)</w:t>
      </w:r>
      <w:r w:rsidRPr="00A32EED">
        <w:rPr>
          <w:rFonts w:eastAsia="Calibri"/>
          <w:color w:val="000000"/>
        </w:rPr>
        <w:fldChar w:fldCharType="end"/>
      </w:r>
      <w:r w:rsidRPr="00A32EED">
        <w:rPr>
          <w:rFonts w:eastAsia="Calibri"/>
          <w:color w:val="000000"/>
        </w:rPr>
        <w:t xml:space="preserve">. However, some studies have found out of home placement to increase the odds of pregnancy. When comparing individuals with a history of out of home placements to both a random group and matched group from the National Survey of Families and Households (NSFH), youths with a history of out of home placements exhibited had more children than both the random and matched groups </w:t>
      </w:r>
      <w:r w:rsidRPr="00A32EED">
        <w:rPr>
          <w:rFonts w:eastAsia="Calibri"/>
          <w:color w:val="000000"/>
        </w:rPr>
        <w:fldChar w:fldCharType="begin"/>
      </w:r>
      <w:r w:rsidRPr="00A32EED">
        <w:rPr>
          <w:rFonts w:eastAsia="Calibri"/>
          <w:color w:val="000000"/>
        </w:rPr>
        <w:instrText xml:space="preserve"> ADDIN ZOTERO_ITEM CSL_CITATION {"citationID":"1l0e5gem5h","properties":{"formattedCitation":"(Buehler et al. 2000)","plainCitation":"(Buehler et al. 2000)"},"citationItems":[{"id":390,"uris":["http://zotero.org/users/1165382/items/PPU8AVXA"],"uri":["http://zotero.org/users/1165382/items/PPU8AVXA"],"itemData":{"id":390,"type":"article-journal","title":"The long-term correlates of family foster care","container-title":"Children and Youth Services Review","page":"595-625","volume":"22","issue":"8","source":"ScienceDirect","abstract":"The purpose of this paper is to examine long-term correlates of experiencing family foster care sometime before the age of 19. Subjects for the study were selected from participants in the 1988 National Survey of Families and Households. Three groups were compared: 101 adults experiencing family foster care, 101 adults selected at random, and 101 adults matched to those experiencing family foster care on age, race, gender, parent's educational attainment, and the presence of a stepparent. Within the areas of self-sufficiency, behavioral adjustment, family and social support, and personal well-being, 36 indicators of adult adjustment were examined. When compared with the adults in the randomly selected comparison group, adults experiencing family foster care were less adjusted on 20 of 36 indicators, particularly in the areas of education, economic well-being, marital relations, and community involvement. Adults in the foster care group were similar to the adults in the matched comparison group on almost all indicators of adjustment.","DOI":"10.1016/S0190-7409(00)00108-0","ISSN":"0190-7409","journalAbbreviation":"Children and Youth Services Review","author":[{"family":"Buehler","given":"Cheryl"},{"family":"Orme","given":"John G."},{"family":"Post","given":"James"},{"family":"Patterson","given":"David A."}],"issued":{"date-parts":[["2000",8]]}}}],"schema":"https://github.com/citation-style-language/schema/raw/master/csl-citation.json"} </w:instrText>
      </w:r>
      <w:r w:rsidRPr="00A32EED">
        <w:rPr>
          <w:rFonts w:eastAsia="Calibri"/>
          <w:color w:val="000000"/>
        </w:rPr>
        <w:fldChar w:fldCharType="separate"/>
      </w:r>
      <w:r w:rsidRPr="00A32EED">
        <w:rPr>
          <w:rFonts w:eastAsia="Calibri"/>
          <w:noProof/>
          <w:color w:val="000000"/>
        </w:rPr>
        <w:t>(Buehler et al. 2000)</w:t>
      </w:r>
      <w:r w:rsidRPr="00A32EED">
        <w:rPr>
          <w:rFonts w:eastAsia="Calibri"/>
          <w:color w:val="000000"/>
        </w:rPr>
        <w:fldChar w:fldCharType="end"/>
      </w:r>
      <w:r w:rsidRPr="00A32EED">
        <w:rPr>
          <w:rFonts w:eastAsia="Calibri"/>
          <w:color w:val="000000"/>
        </w:rPr>
        <w:t xml:space="preserve">. The matched group attempted to control for potential selection biases in the out of home placement group by matching on gender, race, age, father's educational attainment, mother's educational attainment, and living with a stepparent. Furthermore, placement instability, meaning a high number of placement moves while in child welfare custody, resulted in significantly higher pregnancy for foster youth who emancipated from care </w:t>
      </w:r>
      <w:r w:rsidRPr="00A32EED">
        <w:rPr>
          <w:rFonts w:eastAsia="Calibri"/>
          <w:color w:val="000000"/>
        </w:rPr>
        <w:fldChar w:fldCharType="begin"/>
      </w:r>
      <w:r w:rsidRPr="00A32EED">
        <w:rPr>
          <w:rFonts w:eastAsia="Calibri"/>
          <w:color w:val="000000"/>
        </w:rPr>
        <w:instrText xml:space="preserve"> ADDIN ZOTERO_ITEM CSL_CITATION {"citationID":"1bj1tgg8j3","properties":{"formattedCitation":"(Reilly 2003)","plainCitation":"(Reilly 2003)"},"citationItems":[{"id":233,"uris":["http://zotero.org/users/1165382/items/FDGTJRZD"],"uri":["http://zotero.org/users/1165382/items/FDGTJRZD"],"itemData":{"id":233,"type":"article-journal","title":"Transition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care","author":[{"family":"Reilly","given":"Thom"}],"issued":{"date-parts":[["2003"]]}}}],"schema":"https://github.com/citation-style-language/schema/raw/master/csl-citation.json"} </w:instrText>
      </w:r>
      <w:r w:rsidRPr="00A32EED">
        <w:rPr>
          <w:rFonts w:eastAsia="Calibri"/>
          <w:color w:val="000000"/>
        </w:rPr>
        <w:fldChar w:fldCharType="separate"/>
      </w:r>
      <w:r w:rsidRPr="00A32EED">
        <w:rPr>
          <w:rFonts w:eastAsia="Calibri"/>
          <w:noProof/>
          <w:color w:val="000000"/>
        </w:rPr>
        <w:t>(Reilly 2003)</w:t>
      </w:r>
      <w:r w:rsidRPr="00A32EED">
        <w:rPr>
          <w:rFonts w:eastAsia="Calibri"/>
          <w:color w:val="000000"/>
        </w:rPr>
        <w:fldChar w:fldCharType="end"/>
      </w:r>
      <w:r w:rsidRPr="00A32EED">
        <w:rPr>
          <w:rFonts w:eastAsia="Calibri"/>
          <w:color w:val="000000"/>
        </w:rPr>
        <w:t xml:space="preserve">. When examining pregnancy rates among former foster youth, there were no significant differences when comparing those who were reunified and those who were not reunified </w:t>
      </w:r>
      <w:r w:rsidRPr="00A32EED">
        <w:rPr>
          <w:rFonts w:eastAsia="Calibri"/>
          <w:color w:val="000000"/>
        </w:rPr>
        <w:fldChar w:fldCharType="begin"/>
      </w:r>
      <w:r w:rsidRPr="00A32EED">
        <w:rPr>
          <w:rFonts w:eastAsia="Calibri"/>
          <w:color w:val="000000"/>
        </w:rPr>
        <w:instrText xml:space="preserve"> ADDIN ZOTERO_ITEM CSL_CITATION {"citationID":"2mbve9i6km","properties":{"formattedCitation":"(Taussig et al. 2001)","plainCitation":"(Taussig et al. 2001)"},"citationItems":[{"id":1250,"uris":["http://zotero.org/users/1165382/items/H5PADUN9"],"uri":["http://zotero.org/users/1165382/items/H5PADUN9"],"itemData":{"id":1250,"type":"article-journal","title":"Children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B."},{"family":"Landsverk","given":"J."}],"issued":{"date-parts":[["2001",7]]}}}],"schema":"https://github.com/citation-style-language/schema/raw/master/csl-citation.json"} </w:instrText>
      </w:r>
      <w:r w:rsidRPr="00A32EED">
        <w:rPr>
          <w:rFonts w:eastAsia="Calibri"/>
          <w:color w:val="000000"/>
        </w:rPr>
        <w:fldChar w:fldCharType="separate"/>
      </w:r>
      <w:r w:rsidRPr="00A32EED">
        <w:rPr>
          <w:rFonts w:eastAsia="Calibri"/>
          <w:noProof/>
          <w:color w:val="000000"/>
        </w:rPr>
        <w:t>(Taussig et al. 2001)</w:t>
      </w:r>
      <w:r w:rsidRPr="00A32EED">
        <w:rPr>
          <w:rFonts w:eastAsia="Calibri"/>
          <w:color w:val="000000"/>
        </w:rPr>
        <w:fldChar w:fldCharType="end"/>
      </w:r>
      <w:r w:rsidRPr="00A32EED">
        <w:rPr>
          <w:rFonts w:eastAsia="Calibri"/>
          <w:color w:val="000000"/>
        </w:rPr>
        <w:t xml:space="preserve">. </w:t>
      </w:r>
    </w:p>
    <w:p w14:paraId="757E14FE" w14:textId="77777777" w:rsidR="004C4C39" w:rsidRPr="00A32EED" w:rsidRDefault="004C4C39" w:rsidP="004C4C39">
      <w:pPr>
        <w:spacing w:after="0" w:line="480" w:lineRule="auto"/>
        <w:ind w:firstLine="720"/>
        <w:rPr>
          <w:rFonts w:eastAsia="Calibri"/>
          <w:color w:val="000000"/>
        </w:rPr>
      </w:pPr>
      <w:r w:rsidRPr="00A32EED">
        <w:rPr>
          <w:rFonts w:eastAsia="Calibri"/>
          <w:color w:val="000000"/>
        </w:rPr>
        <w:t xml:space="preserve">A group warranting special attention are those youths who emancipate from care. These youths turn 18 while in care and then leave care independently. According to the Children’s Bureau, permanency is the ideal outcome for youth in care. Permanency involves placement with the child’s biological family or another permanent family setting </w:t>
      </w:r>
      <w:r w:rsidRPr="00A32EED">
        <w:rPr>
          <w:rFonts w:eastAsia="Calibri"/>
          <w:color w:val="000000"/>
        </w:rPr>
        <w:fldChar w:fldCharType="begin"/>
      </w:r>
      <w:r w:rsidRPr="00A32EED">
        <w:rPr>
          <w:rFonts w:eastAsia="Calibri"/>
          <w:color w:val="000000"/>
        </w:rPr>
        <w:instrText xml:space="preserve"> ADDIN ZOTERO_ITEM CSL_CITATION {"citationID":"1frvbh7vj7","properties":{"formattedCitation":"(Child Welfare Information Gateway 2010)","plainCitation":"(Child Welfare Information Gateway 2010)"},"citationItems":[{"id":232,"uris":["http://zotero.org/users/1165382/items/F4Z8U4EF"],"uri":["http://zotero.org/users/1165382/items/F4Z8U4EF"],"itemData":{"id":232,"type":"webpage","title":"Definitions of Child Abuse and Neglect in Federal Law - Child Welfare Information Gateway","URL":"https://www.childwelfare.gov/topics/can/defining/federal/","note":"00000","author":[{"literal":"Child Welfare Information Gateway"}],"issued":{"date-parts":[["2010"]]},"accessed":{"date-parts":[["2016",4,13]]}}}],"schema":"https://github.com/citation-style-language/schema/raw/master/csl-citation.json"} </w:instrText>
      </w:r>
      <w:r w:rsidRPr="00A32EED">
        <w:rPr>
          <w:rFonts w:eastAsia="Calibri"/>
          <w:color w:val="000000"/>
        </w:rPr>
        <w:fldChar w:fldCharType="separate"/>
      </w:r>
      <w:r w:rsidRPr="00A32EED">
        <w:rPr>
          <w:rFonts w:eastAsia="Calibri"/>
          <w:noProof/>
          <w:color w:val="000000"/>
        </w:rPr>
        <w:t>(Child Welfare Information Gateway 2010)</w:t>
      </w:r>
      <w:r w:rsidRPr="00A32EED">
        <w:rPr>
          <w:rFonts w:eastAsia="Calibri"/>
          <w:color w:val="000000"/>
        </w:rPr>
        <w:fldChar w:fldCharType="end"/>
      </w:r>
      <w:r w:rsidRPr="00A32EED">
        <w:rPr>
          <w:rFonts w:eastAsia="Calibri"/>
          <w:color w:val="000000"/>
        </w:rPr>
        <w:t xml:space="preserve">. For youths who emancipate from care, permanency is not achieved. Furthermore, emancipated youth are typically at higher risk for a host </w:t>
      </w:r>
      <w:r w:rsidRPr="00A32EED">
        <w:rPr>
          <w:rFonts w:eastAsia="Calibri"/>
          <w:color w:val="000000"/>
        </w:rPr>
        <w:lastRenderedPageBreak/>
        <w:t xml:space="preserve">of negative life outcomes, including risky sexual behaviors. For example, one study finds that youth who emancipate from care are more than twice as likely to engage in some form of risky sexual behavior when compared to similar peers </w:t>
      </w:r>
      <w:r w:rsidRPr="00A32EED">
        <w:rPr>
          <w:rFonts w:eastAsia="Calibri"/>
          <w:color w:val="000000"/>
        </w:rPr>
        <w:fldChar w:fldCharType="begin"/>
      </w:r>
      <w:r w:rsidRPr="00A32EED">
        <w:rPr>
          <w:rFonts w:eastAsia="Calibri"/>
          <w:color w:val="000000"/>
        </w:rPr>
        <w:instrText xml:space="preserve"> ADDIN ZOTERO_ITEM CSL_CITATION {"citationID":"usn1ch4jl","properties":{"formattedCitation":"(Love et al. 2005)","plainCitation":"(Love et al. 2005)"},"citationItems":[{"id":1302,"uris":["http://zotero.org/users/1165382/items/KU9EK3SW"],"uri":["http://zotero.org/users/1165382/items/KU9EK3SW"],"itemData":{"id":1302,"type":"article-journal","title":"Fostering hope: preventing teen pregnancy among youth in foster care.","source":"Google Scholar","URL":"http://www.popline.org/node/265160","note":"00052","shortTitle":"Fostering hope","author":[{"family":"Love","given":"Lois Thiessen"},{"family":"McIntosh","given":"J."},{"family":"Rosst","given":"M."},{"family":"Tertzakian","given":"K."}],"issued":{"date-parts":[["2005"]]},"accessed":{"date-parts":[["2016",6,15]]}}}],"schema":"https://github.com/citation-style-language/schema/raw/master/csl-citation.json"} </w:instrText>
      </w:r>
      <w:r w:rsidRPr="00A32EED">
        <w:rPr>
          <w:rFonts w:eastAsia="Calibri"/>
          <w:color w:val="000000"/>
        </w:rPr>
        <w:fldChar w:fldCharType="separate"/>
      </w:r>
      <w:r w:rsidRPr="00A32EED">
        <w:rPr>
          <w:rFonts w:eastAsia="Calibri"/>
          <w:noProof/>
          <w:color w:val="000000"/>
        </w:rPr>
        <w:t>(Love et al. 2005)</w:t>
      </w:r>
      <w:r w:rsidRPr="00A32EED">
        <w:rPr>
          <w:rFonts w:eastAsia="Calibri"/>
          <w:color w:val="000000"/>
        </w:rPr>
        <w:fldChar w:fldCharType="end"/>
      </w:r>
      <w:r w:rsidRPr="00A32EED">
        <w:rPr>
          <w:rFonts w:eastAsia="Calibri"/>
          <w:color w:val="000000"/>
        </w:rPr>
        <w:t xml:space="preserve">. Additionally, youths who age out of care also use contraception at significantly lower rates than their peers </w:t>
      </w:r>
      <w:r w:rsidRPr="00A32EED">
        <w:rPr>
          <w:rFonts w:eastAsia="Calibri"/>
          <w:color w:val="000000"/>
        </w:rPr>
        <w:fldChar w:fldCharType="begin"/>
      </w:r>
      <w:r w:rsidRPr="00A32EED">
        <w:rPr>
          <w:rFonts w:eastAsia="Calibri"/>
          <w:color w:val="000000"/>
        </w:rPr>
        <w:instrText xml:space="preserve"> ADDIN ZOTERO_ITEM CSL_CITATION {"citationID":"195cs46pe4","properties":{"formattedCitation":"(Stott 2011)","plainCitation":"(Stott 2011)"},"citationItems":[{"id":1286,"uris":["http://zotero.org/users/1165382/items/4VHQNHA7"],"uri":["http://zotero.org/users/1165382/items/4VHQNHA7"],"itemData":{"id":1286,"type":"article-journal","title":"Placement Instability and Risky Behaviors of Youth Aging Out of Foster Care","container-title":"Child and Adolescent Social Work Journal","page":"61-83","volume":"29","issue":"1","source":"link.springer.com","abstract":"Youth who age out of foster care are at risk of poor outcomes and risky behaviors in young adulthood. Yet, little is known about what child welfare workers can do to decrease these risks. The effect of foster care placement instability on substance use and risky sexual behaviors is examined using data from 114 young adults who aged out of care. When controlling for variables commonly associated with these behaviors, a history of foster care placement instability increased the young adults’ likelihood to use substances. Child welfare practitioners could potentially reduce the vulnerability of this population by providing them greater stability during adolescence.","DOI":"10.1007/s10560-011-0247-8","ISSN":"0738-0151, 1573-2797","note":"00043","journalAbbreviation":"Child Adolesc Soc Work J","language":"en","author":[{"family":"Stott","given":"Tonia"}],"issued":{"date-parts":[["2011",9,8]]}}}],"schema":"https://github.com/citation-style-language/schema/raw/master/csl-citation.json"} </w:instrText>
      </w:r>
      <w:r w:rsidRPr="00A32EED">
        <w:rPr>
          <w:rFonts w:eastAsia="Calibri"/>
          <w:color w:val="000000"/>
        </w:rPr>
        <w:fldChar w:fldCharType="separate"/>
      </w:r>
      <w:r w:rsidRPr="00A32EED">
        <w:rPr>
          <w:rFonts w:eastAsia="Calibri"/>
          <w:noProof/>
          <w:color w:val="000000"/>
        </w:rPr>
        <w:t>(Stott 2011)</w:t>
      </w:r>
      <w:r w:rsidRPr="00A32EED">
        <w:rPr>
          <w:rFonts w:eastAsia="Calibri"/>
          <w:color w:val="000000"/>
        </w:rPr>
        <w:fldChar w:fldCharType="end"/>
      </w:r>
      <w:r w:rsidRPr="00A32EED">
        <w:rPr>
          <w:rFonts w:eastAsia="Calibri"/>
          <w:color w:val="000000"/>
        </w:rPr>
        <w:t xml:space="preserve">. Unsurprisingly, youths who emancipate from care also have higher pregnancy rates. Multiple studies show youth who emancipate from care have significantly higher pregnancy rates </w:t>
      </w:r>
      <w:r w:rsidRPr="00A32EED">
        <w:rPr>
          <w:rFonts w:eastAsia="Calibri"/>
          <w:color w:val="000000"/>
        </w:rPr>
        <w:fldChar w:fldCharType="begin"/>
      </w:r>
      <w:r w:rsidRPr="00A32EED">
        <w:rPr>
          <w:rFonts w:eastAsia="Calibri"/>
          <w:color w:val="000000"/>
        </w:rPr>
        <w:instrText xml:space="preserve"> ADDIN ZOTERO_ITEM CSL_CITATION {"citationID":"20ur0prjmc","properties":{"formattedCitation":"(M. E. Courtney, Terao, and Bost 2004; Reilly 2003; Stott 2011)","plainCitation":"(M. E. Courtney, Terao, and Bost 2004; Reilly 2003; Stott 2011)"},"citationItems":[{"id":1306,"uris":["http://zotero.org/users/1165382/items/H9G3C68A"],"uri":["http://zotero.org/users/1165382/items/H9G3C68A"],"itemData":{"id":1306,"type":"article-journal","title":"Midwest evaluation of the adult functioning of former foster youth wave 1: Three state findings","container-title":"Chicago: Chapin Hall Center for Children at the University of Chicago.[Links]","source":"Google Scholar","note":"00011","shortTitle":"Midwest evaluation of the adult functioning of former foster youth wave 1","author":[{"family":"Courtney","given":"M. E."},{"family":"Terao","given":"S."},{"family":"Bost","given":"N."}],"issued":{"date-parts":[["2004"]]}}},{"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id":1286,"uris":["http://zotero.org/users/1165382/items/4VHQNHA7"],"uri":["http://zotero.org/users/1165382/items/4VHQNHA7"],"itemData":{"id":1286,"type":"article-journal","title":"Placement Instability and Risky Behaviors of Youth Aging Out of Foster Care","container-title":"Child and Adolescent Social Work Journal","page":"61-83","volume":"29","issue":"1","source":"link.springer.com","abstract":"Youth who age out of foster care are at risk of poor outcomes and risky behaviors in young adulthood. Yet, little is known about what child welfare workers can do to decrease these risks. The effect of foster care placement instability on substance use and risky sexual behaviors is examined using data from 114 young adults who aged out of care. When controlling for variables commonly associated with these behaviors, a history of foster care placement instability increased the young adults’ likelihood to use substances. Child welfare practitioners could potentially reduce the vulnerability of this population by providing them greater stability during adolescence.","DOI":"10.1007/s10560-011-0247-8","ISSN":"0738-0151, 1573-2797","note":"00043","journalAbbreviation":"Child Adolesc Soc Work J","language":"en","author":[{"family":"Stott","given":"Tonia"}],"issued":{"date-parts":[["2011",9,8]]}}}],"schema":"https://github.com/citation-style-language/schema/raw/master/csl-citation.json"} </w:instrText>
      </w:r>
      <w:r w:rsidRPr="00A32EED">
        <w:rPr>
          <w:rFonts w:eastAsia="Calibri"/>
          <w:color w:val="000000"/>
        </w:rPr>
        <w:fldChar w:fldCharType="separate"/>
      </w:r>
      <w:r w:rsidRPr="00A32EED">
        <w:rPr>
          <w:rFonts w:eastAsia="Calibri"/>
          <w:noProof/>
          <w:color w:val="000000"/>
        </w:rPr>
        <w:t>(M. E. Courtney, Terao, and Bost 2004; Reilly 2003; Stott 2011)</w:t>
      </w:r>
      <w:r w:rsidRPr="00A32EED">
        <w:rPr>
          <w:rFonts w:eastAsia="Calibri"/>
          <w:color w:val="000000"/>
        </w:rPr>
        <w:fldChar w:fldCharType="end"/>
      </w:r>
      <w:r w:rsidRPr="00A32EED">
        <w:rPr>
          <w:rFonts w:eastAsia="Calibri"/>
          <w:color w:val="000000"/>
        </w:rPr>
        <w:t xml:space="preserve">. In a study of 18-24-year-olds who aged out of care in Utah, 31% of women reported giving birth within three years of aging out </w:t>
      </w:r>
      <w:r w:rsidRPr="00A32EED">
        <w:rPr>
          <w:rFonts w:eastAsia="Calibri"/>
          <w:color w:val="000000"/>
        </w:rPr>
        <w:fldChar w:fldCharType="begin"/>
      </w:r>
      <w:r w:rsidRPr="00A32EED">
        <w:rPr>
          <w:rFonts w:eastAsia="Calibri"/>
          <w:color w:val="000000"/>
        </w:rPr>
        <w:instrText xml:space="preserve"> ADDIN ZOTERO_ITEM CSL_CITATION {"citationID":"re0oegvbk","properties":{"formattedCitation":"(Singer 2006)","plainCitation":"(Singer 2006)"},"citationItems":[{"id":380,"uris":["http://zotero.org/users/1165382/items/E464PWVU"],"uri":["http://zotero.org/users/1165382/items/E464PWVU"],"itemData":{"id":380,"type":"article-journal","title":"Assessing outcomes of youth transitioning from foster care","container-title":"Salt Lake City, UT: Department of Human Services","source":"Google Scholar","author":[{"family":"Singer","given":"Amanda"}],"issued":{"date-parts":[["2006"]]}}}],"schema":"https://github.com/citation-style-language/schema/raw/master/csl-citation.json"} </w:instrText>
      </w:r>
      <w:r w:rsidRPr="00A32EED">
        <w:rPr>
          <w:rFonts w:eastAsia="Calibri"/>
          <w:color w:val="000000"/>
        </w:rPr>
        <w:fldChar w:fldCharType="separate"/>
      </w:r>
      <w:r w:rsidRPr="00A32EED">
        <w:rPr>
          <w:rFonts w:eastAsia="Calibri"/>
          <w:noProof/>
          <w:color w:val="000000"/>
        </w:rPr>
        <w:t>(Singer 2006)</w:t>
      </w:r>
      <w:r w:rsidRPr="00A32EED">
        <w:rPr>
          <w:rFonts w:eastAsia="Calibri"/>
          <w:color w:val="000000"/>
        </w:rPr>
        <w:fldChar w:fldCharType="end"/>
      </w:r>
      <w:r w:rsidRPr="00A32EED">
        <w:rPr>
          <w:rFonts w:eastAsia="Calibri"/>
          <w:color w:val="000000"/>
        </w:rPr>
        <w:t xml:space="preserve">. Their birth rate was approximately three times higher than birthrate of that age group in the general population. Additionally, youth who emancipate from care are also at higher risk for earlier sexual initiation </w:t>
      </w:r>
      <w:r w:rsidRPr="00A32EED">
        <w:rPr>
          <w:rFonts w:eastAsia="Calibri"/>
          <w:color w:val="000000"/>
        </w:rPr>
        <w:fldChar w:fldCharType="begin"/>
      </w:r>
      <w:r w:rsidRPr="00A32EED">
        <w:rPr>
          <w:rFonts w:eastAsia="Calibri"/>
          <w:color w:val="000000"/>
        </w:rPr>
        <w:instrText xml:space="preserve"> ADDIN ZOTERO_ITEM CSL_CITATION {"citationID":"p9ub2l440","properties":{"formattedCitation":"(Stott 2011)","plainCitation":"(Stott 2011)"},"citationItems":[{"id":1286,"uris":["http://zotero.org/users/1165382/items/4VHQNHA7"],"uri":["http://zotero.org/users/1165382/items/4VHQNHA7"],"itemData":{"id":1286,"type":"article-journal","title":"Placement Instability and Risky Behaviors of Youth Aging Out of Foster Care","container-title":"Child and Adolescent Social Work Journal","page":"61-83","volume":"29","issue":"1","source":"link.springer.com","abstract":"Youth who age out of foster care are at risk of poor outcomes and risky behaviors in young adulthood. Yet, little is known about what child welfare workers can do to decrease these risks. The effect of foster care placement instability on substance use and risky sexual behaviors is examined using data from 114 young adults who aged out of care. When controlling for variables commonly associated with these behaviors, a history of foster care placement instability increased the young adults’ likelihood to use substances. Child welfare practitioners could potentially reduce the vulnerability of this population by providing them greater stability during adolescence.","DOI":"10.1007/s10560-011-0247-8","ISSN":"0738-0151, 1573-2797","note":"00043","journalAbbreviation":"Child Adolesc Soc Work J","language":"en","author":[{"family":"Stott","given":"Tonia"}],"issued":{"date-parts":[["2011",9,8]]}}}],"schema":"https://github.com/citation-style-language/schema/raw/master/csl-citation.json"} </w:instrText>
      </w:r>
      <w:r w:rsidRPr="00A32EED">
        <w:rPr>
          <w:rFonts w:eastAsia="Calibri"/>
          <w:color w:val="000000"/>
        </w:rPr>
        <w:fldChar w:fldCharType="separate"/>
      </w:r>
      <w:r w:rsidRPr="00A32EED">
        <w:rPr>
          <w:rFonts w:eastAsia="Calibri"/>
          <w:noProof/>
          <w:color w:val="000000"/>
        </w:rPr>
        <w:t>(Stott 2011)</w:t>
      </w:r>
      <w:r w:rsidRPr="00A32EED">
        <w:rPr>
          <w:rFonts w:eastAsia="Calibri"/>
          <w:color w:val="000000"/>
        </w:rPr>
        <w:fldChar w:fldCharType="end"/>
      </w:r>
      <w:r w:rsidRPr="00A32EED">
        <w:rPr>
          <w:rFonts w:eastAsia="Calibri"/>
          <w:color w:val="000000"/>
        </w:rPr>
        <w:t>.</w:t>
      </w:r>
    </w:p>
    <w:p w14:paraId="00F853CF" w14:textId="77777777" w:rsidR="004C4C39" w:rsidRPr="00A32EED" w:rsidRDefault="004C4C39" w:rsidP="004C4C39">
      <w:pPr>
        <w:spacing w:after="0" w:line="480" w:lineRule="auto"/>
        <w:ind w:firstLine="720"/>
        <w:rPr>
          <w:rFonts w:eastAsia="Calibri"/>
        </w:rPr>
      </w:pPr>
      <w:r w:rsidRPr="00A32EED">
        <w:rPr>
          <w:rFonts w:eastAsia="Calibri"/>
          <w:color w:val="000000"/>
        </w:rPr>
        <w:t xml:space="preserve">Youth who emancipate are such a high-risk population that there are some datasets that focus solely on emancipated youth. The Midwest Evaluation of the Adult Functioning of Former Foster Youth which is a longitudinal study following the outcomes of youth in three Midwest states as they transition out of foster care. So far outcomes for participants in the Midwest Study have been collected through the age of 26. The Midwest Study data have been used to compare outcomes of these emancipated youth to their peers in nationally representative samples such as The National Longitudinal Study of Adolescent to Adult Health (Add Health). Regarding pregnancy rates, individuals in the Midwest Study have significantly higher pregnancy rates than similar youth in </w:t>
      </w:r>
      <w:r w:rsidRPr="00A32EED">
        <w:rPr>
          <w:rFonts w:eastAsia="Calibri"/>
          <w:color w:val="000000"/>
        </w:rPr>
        <w:lastRenderedPageBreak/>
        <w:t xml:space="preserve">the Add Health data </w:t>
      </w:r>
      <w:r w:rsidRPr="00A32EED">
        <w:rPr>
          <w:rFonts w:eastAsia="Calibri"/>
          <w:color w:val="000000"/>
        </w:rPr>
        <w:fldChar w:fldCharType="begin"/>
      </w:r>
      <w:r w:rsidRPr="00A32EED">
        <w:rPr>
          <w:rFonts w:eastAsia="Calibri"/>
          <w:color w:val="000000"/>
        </w:rPr>
        <w:instrText xml:space="preserve"> ADDIN ZOTERO_ITEM CSL_CITATION {"citationID":"8vvtrqa2n","properties":{"formattedCitation":"(M. E. Courtney et al. 2004)","plainCitation":"(M. E. Courtney et al. 2004)"},"citationItems":[{"id":1306,"uris":["http://zotero.org/users/1165382/items/H9G3C68A"],"uri":["http://zotero.org/users/1165382/items/H9G3C68A"],"itemData":{"id":1306,"type":"article-journal","title":"Midwest evaluation of the adult functioning of former foster youth wave 1: Three state findings","container-title":"Chicago: Chapin Hall Center for Children at the University of Chicago.[Links]","source":"Google Scholar","note":"00011","shortTitle":"Midwest evaluation of the adult functioning of former foster youth wave 1","author":[{"family":"Courtney","given":"M. E."},{"family":"Terao","given":"S."},{"family":"Bost","given":"N."}],"issued":{"date-parts":[["2004"]]}}}],"schema":"https://github.com/citation-style-language/schema/raw/master/csl-citation.json"} </w:instrText>
      </w:r>
      <w:r w:rsidRPr="00A32EED">
        <w:rPr>
          <w:rFonts w:eastAsia="Calibri"/>
          <w:color w:val="000000"/>
        </w:rPr>
        <w:fldChar w:fldCharType="separate"/>
      </w:r>
      <w:r w:rsidRPr="00A32EED">
        <w:rPr>
          <w:rFonts w:eastAsia="Calibri"/>
          <w:noProof/>
          <w:color w:val="000000"/>
        </w:rPr>
        <w:t>(M. E. Courtney et al. 2004)</w:t>
      </w:r>
      <w:r w:rsidRPr="00A32EED">
        <w:rPr>
          <w:rFonts w:eastAsia="Calibri"/>
          <w:color w:val="000000"/>
        </w:rPr>
        <w:fldChar w:fldCharType="end"/>
      </w:r>
      <w:r w:rsidRPr="00A32EED">
        <w:rPr>
          <w:rFonts w:eastAsia="Calibri"/>
          <w:color w:val="000000"/>
        </w:rPr>
        <w:t xml:space="preserve">. When comparing outcomes of males from the Midwest study at age 21 to similar Add Health males, the Midwest Study males were more likely to have had intercourse, less likely to have used birth control, and more likely to have been paid by someone to have sex </w:t>
      </w:r>
      <w:r w:rsidRPr="00A32EED">
        <w:rPr>
          <w:rFonts w:eastAsia="Calibri"/>
          <w:color w:val="000000"/>
        </w:rPr>
        <w:fldChar w:fldCharType="begin"/>
      </w:r>
      <w:r w:rsidRPr="00A32EED">
        <w:rPr>
          <w:rFonts w:eastAsia="Calibri"/>
          <w:color w:val="000000"/>
        </w:rPr>
        <w:instrText xml:space="preserve"> ADDIN ZOTERO_ITEM CSL_CITATION {"citationID":"teo7hq59k","properties":{"formattedCitation":"(Courtney et al. 2007)","plainCitation":"(Courtney et al. 2007)"},"citationItems":[{"id":394,"uris":["http://zotero.org/users/1165382/items/WIJTDU9D"],"uri":["http://zotero.org/users/1165382/items/WIJTDU9D"],"itemData":{"id":394,"type":"article-journal","title":"Midwest Evaluation of the Adult Functioning of Former Foster Youth: outcomes at age 21","container-title":"Social Work Faculty Publications and Presentations","URL":"http://pdxscholar.library.pdx.edu/socwork_fac/60","shortTitle":"Midwest Evaluation of the Adult Functioning of Former Foster Youth","author":[{"family":"Courtney","given":"Mark"},{"family":"Dworsky","given":"Amy"},{"family":"Cusick","given":"Gretchen"},{"family":"Havlicek","given":"Judy"},{"family":"Perez","given":"Alfred"},{"family":"Keller","given":"Thomas"}],"issued":{"date-parts":[["2007",12,1]]}}}],"schema":"https://github.com/citation-style-language/schema/raw/master/csl-citation.json"} </w:instrText>
      </w:r>
      <w:r w:rsidRPr="00A32EED">
        <w:rPr>
          <w:rFonts w:eastAsia="Calibri"/>
          <w:color w:val="000000"/>
        </w:rPr>
        <w:fldChar w:fldCharType="separate"/>
      </w:r>
      <w:r w:rsidRPr="00A32EED">
        <w:rPr>
          <w:rFonts w:eastAsia="Calibri"/>
          <w:noProof/>
          <w:color w:val="000000"/>
        </w:rPr>
        <w:t>(Courtney et al. 2007)</w:t>
      </w:r>
      <w:r w:rsidRPr="00A32EED">
        <w:rPr>
          <w:rFonts w:eastAsia="Calibri"/>
          <w:color w:val="000000"/>
        </w:rPr>
        <w:fldChar w:fldCharType="end"/>
      </w:r>
      <w:r w:rsidRPr="00A32EED">
        <w:rPr>
          <w:rFonts w:eastAsia="Calibri"/>
          <w:color w:val="000000"/>
        </w:rPr>
        <w:t xml:space="preserve">. Additionally, females from the Midwest Study were more likely to have ever had sexual intercourse, more likely to have engaged in behaviors that put them at risk for becoming pregnant, and contracting an STI when compared to similar Add Health females. Each of these comparisons taken together suggest that youth with a child welfare experience that leads to emancipation are more likely to engage in risky sexual behavior. </w:t>
      </w:r>
    </w:p>
    <w:p w14:paraId="51B3CAB2"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7" w:name="_Toc464640994"/>
      <w:bookmarkStart w:id="18" w:name="_Toc479938145"/>
      <w:bookmarkStart w:id="19" w:name="_Toc482112674"/>
      <w:r w:rsidRPr="00A32EED">
        <w:rPr>
          <w:rFonts w:eastAsia="ＭＳ ゴシック"/>
          <w:i/>
          <w:color w:val="000000"/>
          <w:szCs w:val="26"/>
          <w:u w:val="single"/>
        </w:rPr>
        <w:t>Self-Reported Offending</w:t>
      </w:r>
      <w:bookmarkEnd w:id="17"/>
      <w:bookmarkEnd w:id="18"/>
      <w:bookmarkEnd w:id="19"/>
      <w:r w:rsidRPr="00A32EED">
        <w:rPr>
          <w:rFonts w:eastAsia="ＭＳ ゴシック"/>
          <w:i/>
          <w:color w:val="000000"/>
          <w:szCs w:val="26"/>
          <w:u w:val="single"/>
        </w:rPr>
        <w:t xml:space="preserve"> </w:t>
      </w:r>
    </w:p>
    <w:p w14:paraId="7973E5BB" w14:textId="77777777" w:rsidR="004C4C39" w:rsidRPr="00A32EED" w:rsidRDefault="004C4C39" w:rsidP="004C4C39">
      <w:pPr>
        <w:spacing w:after="0" w:line="480" w:lineRule="auto"/>
        <w:rPr>
          <w:rFonts w:eastAsia="Calibri"/>
        </w:rPr>
      </w:pPr>
      <w:r w:rsidRPr="00A32EED">
        <w:rPr>
          <w:rFonts w:eastAsia="Calibri"/>
          <w:i/>
        </w:rPr>
        <w:tab/>
      </w:r>
      <w:r w:rsidRPr="00A32EED">
        <w:rPr>
          <w:rFonts w:eastAsia="Calibri"/>
        </w:rPr>
        <w:t xml:space="preserve">The following section will provide an overview of research regarding child maltreatment, child welfare experiences, and self-reported offending. Self-report offending measures are collected from the respondent and pertain to criminal or deviant behavior they have participated in within a given time frame. Self-reported measures of offending have the advantage of not requiring additional data collection from new agencies and may, in fact, provide a more accurate assessment of individual’s involvement in criminal and delinquent behavior. Additionally, previous research shows that overall, self-report and official records have similar levels of validity </w:t>
      </w:r>
      <w:r w:rsidRPr="00A32EED">
        <w:rPr>
          <w:rFonts w:eastAsia="Calibri"/>
        </w:rPr>
        <w:fldChar w:fldCharType="begin"/>
      </w:r>
      <w:r w:rsidRPr="00A32EED">
        <w:rPr>
          <w:rFonts w:eastAsia="Calibri"/>
        </w:rPr>
        <w:instrText xml:space="preserve"> ADDIN ZOTERO_ITEM CSL_CITATION {"citationID":"b084pcgrh","properties":{"formattedCitation":"(Maxfield, Weiler, and Widom 2000)","plainCitation":"(Maxfield, Weiler, and Widom 2000)"},"citationItems":[{"id":40,"uris":["http://zotero.org/users/1165382/items/3MWZZXKU"],"uri":["http://zotero.org/users/1165382/items/3MWZZXKU"],"itemData":{"id":40,"type":"article-journal","title":"Comparing Self-Reports and Official Records of Arrests","container-title":"Journal of Quantitative Criminology","page":"87-110","volume":"16","issue":"1","source":"link.springer.com","abstract":"We compared measures of self-reported arrests and official arrests for 676young adults with a history of child abuse and/or neglect and 520 nonabusedand nonneglected controls matched on age, sex, race, and approximate familysocial class. Findings reveal considerable concurrent validity between thetwo sources overall. But there is also evidence of differences by gender,race/ethnicity, age at time of arrest, conviction status, and type ofoffense. Abused and neglected subjects did not appear to differ from thecontrol group in the extent of underreporting of known offenses, however,the groups did differ in the degree of “positive bias”—offensesnot found in arrest records. Abused/neglected subjects self-reportedproportionately more offenses not known to police compared to controls. Thisresult suggests that findings from previous studies on the relationshipbetween childhood victimization and later criminality, as measured byarrests, may have underestimated the magnitude of this relationship.","DOI":"10.1023/A:1007577512038","ISSN":"0748-4518, 1573-7799","journalAbbreviation":"Journal of Quantitative Criminology","language":"en","author":[{"family":"Maxfield","given":"Michael G."},{"family":"Weiler","given":"Barbara Luntz"},{"family":"Widom","given":"Cathy Spatz"}],"issued":{"date-parts":[["2000",3]]}}}],"schema":"https://github.com/citation-style-language/schema/raw/master/csl-citation.json"} </w:instrText>
      </w:r>
      <w:r w:rsidRPr="00A32EED">
        <w:rPr>
          <w:rFonts w:eastAsia="Calibri"/>
        </w:rPr>
        <w:fldChar w:fldCharType="separate"/>
      </w:r>
      <w:r w:rsidRPr="00A32EED">
        <w:rPr>
          <w:rFonts w:eastAsia="Calibri"/>
          <w:noProof/>
        </w:rPr>
        <w:t>(Maxfield, Weiler, and Widom 2000)</w:t>
      </w:r>
      <w:r w:rsidRPr="00A32EED">
        <w:rPr>
          <w:rFonts w:eastAsia="Calibri"/>
        </w:rPr>
        <w:fldChar w:fldCharType="end"/>
      </w:r>
      <w:r w:rsidRPr="00A32EED">
        <w:rPr>
          <w:rFonts w:eastAsia="Calibri"/>
        </w:rPr>
        <w:t xml:space="preserve">. </w:t>
      </w:r>
    </w:p>
    <w:p w14:paraId="6E411EC8" w14:textId="77777777" w:rsidR="004C4C39" w:rsidRPr="00A32EED" w:rsidRDefault="004C4C39" w:rsidP="004C4C39">
      <w:pPr>
        <w:keepNext/>
        <w:keepLines/>
        <w:spacing w:before="40" w:after="0" w:line="480" w:lineRule="auto"/>
        <w:outlineLvl w:val="2"/>
        <w:rPr>
          <w:rFonts w:eastAsia="ＭＳ ゴシック"/>
          <w:i/>
          <w:color w:val="000000"/>
        </w:rPr>
      </w:pPr>
      <w:bookmarkStart w:id="20" w:name="_Toc464640995"/>
      <w:bookmarkStart w:id="21" w:name="_Toc479938146"/>
      <w:bookmarkStart w:id="22" w:name="_Toc482112675"/>
      <w:r w:rsidRPr="00A32EED">
        <w:rPr>
          <w:rFonts w:eastAsia="ＭＳ ゴシック"/>
          <w:i/>
          <w:color w:val="000000"/>
        </w:rPr>
        <w:t>Child Maltreatment and Juvenile Delinquency</w:t>
      </w:r>
      <w:bookmarkEnd w:id="20"/>
      <w:bookmarkEnd w:id="21"/>
      <w:bookmarkEnd w:id="22"/>
      <w:r w:rsidRPr="00A32EED">
        <w:rPr>
          <w:rFonts w:eastAsia="ＭＳ ゴシック"/>
          <w:i/>
          <w:color w:val="000000"/>
        </w:rPr>
        <w:t xml:space="preserve"> </w:t>
      </w:r>
    </w:p>
    <w:p w14:paraId="5346D591" w14:textId="77777777" w:rsidR="004C4C39" w:rsidRPr="00A32EED" w:rsidRDefault="004C4C39" w:rsidP="004C4C39">
      <w:pPr>
        <w:spacing w:after="0" w:line="480" w:lineRule="auto"/>
        <w:rPr>
          <w:rFonts w:eastAsia="Calibri"/>
        </w:rPr>
      </w:pPr>
      <w:r w:rsidRPr="00A32EED">
        <w:rPr>
          <w:rFonts w:eastAsia="Calibri"/>
        </w:rPr>
        <w:t xml:space="preserve"> When examining the relationship between child maltreatment and self-reported offending for juveniles, most studies use measures assessing both overall </w:t>
      </w:r>
      <w:r w:rsidRPr="00A32EED">
        <w:rPr>
          <w:rFonts w:eastAsia="Calibri"/>
        </w:rPr>
        <w:lastRenderedPageBreak/>
        <w:t xml:space="preserve">participation and frequency of involvement in a wide range of criminal and deviant behaviors such as assault, theft, vandalism, drug use, gang participation, possession of a weapon, etc. Overall, previous research has generally shown child maltreatment to be associated with increases in the likelihood of criminal or delinquent behavior </w:t>
      </w:r>
      <w:r w:rsidRPr="00A32EED">
        <w:rPr>
          <w:rFonts w:eastAsia="Calibri"/>
        </w:rPr>
        <w:fldChar w:fldCharType="begin"/>
      </w:r>
      <w:r w:rsidRPr="00A32EED">
        <w:rPr>
          <w:rFonts w:eastAsia="Calibri"/>
        </w:rPr>
        <w:instrText xml:space="preserve"> ADDIN ZOTERO_ITEM CSL_CITATION {"citationID":"o5qvUX5B","properties":{"formattedCitation":"(Brezina 1998; Herrenkohl, Egolf, and Herrenkohl 1997; Stouthamer-Loeber et al. 2002; Thornberry et al. 2004)","plainCitation":"(Brezina 1998; Herrenkohl, Egolf, and Herrenkohl 1997; Stouthamer-Loeber et al. 2002; Thornberry et al. 2004)"},"citationItems":[{"id":62,"uris":["http://zotero.org/users/1165382/items/4NSM4I7M"],"uri":["http://zotero.org/users/1165382/items/4NSM4I7M"],"itemData":{"id":62,"type":"article-journal","title":"Adolescent maltreatment and delinquency: The question of intervening processes","container-title":"Journal of Research in Crime and Delinquency","page":"71–99","volume":"35","issue":"1","source":"Google Scholar","note":"00255","shortTitle":"Adolescent maltreatment and delinquency","author":[{"family":"Brezina","given":"Timothy"}],"issued":{"date-parts":[["1998"]]}}},{"id":365,"uris":["http://zotero.org/users/1165382/items/NC86WBJ9"],"uri":["http://zotero.org/users/1165382/items/NC86WBJ9"],"itemData":{"id":365,"type":"article-journal","title":"Preschool antecedents of adolescent assaultive behavior: A longitudinal study.","container-title":"American Journal of Orthopsychiatry","page":"422","volume":"67","issue":"3","source":"Google Scholar","shortTitle":"Preschool antecedents of adolescent assaultive behavior","author":[{"family":"Herrenkohl","given":"Roy C."},{"family":"Egolf","given":"Brenda P."},{"family":"Herrenkohl","given":"Ellen C."}],"issued":{"date-parts":[["1997"]]}}},{"id":151,"uris":["http://zotero.org/users/1165382/items/9X35PG5W"],"uri":["http://zotero.org/users/1165382/items/9X35PG5W"],"itemData":{"id":151,"type":"article-journal","title":"Which family and demographic factors are related to both maltreatment and persistent serious juvenile delinquency?","container-title":"Children's Services: Social Policy, Research, and Practice","page":"261–272","volume":"5","issue":"4","source":"Google Scholar","author":[{"family":"Stouthamer-Loeber","given":"Magda"},{"family":"Wei","given":"Evelyn H."},{"family":"Homish","given":"D. Lynn"},{"family":"Loeber","given":"Rolf"}],"issued":{"date-parts":[["2002"]]}}},{"id":122,"uris":["http://zotero.org/users/1165382/items/7XVA6EGP"],"uri":["http://zotero.org/users/1165382/items/7XVA6EGP"],"itemData":{"id":122,"type":"article-journal","title":"The causes and correlates studies: Findings and policy implications","container-title":"Juvenile Justice","page":"3–19","volume":"9","issue":"1","source":"Google Scholar","shortTitle":"The causes and correlates studies","author":[{"family":"Thornberry","given":"Terence P."},{"family":"Huizinga","given":"David"},{"family":"Loeber","given":"Rolf"},{"literal":"others"}],"issued":{"date-parts":[["2004"]]}}}],"schema":"https://github.com/citation-style-language/schema/raw/master/csl-citation.json"} </w:instrText>
      </w:r>
      <w:r w:rsidRPr="00A32EED">
        <w:rPr>
          <w:rFonts w:eastAsia="Calibri"/>
        </w:rPr>
        <w:fldChar w:fldCharType="separate"/>
      </w:r>
      <w:r w:rsidRPr="00A32EED">
        <w:rPr>
          <w:rFonts w:eastAsia="Calibri"/>
          <w:noProof/>
        </w:rPr>
        <w:t>(Brezina 1998; Herrenkohl, Egolf, and Herrenkohl 1997; Stouthamer-Loeber et al. 2002; Thornberry et al. 2004)</w:t>
      </w:r>
      <w:r w:rsidRPr="00A32EED">
        <w:rPr>
          <w:rFonts w:eastAsia="Calibri"/>
        </w:rPr>
        <w:fldChar w:fldCharType="end"/>
      </w:r>
      <w:r w:rsidRPr="00A32EED">
        <w:rPr>
          <w:rFonts w:eastAsia="Calibri"/>
        </w:rPr>
        <w:t xml:space="preserve">. Brezina (1998) suggests that maltreatment increases delinquency by reducing social control, fostering deviant socialization, and generating anger. Stouthamer-Loeber, Wei, Homish, and Loeber (2002) found nearly half of maltreated boys in their study were persistent delinquent offenders compared to only 19% of the control group who were matched on age, race, and neighborhoods. Although maltreatment is believed to be significantly related to higher risk of self-reported delinquent and criminal behavior, not all studies find this relationship to be straightforward. Specifically, some results find this relationship to be dependent on factors such as the timing of the maltreatment, timing of delinquency, and education. </w:t>
      </w:r>
    </w:p>
    <w:p w14:paraId="5F7BFFB4" w14:textId="12B7E140" w:rsidR="004C4C39" w:rsidRPr="00A32EED" w:rsidRDefault="004C4C39" w:rsidP="004C4C39">
      <w:pPr>
        <w:spacing w:after="0" w:line="480" w:lineRule="auto"/>
        <w:ind w:firstLine="720"/>
        <w:rPr>
          <w:rFonts w:eastAsia="Calibri"/>
        </w:rPr>
      </w:pPr>
      <w:r w:rsidRPr="00A32EED">
        <w:rPr>
          <w:rFonts w:eastAsia="Calibri"/>
        </w:rPr>
        <w:t xml:space="preserve">Specifically, Ireland and colleagues </w:t>
      </w:r>
      <w:r w:rsidRPr="00A32EED">
        <w:rPr>
          <w:rFonts w:eastAsia="Calibri"/>
        </w:rPr>
        <w:fldChar w:fldCharType="begin"/>
      </w:r>
      <w:r w:rsidRPr="00A32EED">
        <w:rPr>
          <w:rFonts w:eastAsia="Calibri"/>
        </w:rPr>
        <w:instrText xml:space="preserve"> ADDIN ZOTERO_ITEM CSL_CITATION {"citationID":"13mkvq2qsl","properties":{"formattedCitation":"(2002)","plainCitation":"(2002)"},"citationItems":[{"id":50,"uris":["http://zotero.org/users/1165382/items/45846IC5"],"uri":["http://zotero.org/users/1165382/items/45846IC5"],"itemData":{"id":50,"type":"article-journal","title":"Developmental Issues in the Impact of Child Maltreatment on Later Delinquency and Drug Use*","container-title":"Criminology","page":"359-400","volume":"40","issue":"2","source":"Wiley Online Library","abstract":"Developmental psychopathology emphasizes the impact that early childhood maltreatment has on adolescent and early adult development. The life-course perspective, however, emphasizes more proximal events—adolescent maltreatment, for example—as developmentally disruptive. Prior research suggests that childhood maltreatment is a risk factor for adolescent delinquency and drug use. However, the results appear to depend on a loose definition of childhood. This study utilizes a four-category maltreatment classification—never, childhood-only, adolescence-only, and persistent—to re-examine the maltreatment-delinquency relationship. Using data from the Rochester Youth Development Study, we find no relationship between childhood-only maltreatment and adolescent delinquency or drug use; yet, we do find a consistent impact of adolescence-only and persistent maltreatment on these outcomes.","DOI":"10.1111/j.1745-9125.2002.tb00960.x","ISSN":"1745-9125","note":"00000","language":"en","author":[{"family":"Ireland","given":"Timothy O."},{"family":"Smith","given":"Carolyn A."},{"family":"Thornberry","given":"Terence P."}],"issued":{"date-parts":[["2002",5,1]]}},"suppress-author":true}],"schema":"https://github.com/citation-style-language/schema/raw/master/csl-citation.json"} </w:instrText>
      </w:r>
      <w:r w:rsidRPr="00A32EED">
        <w:rPr>
          <w:rFonts w:eastAsia="Calibri"/>
        </w:rPr>
        <w:fldChar w:fldCharType="separate"/>
      </w:r>
      <w:r w:rsidRPr="00A32EED">
        <w:rPr>
          <w:rFonts w:eastAsia="Calibri"/>
          <w:noProof/>
        </w:rPr>
        <w:t>(2002)</w:t>
      </w:r>
      <w:r w:rsidRPr="00A32EED">
        <w:rPr>
          <w:rFonts w:eastAsia="Calibri"/>
        </w:rPr>
        <w:fldChar w:fldCharType="end"/>
      </w:r>
      <w:r w:rsidRPr="00A32EED">
        <w:rPr>
          <w:rFonts w:eastAsia="Calibri"/>
        </w:rPr>
        <w:t xml:space="preserve"> found that the timing of abuse matters. To address the issue of timing, the authors split their sample into four categories: no maltreatment, childhood-limited maltreatment (0-12 years old), adolescent-limited maltreatment (12-17 years old), and persistent maltreatment (maltreatment before and after age 12). They also differentiated between delinquency before and after the age of 15. The additions of these distinctions resulted in childhood-limited maltreatment only being significantly related to </w:t>
      </w:r>
      <w:r w:rsidRPr="00A32EED">
        <w:rPr>
          <w:rFonts w:eastAsia="Calibri"/>
        </w:rPr>
        <w:lastRenderedPageBreak/>
        <w:t xml:space="preserve">increases in violent delinquency </w:t>
      </w:r>
      <w:r w:rsidR="00F41999">
        <w:rPr>
          <w:rFonts w:eastAsia="Calibri"/>
        </w:rPr>
        <w:t>before the age of 15. However, a</w:t>
      </w:r>
      <w:r w:rsidRPr="00A32EED">
        <w:rPr>
          <w:rFonts w:eastAsia="Calibri"/>
        </w:rPr>
        <w:t xml:space="preserve">dolescent-limited and persistent maltreatment were both significantly related to the overall rate of delinquency throughout adolescence. Thornberry et al. </w:t>
      </w:r>
      <w:r w:rsidRPr="00A32EED">
        <w:rPr>
          <w:rFonts w:eastAsia="Calibri"/>
        </w:rPr>
        <w:fldChar w:fldCharType="begin"/>
      </w:r>
      <w:r w:rsidRPr="00A32EED">
        <w:rPr>
          <w:rFonts w:eastAsia="Calibri"/>
        </w:rPr>
        <w:instrText xml:space="preserve"> ADDIN ZOTERO_ITEM CSL_CITATION {"citationID":"fAgVJQEi","properties":{"formattedCitation":"(2010)","plainCitation":"(2010)"},"citationItems":[{"id":113,"uris":["http://zotero.org/users/1165382/items/7J5SJS7C"],"uri":["http://zotero.org/users/1165382/items/7J5SJS7C"],"itemData":{"id":113,"type":"article-journal","title":"The Causal Impact of Childhood-Limited Maltreatment and Adolescent Maltreatment on Early Adult Adjustment","container-title":"Journal of Adolescent Health","page":"359-365","volume":"46","issue":"4","source":"ScienceDirect","abstract":"Purpose\nWe use full-matching propensity score models to test whether developmentally specific measures of maltreatment, in particular childhood-limited maltreatment versus adolescent maltreatment, are causally related to involvement in crime, substance use, health-risking sex behaviors, and internalizing problems during early adulthood.\nMethods\nOur design includes 907 participants (72% male) in the Rochester Youth Development Study, a community sample followed from age 14 to age 31 with 14 assessments, including complete maltreatment histories from Child Protective Services records.\nResults\nAfter balancing the data sets, childhood-limited maltreatment is significantly related to drug use, problem drug use, depressive symptoms, and suicidal thoughts. Maltreatment during adolescence has a significant effect on a broader range of outcomes: official arrest or incarceration, self-reported criminal offending, violent crime, alcohol use, problem alcohol use, drug use, problem drug use, risky sex behaviors, self-reported sexually transmitted disease diagnosis, and suicidal thoughts.\nConclusions\nThe causal effect of childhood-limited maltreatment is focused on internalizing problems, whereas adolescent maltreatment has a stronger and more pervasive effect on later adjustment. Increased vigilance by mandated reporters, especially for adolescent victims of maltreatment, along with provision of appropriate services, may prevent a wide range of subsequent adjustment problems.","DOI":"10.1016/j.jadohealth.2009.09.011","ISSN":"1054-139X","note":"00000","journalAbbreviation":"Journal of Adolescent Health","author":[{"family":"Thornberry","given":"Terence P."},{"family":"Henry","given":"Kimberly L."},{"family":"Ireland","given":"Timothy O."},{"family":"Smith","given":"Carolyn A."}],"issued":{"date-parts":[["2010",4]]}},"suppress-author":true}],"schema":"https://github.com/citation-style-language/schema/raw/master/csl-citation.json"} </w:instrText>
      </w:r>
      <w:r w:rsidRPr="00A32EED">
        <w:rPr>
          <w:rFonts w:eastAsia="Calibri"/>
        </w:rPr>
        <w:fldChar w:fldCharType="separate"/>
      </w:r>
      <w:r w:rsidRPr="00A32EED">
        <w:rPr>
          <w:rFonts w:eastAsia="Calibri"/>
          <w:noProof/>
        </w:rPr>
        <w:t>(2010)</w:t>
      </w:r>
      <w:r w:rsidRPr="00A32EED">
        <w:rPr>
          <w:rFonts w:eastAsia="Calibri"/>
        </w:rPr>
        <w:fldChar w:fldCharType="end"/>
      </w:r>
      <w:r w:rsidRPr="00A32EED">
        <w:rPr>
          <w:rFonts w:eastAsia="Calibri"/>
        </w:rPr>
        <w:t xml:space="preserve"> similarly found that rates of self-reported delinquency did not vary between childhood-limited maltreatment and those with no history of maltreatment. However, they did find that those who experienced adolescent-limited or persistent maltreatment had significantly higher rates of delinquency when compared to those with no history of maltreatment. </w:t>
      </w:r>
    </w:p>
    <w:p w14:paraId="330D890A" w14:textId="77777777" w:rsidR="004C4C39" w:rsidRPr="00A32EED" w:rsidRDefault="004C4C39" w:rsidP="004C4C39">
      <w:pPr>
        <w:spacing w:after="0" w:line="480" w:lineRule="auto"/>
        <w:ind w:firstLine="720"/>
        <w:rPr>
          <w:rFonts w:eastAsia="Calibri"/>
        </w:rPr>
      </w:pPr>
      <w:r w:rsidRPr="00A32EED">
        <w:rPr>
          <w:rFonts w:eastAsia="Calibri"/>
        </w:rPr>
        <w:t xml:space="preserve">Regarding mediating factors, Bender </w:t>
      </w:r>
      <w:r w:rsidRPr="00A32EED">
        <w:rPr>
          <w:rFonts w:eastAsia="Calibri"/>
        </w:rPr>
        <w:fldChar w:fldCharType="begin"/>
      </w:r>
      <w:r w:rsidRPr="00A32EED">
        <w:rPr>
          <w:rFonts w:eastAsia="Calibri"/>
        </w:rPr>
        <w:instrText xml:space="preserve"> ADDIN ZOTERO_ITEM CSL_CITATION {"citationID":"1knku2qa9d","properties":{"formattedCitation":"(2012)","plainCitation":"(2012)"},"citationItems":[{"id":499,"uris":["http://zotero.org/users/1165382/items/V3CBJZ75"],"uri":["http://zotero.org/users/1165382/items/V3CBJZ75"],"itemData":{"id":499,"type":"article-journal","title":"The Mediating Effect of School Engagement in the Relationship between Youth Maltreatment and Juvenile Delinquency","container-title":"Children &amp; Schools","page":"37-48 12p","volume":"34","issue":"1","source":"EBSCOhost","abstract":"Research consistently demonstrates that youths who experience maltreatment are at greater risk for committing delinquent behavior. Yet little is known about how to disrupt this maltreatment-delinquency relationship. Life course theory suggests that youths who bond with prosocial individuals and traditional institutions subscribe to prosocial norms that consequently prohibit deviant behavior. This study examines whether a prosocial bond--school engagement--helps to explain the link between maltreatment and delinquency. Using a national sample of youths involved in the child welfare system (N=1,179), this study uses latent growth curve modeling to investigate the mediating effects of school engagement in the relationship between maltreatment and delinquency. Findings indicate that youths' level of school engagement does explain the effects of maltreatment on initial delinquency such that youths at greater risk of maltreatment are more disengaged at school and youths less engaged at school reported higher rates of delinquency. Practical strategies to engage maltreated youths in school--including interventions at the individual, classroom, and school level--are proposed.","DOI":"cs/cdr001","ISSN":"1532-8759","note":"00018","journalAbbreviation":"Children &amp; Schools","author":[{"family":"Bender","given":"Kimberly"}],"issued":{"date-parts":[["2012",1]]}},"suppress-author":true}],"schema":"https://github.com/citation-style-language/schema/raw/master/csl-citation.json"} </w:instrText>
      </w:r>
      <w:r w:rsidRPr="00A32EED">
        <w:rPr>
          <w:rFonts w:eastAsia="Calibri"/>
        </w:rPr>
        <w:fldChar w:fldCharType="separate"/>
      </w:r>
      <w:r w:rsidRPr="00A32EED">
        <w:rPr>
          <w:rFonts w:eastAsia="Calibri"/>
          <w:noProof/>
        </w:rPr>
        <w:t>(2012)</w:t>
      </w:r>
      <w:r w:rsidRPr="00A32EED">
        <w:rPr>
          <w:rFonts w:eastAsia="Calibri"/>
        </w:rPr>
        <w:fldChar w:fldCharType="end"/>
      </w:r>
      <w:r w:rsidRPr="00A32EED">
        <w:rPr>
          <w:rFonts w:eastAsia="Calibri"/>
        </w:rPr>
        <w:t xml:space="preserve"> initially found child maltreatment to result in a significant increase in delinquent behavior, however, with the addition of education as a mediating factor, the direct effect was reduced to non-significance. Specifically, school disengagement mediated the relationship between maltreatment and delinquency resulting in maltreatment lacking any significant direct effect on delinquency and only exerted a modest indirect effect on delinquency. Bender (2012) contends that these findings are supportive of life-course theory and by highlighting the importance of social bonding in school, especially throughout adolescence. Chapple et al. </w:t>
      </w:r>
      <w:r w:rsidRPr="00A32EED">
        <w:rPr>
          <w:rFonts w:eastAsia="Calibri"/>
        </w:rPr>
        <w:fldChar w:fldCharType="begin"/>
      </w:r>
      <w:r w:rsidRPr="00A32EED">
        <w:rPr>
          <w:rFonts w:eastAsia="Calibri"/>
        </w:rPr>
        <w:instrText xml:space="preserve"> ADDIN ZOTERO_ITEM CSL_CITATION {"citationID":"uXiBgSHw","properties":{"formattedCitation":"(2005)","plainCitation":"(2005)"},"citationItems":[{"id":86,"uris":["http://zotero.org/users/1165382/items/65ZNE4X4"],"uri":["http://zotero.org/users/1165382/items/65ZNE4X4"],"itemData":{"id":86,"type":"article-journal","title":"Child neglect and adolescent violence: Examining the effects of self-control and peer rejection","container-title":"Violence and victims","page":"39–53","volume":"20","issue":"1","source":"Google Scholar","note":"00083","shortTitle":"Child neglect and adolescent violence","author":[{"family":"Chapple","given":"Constance L."},{"family":"Tyler","given":"Kimberly A."},{"family":"Bersani","given":"Bianca E."}],"issued":{"date-parts":[["2005"]]}},"suppress-author":true}],"schema":"https://github.com/citation-style-language/schema/raw/master/csl-citation.json"} </w:instrText>
      </w:r>
      <w:r w:rsidRPr="00A32EED">
        <w:rPr>
          <w:rFonts w:eastAsia="Calibri"/>
        </w:rPr>
        <w:fldChar w:fldCharType="separate"/>
      </w:r>
      <w:r w:rsidRPr="00A32EED">
        <w:rPr>
          <w:rFonts w:eastAsia="Calibri"/>
          <w:noProof/>
        </w:rPr>
        <w:t>(2005)</w:t>
      </w:r>
      <w:r w:rsidRPr="00A32EED">
        <w:rPr>
          <w:rFonts w:eastAsia="Calibri"/>
        </w:rPr>
        <w:fldChar w:fldCharType="end"/>
      </w:r>
      <w:r w:rsidRPr="00A32EED">
        <w:rPr>
          <w:rFonts w:eastAsia="Calibri"/>
        </w:rPr>
        <w:t xml:space="preserve"> found the relationship between neglect and adolescent violence to be partially mediated by other factors. Specifically, by distinguishing between educational, emotional, and physical neglect, the authors found that peer rejection reduced the relationship between physical neglect and adolescent violence to a non-significant level. Interestingly, this study also found that child neglect did not predict self-control, and despite self-control being a significant predictor of </w:t>
      </w:r>
      <w:r w:rsidRPr="00A32EED">
        <w:rPr>
          <w:rFonts w:eastAsia="Calibri"/>
        </w:rPr>
        <w:lastRenderedPageBreak/>
        <w:t xml:space="preserve">violent behavior, it did not mediate the relationship between neglect and adolescent violence.  </w:t>
      </w:r>
    </w:p>
    <w:p w14:paraId="294F06A5" w14:textId="77777777" w:rsidR="004C4C39" w:rsidRPr="00A32EED" w:rsidRDefault="004C4C39" w:rsidP="004C4C39">
      <w:pPr>
        <w:spacing w:after="0" w:line="480" w:lineRule="auto"/>
        <w:ind w:firstLine="720"/>
        <w:rPr>
          <w:rFonts w:eastAsia="Calibri"/>
        </w:rPr>
      </w:pPr>
      <w:r w:rsidRPr="00A32EED">
        <w:rPr>
          <w:rFonts w:eastAsia="Calibri"/>
        </w:rPr>
        <w:t xml:space="preserve">Some studies have chosen to focus solely on the link between maltreatment and violent delinquency. Yun and colleagues </w:t>
      </w:r>
      <w:r w:rsidRPr="00A32EED">
        <w:rPr>
          <w:rFonts w:eastAsia="Calibri"/>
        </w:rPr>
        <w:fldChar w:fldCharType="begin"/>
      </w:r>
      <w:r w:rsidRPr="00A32EED">
        <w:rPr>
          <w:rFonts w:eastAsia="Calibri"/>
        </w:rPr>
        <w:instrText xml:space="preserve"> ADDIN ZOTERO_ITEM CSL_CITATION {"citationID":"tbnt83dof","properties":{"formattedCitation":"(2011)","plainCitation":"(2011)"},"citationItems":[{"id":422,"uris":["http://zotero.org/users/1165382/items/RCNG3A4C"],"uri":["http://zotero.org/users/1165382/items/RCNG3A4C"],"itemData":{"id":422,"type":"article-journal","title":"Disentangling the relationship between child maltreatment and violent delinquency: Using a nationally representative sample","container-title":"Journal of interpersonal violence","page":"88–110","volume":"26","issue":"1","source":"Google Scholar","note":"00040","shortTitle":"Disentangling the relationship between child maltreatment and violent delinquency","author":[{"family":"Yun","given":"Ilhong"},{"family":"Ball","given":"Jeremy D."},{"family":"Lim","given":"Hyeyoung"}],"issued":{"date-parts":[["2011"]]}},"suppress-author":true}],"schema":"https://github.com/citation-style-language/schema/raw/master/csl-citation.json"} </w:instrText>
      </w:r>
      <w:r w:rsidRPr="00A32EED">
        <w:rPr>
          <w:rFonts w:eastAsia="Calibri"/>
        </w:rPr>
        <w:fldChar w:fldCharType="separate"/>
      </w:r>
      <w:r w:rsidRPr="00A32EED">
        <w:rPr>
          <w:rFonts w:eastAsia="Calibri"/>
          <w:noProof/>
        </w:rPr>
        <w:t>(2011)</w:t>
      </w:r>
      <w:r w:rsidRPr="00A32EED">
        <w:rPr>
          <w:rFonts w:eastAsia="Calibri"/>
        </w:rPr>
        <w:fldChar w:fldCharType="end"/>
      </w:r>
      <w:r w:rsidRPr="00A32EED">
        <w:rPr>
          <w:rFonts w:eastAsia="Calibri"/>
        </w:rPr>
        <w:t xml:space="preserve"> examined the relationship between both official and self-reported maltreatment and violent delinquency. Overall they found any substantiated official maltreatment resulted in a 5% increase in the probability of participating in violent behavior. The relationship between self-reported maltreatment and violent delinquency was less clear. Results showed that while sexual abuse and neglect increased the likelihood and frequency of violent behavior, physical abuse was not significantly related to violent behavior. In contrast to this study, Fagan </w:t>
      </w:r>
      <w:r w:rsidRPr="00A32EED">
        <w:rPr>
          <w:rFonts w:eastAsia="Calibri"/>
        </w:rPr>
        <w:fldChar w:fldCharType="begin"/>
      </w:r>
      <w:r w:rsidRPr="00A32EED">
        <w:rPr>
          <w:rFonts w:eastAsia="Calibri"/>
        </w:rPr>
        <w:instrText xml:space="preserve"> ADDIN ZOTERO_ITEM CSL_CITATION {"citationID":"1al38m464b","properties":{"formattedCitation":"(2005)","plainCitation":"(2005)"},"citationItems":[{"id":19,"uris":["http://zotero.org/users/1165382/items/2UDP4A7N"],"uri":["http://zotero.org/users/1165382/items/2UDP4A7N"],"itemData":{"id":19,"type":"article-journal","title":"The Relationship Between Adolescent Physical Abuse and Criminal Offending: Support for an Enduring and Generalized Cycle of Violence","container-title":"Journal of Family Violence","page":"279-290","volume":"20","issue":"5","source":"0-link.springer.com.library.uark.edu","abstract":"Prospective investigations have demonstrated support for the cycle of violence theory. However, few studies have examined whether or not abuse occurring during adolescence increases the prevalence and frequency of criminal involvement, or explored the long-term consequences of such victimization. In addition, there has been little investigation of whether or not the effects of abuse vary depending on characteristics of the victim, such as sex, race/ethnicity, age, family structure or income. Using data from the National Youth Survey, this study demonstrates that adolescent physical abuse has immediate and enduring effects on the prevalence and frequency of a variety of self-reported offenses, including violent and non-violent crimes, drug use and intimate partner violence. Furthermore, the study reveals that while victimization increases the prevalence of offending for victims of varying backgrounds, the frequency of offending is moderated by family income, area of residence, and family structure. Implications for prevention are discussed.","DOI":"10.1007/s10896-005-6604-7","ISSN":"0885-7482, 1573-2851","note":"00000","shortTitle":"The Relationship Between Adolescent Physical Abuse and Criminal Offending","journalAbbreviation":"J Fam Viol","language":"en","author":[{"family":"Fagan","given":"Abigail A."}],"issued":{"date-parts":[["2005",10]]}},"suppress-author":true}],"schema":"https://github.com/citation-style-language/schema/raw/master/csl-citation.json"} </w:instrText>
      </w:r>
      <w:r w:rsidRPr="00A32EED">
        <w:rPr>
          <w:rFonts w:eastAsia="Calibri"/>
        </w:rPr>
        <w:fldChar w:fldCharType="separate"/>
      </w:r>
      <w:r w:rsidRPr="00A32EED">
        <w:rPr>
          <w:rFonts w:eastAsia="Calibri"/>
          <w:noProof/>
        </w:rPr>
        <w:t>(2005)</w:t>
      </w:r>
      <w:r w:rsidRPr="00A32EED">
        <w:rPr>
          <w:rFonts w:eastAsia="Calibri"/>
        </w:rPr>
        <w:fldChar w:fldCharType="end"/>
      </w:r>
      <w:r w:rsidRPr="00A32EED">
        <w:rPr>
          <w:rFonts w:eastAsia="Calibri"/>
        </w:rPr>
        <w:t xml:space="preserve"> found that physical abuse resulted in both a higher initial occurrence and frequency of robbery, serious assault, and theft. Taken altogether, previous research suggests that overall maltreatment is linked to higher rates of self-reported criminal and juvenile delinquent behaviors.</w:t>
      </w:r>
    </w:p>
    <w:p w14:paraId="57BEC2C1" w14:textId="77777777" w:rsidR="004C4C39" w:rsidRPr="00A32EED" w:rsidRDefault="004C4C39" w:rsidP="004C4C39">
      <w:pPr>
        <w:keepNext/>
        <w:keepLines/>
        <w:spacing w:before="40" w:after="0" w:line="480" w:lineRule="auto"/>
        <w:outlineLvl w:val="2"/>
        <w:rPr>
          <w:rFonts w:eastAsia="ＭＳ ゴシック"/>
          <w:i/>
          <w:color w:val="000000"/>
        </w:rPr>
      </w:pPr>
      <w:bookmarkStart w:id="23" w:name="_Toc464640996"/>
      <w:bookmarkStart w:id="24" w:name="_Toc479938147"/>
      <w:bookmarkStart w:id="25" w:name="_Toc482112676"/>
      <w:r w:rsidRPr="00A32EED">
        <w:rPr>
          <w:rFonts w:eastAsia="ＭＳ ゴシック"/>
          <w:i/>
          <w:color w:val="000000"/>
        </w:rPr>
        <w:t>Child Welfare Experience and Juvenile Delinquency</w:t>
      </w:r>
      <w:bookmarkEnd w:id="23"/>
      <w:bookmarkEnd w:id="24"/>
      <w:bookmarkEnd w:id="25"/>
      <w:r w:rsidRPr="00A32EED">
        <w:rPr>
          <w:rFonts w:eastAsia="ＭＳ ゴシック"/>
          <w:i/>
          <w:color w:val="000000"/>
        </w:rPr>
        <w:t xml:space="preserve"> </w:t>
      </w:r>
    </w:p>
    <w:p w14:paraId="4C4245A5" w14:textId="77777777" w:rsidR="004C4C39" w:rsidRPr="00A32EED" w:rsidRDefault="004C4C39" w:rsidP="004C4C39">
      <w:pPr>
        <w:spacing w:after="0" w:line="480" w:lineRule="auto"/>
        <w:rPr>
          <w:rFonts w:eastAsia="Calibri"/>
        </w:rPr>
      </w:pPr>
      <w:r w:rsidRPr="00A32EED">
        <w:rPr>
          <w:rFonts w:eastAsia="Calibri"/>
        </w:rPr>
        <w:tab/>
        <w:t xml:space="preserve">In addition to the effects of child maltreatment itself, a child’s experiences while in the care of a child welfare agency is another area likely to influence juvenile offending. There are various aspects of child welfare experience that have been linked to juvenile delinquency such as placement instability, type of placement while in care, and placement when exiting from care. Previous research shows that the presence of placement instability in one form or another is correlated with higher rates of self-reported juvenile delinquency. </w:t>
      </w:r>
      <w:r w:rsidRPr="00A32EED">
        <w:rPr>
          <w:rFonts w:eastAsia="Calibri"/>
        </w:rPr>
        <w:lastRenderedPageBreak/>
        <w:t xml:space="preserve">Although placement instability is typically thought of as instability while in care, it is important to remember that even the initial transition from the child’s home to foster care can be taken as a sign of placement instability. As such, Snyder and Merritt </w:t>
      </w:r>
      <w:r w:rsidRPr="00A32EED">
        <w:rPr>
          <w:rFonts w:eastAsia="Calibri"/>
        </w:rPr>
        <w:fldChar w:fldCharType="begin"/>
      </w:r>
      <w:r w:rsidRPr="00A32EED">
        <w:rPr>
          <w:rFonts w:eastAsia="Calibri"/>
        </w:rPr>
        <w:instrText xml:space="preserve"> ADDIN ZOTERO_ITEM CSL_CITATION {"citationID":"npkv5mstf","properties":{"formattedCitation":"(2014)","plainCitation":"(2014)"},"citationItems":[{"id":360,"uris":["http://zotero.org/users/1165382/items/N6SGEDJB"],"uri":["http://zotero.org/users/1165382/items/N6SGEDJB"],"itemData":{"id":360,"type":"article-journal","title":"Do childhood experiences of neglect affect delinquency among child welfare involved-youth?","container-title":"Children and Youth Services Review","page":"64-71","volume":"46","source":"ScienceDirect","abstract":"Child neglect, which is the most common form of maltreatment in the United States, has been repeatedly linked to an increased risk of delinquency. However, the existing literature lacks studies that simultaneously investigate how distinct types of neglect differentially influence delinquency among child welfare involved-youth. In addition, few studies of the relationship between neglect and delinquency include measures of ADHD, peer deviance or community violence, even though these variables have been strongly associated with delinquency. This study uses data from 784 11 to 17 year old youth who participated in Wave I of the Second National Survey of Child and Adolescent Wellbeing (NSCAW II) to examine whether supervisory neglect, physical neglect and parental substance abuse affect delinquency after controlling for ADHD, peer deviance, exposure to community violence, and out-of-home placements. We conducted a negative binomial regression to account for the low rates of delinquency among NSCAW II participants. We did not find significant main effects for supervisory neglect, physical neglect or parental substance abuse. Our study found that as youth age the count of delinquency acts increases. Black and Hispanic youth had higher counts of delinquency than youth with White, multi-racial, or “other” racial identities. Youth in out-of-home care had nearly double the rate of delinquency. Youth with more deviant peer affiliations and youth who had been exposed to community violence engaged in more delinquent behaviors. Our findings underscore the importance of the environment surrounding the youth, and the peers with whom the youth affiliates.","DOI":"10.1016/j.childyouth.2014.08.007","ISSN":"0190-7409","journalAbbreviation":"Children and Youth Services Review","author":[{"family":"Snyder","given":"Susan M."},{"family":"Merritt","given":"Darcey H."}],"issued":{"date-parts":[["2014",11]]}},"suppress-author":true}],"schema":"https://github.com/citation-style-language/schema/raw/master/csl-citation.json"} </w:instrText>
      </w:r>
      <w:r w:rsidRPr="00A32EED">
        <w:rPr>
          <w:rFonts w:eastAsia="Calibri"/>
        </w:rPr>
        <w:fldChar w:fldCharType="separate"/>
      </w:r>
      <w:r w:rsidRPr="00A32EED">
        <w:rPr>
          <w:rFonts w:eastAsia="Calibri"/>
          <w:noProof/>
        </w:rPr>
        <w:t>(2014)</w:t>
      </w:r>
      <w:r w:rsidRPr="00A32EED">
        <w:rPr>
          <w:rFonts w:eastAsia="Calibri"/>
        </w:rPr>
        <w:fldChar w:fldCharType="end"/>
      </w:r>
      <w:r w:rsidRPr="00A32EED">
        <w:rPr>
          <w:rFonts w:eastAsia="Calibri"/>
        </w:rPr>
        <w:t xml:space="preserve"> found that compared to peers who were substantiated for maltreatment but not removed, youth placed in out of home care were two times more likely to engage in delinquent behavior even after controlling for deviant peer friendships. Further, Reilly </w:t>
      </w:r>
      <w:r w:rsidRPr="00A32EED">
        <w:rPr>
          <w:rFonts w:eastAsia="Calibri"/>
        </w:rPr>
        <w:fldChar w:fldCharType="begin"/>
      </w:r>
      <w:r w:rsidRPr="00A32EED">
        <w:rPr>
          <w:rFonts w:eastAsia="Calibri"/>
        </w:rPr>
        <w:instrText xml:space="preserve"> ADDIN ZOTERO_ITEM CSL_CITATION {"citationID":"b1g6ivW7","properties":{"formattedCitation":"(2003)","plainCitation":"(2003)"},"citationItems":[{"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care","author":[{"family":"Reilly","given":"Thom"}],"issued":{"date-parts":[["2003"]]}},"suppress-author":true}],"schema":"https://github.com/citation-style-language/schema/raw/master/csl-citation.json"} </w:instrText>
      </w:r>
      <w:r w:rsidRPr="00A32EED">
        <w:rPr>
          <w:rFonts w:eastAsia="Calibri"/>
        </w:rPr>
        <w:fldChar w:fldCharType="separate"/>
      </w:r>
      <w:r w:rsidRPr="00A32EED">
        <w:rPr>
          <w:rFonts w:eastAsia="Calibri"/>
          <w:noProof/>
        </w:rPr>
        <w:t>(2003)</w:t>
      </w:r>
      <w:r w:rsidRPr="00A32EED">
        <w:rPr>
          <w:rFonts w:eastAsia="Calibri"/>
        </w:rPr>
        <w:fldChar w:fldCharType="end"/>
      </w:r>
      <w:r w:rsidRPr="00A32EED">
        <w:rPr>
          <w:rFonts w:eastAsia="Calibri"/>
        </w:rPr>
        <w:t xml:space="preserve"> found that multiple placements after removal resulted in higher odds of a youth self-reporting having experienced incarceration. </w:t>
      </w:r>
    </w:p>
    <w:p w14:paraId="2576BB7C" w14:textId="77777777" w:rsidR="004C4C39" w:rsidRPr="00A32EED" w:rsidRDefault="004C4C39" w:rsidP="004C4C39">
      <w:pPr>
        <w:spacing w:after="0" w:line="480" w:lineRule="auto"/>
        <w:rPr>
          <w:rFonts w:eastAsia="Calibri"/>
        </w:rPr>
      </w:pPr>
      <w:r w:rsidRPr="00A32EED">
        <w:rPr>
          <w:rFonts w:eastAsia="Calibri"/>
        </w:rPr>
        <w:tab/>
        <w:t xml:space="preserve">In addition to the number of placements, the type of placement while in care has also been found to influence rates of juvenile delinquency. Chamberlain and Reid </w:t>
      </w:r>
      <w:r w:rsidRPr="00A32EED">
        <w:rPr>
          <w:rFonts w:eastAsia="Calibri"/>
        </w:rPr>
        <w:fldChar w:fldCharType="begin"/>
      </w:r>
      <w:r w:rsidRPr="00A32EED">
        <w:rPr>
          <w:rFonts w:eastAsia="Calibri"/>
        </w:rPr>
        <w:instrText xml:space="preserve"> ADDIN ZOTERO_ITEM CSL_CITATION {"citationID":"VlUH1Ce2","properties":{"formattedCitation":"(1998)","plainCitation":"(1998)"},"citationItems":[{"id":555,"uris":["http://zotero.org/users/1165382/items/XJJAIZ3A"],"uri":["http://zotero.org/users/1165382/items/XJJAIZ3A"],"itemData":{"id":555,"type":"article-journal","title":"Comparison of two community alternatives to incarceration for chronic juvenile offenders.","container-title":"Journal of consulting and clinical psychology","page":"624","volume":"66","issue":"4","source":"Google Scholar","author":[{"family":"Chamberlain","given":"Patricia"},{"family":"Reid","given":"John B."}],"issued":{"date-parts":[["1998"]]}},"suppress-author":true}],"schema":"https://github.com/citation-style-language/schema/raw/master/csl-citation.json"} </w:instrText>
      </w:r>
      <w:r w:rsidRPr="00A32EED">
        <w:rPr>
          <w:rFonts w:eastAsia="Calibri"/>
        </w:rPr>
        <w:fldChar w:fldCharType="separate"/>
      </w:r>
      <w:r w:rsidRPr="00A32EED">
        <w:rPr>
          <w:rFonts w:eastAsia="Calibri"/>
          <w:noProof/>
        </w:rPr>
        <w:t>(1998)</w:t>
      </w:r>
      <w:r w:rsidRPr="00A32EED">
        <w:rPr>
          <w:rFonts w:eastAsia="Calibri"/>
        </w:rPr>
        <w:fldChar w:fldCharType="end"/>
      </w:r>
      <w:r w:rsidRPr="00A32EED">
        <w:rPr>
          <w:rFonts w:eastAsia="Calibri"/>
        </w:rPr>
        <w:t xml:space="preserve"> compared outcomes of 79 boys between the ages of 12-19 who were placed in out of home care over the course of 4 years. Upon placement and eligibility screening, the youths were randomly assigned to either a group home or a multidimensional treatment foster care home (MTFC). Results indicated that overall, youth placed in MTFC placements reported lower rates of delinquent acts. Specifically, those with MTFC placements reported lower rates of general delinquency and violent/serious crimes. These findings held even when controlling for variables such as age at placement. Although these out of home placements were mandated by juvenile and not child welfare courts, this study does support the idea that type of placement while in care matters and if a youth is placed in the appropriate setting, type of placement can function as a protective factor. </w:t>
      </w:r>
    </w:p>
    <w:p w14:paraId="57035724" w14:textId="77777777" w:rsidR="004C4C39" w:rsidRPr="00A32EED" w:rsidRDefault="004C4C39" w:rsidP="004C4C39">
      <w:pPr>
        <w:spacing w:after="0" w:line="480" w:lineRule="auto"/>
        <w:rPr>
          <w:rFonts w:eastAsia="Calibri"/>
        </w:rPr>
      </w:pPr>
      <w:r w:rsidRPr="00A32EED">
        <w:rPr>
          <w:rFonts w:eastAsia="Calibri"/>
        </w:rPr>
        <w:lastRenderedPageBreak/>
        <w:tab/>
        <w:t xml:space="preserve">A child’s placement upon exit from care has also been linked to self-reported juvenile offending. Although the goal in the vast majority of child welfare cases is reunification, research does not always support this as the best outcome. Taussig, Clyman, and Landsverk </w:t>
      </w:r>
      <w:r w:rsidRPr="00A32EED">
        <w:rPr>
          <w:rFonts w:eastAsia="Calibri"/>
        </w:rPr>
        <w:fldChar w:fldCharType="begin"/>
      </w:r>
      <w:r w:rsidRPr="00A32EED">
        <w:rPr>
          <w:rFonts w:eastAsia="Calibri"/>
        </w:rPr>
        <w:instrText xml:space="preserve"> ADDIN ZOTERO_ITEM CSL_CITATION {"citationID":"v1yxjG5g","properties":{"formattedCitation":"(2001)","plainCitation":"(2001)"},"citationItems":[{"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B."},{"family":"Landsverk","given":"J."}],"issued":{"date-parts":[["2001",7]]}},"suppress-author":true}],"schema":"https://github.com/citation-style-language/schema/raw/master/csl-citation.json"} </w:instrText>
      </w:r>
      <w:r w:rsidRPr="00A32EED">
        <w:rPr>
          <w:rFonts w:eastAsia="Calibri"/>
        </w:rPr>
        <w:fldChar w:fldCharType="separate"/>
      </w:r>
      <w:r w:rsidRPr="00A32EED">
        <w:rPr>
          <w:rFonts w:eastAsia="Calibri"/>
          <w:noProof/>
        </w:rPr>
        <w:t>(2001)</w:t>
      </w:r>
      <w:r w:rsidRPr="00A32EED">
        <w:rPr>
          <w:rFonts w:eastAsia="Calibri"/>
        </w:rPr>
        <w:fldChar w:fldCharType="end"/>
      </w:r>
      <w:r w:rsidRPr="00A32EED">
        <w:rPr>
          <w:rFonts w:eastAsia="Calibri"/>
        </w:rPr>
        <w:t xml:space="preserve"> examined rates of self-reported juvenile offending among youths who were in foster care for at least five months between the ages of 7-12. They found that at a 6-year follow-up period, those youths who were reunified with their families exhibited more behavioral and emotional problems than those who did not reunify with family. Specifically, the reunified group exhibited more delinquent behavior, were twice as likely to have reported being arrested, had higher rates of substance abuse, self-destructive behavior, and risk behavior problems. At the other end of the spectrum youths fare no better. Research has generally found that those youths who do not achieve permanency while in care and emancipate from care (turn 18 while in care) do not fare as well as those who do achieve some form of permanency (reunification, adoption, permanent guardian, etc.). Using data from the Midwest Study and The National Longitudinal Study of Adolescent to Adult Health (</w:t>
      </w:r>
      <w:r w:rsidRPr="00A32EED">
        <w:rPr>
          <w:rFonts w:eastAsia="Calibri"/>
          <w:i/>
          <w:iCs/>
        </w:rPr>
        <w:t>Add Health</w:t>
      </w:r>
      <w:r w:rsidRPr="00A32EED">
        <w:rPr>
          <w:rFonts w:eastAsia="Calibri"/>
        </w:rPr>
        <w:t xml:space="preserve">), Cusick and Courtney </w:t>
      </w:r>
      <w:r w:rsidRPr="00A32EED">
        <w:rPr>
          <w:rFonts w:eastAsia="Calibri"/>
        </w:rPr>
        <w:fldChar w:fldCharType="begin"/>
      </w:r>
      <w:r w:rsidRPr="00A32EED">
        <w:rPr>
          <w:rFonts w:eastAsia="Calibri"/>
        </w:rPr>
        <w:instrText xml:space="preserve"> ADDIN ZOTERO_ITEM CSL_CITATION {"citationID":"e4734tGS","properties":{"formattedCitation":"(2007)","plainCitation":"(2007)"},"citationItems":[{"id":66,"uris":["http://zotero.org/users/1165382/items/59AKTAMB"],"uri":["http://zotero.org/users/1165382/items/59AKTAMB"],"itemData":{"id":66,"type":"book","title":"Offending during late adolescence: How do youth aging out of care compare with their peers?","publisher":"Chapin Hall Center for Children at the University of Chicago Chicago, IL","source":"Google Scholar","URL":"http://www.chapinhall.org/sites/default/files/publications/ChapinHallDocument_0.pdf","note":"00045","shortTitle":"Offending during late adolescence","author":[{"family":"Cusick","given":"Gretchen R."},{"family":"Courtney","given":"Mark E."}],"issued":{"date-parts":[["2007"]]},"accessed":{"date-parts":[["2015",1,28]]}},"suppress-author":true}],"schema":"https://github.com/citation-style-language/schema/raw/master/csl-citation.json"} </w:instrText>
      </w:r>
      <w:r w:rsidRPr="00A32EED">
        <w:rPr>
          <w:rFonts w:eastAsia="Calibri"/>
        </w:rPr>
        <w:fldChar w:fldCharType="separate"/>
      </w:r>
      <w:r w:rsidRPr="00A32EED">
        <w:rPr>
          <w:rFonts w:eastAsia="Calibri"/>
          <w:noProof/>
        </w:rPr>
        <w:t>(2007)</w:t>
      </w:r>
      <w:r w:rsidRPr="00A32EED">
        <w:rPr>
          <w:rFonts w:eastAsia="Calibri"/>
        </w:rPr>
        <w:fldChar w:fldCharType="end"/>
      </w:r>
      <w:r w:rsidRPr="00A32EED">
        <w:rPr>
          <w:rFonts w:eastAsia="Calibri"/>
        </w:rPr>
        <w:t xml:space="preserve"> found that those youth who aged out of foster care reported overall higher offending rates during the ages of 16-17. When compared to a group of similar peers from the Add Health data, youth who aged out of care in the Midwest Study reported rates nearly twice as high across various types of offending such as property damage, theft, trespassing, selling drugs, hurting someone badly enough for medical care, the </w:t>
      </w:r>
      <w:r w:rsidRPr="00A32EED">
        <w:rPr>
          <w:rFonts w:eastAsia="Calibri"/>
        </w:rPr>
        <w:lastRenderedPageBreak/>
        <w:t xml:space="preserve">use or threatened use of a weapon, participation in a group fight, and shooting or stabbing someone. </w:t>
      </w:r>
    </w:p>
    <w:p w14:paraId="3632EAC7" w14:textId="77777777" w:rsidR="004C4C39" w:rsidRPr="00A32EED" w:rsidRDefault="004C4C39" w:rsidP="004C4C39">
      <w:pPr>
        <w:keepNext/>
        <w:keepLines/>
        <w:spacing w:before="40" w:after="0" w:line="480" w:lineRule="auto"/>
        <w:outlineLvl w:val="2"/>
        <w:rPr>
          <w:rFonts w:eastAsia="ＭＳ ゴシック"/>
          <w:i/>
          <w:color w:val="000000"/>
        </w:rPr>
      </w:pPr>
      <w:bookmarkStart w:id="26" w:name="_Toc464640997"/>
      <w:bookmarkStart w:id="27" w:name="_Toc479938148"/>
      <w:bookmarkStart w:id="28" w:name="_Toc482112677"/>
      <w:r w:rsidRPr="00A32EED">
        <w:rPr>
          <w:rFonts w:eastAsia="ＭＳ ゴシック"/>
          <w:i/>
          <w:color w:val="000000"/>
        </w:rPr>
        <w:t>Child Maltreatment and Adult Criminal Behavior</w:t>
      </w:r>
      <w:bookmarkEnd w:id="26"/>
      <w:bookmarkEnd w:id="27"/>
      <w:bookmarkEnd w:id="28"/>
    </w:p>
    <w:p w14:paraId="5A65A0F1" w14:textId="77777777" w:rsidR="004C4C39" w:rsidRPr="00A32EED" w:rsidRDefault="004C4C39" w:rsidP="004C4C39">
      <w:pPr>
        <w:spacing w:after="0" w:line="480" w:lineRule="auto"/>
        <w:rPr>
          <w:rFonts w:eastAsia="Calibri"/>
          <w:color w:val="000000"/>
        </w:rPr>
      </w:pPr>
      <w:r w:rsidRPr="00A32EED">
        <w:rPr>
          <w:rFonts w:eastAsia="Calibri"/>
        </w:rPr>
        <w:tab/>
        <w:t xml:space="preserve">Most research has shown that </w:t>
      </w:r>
      <w:r w:rsidRPr="00A32EED">
        <w:rPr>
          <w:rFonts w:eastAsia="Calibri"/>
          <w:color w:val="000000"/>
        </w:rPr>
        <w:t xml:space="preserve">past experiences with child maltreatment typically result in a higher prevalence of adult criminal behavior and behaviors related to criminal offending such as alcohol abuse, conflict-related behavior, and intimate partner violence. Some research has shown that physical abuse during childhood and adolescence can result in higher rates of self-reported offending in adulthood </w:t>
      </w:r>
      <w:r w:rsidRPr="00A32EED">
        <w:rPr>
          <w:rFonts w:eastAsia="Calibri"/>
          <w:color w:val="000000"/>
        </w:rPr>
        <w:fldChar w:fldCharType="begin"/>
      </w:r>
      <w:r w:rsidRPr="00A32EED">
        <w:rPr>
          <w:rFonts w:eastAsia="Calibri"/>
          <w:color w:val="000000"/>
        </w:rPr>
        <w:instrText xml:space="preserve"> ADDIN ZOTERO_ITEM CSL_CITATION {"citationID":"n09ltnh57","properties":{"formattedCitation":"(Fagan 2005; Teague et al. 2008)","plainCitation":"(Fagan 2005; Teague et al. 2008)"},"citationItems":[{"id":19,"uris":["http://zotero.org/users/1165382/items/2UDP4A7N"],"uri":["http://zotero.org/users/1165382/items/2UDP4A7N"],"itemData":{"id":19,"type":"article-journal","title":"The Relationship Between Adolescent Physical Abuse and Criminal Offending: Support for an Enduring and Generalized Cycle of Violence","container-title":"Journal of Family Violence","page":"279-290","volume":"20","issue":"5","source":"0-link.springer.com.library.uark.edu","abstract":"Prospective investigations have demonstrated support for the cycle of violence theory. However, few studies have examined whether or not abuse occurring during adolescence increases the prevalence and frequency of criminal involvement, or explored the long-term consequences of such victimization. In addition, there has been little investigation of whether or not the effects of abuse vary depending on characteristics of the victim, such as sex, race/ethnicity, age, family structure or income. Using data from the National Youth Survey, this study demonstrates that adolescent physical abuse has immediate and enduring effects on the prevalence and frequency of a variety of self-reported offenses, including violent and non-violent crimes, drug use and intimate partner violence. Furthermore, the study reveals that while victimization increases the prevalence of offending for victims of varying backgrounds, the frequency of offending is moderated by family income, area of residence, and family structure. Implications for prevention are discussed.","DOI":"10.1007/s10896-005-6604-7","ISSN":"0885-7482, 1573-2851","note":"00000","shortTitle":"The Relationship Between Adolescent Physical Abuse and Criminal Offending","journalAbbreviation":"J Fam Viol","language":"en","author":[{"family":"Fagan","given":"Abigail A."}],"issued":{"date-parts":[["2005",10]]}}},{"id":100,"uris":["http://zotero.org/users/1165382/items/759725VW"],"uri":["http://zotero.org/users/1165382/items/759725VW"],"itemData":{"id":100,"type":"article-journal","title":"Linking childhood exposure to physical abuse and adult offending: Examining mediating factors and gendered relationships","container-title":"Justice Quarterly","page":"313–348","volume":"25","issue":"2","source":"Google Scholar","note":"00000","shortTitle":"Linking childhood exposure to physical abuse and adult offending","author":[{"family":"Teague","given":"Rosie"},{"family":"Mazerolle","given":"Paul"},{"family":"Legosz","given":"Margot"},{"family":"Sanderson","given":"Jennifer"}],"issued":{"date-parts":[["2008"]]}}}],"schema":"https://github.com/citation-style-language/schema/raw/master/csl-citation.json"} </w:instrText>
      </w:r>
      <w:r w:rsidRPr="00A32EED">
        <w:rPr>
          <w:rFonts w:eastAsia="Calibri"/>
          <w:color w:val="000000"/>
        </w:rPr>
        <w:fldChar w:fldCharType="separate"/>
      </w:r>
      <w:r w:rsidRPr="00A32EED">
        <w:rPr>
          <w:rFonts w:eastAsia="Calibri"/>
          <w:noProof/>
          <w:color w:val="000000"/>
        </w:rPr>
        <w:t>(Fagan 2005; Teague et al. 2008)</w:t>
      </w:r>
      <w:r w:rsidRPr="00A32EED">
        <w:rPr>
          <w:rFonts w:eastAsia="Calibri"/>
          <w:color w:val="000000"/>
        </w:rPr>
        <w:fldChar w:fldCharType="end"/>
      </w:r>
      <w:r w:rsidRPr="00A32EED">
        <w:rPr>
          <w:rFonts w:eastAsia="Calibri"/>
          <w:color w:val="000000"/>
        </w:rPr>
        <w:t xml:space="preserve">. Using the National Youth Survey, Fagan </w:t>
      </w:r>
      <w:r w:rsidRPr="00A32EED">
        <w:rPr>
          <w:rFonts w:eastAsia="Calibri"/>
          <w:color w:val="000000"/>
        </w:rPr>
        <w:fldChar w:fldCharType="begin"/>
      </w:r>
      <w:r w:rsidRPr="00A32EED">
        <w:rPr>
          <w:rFonts w:eastAsia="Calibri"/>
          <w:color w:val="000000"/>
        </w:rPr>
        <w:instrText xml:space="preserve"> ADDIN ZOTERO_ITEM CSL_CITATION {"citationID":"132q4uu8ej","properties":{"formattedCitation":"(2005)","plainCitation":"(2005)"},"citationItems":[{"id":19,"uris":["http://zotero.org/users/1165382/items/2UDP4A7N"],"uri":["http://zotero.org/users/1165382/items/2UDP4A7N"],"itemData":{"id":19,"type":"article-journal","title":"The Relationship Between Adolescent Physical Abuse and Criminal Offending: Support for an Enduring and Generalized Cycle of Violence","container-title":"Journal of Family Violence","page":"279-290","volume":"20","issue":"5","source":"0-link.springer.com.library.uark.edu","abstract":"Prospective investigations have demonstrated support for the cycle of violence theory. However, few studies have examined whether or not abuse occurring during adolescence increases the prevalence and frequency of criminal involvement, or explored the long-term consequences of such victimization. In addition, there has been little investigation of whether or not the effects of abuse vary depending on characteristics of the victim, such as sex, race/ethnicity, age, family structure or income. Using data from the National Youth Survey, this study demonstrates that adolescent physical abuse has immediate and enduring effects on the prevalence and frequency of a variety of self-reported offenses, including violent and non-violent crimes, drug use and intimate partner violence. Furthermore, the study reveals that while victimization increases the prevalence of offending for victims of varying backgrounds, the frequency of offending is moderated by family income, area of residence, and family structure. Implications for prevention are discussed.","DOI":"10.1007/s10896-005-6604-7","ISSN":"0885-7482, 1573-2851","note":"00000","shortTitle":"The Relationship Between Adolescent Physical Abuse and Criminal Offending","journalAbbreviation":"J Fam Viol","language":"en","author":[{"family":"Fagan","given":"Abigail A."}],"issued":{"date-parts":[["2005",10]]}},"suppress-author":true}],"schema":"https://github.com/citation-style-language/schema/raw/master/csl-citation.json"}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(2005)</w:t>
      </w:r>
      <w:r w:rsidRPr="00A32EED">
        <w:rPr>
          <w:rFonts w:eastAsia="Calibri"/>
          <w:color w:val="000000"/>
        </w:rPr>
        <w:fldChar w:fldCharType="end"/>
      </w:r>
      <w:r w:rsidRPr="00A32EED">
        <w:rPr>
          <w:rFonts w:eastAsia="Calibri"/>
          <w:color w:val="000000"/>
        </w:rPr>
        <w:t xml:space="preserve"> found that victims of adolescent physical abuse had significantly higher likelihoods of self-reported offending during both the transition to adulthood and early adulthood. For some of these youth, the self-reported offending was 6-15 years after the initial victimization, suggesting that physical abuse has both immediate and prolonged effect on offending behavior. Teague and colleagues </w:t>
      </w:r>
      <w:r w:rsidRPr="00A32EED">
        <w:rPr>
          <w:rFonts w:eastAsia="Calibri"/>
          <w:color w:val="000000"/>
        </w:rPr>
        <w:fldChar w:fldCharType="begin"/>
      </w:r>
      <w:r w:rsidRPr="00A32EED">
        <w:rPr>
          <w:rFonts w:eastAsia="Calibri"/>
          <w:color w:val="000000"/>
        </w:rPr>
        <w:instrText xml:space="preserve"> ADDIN ZOTERO_ITEM CSL_CITATION {"citationID":"27nmc1r0mj","properties":{"formattedCitation":"(2008)","plainCitation":"(2008)"},"citationItems":[{"id":100,"uris":["http://zotero.org/users/1165382/items/759725VW"],"uri":["http://zotero.org/users/1165382/items/759725VW"],"itemData":{"id":100,"type":"article-journal","title":"Linking childhood exposure to physical abuse and adult offending: Examining mediating factors and gendered relationships","container-title":"Justice Quarterly","page":"313–348","volume":"25","issue":"2","source":"Google Scholar","note":"00000","shortTitle":"Linking childhood exposure to physical abuse and adult offending","author":[{"family":"Teague","given":"Rosie"},{"family":"Mazerolle","given":"Paul"},{"family":"Legosz","given":"Margot"},{"family":"Sanderson","given":"Jennifer"}],"issued":{"date-parts":[["2008"]]}},"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(2008)</w:t>
      </w:r>
      <w:r w:rsidRPr="00A32EED">
        <w:rPr>
          <w:rFonts w:eastAsia="Calibri"/>
          <w:color w:val="000000"/>
        </w:rPr>
        <w:fldChar w:fldCharType="end"/>
      </w:r>
      <w:r w:rsidRPr="00A32EED">
        <w:rPr>
          <w:rFonts w:eastAsia="Calibri"/>
          <w:color w:val="000000"/>
        </w:rPr>
        <w:t xml:space="preserve"> had similar findings when examining 480 males serving community correction orders in Australia. Specifically, the authors found that individuals who reported being the victim of physical abuse had a significantly higher prevalence of self-reported violent, property, and total offenses when compared to non-victims. Furthermore, those who reported higher levels of childhood physical abuse (90</w:t>
      </w:r>
      <w:r w:rsidRPr="00A32EED">
        <w:rPr>
          <w:rFonts w:eastAsia="Calibri"/>
          <w:color w:val="000000"/>
          <w:vertAlign w:val="superscript"/>
        </w:rPr>
        <w:t>th</w:t>
      </w:r>
      <w:r w:rsidRPr="00A32EED">
        <w:rPr>
          <w:rFonts w:eastAsia="Calibri"/>
          <w:color w:val="000000"/>
        </w:rPr>
        <w:t xml:space="preserve"> percentile and above) reported frequency rates for property and general offending two times higher than non-victims. The difference between those in the 90</w:t>
      </w:r>
      <w:r w:rsidRPr="00A32EED">
        <w:rPr>
          <w:rFonts w:eastAsia="Calibri"/>
          <w:color w:val="000000"/>
          <w:vertAlign w:val="superscript"/>
        </w:rPr>
        <w:t>th</w:t>
      </w:r>
      <w:r w:rsidRPr="00A32EED">
        <w:rPr>
          <w:rFonts w:eastAsia="Calibri"/>
          <w:color w:val="000000"/>
        </w:rPr>
        <w:t xml:space="preserve"> percentile and those who did no experience any abuse was even higher for violent offending, with victims in </w:t>
      </w:r>
      <w:r w:rsidRPr="00A32EED">
        <w:rPr>
          <w:rFonts w:eastAsia="Calibri"/>
          <w:color w:val="000000"/>
        </w:rPr>
        <w:lastRenderedPageBreak/>
        <w:t>the 90</w:t>
      </w:r>
      <w:r w:rsidRPr="00A32EED">
        <w:rPr>
          <w:rFonts w:eastAsia="Calibri"/>
          <w:color w:val="000000"/>
          <w:vertAlign w:val="superscript"/>
        </w:rPr>
        <w:t>th</w:t>
      </w:r>
      <w:r w:rsidRPr="00A32EED">
        <w:rPr>
          <w:rFonts w:eastAsia="Calibri"/>
          <w:color w:val="000000"/>
        </w:rPr>
        <w:t xml:space="preserve"> percentile or higher reporting offending that were rates three times higher than non-victims.  </w:t>
      </w:r>
    </w:p>
    <w:p w14:paraId="07DC36CA" w14:textId="77777777" w:rsidR="004C4C39" w:rsidRPr="00A32EED" w:rsidRDefault="004C4C39" w:rsidP="004C4C39">
      <w:pPr>
        <w:spacing w:after="0" w:line="480" w:lineRule="auto"/>
        <w:ind w:firstLine="720"/>
        <w:rPr>
          <w:rFonts w:eastAsia="Calibri"/>
          <w:color w:val="000000"/>
        </w:rPr>
      </w:pPr>
      <w:r w:rsidRPr="00A32EED">
        <w:rPr>
          <w:rFonts w:eastAsia="Calibri"/>
          <w:color w:val="000000"/>
        </w:rPr>
        <w:t xml:space="preserve">Smith et al. </w:t>
      </w:r>
      <w:r w:rsidRPr="00A32EED">
        <w:rPr>
          <w:rFonts w:eastAsia="Calibri"/>
          <w:color w:val="000000"/>
        </w:rPr>
        <w:fldChar w:fldCharType="begin"/>
      </w:r>
      <w:r w:rsidRPr="00A32EED">
        <w:rPr>
          <w:rFonts w:eastAsia="Calibri"/>
          <w:color w:val="000000"/>
        </w:rPr>
        <w:instrText xml:space="preserve"> ADDIN ZOTERO_ITEM CSL_CITATION {"citationID":"2144gn078q","properties":{"formattedCitation":"(2012)","plainCitation":"(2012)"},"citationItems":[{"id":492,"uris":["http://zotero.org/users/1165382/items/UQVQSS4G"],"uri":["http://zotero.org/users/1165382/items/UQVQSS4G"],"itemData":{"id":492,"type":"article-journal","title":"Long-term outcomes of young adults exposed to maltreatment: the role of educational experiences in promoting resilience to crime and violence in early adulthood","container-title":"Journal of interpersonal violence","page":"0886260512448845","source":"Google Scholar","note":"00013","shortTitle":"Long-term outcomes of young adults exposed to maltreatment","author":[{"family":"Smith","given":"Carolyn A."},{"family":"Park","given":"Aely"},{"family":"Ireland","given":"Timothy O."},{"family":"Elwyn","given":"Laura"},{"family":"Thornberry","given":"Terence P."}],"issued":{"date-parts":[["2012"]]}},"suppress-author":true}],"schema":"https://github.com/citation-style-language/schema/raw/master/csl-citation.json"}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(2012)</w:t>
      </w:r>
      <w:r w:rsidRPr="00A32EED">
        <w:rPr>
          <w:rFonts w:eastAsia="Calibri"/>
          <w:color w:val="000000"/>
        </w:rPr>
        <w:fldChar w:fldCharType="end"/>
      </w:r>
      <w:r w:rsidRPr="00A32EED">
        <w:rPr>
          <w:rFonts w:eastAsia="Calibri"/>
          <w:color w:val="000000"/>
        </w:rPr>
        <w:t xml:space="preserve"> found similar results when using the Rochester Youth Study to explore the relationship between child maltreatment, education, and various adult outcomes. Child maltreatment was found to be significantly related to an increase in the prevalence of self-reported intimate partner violence. Although the inclusion of variables from their tenure in school, such as GPA as a mediator of the effect of maltreatment on intimate partner violence was marginally significant, childhood maltreatment still exerted a positive effect on intimate partner violence. The authors also found childhood maltreatment to be significantly related to an increase in both self-reports of general and violent offending. A school protection index composed of various school measures such as educational aspirations, GPA, and degree obtained was also used in the model as a mediator of the relationship between child maltreatment and self-reported adult offending. Despite being statistically significant, the inclusion of the education via the school protection index only partially mediated the relationship between child maltreatment for both general and violent offending. </w:t>
      </w:r>
    </w:p>
    <w:p w14:paraId="262E92D0" w14:textId="77777777" w:rsidR="004C4C39" w:rsidRPr="00A32EED" w:rsidRDefault="004C4C39" w:rsidP="004C4C39">
      <w:pPr>
        <w:spacing w:after="0" w:line="480" w:lineRule="auto"/>
        <w:rPr>
          <w:rFonts w:eastAsia="Calibri"/>
          <w:color w:val="000000"/>
        </w:rPr>
      </w:pPr>
      <w:r w:rsidRPr="00A32EED">
        <w:rPr>
          <w:rFonts w:eastAsia="Calibri"/>
          <w:color w:val="000000"/>
        </w:rPr>
        <w:t xml:space="preserve"> </w:t>
      </w:r>
      <w:r w:rsidRPr="00A32EED">
        <w:rPr>
          <w:rFonts w:eastAsia="Calibri"/>
          <w:color w:val="000000"/>
        </w:rPr>
        <w:tab/>
        <w:t xml:space="preserve">In addition to comparing a group of children with histories of child maltreatment to a random comparison group, Buehler, Orme, Post, and Patterson </w:t>
      </w:r>
      <w:r w:rsidRPr="00A32EED">
        <w:rPr>
          <w:rFonts w:eastAsia="Calibri"/>
          <w:color w:val="000000"/>
        </w:rPr>
        <w:fldChar w:fldCharType="begin"/>
      </w:r>
      <w:r w:rsidRPr="00A32EED">
        <w:rPr>
          <w:rFonts w:eastAsia="Calibri"/>
          <w:color w:val="000000"/>
        </w:rPr>
        <w:instrText xml:space="preserve"> ADDIN ZOTERO_ITEM CSL_CITATION {"citationID":"g37s0v1p3","properties":{"formattedCitation":"(2000)","plainCitation":"(2000)"},"citationItems":[{"id":390,"uris":["http://zotero.org/users/1165382/items/PPU8AVXA"],"uri":["http://zotero.org/users/1165382/items/PPU8AVXA"],"itemData":{"id":390,"type":"article-journal","title":"The long-term correlates of family foster care","container-title":"Children and Youth Services Review","page":"595-625","volume":"22","issue":"8","source":"ScienceDirect","abstract":"The purpose of this paper is to examine long-term correlates of experiencing family foster care sometime before the age of 19. Subjects for the study were selected from participants in the 1988 National Survey of Families and Households. Three groups were compared: 101 adults experiencing family foster care, 101 adults selected at random, and 101 adults matched to those experiencing family foster care on age, race, gender, parent's educational attainment, and the presence of a stepparent. Within the areas of self-sufficiency, behavioral adjustment, family and social support, and personal well-being, 36 indicators of adult adjustment were examined. When compared with the adults in the randomly selected comparison group, adults experiencing family foster care were less adjusted on 20 of 36 indicators, particularly in the areas of education, economic well-being, marital relations, and community involvement. Adults in the foster care group were similar to the adults in the matched comparison group on almost all indicators of adjustment.","DOI":"10.1016/S0190-7409(00)00108-0","ISSN":"0190-7409","journalAbbreviation":"Children and Youth Services Review","author":[{"family":"Buehler","given":"Cheryl"},{"family":"Orme","given":"John G."},{"family":"Post","given":"James"},{"family":"Patterson","given":"David A."}],"issued":{"date-parts":[["2000",8]]}},"suppress-author":true}],"schema":"https://github.com/citation-style-language/schema/raw/master/csl-citation.json"} </w:instrText>
      </w:r>
      <w:r w:rsidRPr="00A32EED">
        <w:rPr>
          <w:rFonts w:eastAsia="Calibri"/>
          <w:color w:val="000000"/>
        </w:rPr>
        <w:fldChar w:fldCharType="separate"/>
      </w:r>
      <w:r w:rsidRPr="00A32EED">
        <w:rPr>
          <w:rFonts w:eastAsia="Calibri"/>
          <w:noProof/>
          <w:color w:val="000000"/>
        </w:rPr>
        <w:t>(2000)</w:t>
      </w:r>
      <w:r w:rsidRPr="00A32EED">
        <w:rPr>
          <w:rFonts w:eastAsia="Calibri"/>
          <w:color w:val="000000"/>
        </w:rPr>
        <w:fldChar w:fldCharType="end"/>
      </w:r>
      <w:r w:rsidRPr="00A32EED">
        <w:rPr>
          <w:rFonts w:eastAsia="Calibri"/>
          <w:color w:val="000000"/>
        </w:rPr>
        <w:t xml:space="preserve"> also made comparisons to a control group matched on gender, race, current age, father’s educational attainment, mother’s educational attainment, and having ever lived with a step-parent. Although the study did not include any measures directly related to criminal behavior, they did include </w:t>
      </w:r>
      <w:r w:rsidRPr="00A32EED">
        <w:rPr>
          <w:rFonts w:eastAsia="Calibri"/>
          <w:color w:val="000000"/>
        </w:rPr>
        <w:lastRenderedPageBreak/>
        <w:t xml:space="preserve">related behaviors such as alcohol abuse, shouting conflict behaviors, and physically aggressive behavior. The authors found the foster care group reported significantly higher rates of alcohol abuse and shouting conflict behavior when compared to the random group. However, when the foster care group was compared to the matched group there were no significant differences in reported rates. These findings suggest that without appropriate controls for various selection biases, any supposed effect of child maltreatment on adult outcomes such as self-reported criminal behaviors may in fact be spurious. </w:t>
      </w:r>
    </w:p>
    <w:p w14:paraId="63C30E93"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29" w:name="_Toc464640998"/>
      <w:bookmarkStart w:id="30" w:name="_Toc479938149"/>
      <w:bookmarkStart w:id="31" w:name="_Toc482112678"/>
      <w:r w:rsidRPr="00A32EED">
        <w:rPr>
          <w:rFonts w:eastAsia="ＭＳ ゴシック"/>
          <w:i/>
          <w:color w:val="000000"/>
          <w:szCs w:val="26"/>
          <w:u w:val="single"/>
        </w:rPr>
        <w:t>Criminal Justice Contact</w:t>
      </w:r>
      <w:bookmarkEnd w:id="29"/>
      <w:bookmarkEnd w:id="30"/>
      <w:bookmarkEnd w:id="31"/>
    </w:p>
    <w:p w14:paraId="4D131583" w14:textId="77777777" w:rsidR="004C4C39" w:rsidRPr="00A32EED" w:rsidRDefault="004C4C39" w:rsidP="004C4C39">
      <w:pPr>
        <w:spacing w:after="0" w:line="480" w:lineRule="auto"/>
        <w:rPr>
          <w:rFonts w:eastAsia="Calibri"/>
        </w:rPr>
      </w:pPr>
      <w:r w:rsidRPr="00A32EED">
        <w:rPr>
          <w:rFonts w:eastAsia="Calibri"/>
        </w:rPr>
        <w:tab/>
        <w:t>The following section will provide an overview of research regarding child maltreatment, child welfare experiences, and official criminal justice contact. Official criminal justice contact can include arrests, petitions, convictions, juvenile incarceration, and adult incarceration. A petition is when criminal charges are filed against a person under the age of 18 by a prosecutor. Research linking child maltreatment and child welfare experiences to these various forms of criminal justice contact is mixed. For official juvenile contact, this review will focus mainly on the literature linking child maltreatment and child welfare to juvenile arrests and petitions. For official criminal justice contact in the adult years, this review will focus mainly on arrests and convictions, with some review of links to incarceration.</w:t>
      </w:r>
    </w:p>
    <w:p w14:paraId="702D22F2" w14:textId="77777777" w:rsidR="004C4C39" w:rsidRPr="00A32EED" w:rsidRDefault="004C4C39" w:rsidP="004C4C39">
      <w:pPr>
        <w:keepNext/>
        <w:keepLines/>
        <w:spacing w:before="40" w:after="0" w:line="480" w:lineRule="auto"/>
        <w:outlineLvl w:val="2"/>
        <w:rPr>
          <w:rFonts w:eastAsia="ＭＳ ゴシック"/>
          <w:i/>
          <w:color w:val="000000"/>
        </w:rPr>
      </w:pPr>
      <w:bookmarkStart w:id="32" w:name="_Toc464640999"/>
      <w:bookmarkStart w:id="33" w:name="_Toc479938150"/>
      <w:bookmarkStart w:id="34" w:name="_Toc482112679"/>
      <w:r w:rsidRPr="00A32EED">
        <w:rPr>
          <w:rFonts w:eastAsia="ＭＳ ゴシック"/>
          <w:i/>
          <w:color w:val="000000"/>
        </w:rPr>
        <w:t>Child Maltreatment and Juvenile Justice Contact</w:t>
      </w:r>
      <w:bookmarkEnd w:id="32"/>
      <w:bookmarkEnd w:id="33"/>
      <w:bookmarkEnd w:id="34"/>
    </w:p>
    <w:p w14:paraId="0EA28E63" w14:textId="77777777" w:rsidR="004C4C39" w:rsidRPr="00A32EED" w:rsidRDefault="004C4C39" w:rsidP="004C4C39">
      <w:pPr>
        <w:spacing w:after="0" w:line="480" w:lineRule="auto"/>
        <w:rPr>
          <w:rFonts w:eastAsia="Calibri"/>
          <w:bCs/>
        </w:rPr>
      </w:pPr>
      <w:r w:rsidRPr="00A32EED">
        <w:rPr>
          <w:rFonts w:eastAsia="Calibri"/>
        </w:rPr>
        <w:t xml:space="preserve"> Although the relationship is sometimes nuanced, studies find that child maltreatment increases the chances of experiencing an arrest or petition </w:t>
      </w:r>
      <w:r w:rsidRPr="00A32EED">
        <w:rPr>
          <w:rFonts w:eastAsia="Calibri"/>
        </w:rPr>
        <w:lastRenderedPageBreak/>
        <w:fldChar w:fldCharType="begin"/>
      </w:r>
      <w:r w:rsidRPr="00A32EED">
        <w:rPr>
          <w:rFonts w:eastAsia="Calibri"/>
        </w:rPr>
        <w:instrText xml:space="preserve"> ADDIN ZOTERO_ITEM CSL_CITATION {"citationID":"d1jarran7","properties":{"formattedCitation":"(Jonson-Reid and Barth 2000; Mersky et al. 2012; Ryan and Testa 2005; J. Ryan, Testa, and Zhai 2008; Stewart et al. 2008; Stewart, Waterson, and Dennison 2002; Cathy S. Widom 1989; Widom and Maxfield 1996; Zingraff et al. 1993)","plainCitation":"(Jonson-Reid and Barth 2000; Mersky et al. 2012; Ryan and Testa 2005; J. Ryan, Testa, and Zhai 2008; Stewart et al. 2008; Stewart, Waterson, and Dennison 2002; Cathy S. Widom 1989; Widom and Maxfield 1996; Zingraff et al. 1993)"},"citationItems":[{"id":13,"uris":["http://zotero.org/users/1165382/items/2J5IW59V"],"uri":["http://zotero.org/users/1165382/items/2J5IW59V"],"itemData":{"id":13,"type":"article-journal","title":"From maltreatment report to juvenile incarceration: The role of child welfare services","container-title":"Child abuse &amp; neglect","page":"505–520","volume":"24","issue":"4","source":"Google Scholar","note":"00185","shortTitle":"From maltreatment report to juvenile incarceration","author":[{"family":"Jonson-Reid","given":"Melissa"},{"family":"Barth","given":"Richard P."}],"issued":{"date-parts":[["2000"]]}}},{"id":223,"uris":["http://zotero.org/users/1165382/items/EPHM4XPS"],"uri":["http://zotero.org/users/1165382/items/EPHM4XPS"],"itemData":{"id":223,"type":"article-journal","title":"Unsafe at Any Age Linking Childhood and Adolescent Maltreatment to Delinquency and Crime","container-title":"Journal of Research in Crime and Delinquency","page":"295-318","volume":"49","issue":"2","source":"jrc.sagepub.com","abstract":"Objectives. This study compares the effects of childhood maltreatment and adolescent maltreatment on delinquency and crime, including violent and nonviolent offending. Methods. Data were derived from the Chicago Longitudinal Study, a prospective investigation of 1,539 underprivileged, minority subjects. Results. Results confirmed that rates of overall delinquency, along with violent, drug, and property offending specifically, were elevated among childhood and adolescent maltreatment victims compared to their nonmaltreated peers. Childhood maltreatment was associated with delinquency independent of adolescent maltreatment, and strong connections between adolescent maltreatment and delinquency were present independent of prior victimization. Childhood maltreatment was also significantly related to a panel of adult crime measures, while the effects of adolescent maltreatment on adult crime were less robust. Conclusions. The study findings suggest that maltreatment at any age increases the risk of future offending, implying that investments in prevention and intervention strategies throughout childhood and adolescence may reduce delinquency and crime.","DOI":"10.1177/0022427811415284","ISSN":"0022-4278, 1552-731X","note":"00000","journalAbbreviation":"Journal of Research in Crime and Delinquency","language":"en","author":[{"family":"Mersky","given":"Joshua P."},{"family":"Topitzes","given":"James"},{"family":"Reynolds","given":"Arthur J."}],"issued":{"date-parts":[["2012",5,1]]}}},{"id":312,"uris":["http://zotero.org/users/1165382/items/JMQHCHTB"],"uri":["http://zotero.org/users/1165382/items/JMQHCHTB"],"itemData":{"id":312,"type":"article-journal","title":"Child maltreatment and juvenile delinquency: Investigating the role of placement and placement instability","container-title":"Children and Youth Services Review","page":"227-249","volume":"27","issue":"3","source":"ScienceDirect","abstract":"Children who experience maltreatment are at increased risk of engaging in delinquent behavior. Although little is known about the mechanisms responsible for this increased risk, the use of substitute care placement and placement instability are often identified as correlates. It is not clear from prior studies, however, whether delinquency precedes or follows placement instability. The current study adds significantly to the literature by identifying selected factors related to child maltreatment and delinquency and disentangling the timing of delinquency petitions relative to movements within the child welfare system. The results indicate that substantiated victims of maltreatment average 47% higher delinquency rates relative to children not indicated for abuse or neglect. In addition, approximately 16% of children placed into substitute care experience at least one delinquency petition compared to 7% of all maltreatment victims who are not removed from their family. Placement instability further increases the risk of delinquency for male foster children, but not for female foster children. Other characteristics related to delinquency include race, age, and recurrence of maltreatment.","DOI":"10.1016/j.childyouth.2004.05.007","ISSN":"0190-7409","shortTitle":"Child maltreatment and juvenile delinquency","journalAbbreviation":"Children and Youth Services Review","author":[{"family":"Ryan","given":"Joseph P."},{"family":"Testa","given":"Mark F."}],"issued":{"date-parts":[["2005",3]]}}},{"id":1318,"uris":["http://zotero.org/users/1165382/items/SV4SKN5D"],"uri":["http://zotero.org/users/1165382/items/SV4SKN5D"],"itemData":{"id":1318,"type":"article-journal","title":"African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F."},{"family":"Zhai","given":"Fuhua"}],"issued":{"date-parts":[["2008"]]}}},{"id":363,"uris":["http://zotero.org/users/1165382/items/NAFR5HQ2"],"uri":["http://zotero.org/users/1165382/items/NAFR5HQ2"],"itemData":{"id":363,"type":"article-journal","title":"Transitions and turning points: Examining the links between child maltreatment and juvenile offending","container-title":"Child Abuse &amp; Neglect","page":"51-66","volume":"32","issue":"1","source":"ScienceDirect","abstract":"Objective\nThe links between child maltreatment and juvenile offending are well established. However, the majority of maltreated children do not offend. The research presented in this paper examines the impact that timing and chronicity of child maltreatment have on juvenile offending.\nMethods\nAdministrative data were obtained on all children who were born in Queensland, Australia in 1983 or 1984 and had contact with child protective services for at least one child protection matter (N = 5,849). For these children information was obtained on all child protection and juvenile justice contacts until the age of 17. These data were analyzed using the Semi-Parametric Group-Based trajectory analyses [Nagin, D., &amp;amp; Land, L. (1993). Age, criminal careers, and population heterogeneity: Specification and estimation of a nonparametric mixed Poisson model. Criminology, 31, 327–362].\nResults\nSix distinctive maltreatment trajectory groups were identified, distinguished by the frequency of victimization, the age of onset and the duration of the maltreatment. Child maltreatment peaked around the transition from preschool to primary school and the transition from primary school to secondary school. Furthermore, children whose maltreatment trajectory started or extended into adolescence were more likely to offend as juveniles than children whose maltreatment occurred prior to, but not during, adolescence.\nConclusions\nTrajectory analysis provides a useful analytical tool for understanding heterogeneous nature of child maltreatment and the impact of maltreatment on subsequent juvenile offending.","DOI":"10.1016/j.chiabu.2007.04.011","ISSN":"0145-2134","shortTitle":"Transitions and turning points","journalAbbreviation":"Child Abuse &amp; Neglect","author":[{"family":"Stewart","given":"Anna"},{"family":"Livingston","given":"Michael"},{"family":"Dennison","given":"Susan"}],"issued":{"date-parts":[["2008",1]]}}},{"id":1279,"uris":["http://zotero.org/users/1165382/items/N5TZK8GD"],"uri":["http://zotero.org/users/1165382/items/N5TZK8GD"],"itemData":{"id":1279,"type":"book","title":"Pathways from child maltreatment to juvenile offending","publisher":"Australian Institute of Criminology Canberra, ACT","volume":"241","source":"Google Scholar","URL":"https://www.researchgate.net/profile/Anna_Stewart4/publication/40871770_Pathways_from_child_maltreatment_to_juvenile_offending/links/0a85e530b132e1cc50000000.pdf","note":"00088","author":[{"family":"Stewart","given":"Anna"},{"family":"Waterson","given":"Elissa"},{"family":"Dennison","given":"Susan"}],"issued":{"date-parts":[["2002"]]},"accessed":{"date-parts":[["2016",6,2]]}}},{"id":131,"uris":["http://zotero.org/users/1165382/items/8JQRIBBZ"],"uri":["http://zotero.org/users/1165382/items/8JQRIBBZ"],"itemData":{"id":131,"type":"article-journal","title":"Does violence beget violence? A critical examination of the literature.","container-title":"Psychological bulletin","page":"3","volume":"106","issue":"1","source":"Google Scholar","note":"00000","shortTitle":"Does violence beget violence?","author":[{"family":"Widom","given":"Cathy S."}],"issued":{"date-parts":[["1989"]]}}},{"id":509,"uris":["http://zotero.org/users/1165382/items/E2F5A6C2"],"uri":["http://zotero.org/users/1165382/items/E2F5A6C2"],"itemData":{"id":509,"type":"article-journal","title":"A prospective examination of risk for violence among abused and neglected childrena","container-title":"Annals of the New York Academy of Sciences","page":"224–237","volume":"794","issue":"1","source":"Google Scholar","author":[{"family":"Widom","given":"Cathy Spatz"},{"family":"Maxfield","given":"Michael G."}],"issued":{"date-parts":[["1996"]]}}},{"id":1307,"uris":["http://zotero.org/users/1165382/items/UGNKS6V7"],"uri":["http://zotero.org/users/1165382/items/UGNKS6V7"],"itemData":{"id":1307,"type":"article-journal","title":"CHILD MALTREATMENT AND YOUTHFUL PROBLEM BEHAVIOR*","container-title":"Criminology","page":"173–202","volume":"31","issue":"2","source":"Google Scholar","author":[{"family":"Zingraff","given":"Matthew T."},{"family":"Leiter","given":"Jeffrey"},{"family":"Myers","given":"Kristen A."},{"family":"Johnsen","given":"Matthew C."}],"issued":{"date-parts":[["1993"]]}}}],"schema":"https://github.com/citation-style-language/schema/raw/master/csl-citation.json"} </w:instrText>
      </w:r>
      <w:r w:rsidRPr="00A32EED">
        <w:rPr>
          <w:rFonts w:eastAsia="Calibri"/>
        </w:rPr>
        <w:fldChar w:fldCharType="separate"/>
      </w:r>
      <w:r w:rsidRPr="00A32EED">
        <w:rPr>
          <w:rFonts w:eastAsia="Calibri"/>
          <w:noProof/>
        </w:rPr>
        <w:t>(Jonson-Reid and Barth 2000; Mersky et al. 2012; Ryan and Testa 2005; J. Ryan, Testa, and Zhai 2008; Stewart et al. 2008; Stewart, Waterson, and Dennison 2002; Cathy S. Widom 1989; Widom and Maxfield 1996; Zingraff et al. 1993)</w:t>
      </w:r>
      <w:r w:rsidRPr="00A32EED">
        <w:rPr>
          <w:rFonts w:eastAsia="Calibri"/>
        </w:rPr>
        <w:fldChar w:fldCharType="end"/>
      </w:r>
      <w:r w:rsidRPr="00A32EED">
        <w:rPr>
          <w:rFonts w:eastAsia="Calibri"/>
        </w:rPr>
        <w:t xml:space="preserve">. Some studies do not differentiate between the type of maltreatment and instead, only include a control for any experience of maltreatment. One of the most frequently used data sets is Widom’s </w:t>
      </w:r>
      <w:r w:rsidRPr="00A32EED">
        <w:rPr>
          <w:rFonts w:eastAsia="Calibri"/>
        </w:rPr>
        <w:fldChar w:fldCharType="begin"/>
      </w:r>
      <w:r w:rsidRPr="00A32EED">
        <w:rPr>
          <w:rFonts w:eastAsia="Calibri"/>
        </w:rPr>
        <w:instrText xml:space="preserve"> ADDIN ZOTERO_ITEM CSL_CITATION {"citationID":"XiJJPTLi","properties":{"formattedCitation":"(1991a)","plainCitation":"(1991a)"},"citationItems":[{"id":1326,"uris":["http://zotero.org/users/1165382/items/N957V9ZG"],"uri":["http://zotero.org/users/1165382/items/N957V9ZG"],"itemData":{"id":1326,"type":"report","title":"Child Abuse, Neglect, and Violent Criminal Behavior in a Midwest Metropolitan Area of the United States, 1967-1988: Version 1","source":"CrossRef","URL":"http://www.icpsr.umich.edu/NACJD/studies/09480/version/1","note":"00000","shortTitle":"Child Abuse, Neglect, and Violent Criminal Behavior in a Midwest Metropolitan Area of the United States, 1967-1988","author":[{"family":"Widom","given":"Cathy Spatz"}],"issued":{"date-parts":[["1991",3,5]]},"accessed":{"date-parts":[["2016",7,12]]}},"suppress-author":true}],"schema":"https://github.com/citation-style-language/schema/raw/master/csl-citation.json"} </w:instrText>
      </w:r>
      <w:r w:rsidRPr="00A32EED">
        <w:rPr>
          <w:rFonts w:eastAsia="Calibri"/>
        </w:rPr>
        <w:fldChar w:fldCharType="separate"/>
      </w:r>
      <w:r w:rsidRPr="00A32EED">
        <w:rPr>
          <w:rFonts w:eastAsia="Calibri"/>
          <w:noProof/>
        </w:rPr>
        <w:t>(1991a)</w:t>
      </w:r>
      <w:r w:rsidRPr="00A32EED">
        <w:rPr>
          <w:rFonts w:eastAsia="Calibri"/>
        </w:rPr>
        <w:fldChar w:fldCharType="end"/>
      </w:r>
      <w:r w:rsidRPr="00A32EED">
        <w:rPr>
          <w:rFonts w:eastAsia="Calibri"/>
        </w:rPr>
        <w:t xml:space="preserve"> “</w:t>
      </w:r>
      <w:r w:rsidRPr="00A32EED">
        <w:rPr>
          <w:rFonts w:eastAsia="Calibri"/>
          <w:bCs/>
        </w:rPr>
        <w:t xml:space="preserve">Child Abuse, Neglect, and Violent Criminal Behavior in a Midwest Metropolitan Area of the United States, 1967-1988". Findings from her data have consistently shown that child maltreatment experiences are significantly related to increases in juvenile arrests </w:t>
      </w:r>
      <w:r w:rsidRPr="00A32EED">
        <w:rPr>
          <w:rFonts w:eastAsia="Calibri"/>
          <w:bCs/>
        </w:rPr>
        <w:fldChar w:fldCharType="begin"/>
      </w:r>
      <w:r w:rsidRPr="00A32EED">
        <w:rPr>
          <w:rFonts w:eastAsia="Calibri"/>
          <w:bCs/>
        </w:rPr>
        <w:instrText xml:space="preserve"> ADDIN ZOTERO_ITEM CSL_CITATION {"citationID":"2i1dtv68ir","properties":{"formattedCitation":"(Cathy Spatz Widom 1989; Widom and Maxfield 1996, 2001)","plainCitation":"(Cathy Spatz Widom 1989; Widom and Maxfield 1996, 2001)"},"citationItems":[{"id":556,"uris":["http://zotero.org/users/1165382/items/XNQG2BNA"],"uri":["http://zotero.org/users/1165382/items/XNQG2BNA"],"itemData":{"id":556,"type":"article-journal","title":"Child Abuse, Neglect, and Violent Criminal Behavior*","container-title":"Criminology","page":"251-271","volume":"27","issue":"2","source":"Wiley Online Library","abstract":"Using a prospective cohorts design, official criminal histories for a large sample of substantiated and validated cases of physical and sexual abuse and neglect from the years 1967 through 1971 (n = 908) were compared with those of a matched control group (n = 667) of individuals with no official record of abuse or neglect. Abused and neglected subjects had higher rates of having an adult criminal record than controls and a larger number of arrests as an adult. Based on a logit analysis, a model using four explanatory variables (age, sex, race, and abuse/neglect status) provided a good fit. In comparison with controls, abused and neglected subjects also had a higher frequency of arrests for violent offenses as adults; however, this was due primarily to significantly more adult violent offenses by abused males. Support for the cycle of violence is discussed as well as sex differences in the results, limitations of the findings, and implications for further research.","DOI":"10.1111/j.1745-9125.1989.tb01032.x","ISSN":"1745-9125","language":"en","author":[{"family":"Widom","given":"Cathy Spatz"}],"issued":{"date-parts":[["1989",5,1]]}}},{"id":509,"uris":["http://zotero.org/users/1165382/items/E2F5A6C2"],"uri":["http://zotero.org/users/1165382/items/E2F5A6C2"],"itemData":{"id":509,"type":"article-journal","title":"A prospective examination of risk for violence among abused and neglected childrena","container-title":"Annals of the New York Academy of Sciences","page":"224–237","volume":"794","issue":"1","source":"Google Scholar","author":[{"family":"Widom","given":"Cathy Spatz"},{"family":"Maxfield","given":"Michael G."}],"issued":{"date-parts":[["1996"]]}}},{"id":271,"uris":["http://zotero.org/users/1165382/items/HKNNKMTA"],"uri":["http://zotero.org/users/1165382/items/HKNNKMTA"],"itemData":{"id":271,"type":"article-journal","title":"An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G."}],"issued":{"date-parts":[["2001"]]}}}],"schema":"https://github.com/citation-style-language/schema/raw/master/csl-citation.json"} </w:instrText>
      </w:r>
      <w:r w:rsidRPr="00A32EED">
        <w:rPr>
          <w:rFonts w:eastAsia="Calibri"/>
          <w:bCs/>
        </w:rPr>
        <w:fldChar w:fldCharType="separate"/>
      </w:r>
      <w:r w:rsidRPr="00A32EED">
        <w:rPr>
          <w:rFonts w:eastAsia="Calibri"/>
          <w:bCs/>
          <w:noProof/>
        </w:rPr>
        <w:t>(Cathy Spatz Widom 1989; Widom and Maxfield 1996, 2001)</w:t>
      </w:r>
      <w:r w:rsidRPr="00A32EED">
        <w:rPr>
          <w:rFonts w:eastAsia="Calibri"/>
          <w:bCs/>
        </w:rPr>
        <w:fldChar w:fldCharType="end"/>
      </w:r>
      <w:r w:rsidRPr="00A32EED">
        <w:rPr>
          <w:rFonts w:eastAsia="Calibri"/>
          <w:bCs/>
        </w:rPr>
        <w:t xml:space="preserve">. </w:t>
      </w:r>
    </w:p>
    <w:p w14:paraId="0D3D11CF" w14:textId="77777777" w:rsidR="004C4C39" w:rsidRPr="00A32EED" w:rsidRDefault="004C4C39" w:rsidP="004C4C39">
      <w:pPr>
        <w:spacing w:after="0" w:line="480" w:lineRule="auto"/>
        <w:ind w:firstLine="720"/>
        <w:rPr>
          <w:rFonts w:eastAsia="Calibri"/>
          <w:bCs/>
        </w:rPr>
      </w:pPr>
      <w:r w:rsidRPr="00A32EED">
        <w:rPr>
          <w:rFonts w:eastAsia="Calibri"/>
          <w:bCs/>
        </w:rPr>
        <w:t xml:space="preserve">Studies using the same data have also shown that maltreatment experiences are related to violent juvenile arrests, especially for females  </w:t>
      </w:r>
      <w:r w:rsidRPr="00A32EED">
        <w:rPr>
          <w:rFonts w:eastAsia="Calibri"/>
          <w:bCs/>
        </w:rPr>
        <w:fldChar w:fldCharType="begin"/>
      </w:r>
      <w:r w:rsidRPr="00A32EED">
        <w:rPr>
          <w:rFonts w:eastAsia="Calibri"/>
          <w:bCs/>
        </w:rPr>
        <w:instrText xml:space="preserve"> ADDIN ZOTERO_ITEM CSL_CITATION {"citationID":"4lzHLaVJ","properties":{"formattedCitation":"(Cathy Spatz Widom 1989; Widom and Maxfield 1996, 2001)","plainCitation":"(Cathy Spatz Widom 1989; Widom and Maxfield 1996, 2001)"},"citationItems":[{"id":556,"uris":["http://zotero.org/users/1165382/items/XNQG2BNA"],"uri":["http://zotero.org/users/1165382/items/XNQG2BNA"],"itemData":{"id":556,"type":"article-journal","title":"Child Abuse, Neglect, and Violent Criminal Behavior*","container-title":"Criminology","page":"251-271","volume":"27","issue":"2","source":"Wiley Online Library","abstract":"Using a prospective cohorts design, official criminal histories for a large sample of substantiated and validated cases of physical and sexual abuse and neglect from the years 1967 through 1971 (n = 908) were compared with those of a matched control group (n = 667) of individuals with no official record of abuse or neglect. Abused and neglected subjects had higher rates of having an adult criminal record than controls and a larger number of arrests as an adult. Based on a logit analysis, a model using four explanatory variables (age, sex, race, and abuse/neglect status) provided a good fit. In comparison with controls, abused and neglected subjects also had a higher frequency of arrests for violent offenses as adults; however, this was due primarily to significantly more adult violent offenses by abused males. Support for the cycle of violence is discussed as well as sex differences in the results, limitations of the findings, and implications for further research.","DOI":"10.1111/j.1745-9125.1989.tb01032.x","ISSN":"1745-9125","language":"en","author":[{"family":"Widom","given":"Cathy Spatz"}],"issued":{"date-parts":[["1989",5,1]]}}},{"id":509,"uris":["http://zotero.org/users/1165382/items/E2F5A6C2"],"uri":["http://zotero.org/users/1165382/items/E2F5A6C2"],"itemData":{"id":509,"type":"article-journal","title":"A prospective examination of risk for violence among abused and neglected childrena","container-title":"Annals of the New York Academy of Sciences","page":"224–237","volume":"794","issue":"1","source":"Google Scholar","author":[{"family":"Widom","given":"Cathy Spatz"},{"family":"Maxfield","given":"Michael G."}],"issued":{"date-parts":[["1996"]]}}},{"id":271,"uris":["http://zotero.org/users/1165382/items/HKNNKMTA"],"uri":["http://zotero.org/users/1165382/items/HKNNKMTA"],"itemData":{"id":271,"type":"article-journal","title":"An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G."}],"issued":{"date-parts":[["2001"]]}}}],"schema":"https://github.com/citation-style-language/schema/raw/master/csl-citation.json"} </w:instrText>
      </w:r>
      <w:r w:rsidRPr="00A32EED">
        <w:rPr>
          <w:rFonts w:eastAsia="Calibri"/>
          <w:bCs/>
        </w:rPr>
        <w:fldChar w:fldCharType="separate"/>
      </w:r>
      <w:r w:rsidRPr="00A32EED">
        <w:rPr>
          <w:rFonts w:eastAsia="Calibri"/>
          <w:bCs/>
          <w:noProof/>
        </w:rPr>
        <w:t>(Cathy Spatz Widom 1989; Widom and Maxfield 1996, 2001)</w:t>
      </w:r>
      <w:r w:rsidRPr="00A32EED">
        <w:rPr>
          <w:rFonts w:eastAsia="Calibri"/>
          <w:bCs/>
        </w:rPr>
        <w:fldChar w:fldCharType="end"/>
      </w:r>
      <w:r w:rsidRPr="00A32EED">
        <w:rPr>
          <w:rFonts w:eastAsia="Calibri"/>
          <w:bCs/>
        </w:rPr>
        <w:t xml:space="preserve">. Widom couches her research on the link between child maltreatment and arrests, especially violent arrests, in a cycle of violence framework. The cycle of violence framework states that those who are victims of violent abuse will then go on to be a perpetrator of the same or similar violent behavior </w:t>
      </w:r>
      <w:r w:rsidRPr="00A32EED">
        <w:rPr>
          <w:rFonts w:eastAsia="Calibri"/>
          <w:bCs/>
        </w:rPr>
        <w:fldChar w:fldCharType="begin"/>
      </w:r>
      <w:r w:rsidRPr="00A32EED">
        <w:rPr>
          <w:rFonts w:eastAsia="Calibri"/>
          <w:bCs/>
        </w:rPr>
        <w:instrText xml:space="preserve"> ADDIN ZOTERO_ITEM CSL_CITATION {"citationID":"1m774shp1","properties":{"formattedCitation":"(Cathy Spatz Widom 1989)","plainCitation":"(Cathy Spatz Widom 1989)"},"citationItems":[{"id":556,"uris":["http://zotero.org/users/1165382/items/XNQG2BNA"],"uri":["http://zotero.org/users/1165382/items/XNQG2BNA"],"itemData":{"id":556,"type":"article-journal","title":"Child Abuse, Neglect, and Violent Criminal Behavior*","container-title":"Criminology","page":"251-271","volume":"27","issue":"2","source":"Wiley Online Library","abstract":"Using a prospective cohorts design, official criminal histories for a large sample of substantiated and validated cases of physical and sexual abuse and neglect from the years 1967 through 1971 (n = 908) were compared with those of a matched control group (n = 667) of individuals with no official record of abuse or neglect. Abused and neglected subjects had higher rates of having an adult criminal record than controls and a larger number of arrests as an adult. Based on a logit analysis, a model using four explanatory variables (age, sex, race, and abuse/neglect status) provided a good fit. In comparison with controls, abused and neglected subjects also had a higher frequency of arrests for violent offenses as adults; however, this was due primarily to significantly more adult violent offenses by abused males. Support for the cycle of violence is discussed as well as sex differences in the results, limitations of the findings, and implications for further research.","DOI":"10.1111/j.1745-9125.1989.tb01032.x","ISSN":"1745-9125","language":"en","author":[{"family":"Widom","given":"Cathy Spatz"}],"issued":{"date-parts":[["1989",5,1]]}}}],"schema":"https://github.com/citation-style-language/schema/raw/master/csl-citation.json"} </w:instrText>
      </w:r>
      <w:r w:rsidRPr="00A32EED">
        <w:rPr>
          <w:rFonts w:eastAsia="Calibri"/>
          <w:bCs/>
        </w:rPr>
        <w:fldChar w:fldCharType="separate"/>
      </w:r>
      <w:r w:rsidRPr="00A32EED">
        <w:rPr>
          <w:rFonts w:eastAsia="Calibri"/>
          <w:bCs/>
          <w:noProof/>
        </w:rPr>
        <w:t>(Cathy Spatz Widom 1989)</w:t>
      </w:r>
      <w:r w:rsidRPr="00A32EED">
        <w:rPr>
          <w:rFonts w:eastAsia="Calibri"/>
          <w:bCs/>
        </w:rPr>
        <w:fldChar w:fldCharType="end"/>
      </w:r>
      <w:r w:rsidRPr="00A32EED">
        <w:rPr>
          <w:rFonts w:eastAsia="Calibri"/>
          <w:bCs/>
        </w:rPr>
        <w:t xml:space="preserve">. Other studies have found that maltreatment is not significantly related to higher incidences of arrests for violent behavior </w:t>
      </w:r>
      <w:r w:rsidRPr="00A32EED">
        <w:rPr>
          <w:rFonts w:eastAsia="Calibri"/>
          <w:bCs/>
        </w:rPr>
        <w:fldChar w:fldCharType="begin"/>
      </w:r>
      <w:r w:rsidRPr="00A32EED">
        <w:rPr>
          <w:rFonts w:eastAsia="Calibri"/>
          <w:bCs/>
        </w:rPr>
        <w:instrText xml:space="preserve"> ADDIN ZOTERO_ITEM CSL_CITATION {"citationID":"USIS6JWm","properties":{"formattedCitation":"(Ireland et al. 2002; Loeber et al. 2005; Maas, Herrenkohl, and Sousa 2008; Mersky et al. 2012; Stouthamer-Loeber et al. 2002)","plainCitation":"(Ireland et al. 2002; Loeber et al. 2005; Maas, Herrenkohl, and Sousa 2008; Mersky et al. 2012; Stouthamer-Loeber et al. 2002)"},"citationItems":[{"id":50,"uris":["http://zotero.org/users/1165382/items/45846IC5"],"uri":["http://zotero.org/users/1165382/items/45846IC5"],"itemData":{"id":50,"type":"article-journal","title":"Developmental Issues in the Impact of Child Maltreatment on Later Delinquency and Drug Use*","container-title":"Criminology","page":"359-400","volume":"40","issue":"2","source":"Wiley Online Library","abstract":"Developmental psychopathology emphasizes the impact that early childhood maltreatment has on adolescent and early adult development. The life-course perspective, however, emphasizes more proximal events—adolescent maltreatment, for example—as developmentally disruptive. Prior research suggests that childhood maltreatment is a risk factor for adolescent delinquency and drug use. However, the results appear to depend on a loose definition of childhood. This study utilizes a four-category maltreatment classification—never, childhood-only, adolescence-only, and persistent—to re-examine the maltreatment-delinquency relationship. Using data from the Rochester Youth Development Study, we find no relationship between childhood-only maltreatment and adolescent delinquency or drug use; yet, we do find a consistent impact of adolescence-only and persistent maltreatment on these outcomes.","DOI":"10.1111/j.1745-9125.2002.tb00960.x","ISSN":"1745-9125","note":"00000","language":"en","author":[{"family":"Ireland","given":"Timothy O."},{"family":"Smith","given":"Carolyn A."},{"family":"Thornberry","given":"Terence P."}],"issued":{"date-parts":[["2002",5,1]]}}},{"id":1150,"uris":["http://zotero.org/users/1165382/items/RCSUC9QV"],"uri":["http://zotero.org/users/1165382/items/RCSUC9QV"],"itemData":{"id":1150,"type":"article-journal","title":"The prediction of violence and homicide in young men.","container-title":"Journal of consulting and clinical psychology","page":"1074","volume":"73","issue":"6","source":"Google Scholar","author":[{"family":"Loeber","given":"Rolf"},{"family":"Pardini","given":"Dustin"},{"family":"Homish","given":"D. Lynn"},{"family":"Wei","given":"Evelyn H."},{"family":"Crawford","given":"Anne M."},{"family":"Farrington","given":"David P."},{"family":"Stouthamer-Loeber","given":"Magda"},{"family":"Creemers","given":"Judith"},{"family":"Koehler","given":"Steven A."},{"family":"Rosenfeld","given":"Richard"}],"issued":{"date-parts":[["2005"]]}}},{"id":480,"uris":["http://zotero.org/users/1165382/items/UBKVX6KC"],"uri":["http://zotero.org/users/1165382/items/UBKVX6KC"],"itemData":{"id":480,"type":"article-journal","title":"Review of Research On Child Maltreatment and Violence in Youth","container-title":"Trauma, Violence, &amp; Abuse","page":"56-67","volume":"9","issue":"1","source":"tva.sagepub.com.ezproxy.lib.ou.edu","abstract":"This review addresses research regarding associations between child maltreatment and youth violence perpetration. The authors explore current findings on the direct effects of child maltreatment on later youth violence and possible gender and ethnic differences. They examine differences in the prediction of adolescent violence as a function of duration and timing of maltreatment. Results provide compelling evidence linking child maltreatment and later youth violence, although some research is inconclusive once demographics and other competing predictors are considered. Overall, physical abuse is perhaps the most consistent predictor of youth violence, patterned by an increased risk for children exposed to severe, compounded maltreatment. However, findings indicate that lesser severe forms of abuse can increase the risk of later violence for some youth. Limitations of current research include relatively few prospective, studies on the abuse-violence link; a general lack of specificity in definitions of key variables; and inconsistency in data analysis methods.","DOI":"10.1177/1524838007311105","ISSN":"1524-8380, 1552-8324","note":"PMID: 18182631","journalAbbreviation":"Trauma Violence Abuse","language":"en","author":[{"family":"Maas","given":"Carl"},{"family":"Herrenkohl","given":"Todd I."},{"family":"Sousa","given":"Cynthia"}],"issued":{"date-parts":[["2008",1,1]]}}},{"id":223,"uris":["http://zotero.org/users/1165382/items/EPHM4XPS"],"uri":["http://zotero.org/users/1165382/items/EPHM4XPS"],"itemData":{"id":223,"type":"article-journal","title":"Unsafe at Any Age Linking Childhood and Adolescent Maltreatment to Delinquency and Crime","container-title":"Journal of Research in Crime and Delinquency","page":"295-318","volume":"49","issue":"2","source":"jrc.sagepub.com","abstract":"Objectives. This study compares the effects of childhood maltreatment and adolescent maltreatment on delinquency and crime, including violent and nonviolent offending. Methods. Data were derived from the Chicago Longitudinal Study, a prospective investigation of 1,539 underprivileged, minority subjects. Results. Results confirmed that rates of overall delinquency, along with violent, drug, and property offending specifically, were elevated among childhood and adolescent maltreatment victims compared to their nonmaltreated peers. Childhood maltreatment was associated with delinquency independent of adolescent maltreatment, and strong connections between adolescent maltreatment and delinquency were present independent of prior victimization. Childhood maltreatment was also significantly related to a panel of adult crime measures, while the effects of adolescent maltreatment on adult crime were less robust. Conclusions. The study findings suggest that maltreatment at any age increases the risk of future offending, implying that investments in prevention and intervention strategies throughout childhood and adolescence may reduce delinquency and crime.","DOI":"10.1177/0022427811415284","ISSN":"0022-4278, 1552-731X","note":"00000","journalAbbreviation":"Journal of Research in Crime and Delinquency","language":"en","author":[{"family":"Mersky","given":"Joshua P."},{"family":"Topitzes","given":"James"},{"family":"Reynolds","given":"Arthur J."}],"issued":{"date-parts":[["2012",5,1]]}}},{"id":151,"uris":["http://zotero.org/users/1165382/items/9X35PG5W"],"uri":["http://zotero.org/users/1165382/items/9X35PG5W"],"itemData":{"id":151,"type":"article-journal","title":"Which family and demographic factors are related to both maltreatment and persistent serious juvenile delinquency?","container-title":"Children's Services: Social Policy, Research, and Practice","page":"261–272","volume":"5","issue":"4","source":"Google Scholar","author":[{"family":"Stouthamer-Loeber","given":"Magda"},{"family":"Wei","given":"Evelyn H."},{"family":"Homish","given":"D. Lynn"},{"family":"Loeber","given":"Rolf"}],"issued":{"date-parts":[["2002"]]}}}],"schema":"https://github.com/citation-style-language/schema/raw/master/csl-citation.json"} </w:instrText>
      </w:r>
      <w:r w:rsidRPr="00A32EED">
        <w:rPr>
          <w:rFonts w:eastAsia="Calibri"/>
          <w:bCs/>
        </w:rPr>
        <w:fldChar w:fldCharType="separate"/>
      </w:r>
      <w:r w:rsidRPr="00A32EED">
        <w:rPr>
          <w:rFonts w:eastAsia="Calibri"/>
          <w:bCs/>
          <w:noProof/>
        </w:rPr>
        <w:t>(Ireland et al. 2002; Loeber et al. 2005; Maas, Herrenkohl, and Sousa 2008; Mersky et al. 2012; Stouthamer-Loeber et al. 2002)</w:t>
      </w:r>
      <w:r w:rsidRPr="00A32EED">
        <w:rPr>
          <w:rFonts w:eastAsia="Calibri"/>
          <w:bCs/>
        </w:rPr>
        <w:fldChar w:fldCharType="end"/>
      </w:r>
      <w:r w:rsidRPr="00A32EED">
        <w:rPr>
          <w:rFonts w:eastAsia="Calibri"/>
          <w:bCs/>
        </w:rPr>
        <w:t xml:space="preserve">. </w:t>
      </w:r>
    </w:p>
    <w:p w14:paraId="7AE0DB42" w14:textId="77777777" w:rsidR="004C4C39" w:rsidRPr="00A32EED" w:rsidRDefault="004C4C39" w:rsidP="004C4C39">
      <w:pPr>
        <w:spacing w:after="0" w:line="480" w:lineRule="auto"/>
        <w:ind w:firstLine="720"/>
        <w:rPr>
          <w:rFonts w:eastAsia="Calibri"/>
          <w:bCs/>
        </w:rPr>
      </w:pPr>
      <w:r w:rsidRPr="00A32EED">
        <w:rPr>
          <w:rFonts w:eastAsia="Calibri"/>
          <w:bCs/>
        </w:rPr>
        <w:t xml:space="preserve">Previous research has found a significant link between maltreatment in general and an increase in juvenile arrests </w:t>
      </w:r>
      <w:r w:rsidRPr="00A32EED">
        <w:rPr>
          <w:rFonts w:eastAsia="Calibri"/>
          <w:bCs/>
        </w:rPr>
        <w:fldChar w:fldCharType="begin"/>
      </w:r>
      <w:r w:rsidRPr="00A32EED">
        <w:rPr>
          <w:rFonts w:eastAsia="Calibri"/>
          <w:bCs/>
        </w:rPr>
        <w:instrText xml:space="preserve"> ADDIN ZOTERO_ITEM CSL_CITATION {"citationID":"1ir6svrlsc","properties":{"formattedCitation":"(Maas et al. 2008; Spohn 2000; Zingraff et al. 1993)","plainCitation":"(Maas et al. 2008; Spohn 2000; Zingraff et al. 1993)"},"citationItems":[{"id":480,"uris":["http://zotero.org/users/1165382/items/UBKVX6KC"],"uri":["http://zotero.org/users/1165382/items/UBKVX6KC"],"itemData":{"id":480,"type":"article-journal","title":"Review of Research On Child Maltreatment and Violence in Youth","container-title":"Trauma, Violence, &amp; Abuse","page":"56-67","volume":"9","issue":"1","source":"tva.sagepub.com.ezproxy.lib.ou.edu","abstract":"This review addresses research regarding associations between child maltreatment and youth violence perpetration. The authors explore current findings on the direct effects of child maltreatment on later youth violence and possible gender and ethnic differences. They examine differences in the prediction of adolescent violence as a function of duration and timing of maltreatment. Results provide compelling evidence linking child maltreatment and later youth violence, although some research is inconclusive once demographics and other competing predictors are considered. Overall, physical abuse is perhaps the most consistent predictor of youth violence, patterned by an increased risk for children exposed to severe, compounded maltreatment. However, findings indicate that lesser severe forms of abuse can increase the risk of later violence for some youth. Limitations of current research include relatively few prospective, studies on the abuse-violence link; a general lack of specificity in definitions of key variables; and inconsistency in data analysis methods.","DOI":"10.1177/1524838007311105","ISSN":"1524-8380, 1552-8324","note":"PMID: 18182631","journalAbbreviation":"Trauma Violence Abuse","language":"en","author":[{"family":"Maas","given":"Carl"},{"family":"Herrenkohl","given":"Todd I."},{"family":"Sousa","given":"Cynthia"}],"issued":{"date-parts":[["2008",1,1]]}}},{"id":153,"uris":["http://zotero.org/users/1165382/items/ABCCE7SV"],"uri":["http://zotero.org/users/1165382/items/ABCCE7SV"],"itemData":{"id":153,"type":"article-journal","title":"Gender differences in the effect of child maltreatment on criminal activity over the life course","container-title":"Contemporary Perspectives in Family Research","page":"207–231","volume":"2","source":"Google Scholar","note":"00000","author":[{"family":"Spohn","given":"Ryan E."}],"issued":{"date-parts":[["2000"]]}}},{"id":1307,"uris":["http://zotero.org/users/1165382/items/UGNKS6V7"],"uri":["http://zotero.org/users/1165382/items/UGNKS6V7"],"itemData":{"id":1307,"type":"article-journal","title":"CHILD MALTREATMENT AND YOUTHFUL PROBLEM BEHAVIOR*","container-title":"Criminology","page":"173–202","volume":"31","issue":"2","source":"Google Scholar","author":[{"family":"Zingraff","given":"Matthew T."},{"family":"Leiter","given":"Jeffrey"},{"family":"Myers","given":"Kristen A."},{"family":"Johnsen","given":"Matthew C."}],"issued":{"date-parts":[["1993"]]}}}],"schema":"https://github.com/citation-style-language/schema/raw/master/csl-citation.json"} </w:instrText>
      </w:r>
      <w:r w:rsidRPr="00A32EED">
        <w:rPr>
          <w:rFonts w:eastAsia="Calibri"/>
          <w:bCs/>
        </w:rPr>
        <w:fldChar w:fldCharType="separate"/>
      </w:r>
      <w:r w:rsidRPr="00A32EED">
        <w:rPr>
          <w:rFonts w:eastAsia="Calibri"/>
          <w:bCs/>
          <w:noProof/>
        </w:rPr>
        <w:t xml:space="preserve">(Maas et al. 2008; Spohn 2000; </w:t>
      </w:r>
      <w:r w:rsidRPr="00A32EED">
        <w:rPr>
          <w:rFonts w:eastAsia="Calibri"/>
          <w:bCs/>
          <w:noProof/>
        </w:rPr>
        <w:lastRenderedPageBreak/>
        <w:t>Zingraff et al. 1993)</w:t>
      </w:r>
      <w:r w:rsidRPr="00A32EED">
        <w:rPr>
          <w:rFonts w:eastAsia="Calibri"/>
          <w:bCs/>
        </w:rPr>
        <w:fldChar w:fldCharType="end"/>
      </w:r>
      <w:r w:rsidRPr="00A32EED">
        <w:rPr>
          <w:rFonts w:eastAsia="Calibri"/>
          <w:bCs/>
        </w:rPr>
        <w:t xml:space="preserve">. When these studies have examined specific types of maltreatment, there has been some support for significant independent effects of neglect </w:t>
      </w:r>
      <w:r w:rsidRPr="00A32EED">
        <w:rPr>
          <w:rFonts w:eastAsia="Calibri"/>
          <w:bCs/>
        </w:rPr>
        <w:fldChar w:fldCharType="begin"/>
      </w:r>
      <w:r w:rsidRPr="00A32EED">
        <w:rPr>
          <w:rFonts w:eastAsia="Calibri"/>
          <w:bCs/>
        </w:rPr>
        <w:instrText xml:space="preserve"> ADDIN ZOTERO_ITEM CSL_CITATION {"citationID":"9q9kqgvjc","properties":{"formattedCitation":"(Spohn 2000)","plainCitation":"(Spohn 2000)"},"citationItems":[{"id":153,"uris":["http://zotero.org/users/1165382/items/ABCCE7SV"],"uri":["http://zotero.org/users/1165382/items/ABCCE7SV"],"itemData":{"id":153,"type":"article-journal","title":"Gender differences in the effect of child maltreatment on criminal activity over the life course","container-title":"Contemporary Perspectives in Family Research","page":"207–231","volume":"2","source":"Google Scholar","note":"00000","author":[{"family":"Spohn","given":"Ryan E."}],"issued":{"date-parts":[["2000"]]}}}],"schema":"https://github.com/citation-style-language/schema/raw/master/csl-citation.json"} </w:instrText>
      </w:r>
      <w:r w:rsidRPr="00A32EED">
        <w:rPr>
          <w:rFonts w:eastAsia="Calibri"/>
          <w:bCs/>
        </w:rPr>
        <w:fldChar w:fldCharType="separate"/>
      </w:r>
      <w:r w:rsidRPr="00A32EED">
        <w:rPr>
          <w:rFonts w:eastAsia="Calibri"/>
          <w:bCs/>
          <w:noProof/>
        </w:rPr>
        <w:t>(Spohn 2000)</w:t>
      </w:r>
      <w:r w:rsidRPr="00A32EED">
        <w:rPr>
          <w:rFonts w:eastAsia="Calibri"/>
          <w:bCs/>
        </w:rPr>
        <w:fldChar w:fldCharType="end"/>
      </w:r>
      <w:r w:rsidRPr="00A32EED">
        <w:rPr>
          <w:rFonts w:eastAsia="Calibri"/>
          <w:bCs/>
        </w:rPr>
        <w:t xml:space="preserve"> and physical abuse </w:t>
      </w:r>
      <w:r w:rsidRPr="00A32EED">
        <w:rPr>
          <w:rFonts w:eastAsia="Calibri"/>
          <w:bCs/>
        </w:rPr>
        <w:fldChar w:fldCharType="begin"/>
      </w:r>
      <w:r w:rsidRPr="00A32EED">
        <w:rPr>
          <w:rFonts w:eastAsia="Calibri"/>
          <w:bCs/>
        </w:rPr>
        <w:instrText xml:space="preserve"> ADDIN ZOTERO_ITEM CSL_CITATION {"citationID":"75tiueikj","properties":{"formattedCitation":"(Maas et al. 2008; Spohn 2000)","plainCitation":"(Maas et al. 2008; Spohn 2000)"},"citationItems":[{"id":480,"uris":["http://zotero.org/users/1165382/items/UBKVX6KC"],"uri":["http://zotero.org/users/1165382/items/UBKVX6KC"],"itemData":{"id":480,"type":"article-journal","title":"Review of Research On Child Maltreatment and Violence in Youth","container-title":"Trauma, Violence, &amp; Abuse","page":"56-67","volume":"9","issue":"1","source":"tva.sagepub.com.ezproxy.lib.ou.edu","abstract":"This review addresses research regarding associations between child maltreatment and youth violence perpetration. The authors explore current findings on the direct effects of child maltreatment on later youth violence and possible gender and ethnic differences. They examine differences in the prediction of adolescent violence as a function of duration and timing of maltreatment. Results provide compelling evidence linking child maltreatment and later youth violence, although some research is inconclusive once demographics and other competing predictors are considered. Overall, physical abuse is perhaps the most consistent predictor of youth violence, patterned by an increased risk for children exposed to severe, compounded maltreatment. However, findings indicate that lesser severe forms of abuse can increase the risk of later violence for some youth. Limitations of current research include relatively few prospective, studies on the abuse-violence link; a general lack of specificity in definitions of key variables; and inconsistency in data analysis methods.","DOI":"10.1177/1524838007311105","ISSN":"1524-8380, 1552-8324","note":"PMID: 18182631","journalAbbreviation":"Trauma Violence Abuse","language":"en","author":[{"family":"Maas","given":"Carl"},{"family":"Herrenkohl","given":"Todd I."},{"family":"Sousa","given":"Cynthia"}],"issued":{"date-parts":[["2008",1,1]]}}},{"id":153,"uris":["http://zotero.org/users/1165382/items/ABCCE7SV"],"uri":["http://zotero.org/users/1165382/items/ABCCE7SV"],"itemData":{"id":153,"type":"article-journal","title":"Gender differences in the effect of child maltreatment on criminal activity over the life course","container-title":"Contemporary Perspectives in Family Research","page":"207–231","volume":"2","source":"Google Scholar","note":"00000","author":[{"family":"Spohn","given":"Ryan E."}],"issued":{"date-parts":[["2000"]]}}}],"schema":"https://github.com/citation-style-language/schema/raw/master/csl-citation.json"} </w:instrText>
      </w:r>
      <w:r w:rsidRPr="00A32EED">
        <w:rPr>
          <w:rFonts w:eastAsia="Calibri"/>
          <w:bCs/>
        </w:rPr>
        <w:fldChar w:fldCharType="separate"/>
      </w:r>
      <w:r w:rsidRPr="00A32EED">
        <w:rPr>
          <w:rFonts w:eastAsia="Calibri"/>
          <w:bCs/>
          <w:noProof/>
        </w:rPr>
        <w:t>(Maas et al. 2008; Spohn 2000)</w:t>
      </w:r>
      <w:r w:rsidRPr="00A32EED">
        <w:rPr>
          <w:rFonts w:eastAsia="Calibri"/>
          <w:bCs/>
        </w:rPr>
        <w:fldChar w:fldCharType="end"/>
      </w:r>
      <w:r w:rsidRPr="00A32EED">
        <w:rPr>
          <w:rFonts w:eastAsia="Calibri"/>
          <w:bCs/>
        </w:rPr>
        <w:t xml:space="preserve"> on juvenile arrests. Despite the significant relationship in the abovementioned studies, some studies have not found a significant link between maltreatment and juvenile arrests </w:t>
      </w:r>
      <w:r w:rsidRPr="00A32EED">
        <w:rPr>
          <w:rFonts w:eastAsia="Calibri"/>
          <w:bCs/>
        </w:rPr>
        <w:fldChar w:fldCharType="begin"/>
      </w:r>
      <w:r w:rsidRPr="00A32EED">
        <w:rPr>
          <w:rFonts w:eastAsia="Calibri"/>
          <w:bCs/>
        </w:rPr>
        <w:instrText xml:space="preserve"> ADDIN ZOTERO_ITEM CSL_CITATION {"citationID":"1gpuqbgd9k","properties":{"formattedCitation":"(Kazemian et al. 2011; Loeber et al. 2005; Stouthamer-Loeber et al. 2002; Thornberry et al. 2004)","plainCitation":"(Kazemian et al. 2011; Loeber et al. 2005; Stouthamer-Loeber et al. 2002; Thornberry et al. 2004)"},"citationItems":[{"id":184,"uris":["http://zotero.org/users/1165382/items/BXC8W7MU"],"uri":["http://zotero.org/users/1165382/items/BXC8W7MU"],"itemData":{"id":184,"type":"article-journal","title":"A prospective examination of the relationship between childhood neglect and juvenile delinquency in the Cambridge study in delinquent development","container-title":"International Journal of Child, Youth and Family Studies","page":"65–82","volume":"2","issue":"1/2","source":"Google Scholar","author":[{"family":"Kazemian","given":"Lila"},{"family":"Widom","given":"Cathy Spatz"},{"family":"Farrington","given":"David P."}],"issued":{"date-parts":[["2011"]]}}},{"id":1150,"uris":["http://zotero.org/users/1165382/items/RCSUC9QV"],"uri":["http://zotero.org/users/1165382/items/RCSUC9QV"],"itemData":{"id":1150,"type":"article-journal","title":"The prediction of violence and homicide in young men.","container-title":"Journal of consulting and clinical psychology","page":"1074","volume":"73","issue":"6","source":"Google Scholar","author":[{"family":"Loeber","given":"Rolf"},{"family":"Pardini","given":"Dustin"},{"family":"Homish","given":"D. Lynn"},{"family":"Wei","given":"Evelyn H."},{"family":"Crawford","given":"Anne M."},{"family":"Farrington","given":"David P."},{"family":"Stouthamer-Loeber","given":"Magda"},{"family":"Creemers","given":"Judith"},{"family":"Koehler","given":"Steven A."},{"family":"Rosenfeld","given":"Richard"}],"issued":{"date-parts":[["2005"]]}}},{"id":151,"uris":["http://zotero.org/users/1165382/items/9X35PG5W"],"uri":["http://zotero.org/users/1165382/items/9X35PG5W"],"itemData":{"id":151,"type":"article-journal","title":"Which family and demographic factors are related to both maltreatment and persistent serious juvenile delinquency?","container-title":"Children's Services: Social Policy, Research, and Practice","page":"261–272","volume":"5","issue":"4","source":"Google Scholar","author":[{"family":"Stouthamer-Loeber","given":"Magda"},{"family":"Wei","given":"Evelyn H."},{"family":"Homish","given":"D. Lynn"},{"family":"Loeber","given":"Rolf"}],"issued":{"date-parts":[["2002"]]}}},{"id":122,"uris":["http://zotero.org/users/1165382/items/7XVA6EGP"],"uri":["http://zotero.org/users/1165382/items/7XVA6EGP"],"itemData":{"id":122,"type":"article-journal","title":"The causes and correlates studies: Findings and policy implications","container-title":"Juvenile Justice","page":"3–19","volume":"9","issue":"1","source":"Google Scholar","shortTitle":"The causes and correlates studies","author":[{"family":"Thornberry","given":"Terence P."},{"family":"Huizinga","given":"David"},{"family":"Loeber","given":"Rolf"},{"literal":"others"}],"issued":{"date-parts":[["2004"]]}}}],"schema":"https://github.com/citation-style-language/schema/raw/master/csl-citation.json"} </w:instrText>
      </w:r>
      <w:r w:rsidRPr="00A32EED">
        <w:rPr>
          <w:rFonts w:eastAsia="Calibri"/>
          <w:bCs/>
        </w:rPr>
        <w:fldChar w:fldCharType="separate"/>
      </w:r>
      <w:r w:rsidRPr="00A32EED">
        <w:rPr>
          <w:rFonts w:eastAsia="Calibri"/>
          <w:bCs/>
          <w:noProof/>
        </w:rPr>
        <w:t>(Kazemian et al. 2011; Loeber et al. 2005; Stouthamer-Loeber et al. 2002; Thornberry et al. 2004)</w:t>
      </w:r>
      <w:r w:rsidRPr="00A32EED">
        <w:rPr>
          <w:rFonts w:eastAsia="Calibri"/>
          <w:bCs/>
        </w:rPr>
        <w:fldChar w:fldCharType="end"/>
      </w:r>
      <w:r w:rsidRPr="00A32EED">
        <w:rPr>
          <w:rFonts w:eastAsia="Calibri"/>
          <w:bCs/>
        </w:rPr>
        <w:t xml:space="preserve">. In some of these studies, there was initial significance at the bivariate level that was lost when using multivariate analyses </w:t>
      </w:r>
      <w:r w:rsidRPr="00A32EED">
        <w:rPr>
          <w:rFonts w:eastAsia="Calibri"/>
          <w:bCs/>
        </w:rPr>
        <w:fldChar w:fldCharType="begin"/>
      </w:r>
      <w:r w:rsidRPr="00A32EED">
        <w:rPr>
          <w:rFonts w:eastAsia="Calibri"/>
          <w:bCs/>
        </w:rPr>
        <w:instrText xml:space="preserve"> ADDIN ZOTERO_ITEM CSL_CITATION {"citationID":"1nstdt7m9u","properties":{"formattedCitation":"(Kazemian et al. 2011; Loeber et al. 2005; Stouthamer-Loeber et al. 2002)","plainCitation":"(Kazemian et al. 2011; Loeber et al. 2005; Stouthamer-Loeber et al. 2002)"},"citationItems":[{"id":184,"uris":["http://zotero.org/users/1165382/items/BXC8W7MU"],"uri":["http://zotero.org/users/1165382/items/BXC8W7MU"],"itemData":{"id":184,"type":"article-journal","title":"A prospective examination of the relationship between childhood neglect and juvenile delinquency in the Cambridge study in delinquent development","container-title":"International Journal of Child, Youth and Family Studies","page":"65–82","volume":"2","issue":"1/2","source":"Google Scholar","author":[{"family":"Kazemian","given":"Lila"},{"family":"Widom","given":"Cathy Spatz"},{"family":"Farrington","given":"David P."}],"issued":{"date-parts":[["2011"]]}}},{"id":1150,"uris":["http://zotero.org/users/1165382/items/RCSUC9QV"],"uri":["http://zotero.org/users/1165382/items/RCSUC9QV"],"itemData":{"id":1150,"type":"article-journal","title":"The prediction of violence and homicide in young men.","container-title":"Journal of consulting and clinical psychology","page":"1074","volume":"73","issue":"6","source":"Google Scholar","author":[{"family":"Loeber","given":"Rolf"},{"family":"Pardini","given":"Dustin"},{"family":"Homish","given":"D. Lynn"},{"family":"Wei","given":"Evelyn H."},{"family":"Crawford","given":"Anne M."},{"family":"Farrington","given":"David P."},{"family":"Stouthamer-Loeber","given":"Magda"},{"family":"Creemers","given":"Judith"},{"family":"Koehler","given":"Steven A."},{"family":"Rosenfeld","given":"Richard"}],"issued":{"date-parts":[["2005"]]}}},{"id":151,"uris":["http://zotero.org/users/1165382/items/9X35PG5W"],"uri":["http://zotero.org/users/1165382/items/9X35PG5W"],"itemData":{"id":151,"type":"article-journal","title":"Which family and demographic factors are related to both maltreatment and persistent serious juvenile delinquency?","container-title":"Children's Services: Social Policy, Research, and Practice","page":"261–272","volume":"5","issue":"4","source":"Google Scholar","author":[{"family":"Stouthamer-Loeber","given":"Magda"},{"family":"Wei","given":"Evelyn H."},{"family":"Homish","given":"D. Lynn"},{"family":"Loeber","given":"Rolf"}],"issued":{"date-parts":[["2002"]]}}}],"schema":"https://github.com/citation-style-language/schema/raw/master/csl-citation.json"} </w:instrText>
      </w:r>
      <w:r w:rsidRPr="00A32EED">
        <w:rPr>
          <w:rFonts w:eastAsia="Calibri"/>
          <w:bCs/>
        </w:rPr>
        <w:fldChar w:fldCharType="separate"/>
      </w:r>
      <w:r w:rsidRPr="00A32EED">
        <w:rPr>
          <w:rFonts w:eastAsia="Calibri"/>
          <w:bCs/>
          <w:noProof/>
        </w:rPr>
        <w:t>(Kazemian et al. 2011; Loeber et al. 2005; Stouthamer-Loeber et al. 2002)</w:t>
      </w:r>
      <w:r w:rsidRPr="00A32EED">
        <w:rPr>
          <w:rFonts w:eastAsia="Calibri"/>
          <w:bCs/>
        </w:rPr>
        <w:fldChar w:fldCharType="end"/>
      </w:r>
      <w:r w:rsidRPr="00A32EED">
        <w:rPr>
          <w:rFonts w:eastAsia="Calibri"/>
          <w:bCs/>
        </w:rPr>
        <w:t xml:space="preserve">. In other studies, the timing of the abuse affected the relationship between maltreatment and juvenile justice arrests </w:t>
      </w:r>
      <w:r w:rsidRPr="00A32EED">
        <w:rPr>
          <w:rFonts w:eastAsia="Calibri"/>
          <w:bCs/>
        </w:rPr>
        <w:fldChar w:fldCharType="begin"/>
      </w:r>
      <w:r w:rsidRPr="00A32EED">
        <w:rPr>
          <w:rFonts w:eastAsia="Calibri"/>
          <w:bCs/>
        </w:rPr>
        <w:instrText xml:space="preserve"> ADDIN ZOTERO_ITEM CSL_CITATION {"citationID":"1htv3vsu3e","properties":{"formattedCitation":"(Ireland et al. 2002; Thornberry et al. 2004)","plainCitation":"(Ireland et al. 2002; Thornberry et al. 2004)"},"citationItems":[{"id":50,"uris":["http://zotero.org/users/1165382/items/45846IC5"],"uri":["http://zotero.org/users/1165382/items/45846IC5"],"itemData":{"id":50,"type":"article-journal","title":"Developmental Issues in the Impact of Child Maltreatment on Later Delinquency and Drug Use*","container-title":"Criminology","page":"359-400","volume":"40","issue":"2","source":"Wiley Online Library","abstract":"Developmental psychopathology emphasizes the impact that early childhood maltreatment has on adolescent and early adult development. The life-course perspective, however, emphasizes more proximal events—adolescent maltreatment, for example—as developmentally disruptive. Prior research suggests that childhood maltreatment is a risk factor for adolescent delinquency and drug use. However, the results appear to depend on a loose definition of childhood. This study utilizes a four-category maltreatment classification—never, childhood-only, adolescence-only, and persistent—to re-examine the maltreatment-delinquency relationship. Using data from the Rochester Youth Development Study, we find no relationship between childhood-only maltreatment and adolescent delinquency or drug use; yet, we do find a consistent impact of adolescence-only and persistent maltreatment on these outcomes.","DOI":"10.1111/j.1745-9125.2002.tb00960.x","ISSN":"1745-9125","note":"00000","language":"en","author":[{"family":"Ireland","given":"Timothy O."},{"family":"Smith","given":"Carolyn A."},{"family":"Thornberry","given":"Terence P."}],"issued":{"date-parts":[["2002",5,1]]}}},{"id":122,"uris":["http://zotero.org/users/1165382/items/7XVA6EGP"],"uri":["http://zotero.org/users/1165382/items/7XVA6EGP"],"itemData":{"id":122,"type":"article-journal","title":"The causes and correlates studies: Findings and policy implications","container-title":"Juvenile Justice","page":"3–19","volume":"9","issue":"1","source":"Google Scholar","shortTitle":"The causes and correlates studies","author":[{"family":"Thornberry","given":"Terence P."},{"family":"Huizinga","given":"David"},{"family":"Loeber","given":"Rolf"},{"literal":"others"}],"issued":{"date-parts":[["2004"]]}}}],"schema":"https://github.com/citation-style-language/schema/raw/master/csl-citation.json"} </w:instrText>
      </w:r>
      <w:r w:rsidRPr="00A32EED">
        <w:rPr>
          <w:rFonts w:eastAsia="Calibri"/>
          <w:bCs/>
        </w:rPr>
        <w:fldChar w:fldCharType="separate"/>
      </w:r>
      <w:r w:rsidRPr="00A32EED">
        <w:rPr>
          <w:rFonts w:eastAsia="Calibri"/>
          <w:bCs/>
          <w:noProof/>
        </w:rPr>
        <w:t>(Ireland et al. 2002; Thornberry et al. 2004)</w:t>
      </w:r>
      <w:r w:rsidRPr="00A32EED">
        <w:rPr>
          <w:rFonts w:eastAsia="Calibri"/>
          <w:bCs/>
        </w:rPr>
        <w:fldChar w:fldCharType="end"/>
      </w:r>
      <w:r w:rsidRPr="00A32EED">
        <w:rPr>
          <w:rFonts w:eastAsia="Calibri"/>
          <w:bCs/>
        </w:rPr>
        <w:t xml:space="preserve">. Specifically, Ireland et al. </w:t>
      </w:r>
      <w:r w:rsidRPr="00A32EED">
        <w:rPr>
          <w:rFonts w:eastAsia="Calibri"/>
          <w:bCs/>
        </w:rPr>
        <w:fldChar w:fldCharType="begin"/>
      </w:r>
      <w:r w:rsidRPr="00A32EED">
        <w:rPr>
          <w:rFonts w:eastAsia="Calibri"/>
          <w:bCs/>
        </w:rPr>
        <w:instrText xml:space="preserve"> ADDIN ZOTERO_ITEM CSL_CITATION {"citationID":"29eo5sjndo","properties":{"formattedCitation":"(2002)","plainCitation":"(2002)"},"citationItems":[{"id":50,"uris":["http://zotero.org/users/1165382/items/45846IC5"],"uri":["http://zotero.org/users/1165382/items/45846IC5"],"itemData":{"id":50,"type":"article-journal","title":"Developmental Issues in the Impact of Child Maltreatment on Later Delinquency and Drug Use*","container-title":"Criminology","page":"359-400","volume":"40","issue":"2","source":"Wiley Online Library","abstract":"Developmental psychopathology emphasizes the impact that early childhood maltreatment has on adolescent and early adult development. The life-course perspective, however, emphasizes more proximal events—adolescent maltreatment, for example—as developmentally disruptive. Prior research suggests that childhood maltreatment is a risk factor for adolescent delinquency and drug use. However, the results appear to depend on a loose definition of childhood. This study utilizes a four-category maltreatment classification—never, childhood-only, adolescence-only, and persistent—to re-examine the maltreatment-delinquency relationship. Using data from the Rochester Youth Development Study, we find no relationship between childhood-only maltreatment and adolescent delinquency or drug use; yet, we do find a consistent impact of adolescence-only and persistent maltreatment on these outcomes.","DOI":"10.1111/j.1745-9125.2002.tb00960.x","ISSN":"1745-9125","note":"00000","language":"en","author":[{"family":"Ireland","given":"Timothy O."},{"family":"Smith","given":"Carolyn A."},{"family":"Thornberry","given":"Terence P."}],"issued":{"date-parts":[["2002",5,1]]}},"suppress-author":true}],"schema":"https://github.com/citation-style-language/schema/raw/master/csl-citation.json"} </w:instrText>
      </w:r>
      <w:r w:rsidRPr="00A32EED">
        <w:rPr>
          <w:rFonts w:eastAsia="Calibri"/>
          <w:bCs/>
        </w:rPr>
        <w:fldChar w:fldCharType="separate"/>
      </w:r>
      <w:r w:rsidRPr="00A32EED">
        <w:rPr>
          <w:rFonts w:eastAsia="Calibri"/>
          <w:bCs/>
          <w:noProof/>
        </w:rPr>
        <w:t>(2002)</w:t>
      </w:r>
      <w:r w:rsidRPr="00A32EED">
        <w:rPr>
          <w:rFonts w:eastAsia="Calibri"/>
          <w:bCs/>
        </w:rPr>
        <w:fldChar w:fldCharType="end"/>
      </w:r>
      <w:r w:rsidRPr="00A32EED">
        <w:rPr>
          <w:rFonts w:eastAsia="Calibri"/>
          <w:bCs/>
        </w:rPr>
        <w:t xml:space="preserve"> found that maltreatment experienced only in childhood did not significantly impact the odds of a general juvenile arrest. However, childhood only maltreatment was significantly related to an increase in the odds of a juvenile arrest for violent behavior. Furthermore, persistent maltreatment (experienced in both childhood and adolescence) and adolescent only maltreatment both resulted in significant increases in the odds of a juvenile arrest. Similarly, Thornberry et al. </w:t>
      </w:r>
      <w:r w:rsidRPr="00A32EED">
        <w:rPr>
          <w:rFonts w:eastAsia="Calibri"/>
          <w:bCs/>
        </w:rPr>
        <w:fldChar w:fldCharType="begin"/>
      </w:r>
      <w:r w:rsidRPr="00A32EED">
        <w:rPr>
          <w:rFonts w:eastAsia="Calibri"/>
          <w:bCs/>
        </w:rPr>
        <w:instrText xml:space="preserve"> ADDIN ZOTERO_ITEM CSL_CITATION {"citationID":"8i13oLlg","properties":{"formattedCitation":"(2004)","plainCitation":"(2004)"},"citationItems":[{"id":122,"uris":["http://zotero.org/users/1165382/items/7XVA6EGP"],"uri":["http://zotero.org/users/1165382/items/7XVA6EGP"],"itemData":{"id":122,"type":"article-journal","title":"The causes and correlates studies: Findings and policy implications","container-title":"Juvenile Justice","page":"3–19","volume":"9","issue":"1","source":"Google Scholar","shortTitle":"The causes and correlates studies","author":[{"family":"Thornberry","given":"Terence P."},{"family":"Huizinga","given":"David"},{"family":"Loeber","given":"Rolf"},{"literal":"others"}],"issued":{"date-parts":[["2004"]]}},"suppress-author":true}],"schema":"https://github.com/citation-style-language/schema/raw/master/csl-citation.json"} </w:instrText>
      </w:r>
      <w:r w:rsidRPr="00A32EED">
        <w:rPr>
          <w:rFonts w:eastAsia="Calibri"/>
          <w:bCs/>
        </w:rPr>
        <w:fldChar w:fldCharType="separate"/>
      </w:r>
      <w:r w:rsidRPr="00A32EED">
        <w:rPr>
          <w:rFonts w:eastAsia="Calibri"/>
          <w:bCs/>
          <w:noProof/>
        </w:rPr>
        <w:t>(2004)</w:t>
      </w:r>
      <w:r w:rsidRPr="00A32EED">
        <w:rPr>
          <w:rFonts w:eastAsia="Calibri"/>
          <w:bCs/>
        </w:rPr>
        <w:fldChar w:fldCharType="end"/>
      </w:r>
      <w:r w:rsidRPr="00A32EED">
        <w:rPr>
          <w:rFonts w:eastAsia="Calibri"/>
          <w:bCs/>
        </w:rPr>
        <w:t xml:space="preserve"> found that prevalence of arrest histories was twice as high for youth who endured persistent maltreatment when compared to those who did no experience maltreatment or only experienced it in childhood. </w:t>
      </w:r>
    </w:p>
    <w:p w14:paraId="1F486180" w14:textId="77777777" w:rsidR="004C4C39" w:rsidRPr="00A32EED" w:rsidRDefault="004C4C39" w:rsidP="004C4C39">
      <w:pPr>
        <w:keepNext/>
        <w:keepLines/>
        <w:spacing w:before="40" w:after="0" w:line="480" w:lineRule="auto"/>
        <w:outlineLvl w:val="2"/>
        <w:rPr>
          <w:rFonts w:eastAsia="ＭＳ ゴシック"/>
          <w:i/>
          <w:color w:val="000000"/>
        </w:rPr>
      </w:pPr>
      <w:bookmarkStart w:id="35" w:name="_Toc464641000"/>
      <w:bookmarkStart w:id="36" w:name="_Toc479938151"/>
      <w:bookmarkStart w:id="37" w:name="_Toc482112680"/>
      <w:r w:rsidRPr="00A32EED">
        <w:rPr>
          <w:rFonts w:eastAsia="ＭＳ ゴシック"/>
          <w:i/>
          <w:color w:val="000000"/>
        </w:rPr>
        <w:lastRenderedPageBreak/>
        <w:t>Child Welfare Experience and Juvenile Justice Contact</w:t>
      </w:r>
      <w:bookmarkEnd w:id="35"/>
      <w:bookmarkEnd w:id="36"/>
      <w:bookmarkEnd w:id="37"/>
    </w:p>
    <w:p w14:paraId="36D11BFB" w14:textId="77777777" w:rsidR="004C4C39" w:rsidRPr="00A32EED" w:rsidRDefault="004C4C39" w:rsidP="004C4C39">
      <w:pPr>
        <w:spacing w:after="0" w:line="480" w:lineRule="auto"/>
        <w:ind w:firstLine="720"/>
        <w:rPr>
          <w:rFonts w:eastAsia="Calibri"/>
          <w:bCs/>
        </w:rPr>
      </w:pPr>
      <w:r w:rsidRPr="00A32EED">
        <w:rPr>
          <w:rFonts w:eastAsia="Calibri"/>
          <w:bCs/>
        </w:rPr>
        <w:t>Research regarding the relationship between child welfare experiences and criminal justice contact is more diverse because different child welfare experiences can also function as a protective factor. In other words, whereas maltreatment is always examined as a risk factor for later criminal justice exposure, child welfare experiences may be a risk or a protective factor. Different type of placements may function as a protective factor against risk factors such as maltreatment or other placements. The research around child welfare experiences generally focuses on one of the following areas: removal from the child's home, placement stability, and where the child is placed upon exiting the child welfare system. Research linking removal and juvenile justice contact can be difficult due to selection biases. Specifically, the problem is that when comparing children who were removed and children who were not removed, it can be difficult to distinguish between the effects of the removal or the differential effects of the maltreatment itself, especially because those children who were removed likely experienced more severe maltreatment.</w:t>
      </w:r>
    </w:p>
    <w:p w14:paraId="0F2B33AB" w14:textId="77777777" w:rsidR="004C4C39" w:rsidRPr="00A32EED" w:rsidRDefault="004C4C39" w:rsidP="004C4C39">
      <w:pPr>
        <w:spacing w:after="0" w:line="480" w:lineRule="auto"/>
        <w:ind w:firstLine="720"/>
        <w:rPr>
          <w:rFonts w:eastAsia="Calibri"/>
          <w:bCs/>
        </w:rPr>
      </w:pPr>
      <w:r w:rsidRPr="00A32EED">
        <w:rPr>
          <w:rFonts w:eastAsia="Calibri"/>
          <w:bCs/>
        </w:rPr>
        <w:t xml:space="preserve">When controlling for factors such as the type of abuse, Widom and Maxfield (2001) found that out of home placement was not significantly related to the number of arrests for children removed due to abuse and neglect. Although not related to removal alone, Widom (1991) found that older children who were removed were more likely to experience a juvenile justice arrest than younger children. In other words, a child who was removed for the first time at the age of 16 was more likely to experience an arrest as a juvenile than a child </w:t>
      </w:r>
      <w:r w:rsidRPr="00A32EED">
        <w:rPr>
          <w:rFonts w:eastAsia="Calibri"/>
          <w:bCs/>
        </w:rPr>
        <w:lastRenderedPageBreak/>
        <w:t>removed for the first time at age 10. This could be due to factors such as more severe abuse generally needed to justify a removal as children age or perhaps a bigger shock to a child’s social bonds as they age. Related, Ryan et al. (2008) found that the odds of arrest increase 5% every year older a child is at the time of placement. This same study also found that children with a group home placement history are also more likely to have a juvenile arrest. Given the fact that behavioral problems and a higher level of care are generally prerequisites for placement in a group home, this finding is not surprising.</w:t>
      </w:r>
    </w:p>
    <w:p w14:paraId="0769E58A" w14:textId="77777777" w:rsidR="004C4C39" w:rsidRPr="00A32EED" w:rsidRDefault="004C4C39" w:rsidP="004C4C39">
      <w:pPr>
        <w:spacing w:after="0" w:line="480" w:lineRule="auto"/>
        <w:ind w:firstLine="720"/>
        <w:rPr>
          <w:rFonts w:eastAsia="Calibri"/>
          <w:bCs/>
        </w:rPr>
      </w:pPr>
      <w:r w:rsidRPr="00A32EED">
        <w:rPr>
          <w:rFonts w:eastAsia="Calibri"/>
          <w:bCs/>
        </w:rPr>
        <w:t xml:space="preserve">Much of the research regarding placement type focuses on differences in outcomes when comparing children placed in kinship care versus children placed in non-kinship care. Ryan et al. (2008) found that youth placed in kinship home were significantly more likely than youth placed in non-kinship care to have a petition as a juvenile. Ryan et al. (2010) showed some support for the above findings. Specifically, for white and African-American adolescent males, the authors found that youths placed in kinship homes were significantly more likely to experience a juvenile arrest. However, they found that for Hispanic males and females, kinship homes functioned as a protective factor and for African American and white females, there was no difference between kinship and non-kinship placements. The authors suggest that neighborhood effects may be part of the explanation for these differences. In other words, there is something unique regarding the differences in neighborhoods between the respective kin and non-kinship homes that are resulting in these different relationships between child welfare experiences and juvenile justice outcomes. </w:t>
      </w:r>
      <w:r w:rsidRPr="00A32EED">
        <w:rPr>
          <w:rFonts w:eastAsia="Calibri"/>
          <w:bCs/>
        </w:rPr>
        <w:lastRenderedPageBreak/>
        <w:t>To date, there is little research on this front, but it is an area likely to be expanded upon moving forwards.</w:t>
      </w:r>
    </w:p>
    <w:p w14:paraId="04979E60" w14:textId="77777777" w:rsidR="004C4C39" w:rsidRPr="00A32EED" w:rsidRDefault="004C4C39" w:rsidP="004C4C39">
      <w:pPr>
        <w:spacing w:after="0" w:line="480" w:lineRule="auto"/>
        <w:ind w:firstLine="720"/>
        <w:rPr>
          <w:rFonts w:eastAsia="Calibri"/>
          <w:bCs/>
        </w:rPr>
      </w:pPr>
      <w:r w:rsidRPr="00A32EED">
        <w:rPr>
          <w:rFonts w:eastAsia="Calibri"/>
          <w:bCs/>
        </w:rPr>
        <w:t>Placement stability is the final aspect of child welfare experience that is generally found to be related to juvenile justice contact. Although the number of placements varies, studies generally find that the more placements a child have, the more likely they are to experience a juvenile arrest (Widom 1991; Ryan et al. 2008; Ryan et al. 2008). Both Widom (1991) and Ryan et al. (2008) found that youth with three or more placements were significantly more likely to experience a juvenile arrest. Specifically, Ryan et al. (2008) found that youth with two and three placements experienced odds of experiencing an arrest equaling 3.7 and 5.5 higher, respectively, when compared to youth with less than two moves. Ryan et al. (2008) found that every additional placement after the first increased the odds of a juvenile delinquent petition of 1%. Youth with at least one runaway episode had a 160% increase in the odds of a delinquent petition.</w:t>
      </w:r>
    </w:p>
    <w:p w14:paraId="47A3880A" w14:textId="77777777" w:rsidR="004C4C39" w:rsidRPr="00A32EED" w:rsidRDefault="004C4C39" w:rsidP="004C4C39">
      <w:pPr>
        <w:keepNext/>
        <w:keepLines/>
        <w:spacing w:before="40" w:after="0" w:line="480" w:lineRule="auto"/>
        <w:outlineLvl w:val="2"/>
        <w:rPr>
          <w:rFonts w:eastAsia="ＭＳ ゴシック"/>
          <w:i/>
          <w:color w:val="000000"/>
        </w:rPr>
      </w:pPr>
      <w:bookmarkStart w:id="38" w:name="_Toc464641001"/>
      <w:bookmarkStart w:id="39" w:name="_Toc479938152"/>
      <w:bookmarkStart w:id="40" w:name="_Toc482112681"/>
      <w:r w:rsidRPr="00A32EED">
        <w:rPr>
          <w:rFonts w:eastAsia="ＭＳ ゴシック"/>
          <w:i/>
          <w:color w:val="000000"/>
        </w:rPr>
        <w:t>Child Maltreatment and Adult Criminal Justice Contact</w:t>
      </w:r>
      <w:bookmarkEnd w:id="38"/>
      <w:bookmarkEnd w:id="39"/>
      <w:bookmarkEnd w:id="40"/>
    </w:p>
    <w:p w14:paraId="67A6C631" w14:textId="77777777" w:rsidR="004C4C39" w:rsidRPr="00A32EED" w:rsidRDefault="004C4C39" w:rsidP="004C4C39">
      <w:pPr>
        <w:spacing w:after="0" w:line="480" w:lineRule="auto"/>
        <w:ind w:firstLine="720"/>
        <w:rPr>
          <w:rFonts w:eastAsia="Calibri"/>
          <w:bCs/>
        </w:rPr>
      </w:pPr>
      <w:r w:rsidRPr="00A32EED">
        <w:rPr>
          <w:rFonts w:eastAsia="Calibri"/>
          <w:bCs/>
        </w:rPr>
        <w:t xml:space="preserve">There is a large body of research linking childhood maltreatment to adult criminal justice contact. Most studies in this area focus on arrests, convictions, or incarceration. Victims of maltreatment are consistently overrepresented in surveys of incarcerated individuals </w:t>
      </w:r>
      <w:r w:rsidRPr="00A32EED">
        <w:rPr>
          <w:rFonts w:eastAsia="Calibri"/>
          <w:bCs/>
        </w:rPr>
        <w:fldChar w:fldCharType="begin"/>
      </w:r>
      <w:r w:rsidRPr="00A32EED">
        <w:rPr>
          <w:rFonts w:eastAsia="Calibri"/>
          <w:bCs/>
        </w:rPr>
        <w:instrText xml:space="preserve"> ADDIN ZOTERO_ITEM CSL_CITATION {"citationID":"mqbqau90b","properties":{"formattedCitation":"(Ekstrand et al. 1999; Harlow 1999; Teague et al. 2008)","plainCitation":"(Ekstrand et al. 1999; Harlow 1999; Teague et al. 2008)"},"citationItems":[{"id":1276,"uris":["http://zotero.org/users/1165382/items/WFAQDAWN"],"uri":["http://zotero.org/users/1165382/items/WFAQDAWN"],"itemData":{"id":1276,"type":"article-journal","title":"Women in prison: issues and challenges confronting US correctional systems","container-title":"Pp.[URL: http://www. gao. gov/new. items/gg00022. pdf]. Washington, DC: United States General Accounting Office","source":"Google Scholar","note":"00015","shortTitle":"Women in prison","author":[{"family":"Ekstrand","given":"Laurie"},{"family":"Burton","given":"Danny"},{"family":"Erdman","given":"Eric"}],"issued":{"date-parts":[["1999"]]}}},{"id":1277,"uris":["http://zotero.org/users/1165382/items/C46DEDQU"],"uri":["http://zotero.org/users/1165382/items/C46DEDQU"],"itemData":{"id":1277,"type":"article-journal","title":"Prior abuse reported by inmates and probationers","container-title":"alcohol","page":"29–4","volume":"75","source":"Google Scholar","note":"00267","author":[{"family":"Harlow","given":"Caroline Wolf"}],"issued":{"date-parts":[["1999"]]}}},{"id":100,"uris":["http://zotero.org/users/1165382/items/759725VW"],"uri":["http://zotero.org/users/1165382/items/759725VW"],"itemData":{"id":100,"type":"article-journal","title":"Linking childhood exposure to physical abuse and adult offending: Examining mediating factors and gendered relationships","container-title":"Justice Quarterly","page":"313–348","volume":"25","issue":"2","source":"Google Scholar","note":"00000","shortTitle":"Linking childhood exposure to physical abuse and adult offending","author":[{"family":"Teague","given":"Rosie"},{"family":"Mazerolle","given":"Paul"},{"family":"Legosz","given":"Margot"},{"family":"Sanderson","given":"Jennifer"}],"issued":{"date-parts":[["2008"]]}}}],"schema":"https://github.com/citation-style-language/schema/raw/master/csl-citation.json"} </w:instrText>
      </w:r>
      <w:r w:rsidRPr="00A32EED">
        <w:rPr>
          <w:rFonts w:eastAsia="Calibri"/>
          <w:bCs/>
        </w:rPr>
        <w:fldChar w:fldCharType="separate"/>
      </w:r>
      <w:r w:rsidRPr="00A32EED">
        <w:rPr>
          <w:rFonts w:eastAsia="Calibri"/>
          <w:bCs/>
          <w:noProof/>
        </w:rPr>
        <w:t>(Ekstrand et al. 1999; Harlow 1999; Teague et al. 2008)</w:t>
      </w:r>
      <w:r w:rsidRPr="00A32EED">
        <w:rPr>
          <w:rFonts w:eastAsia="Calibri"/>
          <w:bCs/>
        </w:rPr>
        <w:fldChar w:fldCharType="end"/>
      </w:r>
      <w:r w:rsidRPr="00A32EED">
        <w:rPr>
          <w:rFonts w:eastAsia="Calibri"/>
          <w:bCs/>
        </w:rPr>
        <w:t xml:space="preserve">. Some studies show rates of previous physical and sexual abuse as high as 57% for females </w:t>
      </w:r>
      <w:r w:rsidRPr="00A32EED">
        <w:rPr>
          <w:rFonts w:eastAsia="Calibri"/>
          <w:bCs/>
        </w:rPr>
        <w:fldChar w:fldCharType="begin"/>
      </w:r>
      <w:r w:rsidRPr="00A32EED">
        <w:rPr>
          <w:rFonts w:eastAsia="Calibri"/>
          <w:bCs/>
        </w:rPr>
        <w:instrText xml:space="preserve"> ADDIN ZOTERO_ITEM CSL_CITATION {"citationID":"2kjtotru0c","properties":{"formattedCitation":"(Ekstrand et al. 1999)","plainCitation":"(Ekstrand et al. 1999)"},"citationItems":[{"id":1276,"uris":["http://zotero.org/users/1165382/items/WFAQDAWN"],"uri":["http://zotero.org/users/1165382/items/WFAQDAWN"],"itemData":{"id":1276,"type":"article-journal","title":"Women in prison: issues and challenges confronting US correctional systems","container-title":"Pp.[URL: http://www. gao. gov/new. items/gg00022. pdf]. Washington, DC: United States General Accounting Office","source":"Google Scholar","note":"00015","shortTitle":"Women in prison","author":[{"family":"Ekstrand","given":"Laurie"},{"family":"Burton","given":"Danny"},{"family":"Erdman","given":"Eric"}],"issued":{"date-parts":[["1999"]]}}}],"schema":"https://github.com/citation-style-language/schema/raw/master/csl-citation.json"} </w:instrText>
      </w:r>
      <w:r w:rsidRPr="00A32EED">
        <w:rPr>
          <w:rFonts w:eastAsia="Calibri"/>
          <w:bCs/>
        </w:rPr>
        <w:fldChar w:fldCharType="separate"/>
      </w:r>
      <w:r w:rsidRPr="00A32EED">
        <w:rPr>
          <w:rFonts w:eastAsia="Calibri"/>
          <w:bCs/>
          <w:noProof/>
        </w:rPr>
        <w:t>(Ekstrand et al. 1999)</w:t>
      </w:r>
      <w:r w:rsidRPr="00A32EED">
        <w:rPr>
          <w:rFonts w:eastAsia="Calibri"/>
          <w:bCs/>
        </w:rPr>
        <w:fldChar w:fldCharType="end"/>
      </w:r>
      <w:r w:rsidRPr="00A32EED">
        <w:rPr>
          <w:rFonts w:eastAsia="Calibri"/>
          <w:bCs/>
        </w:rPr>
        <w:t xml:space="preserve">. Experiencing maltreatment as a child has been shown to increase the odds of criminal justice contact as an </w:t>
      </w:r>
      <w:r w:rsidRPr="00A32EED">
        <w:rPr>
          <w:rFonts w:eastAsia="Calibri"/>
          <w:bCs/>
        </w:rPr>
        <w:lastRenderedPageBreak/>
        <w:t xml:space="preserve">adult </w:t>
      </w:r>
      <w:r w:rsidRPr="00A32EED">
        <w:rPr>
          <w:rFonts w:eastAsia="Calibri"/>
          <w:bCs/>
        </w:rPr>
        <w:fldChar w:fldCharType="begin"/>
      </w:r>
      <w:r w:rsidRPr="00A32EED">
        <w:rPr>
          <w:rFonts w:eastAsia="Calibri"/>
          <w:bCs/>
        </w:rPr>
        <w:instrText xml:space="preserve"> ADDIN ZOTERO_ITEM CSL_CITATION {"citationID":"3Ff4soX1","properties":{"formattedCitation":"(Mersky and Topitzes 2010; Smith et al. 2012; Spohn 2000; Cathy Spatz Widom 1989; Cathy S. Widom 1989; Widom and Maxfield 2001)","plainCitation":"(Mersky and Topitzes 2010; Smith et al. 2012; Spohn 2000; Cathy Spatz Widom 1989; Cathy S. Widom 1989; Widom and Maxfield 2001)"},"citationItems":[{"id":114,"uris":["http://zotero.org/users/1165382/items/7K4ZXD5H"],"uri":["http://zotero.org/users/1165382/items/7K4ZXD5H"],"itemData":{"id":114,"type":"article-journal","title":"Comparing early adult outcomes of maltreated and non-maltreated children: A prospective longitudinal investigation","container-title":"Children and Youth Services Review","collection-title":"Early Childhood to Young Adulthood: Intervention and Alterable Influences on Well-Being","page":"1086-1096","volume":"32","issue":"8","source":"ScienceDirect","abstract":"Using prospective data from the Chicago Longitudinal Study, this investigation examined associations between child maltreatment and an array of outcomes in early adulthood. Findings from bivariate and multivariate analyses indicated that verified maltreatment victims fared significantly worse than participants without an indicated maltreatment report on indicators of educational and economic attainment, criminal offending, and behavioral and mental health. Results also revealed that, while many maltreated children appeared to function well on individual outcomes, a large majority did not achieve criteria for resilience when development was assessed across domains. For example, non-maltreated participants were more than twice as likely to attain five or more positive outcomes (38.2%) on an aggregate seven-item index as the maltreated group (15.7%). These findings suggest that child maltreatment is associated with extensive and enduring impacts, reinforcing the need to develop and implement effective maltreatment prevention and intervention strategies.","DOI":"10.1016/j.childyouth.2009.10.018","ISSN":"0190-7409","note":"00000","shortTitle":"Comparing early adult outcomes of maltreated and non-maltreated children","journalAbbreviation":"Children and Youth Services Review","author":[{"family":"Mersky","given":"Joshua P."},{"family":"Topitzes","given":"James"}],"issued":{"date-parts":[["2010",8]]}}},{"id":492,"uris":["http://zotero.org/users/1165382/items/UQVQSS4G"],"uri":["http://zotero.org/users/1165382/items/UQVQSS4G"],"itemData":{"id":492,"type":"article-journal","title":"Long-term outcomes of young adults exposed to maltreatment: the role of educational experiences in promoting resilience to crime and violence in early adulthood","container-title":"Journal of interpersonal violence","page":"0886260512448845","source":"Google Scholar","note":"00013","shortTitle":"Long-term outcomes of young adults exposed to maltreatment","author":[{"family":"Smith","given":"Carolyn A."},{"family":"Park","given":"Aely"},{"family":"Ireland","given":"Timothy O."},{"family":"Elwyn","given":"Laura"},{"family":"Thornberry","given":"Terence P."}],"issued":{"date-parts":[["2012"]]}}},{"id":153,"uris":["http://zotero.org/users/1165382/items/ABCCE7SV"],"uri":["http://zotero.org/users/1165382/items/ABCCE7SV"],"itemData":{"id":153,"type":"article-journal","title":"Gender differences in the effect of child maltreatment on criminal activity over the life course","container-title":"Contemporary Perspectives in Family Research","page":"207–231","volume":"2","source":"Google Scholar","note":"00000","author":[{"family":"Spohn","given":"Ryan E."}],"issued":{"date-parts":[["2000"]]}}},{"id":556,"uris":["http://zotero.org/users/1165382/items/XNQG2BNA"],"uri":["http://zotero.org/users/1165382/items/XNQG2BNA"],"itemData":{"id":556,"type":"article-journal","title":"Child Abuse, Neglect, and Violent Criminal Behavior*","container-title":"Criminology","page":"251-271","volume":"27","issue":"2","source":"Wiley Online Library","abstract":"Using a prospective cohorts design, official criminal histories for a large sample of substantiated and validated cases of physical and sexual abuse and neglect from the years 1967 through 1971 (n = 908) were compared with those of a matched control group (n = 667) of individuals with no official record of abuse or neglect. Abused and neglected subjects had higher rates of having an adult criminal record than controls and a larger number of arrests as an adult. Based on a logit analysis, a model using four explanatory variables (age, sex, race, and abuse/neglect status) provided a good fit. In comparison with controls, abused and neglected subjects also had a higher frequency of arrests for violent offenses as adults; however, this was due primarily to significantly more adult violent offenses by abused males. Support for the cycle of violence is discussed as well as sex differences in the results, limitations of the findings, and implications for further research.","DOI":"10.1111/j.1745-9125.1989.tb01032.x","ISSN":"1745-9125","language":"en","author":[{"family":"Widom","given":"Cathy Spatz"}],"issued":{"date-parts":[["1989",5,1]]}}},{"id":131,"uris":["http://zotero.org/users/1165382/items/8JQRIBBZ"],"uri":["http://zotero.org/users/1165382/items/8JQRIBBZ"],"itemData":{"id":131,"type":"article-journal","title":"Does violence beget violence? A critical examination of the literature.","container-title":"Psychological bulletin","page":"3","volume":"106","issue":"1","source":"Google Scholar","note":"00000","shortTitle":"Does violence beget violence?","author":[{"family":"Widom","given":"Cathy S."}],"issued":{"date-parts":[["1989"]]}}},{"id":271,"uris":["http://zotero.org/users/1165382/items/HKNNKMTA"],"uri":["http://zotero.org/users/1165382/items/HKNNKMTA"],"itemData":{"id":271,"type":"article-journal","title":"An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G."}],"issued":{"date-parts":[["2001"]]}}}],"schema":"https://github.com/citation-style-language/schema/raw/master/csl-citation.json"} </w:instrText>
      </w:r>
      <w:r w:rsidRPr="00A32EED">
        <w:rPr>
          <w:rFonts w:eastAsia="Calibri"/>
          <w:bCs/>
        </w:rPr>
        <w:fldChar w:fldCharType="separate"/>
      </w:r>
      <w:r w:rsidRPr="00A32EED">
        <w:rPr>
          <w:rFonts w:eastAsia="Calibri"/>
          <w:bCs/>
          <w:noProof/>
        </w:rPr>
        <w:t>(Mersky and Topitzes 2010; Smith et al. 2012; Spohn 2000; Cathy Spatz Widom 1989; Cathy S. Widom 1989; Widom and Maxfield 2001)</w:t>
      </w:r>
      <w:r w:rsidRPr="00A32EED">
        <w:rPr>
          <w:rFonts w:eastAsia="Calibri"/>
          <w:bCs/>
        </w:rPr>
        <w:fldChar w:fldCharType="end"/>
      </w:r>
      <w:r w:rsidRPr="00A32EED">
        <w:rPr>
          <w:rFonts w:eastAsia="Calibri"/>
          <w:bCs/>
        </w:rPr>
        <w:t xml:space="preserve">. As with juvenile justice contact, Widom’s </w:t>
      </w:r>
      <w:r w:rsidRPr="00A32EED">
        <w:rPr>
          <w:rFonts w:eastAsia="Calibri"/>
          <w:bCs/>
        </w:rPr>
        <w:fldChar w:fldCharType="begin"/>
      </w:r>
      <w:r w:rsidRPr="00A32EED">
        <w:rPr>
          <w:rFonts w:eastAsia="Calibri"/>
          <w:bCs/>
        </w:rPr>
        <w:instrText xml:space="preserve"> ADDIN ZOTERO_ITEM CSL_CITATION {"citationID":"29hjo0i6l6","properties":{"formattedCitation":"(1991a)","plainCitation":"(1991a)"},"citationItems":[{"id":1326,"uris":["http://zotero.org/users/1165382/items/N957V9ZG"],"uri":["http://zotero.org/users/1165382/items/N957V9ZG"],"itemData":{"id":1326,"type":"report","title":"Child Abuse, Neglect, and Violent Criminal Behavior in a Midwest Metropolitan Area of the United States, 1967-1988: Version 1","source":"CrossRef","URL":"http://www.icpsr.umich.edu/NACJD/studies/09480/version/1","note":"00000","shortTitle":"Child Abuse, Neglect, and Violent Criminal Behavior in a Midwest Metropolitan Area of the United States, 1967-1988","author":[{"family":"Widom","given":"Cathy Spatz"}],"issued":{"date-parts":[["1991",3,5]]},"accessed":{"date-parts":[["2016",7,12]]}},"suppress-author":true}],"schema":"https://github.com/citation-style-language/schema/raw/master/csl-citation.json"} </w:instrText>
      </w:r>
      <w:r w:rsidRPr="00A32EED">
        <w:rPr>
          <w:rFonts w:eastAsia="Calibri"/>
          <w:bCs/>
        </w:rPr>
        <w:fldChar w:fldCharType="separate"/>
      </w:r>
      <w:r w:rsidRPr="00A32EED">
        <w:rPr>
          <w:rFonts w:eastAsia="Calibri"/>
          <w:bCs/>
          <w:noProof/>
        </w:rPr>
        <w:t>(1991a)</w:t>
      </w:r>
      <w:r w:rsidRPr="00A32EED">
        <w:rPr>
          <w:rFonts w:eastAsia="Calibri"/>
          <w:bCs/>
        </w:rPr>
        <w:fldChar w:fldCharType="end"/>
      </w:r>
      <w:r w:rsidRPr="00A32EED">
        <w:rPr>
          <w:rFonts w:eastAsia="Calibri"/>
          <w:bCs/>
        </w:rPr>
        <w:t xml:space="preserve"> </w:t>
      </w:r>
      <w:r w:rsidRPr="00A32EED">
        <w:rPr>
          <w:rFonts w:eastAsia="Calibri"/>
        </w:rPr>
        <w:t>research</w:t>
      </w:r>
      <w:r w:rsidRPr="00A32EED">
        <w:rPr>
          <w:rFonts w:eastAsia="Calibri"/>
          <w:bCs/>
        </w:rPr>
        <w:t xml:space="preserve"> shows a positive correlation between maltreatment and adult criminal justice contact </w:t>
      </w:r>
      <w:r w:rsidRPr="00A32EED">
        <w:rPr>
          <w:rFonts w:eastAsia="Calibri"/>
          <w:bCs/>
        </w:rPr>
        <w:fldChar w:fldCharType="begin"/>
      </w:r>
      <w:r w:rsidRPr="00A32EED">
        <w:rPr>
          <w:rFonts w:eastAsia="Calibri"/>
          <w:bCs/>
        </w:rPr>
        <w:instrText xml:space="preserve"> ADDIN ZOTERO_ITEM CSL_CITATION {"citationID":"L1UPm8PC","properties":{"formattedCitation":"(Grogan-Kaylor and Otis 2003; Cathy Spatz Widom 1989; Cathy S. Widom 1989; Widom and Maxfield 2001)","plainCitation":"(Grogan-Kaylor and Otis 2003; Cathy Spatz Widom 1989; Cathy S. Widom 1989; Widom and Maxfield 2001)"},"citationItems":[{"id":93,"uris":["http://zotero.org/users/1165382/items/6G3KRDQC"],"uri":["http://zotero.org/users/1165382/items/6G3KRDQC"],"itemData":{"id":93,"type":"article-journal","title":"The effect of childhood maltreatment on adult criminality: A tobit regression analysis","container-title":"Child Maltreatment","page":"129–137","volume":"8","issue":"2","source":"Google Scholar","note":"00053","shortTitle":"The effect of childhood maltreatment on adult criminality","author":[{"family":"Grogan-Kaylor","given":"Andrew"},{"family":"Otis","given":"Melanie D."}],"issued":{"date-parts":[["2003"]]}}},{"id":556,"uris":["http://zotero.org/users/1165382/items/XNQG2BNA"],"uri":["http://zotero.org/users/1165382/items/XNQG2BNA"],"itemData":{"id":556,"type":"article-journal","title":"Child Abuse, Neglect, and Violent Criminal Behavior*","container-title":"Criminology","page":"251-271","volume":"27","issue":"2","source":"Wiley Online Library","abstract":"Using a prospective cohorts design, official criminal histories for a large sample of substantiated and validated cases of physical and sexual abuse and neglect from the years 1967 through 1971 (n = 908) were compared with those of a matched control group (n = 667) of individuals with no official record of abuse or neglect. Abused and neglected subjects had higher rates of having an adult criminal record than controls and a larger number of arrests as an adult. Based on a logit analysis, a model using four explanatory variables (age, sex, race, and abuse/neglect status) provided a good fit. In comparison with controls, abused and neglected subjects also had a higher frequency of arrests for violent offenses as adults; however, this was due primarily to significantly more adult violent offenses by abused males. Support for the cycle of violence is discussed as well as sex differences in the results, limitations of the findings, and implications for further research.","DOI":"10.1111/j.1745-9125.1989.tb01032.x","ISSN":"1745-9125","language":"en","author":[{"family":"Widom","given":"Cathy Spatz"}],"issued":{"date-parts":[["1989",5,1]]}}},{"id":131,"uris":["http://zotero.org/users/1165382/items/8JQRIBBZ"],"uri":["http://zotero.org/users/1165382/items/8JQRIBBZ"],"itemData":{"id":131,"type":"article-journal","title":"Does violence beget violence? A critical examination of the literature.","container-title":"Psychological bulletin","page":"3","volume":"106","issue":"1","source":"Google Scholar","note":"00000","shortTitle":"Does violence beget violence?","author":[{"family":"Widom","given":"Cathy S."}],"issued":{"date-parts":[["1989"]]}}},{"id":271,"uris":["http://zotero.org/users/1165382/items/HKNNKMTA"],"uri":["http://zotero.org/users/1165382/items/HKNNKMTA"],"itemData":{"id":271,"type":"article-journal","title":"An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G."}],"issued":{"date-parts":[["2001"]]}}}],"schema":"https://github.com/citation-style-language/schema/raw/master/csl-citation.json"} </w:instrText>
      </w:r>
      <w:r w:rsidRPr="00A32EED">
        <w:rPr>
          <w:rFonts w:eastAsia="Calibri"/>
          <w:bCs/>
        </w:rPr>
        <w:fldChar w:fldCharType="separate"/>
      </w:r>
      <w:r w:rsidRPr="00A32EED">
        <w:rPr>
          <w:rFonts w:eastAsia="Calibri"/>
          <w:bCs/>
          <w:noProof/>
        </w:rPr>
        <w:t>(Grogan-Kaylor and Otis 2003; Cathy Spatz Widom 1989; Cathy S. Widom 1989; Widom and Maxfield 2001)</w:t>
      </w:r>
      <w:r w:rsidRPr="00A32EED">
        <w:rPr>
          <w:rFonts w:eastAsia="Calibri"/>
          <w:bCs/>
        </w:rPr>
        <w:fldChar w:fldCharType="end"/>
      </w:r>
      <w:r w:rsidRPr="00A32EED">
        <w:rPr>
          <w:rFonts w:eastAsia="Calibri"/>
          <w:bCs/>
        </w:rPr>
        <w:t xml:space="preserve">. </w:t>
      </w:r>
    </w:p>
    <w:p w14:paraId="040E287C" w14:textId="77777777" w:rsidR="004C4C39" w:rsidRPr="00A32EED" w:rsidRDefault="004C4C39" w:rsidP="004C4C39">
      <w:pPr>
        <w:spacing w:after="0" w:line="480" w:lineRule="auto"/>
        <w:ind w:firstLine="720"/>
        <w:rPr>
          <w:rFonts w:eastAsia="Calibri"/>
          <w:bCs/>
        </w:rPr>
      </w:pPr>
      <w:r w:rsidRPr="00A32EED">
        <w:rPr>
          <w:rFonts w:eastAsia="Calibri"/>
          <w:bCs/>
        </w:rPr>
        <w:t xml:space="preserve">Some studies explore more than one form of criminal justice contact as an outcome. For instance, Mersky et al. </w:t>
      </w:r>
      <w:r w:rsidRPr="00A32EED">
        <w:rPr>
          <w:rFonts w:eastAsia="Calibri"/>
          <w:bCs/>
        </w:rPr>
        <w:fldChar w:fldCharType="begin"/>
      </w:r>
      <w:r w:rsidRPr="00A32EED">
        <w:rPr>
          <w:rFonts w:eastAsia="Calibri"/>
          <w:bCs/>
        </w:rPr>
        <w:instrText xml:space="preserve"> ADDIN ZOTERO_ITEM CSL_CITATION {"citationID":"e4mnx2s9","properties":{"formattedCitation":"(2012)","plainCitation":"(2012)"},"citationItems":[{"id":223,"uris":["http://zotero.org/users/1165382/items/EPHM4XPS"],"uri":["http://zotero.org/users/1165382/items/EPHM4XPS"],"itemData":{"id":223,"type":"article-journal","title":"Unsafe at Any Age Linking Childhood and Adolescent Maltreatment to Delinquency and Crime","container-title":"Journal of Research in Crime and Delinquency","page":"295-318","volume":"49","issue":"2","source":"jrc.sagepub.com","abstract":"Objectives. This study compares the effects of childhood maltreatment and adolescent maltreatment on delinquency and crime, including violent and nonviolent offending. Methods. Data were derived from the Chicago Longitudinal Study, a prospective investigation of 1,539 underprivileged, minority subjects. Results. Results confirmed that rates of overall delinquency, along with violent, drug, and property offending specifically, were elevated among childhood and adolescent maltreatment victims compared to their nonmaltreated peers. Childhood maltreatment was associated with delinquency independent of adolescent maltreatment, and strong connections between adolescent maltreatment and delinquency were present independent of prior victimization. Childhood maltreatment was also significantly related to a panel of adult crime measures, while the effects of adolescent maltreatment on adult crime were less robust. Conclusions. The study findings suggest that maltreatment at any age increases the risk of future offending, implying that investments in prevention and intervention strategies throughout childhood and adolescence may reduce delinquency and crime.","DOI":"10.1177/0022427811415284","ISSN":"0022-4278, 1552-731X","note":"00000","journalAbbreviation":"Journal of Research in Crime and Delinquency","language":"en","author":[{"family":"Mersky","given":"Joshua P."},{"family":"Topitzes","given":"James"},{"family":"Reynolds","given":"Arthur J."}],"issued":{"date-parts":[["2012",5,1]]}},"suppress-author":true}],"schema":"https://github.com/citation-style-language/schema/raw/master/csl-citation.json"} </w:instrText>
      </w:r>
      <w:r w:rsidRPr="00A32EED">
        <w:rPr>
          <w:rFonts w:eastAsia="Calibri"/>
          <w:bCs/>
        </w:rPr>
        <w:fldChar w:fldCharType="separate"/>
      </w:r>
      <w:r w:rsidRPr="00A32EED">
        <w:rPr>
          <w:rFonts w:eastAsia="Calibri"/>
          <w:bCs/>
          <w:noProof/>
        </w:rPr>
        <w:t>(2012)</w:t>
      </w:r>
      <w:r w:rsidRPr="00A32EED">
        <w:rPr>
          <w:rFonts w:eastAsia="Calibri"/>
          <w:bCs/>
        </w:rPr>
        <w:fldChar w:fldCharType="end"/>
      </w:r>
      <w:r w:rsidRPr="00A32EED">
        <w:rPr>
          <w:rFonts w:eastAsia="Calibri"/>
          <w:bCs/>
        </w:rPr>
        <w:t xml:space="preserve"> use the Chicago Longitudinal Study to examine the link between childhood maltreatment and incarceration, arrest, conviction, number of convictions, violent offense convictions and drug offenses. Across each of these outcomes, they found child maltreatment resulted in a significant increase in odds when compared to non-victims. In fact, some maltreated youths had increases in the odds upwards of 200%. However, not all research has found maltreatment to be significantly linked to criminal justice contact. Jung et al. </w:t>
      </w:r>
      <w:r w:rsidRPr="00A32EED">
        <w:rPr>
          <w:rFonts w:eastAsia="Calibri"/>
          <w:bCs/>
        </w:rPr>
        <w:fldChar w:fldCharType="begin"/>
      </w:r>
      <w:r w:rsidRPr="00A32EED">
        <w:rPr>
          <w:rFonts w:eastAsia="Calibri"/>
          <w:bCs/>
        </w:rPr>
        <w:instrText xml:space="preserve"> ADDIN ZOTERO_ITEM CSL_CITATION {"citationID":"cZhNHOjN","properties":{"formattedCitation":"(2014)","plainCitation":"(2014)"},"citationItems":[{"id":245,"uris":["http://zotero.org/users/1165382/items/FZE2TK8W"],"uri":["http://zotero.org/users/1165382/items/FZE2TK8W"],"itemData":{"id":245,"type":"article-journal","title":"Does child maltreatment predict adult crime? Reexamining the question in a prospective study of gender differences, education, and marital status","container-title":"Journal of interpersonal violence","page":"0886260514552446","source":"Google Scholar","note":"00000","shortTitle":"Does child maltreatment predict adult crime?","author":[{"family":"Jung","given":"Hyunzee"},{"family":"Herrenkohl","given":"Todd I."},{"family":"Klika","given":"J. Bart"},{"family":"Lee","given":"Jungeun Olivia"},{"family":"Brown","given":"Eric C."}],"issued":{"date-parts":[["2014"]]}},"suppress-author":true}],"schema":"https://github.com/citation-style-language/schema/raw/master/csl-citation.json"} </w:instrText>
      </w:r>
      <w:r w:rsidRPr="00A32EED">
        <w:rPr>
          <w:rFonts w:eastAsia="Calibri"/>
          <w:bCs/>
        </w:rPr>
        <w:fldChar w:fldCharType="separate"/>
      </w:r>
      <w:r w:rsidRPr="00A32EED">
        <w:rPr>
          <w:rFonts w:eastAsia="Calibri"/>
          <w:bCs/>
          <w:noProof/>
        </w:rPr>
        <w:t>(2014)</w:t>
      </w:r>
      <w:r w:rsidRPr="00A32EED">
        <w:rPr>
          <w:rFonts w:eastAsia="Calibri"/>
          <w:bCs/>
        </w:rPr>
        <w:fldChar w:fldCharType="end"/>
      </w:r>
      <w:r w:rsidRPr="00A32EED">
        <w:rPr>
          <w:rFonts w:eastAsia="Calibri"/>
          <w:bCs/>
        </w:rPr>
        <w:t xml:space="preserve"> initially found a significant bivariate relationship between maltreatment and arrest, conviction, and incarceration. However, when they added controls and background demographics for multivariate analyses, all significant relationships dissipated. When using data from a Swedish Twin Study, Forsman and </w:t>
      </w:r>
      <w:r w:rsidRPr="00A32EED">
        <w:rPr>
          <w:rFonts w:eastAsia="Times New Roman"/>
        </w:rPr>
        <w:t>Långström</w:t>
      </w:r>
      <w:r w:rsidRPr="00A32EED">
        <w:rPr>
          <w:rFonts w:eastAsia="Calibri"/>
          <w:bCs/>
        </w:rPr>
        <w:t xml:space="preserve"> </w:t>
      </w:r>
      <w:r w:rsidRPr="00A32EED">
        <w:rPr>
          <w:rFonts w:eastAsia="Calibri"/>
          <w:bCs/>
        </w:rPr>
        <w:fldChar w:fldCharType="begin"/>
      </w:r>
      <w:r w:rsidRPr="00A32EED">
        <w:rPr>
          <w:rFonts w:eastAsia="Calibri"/>
          <w:bCs/>
        </w:rPr>
        <w:instrText xml:space="preserve"> ADDIN ZOTERO_ITEM CSL_CITATION {"citationID":"nKpgsX9v","properties":{"formattedCitation":"(2012)","plainCitation":"(2012)"},"citationItems":[{"id":263,"uris":["http://zotero.org/users/1165382/items/GXK5EFMG"],"uri":["http://zotero.org/users/1165382/items/GXK5EFMG"],"itemData":{"id":263,"type":"article-journal","title":"Child maltreatment and adult violent offending: population-based twin study addressing the ‘cycle of violence’ hypothesis","container-title":"Psychological Medicine","page":"1977–1983","volume":"42","issue":"9","source":"Primo","abstract":"Background Associations between child maltreatment and adult violence, often termed the ‘cycle of violence’, are well documented. However, the nature of such links after appropriate control for confounding remains uncertain. We aimed to determine whether child maltreatment causes adult violent offending or whether suggested links are due to genetic or family environment confounding. Method A total of 18 083 20- to 47-year-old twins from the Swedish population-based Study of Twin Adults: Genes and Environment (STAGE) participated. We linked information on self-reported child maltreatment with national register data on convictions for adult crime. We used a case-control design to elucidate associations among unrelated individuals and also conducted within-discordant twin pair analyses to estimate the influence of familial confounding on this association. Results The odds ratio (OR), adjusted for age, sex and education, for violent offending in maltreated children grown up versus unrelated controls was 1.98 [95% confidence interval (CI) 1.52–2.57]. However, the association decreased to 1.18 (95% CI 0.62–2.25) when maltreated children were compared to their non-maltreated twins, suggesting substantial confounding by genetic or family environmental factors (within-twin OR &lt;1.98) and a weak, non-significant causal effect (within-twin OR &gt;1.00). Familial confounding was also pronounced for the association between child maltreatment and any offending. Conclusions Childhood maltreatment was found to be a weak causal risk factor for adult violent offending; hence, reducing maltreatment might decrease violent crime less than previously expected. Instead, considerable familial confounding of the link between child maltreatment and adult violent offending suggests that prevention strategies need to address overlapping genetic and/or family environmental liability for abusive and violent behavior.","DOI":"10.1017/S0033291711003060","ISSN":"0033-2917","note":"00000","shortTitle":"Child maltreatment and adult violent offending","author":[{"family":"Forsman","given":"M."},{"family":"Långström","given":"N."}],"issued":{"date-parts":[["2012"]]}},"suppress-author":true}],"schema":"https://github.com/citation-style-language/schema/raw/master/csl-citation.json"} </w:instrText>
      </w:r>
      <w:r w:rsidRPr="00A32EED">
        <w:rPr>
          <w:rFonts w:eastAsia="Calibri"/>
          <w:bCs/>
        </w:rPr>
        <w:fldChar w:fldCharType="separate"/>
      </w:r>
      <w:r w:rsidRPr="00A32EED">
        <w:rPr>
          <w:rFonts w:eastAsia="Times New Roman"/>
        </w:rPr>
        <w:t>(2012)</w:t>
      </w:r>
      <w:r w:rsidRPr="00A32EED">
        <w:rPr>
          <w:rFonts w:eastAsia="Calibri"/>
          <w:bCs/>
        </w:rPr>
        <w:fldChar w:fldCharType="end"/>
      </w:r>
      <w:r w:rsidRPr="00A32EED">
        <w:rPr>
          <w:rFonts w:eastAsia="Calibri"/>
          <w:bCs/>
        </w:rPr>
        <w:t xml:space="preserve"> found a moderate association between self-reported maltreatment and violent offending, however, once they used the twin control there was no significant association left. </w:t>
      </w:r>
    </w:p>
    <w:p w14:paraId="2E33D8FE" w14:textId="77777777" w:rsidR="004C4C39" w:rsidRPr="00A32EED" w:rsidRDefault="004C4C39" w:rsidP="004C4C39">
      <w:pPr>
        <w:spacing w:after="0" w:line="480" w:lineRule="auto"/>
        <w:ind w:firstLine="720"/>
        <w:rPr>
          <w:rFonts w:eastAsia="Calibri"/>
          <w:bCs/>
        </w:rPr>
      </w:pPr>
      <w:r w:rsidRPr="00A32EED">
        <w:rPr>
          <w:rFonts w:eastAsia="Calibri"/>
          <w:bCs/>
        </w:rPr>
        <w:t xml:space="preserve">Some studies have shown that maltreatment is not universally related to adult criminal justice contact but instead may be dependent upon variations in </w:t>
      </w:r>
      <w:r w:rsidRPr="00A32EED">
        <w:rPr>
          <w:rFonts w:eastAsia="Calibri"/>
          <w:bCs/>
        </w:rPr>
        <w:lastRenderedPageBreak/>
        <w:t xml:space="preserve">the maltreatment type, victim gender, and timing of the abuse. For instance, Maughan and Moore </w:t>
      </w:r>
      <w:r w:rsidRPr="00A32EED">
        <w:rPr>
          <w:rFonts w:eastAsia="Calibri"/>
          <w:bCs/>
        </w:rPr>
        <w:fldChar w:fldCharType="begin"/>
      </w:r>
      <w:r w:rsidRPr="00A32EED">
        <w:rPr>
          <w:rFonts w:eastAsia="Calibri"/>
          <w:bCs/>
        </w:rPr>
        <w:instrText xml:space="preserve"> ADDIN ZOTERO_ITEM CSL_CITATION {"citationID":"2k6cmoqdva","properties":{"formattedCitation":"(2010)","plainCitation":"(2010)"},"citationItems":[{"id":58,"uris":["http://zotero.org/users/1165382/items/4KVWZ578"],"uri":["http://zotero.org/users/1165382/items/4KVWZ578"],"itemData":{"id":58,"type":"article-journal","title":"Dimensions of child neglect: an exploration of parental neglect and its relationship with delinquency","container-title":"Child Welfare","page":"47-65","volume":"89","issue":"4","source":"PubMed","abstract":"While neglect is generally associated with poor developmental outcomes, it remains poorly defined. Factor analysis was applied to 39 parental behavior variables on data from the Cambridge Study in Delinquent Development (CSDD) to explore underlying dimensions of parental behavior that were consistent with the concept of neglect. Logistic regression assessed associations between the dimensions of neglect recovered from the CSDD and future adult delinquency. Factor analysis revealed four dimensions; logistic regression revealed significant associations between two of these dimensions--poor supervision and a disorganized, chaotic home environment--and future adult delinquency. Neglect is a viable construct that can summarize aspects of parental behavior and predict future adult delinquency.","ISSN":"0009-4021","note":"00024 \nPMID: 21319474","shortTitle":"Dimensions of child neglect","journalAbbreviation":"Child Welfare","language":"eng","author":[{"family":"Maughan","given":"Daniel"},{"family":"Moore","given":"Simon C."}],"issued":{"date-parts":[["2010"]]}},"suppress-author":true}],"schema":"https://github.com/citation-style-language/schema/raw/master/csl-citation.json"} </w:instrText>
      </w:r>
      <w:r w:rsidRPr="00A32EED">
        <w:rPr>
          <w:rFonts w:eastAsia="Calibri"/>
          <w:bCs/>
        </w:rPr>
        <w:fldChar w:fldCharType="separate"/>
      </w:r>
      <w:r w:rsidRPr="00A32EED">
        <w:rPr>
          <w:rFonts w:eastAsia="Calibri"/>
          <w:bCs/>
          <w:noProof/>
        </w:rPr>
        <w:t>(2010)</w:t>
      </w:r>
      <w:r w:rsidRPr="00A32EED">
        <w:rPr>
          <w:rFonts w:eastAsia="Calibri"/>
          <w:bCs/>
        </w:rPr>
        <w:fldChar w:fldCharType="end"/>
      </w:r>
      <w:r w:rsidRPr="00A32EED">
        <w:rPr>
          <w:rFonts w:eastAsia="Calibri"/>
          <w:bCs/>
        </w:rPr>
        <w:t xml:space="preserve"> found that only maltreatment cases involving neglect as a result of poor supervision and a disorganized/chaotic home environments resulted in significantly higher odds of adult criminal justice contact. Similarly, Grogan-Kaylor and Otis </w:t>
      </w:r>
      <w:r w:rsidRPr="00A32EED">
        <w:rPr>
          <w:rFonts w:eastAsia="Calibri"/>
          <w:bCs/>
        </w:rPr>
        <w:fldChar w:fldCharType="begin"/>
      </w:r>
      <w:r w:rsidRPr="00A32EED">
        <w:rPr>
          <w:rFonts w:eastAsia="Calibri"/>
          <w:bCs/>
        </w:rPr>
        <w:instrText xml:space="preserve"> ADDIN ZOTERO_ITEM CSL_CITATION {"citationID":"1h9q5iis9f","properties":{"formattedCitation":"(2003)","plainCitation":"(2003)"},"citationItems":[{"id":93,"uris":["http://zotero.org/users/1165382/items/6G3KRDQC"],"uri":["http://zotero.org/users/1165382/items/6G3KRDQC"],"itemData":{"id":93,"type":"article-journal","title":"The effect of childhood maltreatment on adult criminality: A tobit regression analysis","container-title":"Child Maltreatment","page":"129–137","volume":"8","issue":"2","source":"Google Scholar","note":"00053","shortTitle":"The effect of childhood maltreatment on adult criminality","author":[{"family":"Grogan-Kaylor","given":"Andrew"},{"family":"Otis","given":"Melanie D."}],"issued":{"date-parts":[["2003"]]}},"suppress-author":true}],"schema":"https://github.com/citation-style-language/schema/raw/master/csl-citation.json"} </w:instrText>
      </w:r>
      <w:r w:rsidRPr="00A32EED">
        <w:rPr>
          <w:rFonts w:eastAsia="Calibri"/>
          <w:bCs/>
        </w:rPr>
        <w:fldChar w:fldCharType="separate"/>
      </w:r>
      <w:r w:rsidRPr="00A32EED">
        <w:rPr>
          <w:rFonts w:eastAsia="Calibri"/>
          <w:bCs/>
          <w:noProof/>
        </w:rPr>
        <w:t>(2003)</w:t>
      </w:r>
      <w:r w:rsidRPr="00A32EED">
        <w:rPr>
          <w:rFonts w:eastAsia="Calibri"/>
          <w:bCs/>
        </w:rPr>
        <w:fldChar w:fldCharType="end"/>
      </w:r>
      <w:r w:rsidRPr="00A32EED">
        <w:rPr>
          <w:rFonts w:eastAsia="Calibri"/>
          <w:bCs/>
        </w:rPr>
        <w:t xml:space="preserve"> found that physical abuse and sexual abuse were not significant predictors of adult arrests. However, maltreatment involving neglect was marginally significant in OLS models predicting arrests. Furthermore, when they used Tobit regression, neglect showed an even stronger significant association with propensity for adult criminal justice contact via arrest. Related, Spohn </w:t>
      </w:r>
      <w:r w:rsidRPr="00A32EED">
        <w:rPr>
          <w:rFonts w:eastAsia="Calibri"/>
          <w:bCs/>
        </w:rPr>
        <w:fldChar w:fldCharType="begin"/>
      </w:r>
      <w:r w:rsidRPr="00A32EED">
        <w:rPr>
          <w:rFonts w:eastAsia="Calibri"/>
          <w:bCs/>
        </w:rPr>
        <w:instrText xml:space="preserve"> ADDIN ZOTERO_ITEM CSL_CITATION {"citationID":"lwxbb96u","properties":{"formattedCitation":"(2000)","plainCitation":"(2000)"},"citationItems":[{"id":153,"uris":["http://zotero.org/users/1165382/items/ABCCE7SV"],"uri":["http://zotero.org/users/1165382/items/ABCCE7SV"],"itemData":{"id":153,"type":"article-journal","title":"Gender differences in the effect of child maltreatment on criminal activity over the life course","container-title":"Contemporary Perspectives in Family Research","page":"207–231","volume":"2","source":"Google Scholar","note":"00000","author":[{"family":"Spohn","given":"Ryan E."}],"issued":{"date-parts":[["2000"]]}},"suppress-author":true}],"schema":"https://github.com/citation-style-language/schema/raw/master/csl-citation.json"} </w:instrText>
      </w:r>
      <w:r w:rsidRPr="00A32EED">
        <w:rPr>
          <w:rFonts w:eastAsia="Calibri"/>
          <w:bCs/>
        </w:rPr>
        <w:fldChar w:fldCharType="separate"/>
      </w:r>
      <w:r w:rsidRPr="00A32EED">
        <w:rPr>
          <w:rFonts w:eastAsia="Calibri"/>
          <w:bCs/>
          <w:noProof/>
        </w:rPr>
        <w:t>(2000)</w:t>
      </w:r>
      <w:r w:rsidRPr="00A32EED">
        <w:rPr>
          <w:rFonts w:eastAsia="Calibri"/>
          <w:bCs/>
        </w:rPr>
        <w:fldChar w:fldCharType="end"/>
      </w:r>
      <w:r w:rsidRPr="00A32EED">
        <w:rPr>
          <w:rFonts w:eastAsia="Calibri"/>
          <w:bCs/>
        </w:rPr>
        <w:t xml:space="preserve"> found that when controlling for juvenile delinquency no maltreatment was significantly related to criminal justice contact. However, for females, neglect and the combination of neglect and physical abuse were significantly related to higher odds of criminal justice contact. Furthermore, Widom and Maxfield </w:t>
      </w:r>
      <w:r w:rsidRPr="00A32EED">
        <w:rPr>
          <w:rFonts w:eastAsia="Calibri"/>
          <w:bCs/>
        </w:rPr>
        <w:fldChar w:fldCharType="begin"/>
      </w:r>
      <w:r w:rsidRPr="00A32EED">
        <w:rPr>
          <w:rFonts w:eastAsia="Calibri"/>
          <w:bCs/>
        </w:rPr>
        <w:instrText xml:space="preserve"> ADDIN ZOTERO_ITEM CSL_CITATION {"citationID":"vSksTmMg","properties":{"formattedCitation":"(2001)","plainCitation":"(2001)"},"citationItems":[{"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G."}],"issued":{"date-parts":[["2001"]]}},"suppress-author":true}],"schema":"https://github.com/citation-style-language/schema/raw/master/csl-citation.json"} </w:instrText>
      </w:r>
      <w:r w:rsidRPr="00A32EED">
        <w:rPr>
          <w:rFonts w:eastAsia="Calibri"/>
          <w:bCs/>
        </w:rPr>
        <w:fldChar w:fldCharType="separate"/>
      </w:r>
      <w:r w:rsidRPr="00A32EED">
        <w:rPr>
          <w:rFonts w:eastAsia="Calibri"/>
          <w:bCs/>
          <w:noProof/>
        </w:rPr>
        <w:t>(2001)</w:t>
      </w:r>
      <w:r w:rsidRPr="00A32EED">
        <w:rPr>
          <w:rFonts w:eastAsia="Calibri"/>
          <w:bCs/>
        </w:rPr>
        <w:fldChar w:fldCharType="end"/>
      </w:r>
      <w:r w:rsidRPr="00A32EED">
        <w:rPr>
          <w:rFonts w:eastAsia="Calibri"/>
          <w:bCs/>
        </w:rPr>
        <w:t xml:space="preserve"> found that although maltreatment increased the odds of adult criminal justice contact for male and females, the risk was even higher for females. </w:t>
      </w:r>
    </w:p>
    <w:p w14:paraId="161847BE" w14:textId="77777777" w:rsidR="004C4C39" w:rsidRPr="00A32EED" w:rsidRDefault="004C4C39" w:rsidP="004C4C39">
      <w:pPr>
        <w:spacing w:after="0" w:line="480" w:lineRule="auto"/>
        <w:ind w:firstLine="720"/>
        <w:rPr>
          <w:rFonts w:eastAsia="Calibri"/>
          <w:bCs/>
        </w:rPr>
      </w:pPr>
      <w:r w:rsidRPr="00A32EED">
        <w:rPr>
          <w:rFonts w:eastAsia="Calibri"/>
          <w:bCs/>
        </w:rPr>
        <w:t xml:space="preserve">Timing has also been shown to affect the relationship between maltreatment and adult criminal justice contact. Perhaps in line with Gottfredson and Hirschi’s General Theory of Crime </w:t>
      </w:r>
      <w:r w:rsidRPr="00A32EED">
        <w:rPr>
          <w:rFonts w:eastAsia="Calibri"/>
          <w:bCs/>
        </w:rPr>
        <w:fldChar w:fldCharType="begin"/>
      </w:r>
      <w:r w:rsidRPr="00A32EED">
        <w:rPr>
          <w:rFonts w:eastAsia="Calibri"/>
          <w:bCs/>
        </w:rPr>
        <w:instrText xml:space="preserve"> ADDIN ZOTERO_ITEM CSL_CITATION {"citationID":"adp1pn85e","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bCs/>
        </w:rPr>
        <w:fldChar w:fldCharType="separate"/>
      </w:r>
      <w:r w:rsidRPr="00A32EED">
        <w:rPr>
          <w:rFonts w:eastAsia="Calibri"/>
          <w:bCs/>
          <w:noProof/>
        </w:rPr>
        <w:t>(1990)</w:t>
      </w:r>
      <w:r w:rsidRPr="00A32EED">
        <w:rPr>
          <w:rFonts w:eastAsia="Calibri"/>
          <w:bCs/>
        </w:rPr>
        <w:fldChar w:fldCharType="end"/>
      </w:r>
      <w:r w:rsidRPr="00A32EED">
        <w:rPr>
          <w:rFonts w:eastAsia="Calibri"/>
          <w:bCs/>
        </w:rPr>
        <w:t xml:space="preserve">, Mersky and Topitzes found that maltreatment experienced before the age of 11 was more universally associated with various adult crime measures. Using the theory of low self-control, it is possible that maltreatment experienced before the age of 11 influences acquired levels of self-control by the crucial age of 10 leading to </w:t>
      </w:r>
      <w:r w:rsidRPr="00A32EED">
        <w:rPr>
          <w:rFonts w:eastAsia="Calibri"/>
          <w:bCs/>
        </w:rPr>
        <w:lastRenderedPageBreak/>
        <w:t xml:space="preserve">future criminal involvement. Ou and Reynolds </w:t>
      </w:r>
      <w:r w:rsidRPr="00A32EED">
        <w:rPr>
          <w:rFonts w:eastAsia="Calibri"/>
          <w:bCs/>
        </w:rPr>
        <w:fldChar w:fldCharType="begin"/>
      </w:r>
      <w:r w:rsidRPr="00A32EED">
        <w:rPr>
          <w:rFonts w:eastAsia="Calibri"/>
          <w:bCs/>
        </w:rPr>
        <w:instrText xml:space="preserve"> ADDIN ZOTERO_ITEM CSL_CITATION {"citationID":"uOdluhcH","properties":{"formattedCitation":"(2010)","plainCitation":"(2010)"},"citationItems":[{"id":416,"uris":["http://zotero.org/users/1165382/items/QW34UZUX"],"uri":["http://zotero.org/users/1165382/items/QW34UZUX"],"itemData":{"id":416,"type":"article-journal","title":"Childhood predictors of young adult male crime","container-title":"Children and youth services review","page":"1097–1107","volume":"32","issue":"8","source":"Google Scholar","note":"00020","author":[{"family":"Ou","given":"Suh-Ruu"},{"family":"Reynolds","given":"Arthur J."}],"issued":{"date-parts":[["2010"]]}},"suppress-author":true}],"schema":"https://github.com/citation-style-language/schema/raw/master/csl-citation.json"} </w:instrText>
      </w:r>
      <w:r w:rsidRPr="00A32EED">
        <w:rPr>
          <w:rFonts w:eastAsia="Calibri"/>
          <w:bCs/>
        </w:rPr>
        <w:fldChar w:fldCharType="separate"/>
      </w:r>
      <w:r w:rsidRPr="00A32EED">
        <w:rPr>
          <w:rFonts w:eastAsia="Calibri"/>
          <w:bCs/>
          <w:noProof/>
        </w:rPr>
        <w:t>(2010)</w:t>
      </w:r>
      <w:r w:rsidRPr="00A32EED">
        <w:rPr>
          <w:rFonts w:eastAsia="Calibri"/>
          <w:bCs/>
        </w:rPr>
        <w:fldChar w:fldCharType="end"/>
      </w:r>
      <w:r w:rsidRPr="00A32EED">
        <w:rPr>
          <w:rFonts w:eastAsia="Calibri"/>
          <w:bCs/>
        </w:rPr>
        <w:t xml:space="preserve"> also found timing to influence the relationship between maltreatment and adult criminal justice contact. Specifically, they found that maltreatment between the ages of 0-4 increased the odds of incarceration as an adult and marginally increased the odds of an adult conviction. Finally, child maltreatment experiences after the age of 4 were significantly related to having an adult conviction. </w:t>
      </w:r>
    </w:p>
    <w:p w14:paraId="3C84F1BB" w14:textId="77777777" w:rsidR="004C4C39" w:rsidRPr="00A32EED" w:rsidRDefault="004C4C39" w:rsidP="004C4C39">
      <w:pPr>
        <w:spacing w:after="0" w:line="480" w:lineRule="auto"/>
        <w:ind w:firstLine="720"/>
        <w:rPr>
          <w:rFonts w:eastAsia="Calibri"/>
          <w:bCs/>
          <w:i/>
        </w:rPr>
      </w:pPr>
      <w:r w:rsidRPr="00A32EED">
        <w:rPr>
          <w:rFonts w:eastAsia="Calibri"/>
          <w:bCs/>
          <w:i/>
        </w:rPr>
        <w:t>Summary</w:t>
      </w:r>
    </w:p>
    <w:p w14:paraId="533A6521" w14:textId="77777777" w:rsidR="004C4C39" w:rsidRPr="00A32EED" w:rsidRDefault="004C4C39" w:rsidP="004C4C39">
      <w:pPr>
        <w:spacing w:after="0" w:line="480" w:lineRule="auto"/>
        <w:ind w:firstLine="720"/>
        <w:rPr>
          <w:rFonts w:eastAsia="Calibri"/>
        </w:rPr>
      </w:pPr>
      <w:r w:rsidRPr="00A32EED">
        <w:rPr>
          <w:rFonts w:eastAsia="Calibri"/>
        </w:rPr>
        <w:t xml:space="preserve">Research has found that child maltreatment and child welfare experiences are significantly related to a higher prevalence of risky sexual behaviors, self-reported offending, and criminal justice contact. Specifically, there is research that supports a significant relationship between any maltreatment and an increase in risky sexual behavior such as higher numbers of lifetime sexual partners, early sexual initiation, and commercial sex </w:t>
      </w:r>
      <w:r w:rsidRPr="00A32EED">
        <w:rPr>
          <w:rFonts w:eastAsia="Calibri"/>
        </w:rPr>
        <w:fldChar w:fldCharType="begin"/>
      </w:r>
      <w:r w:rsidRPr="00A32EED">
        <w:rPr>
          <w:rFonts w:eastAsia="Calibri"/>
        </w:rPr>
        <w:instrText xml:space="preserve"> ADDIN ZOTERO_ITEM CSL_CITATION {"citationID":"ia9i48920","properties":{"formattedCitation":"(Leslie et al. 2010; Ryan et al. 2015; Wilson and Widom 2008)","plainCitation":"(Leslie et al. 2010; Ryan et al. 2015; Wilson and Widom 2008)"},"citationItems":[{"id":53,"uris":["http://zotero.org/users/1165382/items/4876QBPV"],"uri":["http://zotero.org/users/1165382/items/4876QBPV"],"itemData":{"id":53,"type":"article-journal","title":"Health-Risk Behaviors in Young Adolescents in the Child Welfare System","container-title":"Journal of Adolescent Health","page":"26-34","volume":"47","issue":"1","source":"ScienceDirect","abstract":"Purpose\nTo examine rates and patterns of health-risk behavior (e.g., sexuality, depression/suicidality, substance use, delinquency) among a national probability sample of youth active to the child welfare/child protective services system. Recent federal legislation, P.L. 110-351, encourages child welfare systems, Medicaid, and pediatric experts to collaborate to ensure youth entering foster care receive comprehensive health examinations.\nMethods\nAnalysis of baseline caregiver, caseworker, and child interviews, and assessment data for a subsample (n = 993) of youth, aged 11–15 years, from the National Survey of Child and Adolescent Well-Being, a national probability sample of children and adolescents undergoing investigation for abuse or neglect.\nResults\nAlmost half of the sample (46.3%) endorsed at least one health-risk behavior. On Poisson multivariate regression modeling, factors related to higher rates of health-risk behaviors included older age, female gender, abuse history, deviant peers, limited caregiver monitoring, and poor school engagement.\nConclusion\nGiven the heightened vulnerability of this population, early screening for health-risk behaviors must be prioritized. Further research should explore specific subpopulations at risk for health-risk behaviors and possible interventions to change these youths' trajectories.","DOI":"10.1016/j.jadohealth.2009.12.032","ISSN":"1054-139X","note":"00062","journalAbbreviation":"Journal of Adolescent Health","author":[{"family":"Leslie","given":"Laurel K."},{"family":"James","given":"Sigrid"},{"family":"Monn","given":"Amy"},{"family":"Kauten","given":"Milena C."},{"family":"Zhang","given":"Jinjin"},{"family":"Aarons","given":"Gregory"}],"issued":{"date-parts":[["2010",7]]}}},{"id":149,"uris":["http://zotero.org/users/1165382/items/9W3NVHUQ"],"uri":["http://zotero.org/users/1165382/items/9W3NVHUQ"],"itemData":{"id":149,"type":"article-journal","title":"Early Childhood Maltreatment and Girls' Sexual Behavior: The Mediating Role of Pubertal Timing","container-title":"Journal of Adolescent Health","page":"342-347","volume":"57","issue":"3","source":"ScienceDirect","abstract":"Purpose\nAlthough links between early childhood maltreatment and girls' sexual behavior in adolescence have been well established, it is unclear whether different forms of maltreatment are differentially associated with sexual outcomes and whether distinct mechanisms explain associations across maltreatment types.\nMethods\nUsing data from National Longitudinal Study of Adolescent Health (Add Health), the present study examines whether physical abuse, sexual abuse, and physical neglect in early childhood differentially predict girls' age at first intercourse and number of sexual partners in early adulthood. The study also tests whether early pubertal timing mediates the link between early maltreatment and sexual behavior (N = 6,364).\nResults\nFindings indicate that early sexual and physical abuse were equally predictive of earlier age at first intercourse and a greater number of sexual partners, but that only the sexual abuse—age at first intercourse link was mediated by early puberty.\nConclusions\nThese results suggest that sexual abuse and physical abuse are associated with earlier and riskier sexual behavior in girls relative to no maltreatment and to similar degrees. However, only the link between sexual abuse and sexual behavior involves a biological mechanism manifested in early pubertal timing.","DOI":"10.1016/j.jadohealth.2015.06.005","ISSN":"1054-139X","note":"00000","shortTitle":"Early Childhood Maltreatment and Girls' Sexual Behavior","journalAbbreviation":"Journal of Adolescent Health","author":[{"family":"Ryan","given":"Rebecca M."},{"family":"Mendle","given":"Jane"},{"family":"Markowitz","given":"Anna J."}],"issued":{"date-parts":[["2015",9]]}}},{"id":306,"uris":["http://zotero.org/users/1165382/items/J9J68DG2"],"uri":["http://zotero.org/users/1165382/items/J9J68DG2"],"itemData":{"id":306,"type":"article-journal","title":"An examination of risky sexual behavior and HIV in victims of child abuse and neglect: A 30-year follow-up","container-title":"Health Psychology","page":"149-158","volume":"27","issue":"2","source":"APA PsycNET","abstract":"Objective: This article examined links between childhood maltreatment and risky sexual behavior (early sexual contact, promiscuity, prostitution) and HIV in adulthood. Design: Using a prospective cohort design, physically and sexually abused and neglected children (ages 0-11) with documented cases during 1967-1971 were matched with nonmaltreated children and followed into adulthood. Main Outcome Measures: Early sexual contact, promiscuity, and prostitution were assessed through in-person interviews and official records (prostitution) at approximate age 29 (N = 1196). HIV tests were conducted at approximate age 41 (N = 631). Results: Child maltreatment was associated with prostitution (OR = 2.47, 95% CI = 1.35-4.50) and early sexual contact (OR = 1.73, 95% CI = 1.24-2.40). Prevalence of HIV in the abuse/neglect group was twice that in controls (OR = 2.35, 95% CI = .64-8.62), although this difference did not reach conventional levels of statistical significance. SEM provided significant support for a model linking child abuse and neglect to prostitution through early sexual contact and a marginal link to HIV through prostitution. Conclusion: These findings provide prospective evidence that maltreated children are more likely to report sexual contact before age 15, engage in prostitution by young adulthood, and test positive for HIV in middle adulthood.","DOI":"10.1037/0278-6133.27.2.149","ISSN":"1930-7810(Electronic);0278-6133(Print)","shortTitle":"An examination of risky sexual behavior and HIV in victims of child abuse and neglect","author":[{"family":"Wilson","given":"Helen W."},{"family":"Widom","given":"Cathy Spatz"}],"issued":{"date-parts":[["2008"]]}}}],"schema":"https://github.com/citation-style-language/schema/raw/master/csl-citation.json"} </w:instrText>
      </w:r>
      <w:r w:rsidRPr="00A32EED">
        <w:rPr>
          <w:rFonts w:eastAsia="Calibri"/>
        </w:rPr>
        <w:fldChar w:fldCharType="separate"/>
      </w:r>
      <w:r w:rsidRPr="00A32EED">
        <w:rPr>
          <w:rFonts w:eastAsia="Calibri"/>
          <w:noProof/>
        </w:rPr>
        <w:t>(Leslie et al. 2010; Ryan et al. 2015; Wilson and Widom 2008)</w:t>
      </w:r>
      <w:r w:rsidRPr="00A32EED">
        <w:rPr>
          <w:rFonts w:eastAsia="Calibri"/>
        </w:rPr>
        <w:fldChar w:fldCharType="end"/>
      </w:r>
      <w:r w:rsidRPr="00A32EED">
        <w:rPr>
          <w:rFonts w:eastAsia="Calibri"/>
        </w:rPr>
        <w:t xml:space="preserve">. Additionally, research finds that childhood sexual abuse is uniquely linked to increases in risky sexual behaviors such as ever having had sex </w:t>
      </w:r>
      <w:r w:rsidRPr="00A32EED">
        <w:rPr>
          <w:rFonts w:eastAsia="Calibri"/>
        </w:rPr>
        <w:fldChar w:fldCharType="begin"/>
      </w:r>
      <w:r w:rsidRPr="00A32EED">
        <w:rPr>
          <w:rFonts w:eastAsia="Calibri"/>
        </w:rPr>
        <w:instrText xml:space="preserve"> ADDIN ZOTERO_ITEM CSL_CITATION {"citationID":"1gcclc6f7n","properties":{"formattedCitation":"(Leslie et al. 2010)","plainCitation":"(Leslie et al. 2010)"},"citationItems":[{"id":53,"uris":["http://zotero.org/users/1165382/items/4876QBPV"],"uri":["http://zotero.org/users/1165382/items/4876QBPV"],"itemData":{"id":53,"type":"article-journal","title":"Health-Risk Behaviors in Young Adolescents in the Child Welfare System","container-title":"Journal of Adolescent Health","page":"26-34","volume":"47","issue":"1","source":"ScienceDirect","abstract":"Purpose\nTo examine rates and patterns of health-risk behavior (e.g., sexuality, depression/suicidality, substance use, delinquency) among a national probability sample of youth active to the child welfare/child protective services system. Recent federal legislation, P.L. 110-351, encourages child welfare systems, Medicaid, and pediatric experts to collaborate to ensure youth entering foster care receive comprehensive health examinations.\nMethods\nAnalysis of baseline caregiver, caseworker, and child interviews, and assessment data for a subsample (n = 993) of youth, aged 11–15 years, from the National Survey of Child and Adolescent Well-Being, a national probability sample of children and adolescents undergoing investigation for abuse or neglect.\nResults\nAlmost half of the sample (46.3%) endorsed at least one health-risk behavior. On Poisson multivariate regression modeling, factors related to higher rates of health-risk behaviors included older age, female gender, abuse history, deviant peers, limited caregiver monitoring, and poor school engagement.\nConclusion\nGiven the heightened vulnerability of this population, early screening for health-risk behaviors must be prioritized. Further research should explore specific subpopulations at risk for health-risk behaviors and possible interventions to change these youths' trajectories.","DOI":"10.1016/j.jadohealth.2009.12.032","ISSN":"1054-139X","note":"00062","journalAbbreviation":"Journal of Adolescent Health","author":[{"family":"Leslie","given":"Laurel K."},{"family":"James","given":"Sigrid"},{"family":"Monn","given":"Amy"},{"family":"Kauten","given":"Milena C."},{"family":"Zhang","given":"Jinjin"},{"family":"Aarons","given":"Gregory"}],"issued":{"date-parts":[["2010",7]]}}}],"schema":"https://github.com/citation-style-language/schema/raw/master/csl-citation.json"} </w:instrText>
      </w:r>
      <w:r w:rsidRPr="00A32EED">
        <w:rPr>
          <w:rFonts w:eastAsia="Calibri"/>
        </w:rPr>
        <w:fldChar w:fldCharType="separate"/>
      </w:r>
      <w:r w:rsidRPr="00A32EED">
        <w:rPr>
          <w:rFonts w:eastAsia="Calibri"/>
          <w:noProof/>
        </w:rPr>
        <w:t>(Leslie et al. 2010)</w:t>
      </w:r>
      <w:r w:rsidRPr="00A32EED">
        <w:rPr>
          <w:rFonts w:eastAsia="Calibri"/>
        </w:rPr>
        <w:fldChar w:fldCharType="end"/>
      </w:r>
      <w:r w:rsidRPr="00A32EED">
        <w:rPr>
          <w:rFonts w:eastAsia="Calibri"/>
        </w:rPr>
        <w:t xml:space="preserve">, sexualized behavior </w:t>
      </w:r>
      <w:r w:rsidRPr="00A32EED">
        <w:rPr>
          <w:rFonts w:eastAsia="Calibri"/>
        </w:rPr>
        <w:fldChar w:fldCharType="begin"/>
      </w:r>
      <w:r w:rsidRPr="00A32EED">
        <w:rPr>
          <w:rFonts w:eastAsia="Calibri"/>
        </w:rPr>
        <w:instrText xml:space="preserve"> ADDIN ZOTERO_ITEM CSL_CITATION {"citationID":"g8WtHBQJ","properties":{"formattedCitation":"(Friedrich et al. 2001; Kendall-Tackett et al. 1993)","plainCitation":"(Friedrich et al. 2001; Kendall-Tackett et al. 1993)"},"citationItems":[{"id":158,"uris":["http://zotero.org/users/1165382/items/ACPG5656"],"uri":["http://zotero.org/users/1165382/items/ACPG5656"],"itemData":{"id":158,"type":"article-journal","title":"Child Sexual Behavior Inventory: Normative, Psychiatric, and Sexual Abuse Comparisons","container-title":"Child Maltreatment","page":"37-49","volume":"6","issue":"1","source":"0-cmx.sagepub.com.library.uark.edu","abstract":"A normative sample of 1,114 children was contrasted with a sample of 620 sexually abused children and 577 psychiatric outpatients on the Child Sexual Behavior Inventory (CSBI), a 38-item behavior checklist assessing sexual behavior in children 2 to 12 years old. The CSBI total score and each individual item differed significantly between the three groups after controlling for age, sex, maternal education, and family income. Sexually abused children exhibited a greater frequency of sexual behaviors than either the normative or psychiatric outpatient samples. Test-retest reliability and interitem correlation were satisfactory. Sexual behavior problems were related to other generic behavior problems. This contributed to the reduced discrimination between psychiatric outpatients and sexually abused children when compared to the normative/sexually abused discrimination.","DOI":"10.1177/1077559501006001004","ISSN":"1077-5595, 1552-6119","note":"00000 \nPMID: 11217169","shortTitle":"Child Sexual Behavior Inventory","journalAbbreviation":"Child Maltreat","language":"en","author":[{"family":"Friedrich","given":"William N."},{"family":"Fisher","given":"Jennifer L."},{"family":"Dittner","given":"Carrie Anne"},{"family":"Acton","given":"Robert"},{"family":"Berliner","given":"Lucy"},{"family":"Butler","given":"Judy"},{"family":"Damon","given":"Linda"},{"family":"Davies","given":"W. Hobart"},{"family":"Gray","given":"Alison"},{"family":"Wright","given":"John"}],"issued":{"date-parts":[["2001",2,1]]}}},{"id":36,"uris":["http://zotero.org/users/1165382/items/3J8JHB24"],"uri":["http://zotero.org/users/1165382/items/3J8JHB24"],"itemData":{"id":36,"type":"article-journal","title":"Impact of sexual abuse on children: a review and synthesis of recent empirical studies.","container-title":"Psychological bulletin","page":"164","volume":"113","issue":"1","source":"Google Scholar","note":"02753","shortTitle":"Impact of sexual abuse on children","author":[{"family":"Kendall-Tackett","given":"Kathleen A."},{"family":"Williams","given":"Linda M."},{"family":"Finkelhor","given":"David"}],"issued":{"date-parts":[["1993"]]}}}],"schema":"https://github.com/citation-style-language/schema/raw/master/csl-citation.json"} </w:instrText>
      </w:r>
      <w:r w:rsidRPr="00A32EED">
        <w:rPr>
          <w:rFonts w:eastAsia="Calibri"/>
        </w:rPr>
        <w:fldChar w:fldCharType="separate"/>
      </w:r>
      <w:r w:rsidRPr="00A32EED">
        <w:rPr>
          <w:rFonts w:eastAsia="Calibri"/>
          <w:noProof/>
        </w:rPr>
        <w:t>(Friedrich et al. 2001; Kendall-Tackett et al. 1993)</w:t>
      </w:r>
      <w:r w:rsidRPr="00A32EED">
        <w:rPr>
          <w:rFonts w:eastAsia="Calibri"/>
        </w:rPr>
        <w:fldChar w:fldCharType="end"/>
      </w:r>
      <w:r w:rsidRPr="00A32EED">
        <w:rPr>
          <w:rFonts w:eastAsia="Calibri"/>
        </w:rPr>
        <w:t xml:space="preserve">, lower rates of birth control use </w:t>
      </w:r>
      <w:r w:rsidRPr="00A32EED">
        <w:rPr>
          <w:rFonts w:eastAsia="Calibri"/>
        </w:rPr>
        <w:fldChar w:fldCharType="begin"/>
      </w:r>
      <w:r w:rsidRPr="00A32EED">
        <w:rPr>
          <w:rFonts w:eastAsia="Calibri"/>
        </w:rPr>
        <w:instrText xml:space="preserve"> ADDIN ZOTERO_ITEM CSL_CITATION {"citationID":"2eBBNZ9a","properties":{"formattedCitation":"(Koenig and Clark 2004; Noll et al. 2003)","plainCitation":"(Koenig and Clark 2004; Noll et al. 2003)"},"citationItems":[{"id":1259,"uris":["http://zotero.org/users/1165382/items/PAVS6R4Q"],"uri":["http://zotero.org/users/1165382/items/PAVS6R4Q"],"itemData":{"id":1259,"type":"article-journal","title":"Sexual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id":195,"uris":["http://zotero.org/users/1165382/items/CR7KNPJE"],"uri":["http://zotero.org/users/1165382/items/CR7KNPJE"],"itemData":{"id":195,"type":"article-journal","title":"A prospective investigation of the impact of childhood sexual abuse on the development of sexuality.","container-title":"Journal of consulting and clinical psychology","page":"575","volume":"71","issue":"3","source":"Google Scholar","note":"00000","author":[{"family":"Noll","given":"Jennie G."},{"family":"Trickett","given":"Penelope K."},{"family":"Putnam","given":"Frank W."}],"issued":{"date-parts":[["2003"]]}}}],"schema":"https://github.com/citation-style-language/schema/raw/master/csl-citation.json"} </w:instrText>
      </w:r>
      <w:r w:rsidRPr="00A32EED">
        <w:rPr>
          <w:rFonts w:eastAsia="Calibri"/>
        </w:rPr>
        <w:fldChar w:fldCharType="separate"/>
      </w:r>
      <w:r w:rsidRPr="00A32EED">
        <w:rPr>
          <w:rFonts w:eastAsia="Calibri"/>
          <w:noProof/>
        </w:rPr>
        <w:t>(Koenig and Clark 2004; Noll et al. 2003)</w:t>
      </w:r>
      <w:r w:rsidRPr="00A32EED">
        <w:rPr>
          <w:rFonts w:eastAsia="Calibri"/>
        </w:rPr>
        <w:fldChar w:fldCharType="end"/>
      </w:r>
      <w:r w:rsidRPr="00A32EED">
        <w:rPr>
          <w:rFonts w:eastAsia="Calibri"/>
        </w:rPr>
        <w:t xml:space="preserve">, early sexual initiation </w:t>
      </w:r>
      <w:r w:rsidRPr="00A32EED">
        <w:rPr>
          <w:rFonts w:eastAsia="Calibri"/>
        </w:rPr>
        <w:fldChar w:fldCharType="begin"/>
      </w:r>
      <w:r w:rsidRPr="00A32EED">
        <w:rPr>
          <w:rFonts w:eastAsia="Calibri"/>
        </w:rPr>
        <w:instrText xml:space="preserve"> ADDIN ZOTERO_ITEM CSL_CITATION {"citationID":"sC8j3HMW","properties":{"formattedCitation":"(Koenig and Clark 2004; Noll et al. 2003; Ryan et al. 2015; Wilson and Widom 2008)","plainCitation":"(Koenig and Clark 2004; Noll et al. 2003; Ryan et al. 2015; Wilson and Widom 2008)"},"citationItems":[{"id":1259,"uris":["http://zotero.org/users/1165382/items/PAVS6R4Q"],"uri":["http://zotero.org/users/1165382/items/PAVS6R4Q"],"itemData":{"id":1259,"type":"article-journal","title":"Sexual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id":195,"uris":["http://zotero.org/users/1165382/items/CR7KNPJE"],"uri":["http://zotero.org/users/1165382/items/CR7KNPJE"],"itemData":{"id":195,"type":"article-journal","title":"A prospective investigation of the impact of childhood sexual abuse on the development of sexuality.","container-title":"Journal of consulting and clinical psychology","page":"575","volume":"71","issue":"3","source":"Google Scholar","note":"00000","author":[{"family":"Noll","given":"Jennie G."},{"family":"Trickett","given":"Penelope K."},{"family":"Putnam","given":"Frank W."}],"issued":{"date-parts":[["2003"]]}}},{"id":149,"uris":["http://zotero.org/users/1165382/items/9W3NVHUQ"],"uri":["http://zotero.org/users/1165382/items/9W3NVHUQ"],"itemData":{"id":149,"type":"article-journal","title":"Early Childhood Maltreatment and Girls' Sexual Behavior: The Mediating Role of Pubertal Timing","container-title":"Journal of Adolescent Health","page":"342-347","volume":"57","issue":"3","source":"ScienceDirect","abstract":"Purpose\nAlthough links between early childhood maltreatment and girls' sexual behavior in adolescence have been well established, it is unclear whether different forms of maltreatment are differentially associated with sexual outcomes and whether distinct mechanisms explain associations across maltreatment types.\nMethods\nUsing data from National Longitudinal Study of Adolescent Health (Add Health), the present study examines whether physical abuse, sexual abuse, and physical neglect in early childhood differentially predict girls' age at first intercourse and number of sexual partners in early adulthood. The study also tests whether early pubertal timing mediates the link between early maltreatment and sexual behavior (N = 6,364).\nResults\nFindings indicate that early sexual and physical abuse were equally predictive of earlier age at first intercourse and a greater number of sexual partners, but that only the sexual abuse—age at first intercourse link was mediated by early puberty.\nConclusions\nThese results suggest that sexual abuse and physical abuse are associated with earlier and riskier sexual behavior in girls relative to no maltreatment and to similar degrees. However, only the link between sexual abuse and sexual behavior involves a biological mechanism manifested in early pubertal timing.","DOI":"10.1016/j.jadohealth.2015.06.005","ISSN":"1054-139X","note":"00000","shortTitle":"Early Childhood Maltreatment and Girls' Sexual Behavior","journalAbbreviation":"Journal of Adolescent Health","author":[{"family":"Ryan","given":"Rebecca M."},{"family":"Mendle","given":"Jane"},{"family":"Markowitz","given":"Anna J."}],"issued":{"date-parts":[["2015",9]]}}},{"id":306,"uris":["http://zotero.org/users/1165382/items/J9J68DG2"],"uri":["http://zotero.org/users/1165382/items/J9J68DG2"],"itemData":{"id":306,"type":"article-journal","title":"An examination of risky sexual behavior and HIV in victims of child abuse and neglect: A 30-year follow-up","container-title":"Health Psychology","page":"149-158","volume":"27","issue":"2","source":"APA PsycNET","abstract":"Objective: This article examined links between childhood maltreatment and risky sexual behavior (early sexual contact, promiscuity, prostitution) and HIV in adulthood. Design: Using a prospective cohort design, physically and sexually abused and neglected children (ages 0-11) with documented cases during 1967-1971 were matched with nonmaltreated children and followed into adulthood. Main Outcome Measures: Early sexual contact, promiscuity, and prostitution were assessed through in-person interviews and official records (prostitution) at approximate age 29 (N = 1196). HIV tests were conducted at approximate age 41 (N = 631). Results: Child maltreatment was associated with prostitution (OR = 2.47, 95% CI = 1.35-4.50) and early sexual contact (OR = 1.73, 95% CI = 1.24-2.40). Prevalence of HIV in the abuse/neglect group was twice that in controls (OR = 2.35, 95% CI = .64-8.62), although this difference did not reach conventional levels of statistical significance. SEM provided significant support for a model linking child abuse and neglect to prostitution through early sexual contact and a marginal link to HIV through prostitution. Conclusion: These findings provide prospective evidence that maltreated children are more likely to report sexual contact before age 15, engage in prostitution by young adulthood, and test positive for HIV in middle adulthood.","DOI":"10.1037/0278-6133.27.2.149","ISSN":"1930-7810(Electronic);0278-6133(Print)","shortTitle":"An examination of risky sexual behavior and HIV in victims of child abuse and neglect","author":[{"family":"Wilson","given":"Helen W."},{"family":"Widom","given":"Cathy Spatz"}],"issued":{"date-parts":[["2008"]]}}}],"schema":"https://github.com/citation-style-language/schema/raw/master/csl-citation.json"} </w:instrText>
      </w:r>
      <w:r w:rsidRPr="00A32EED">
        <w:rPr>
          <w:rFonts w:eastAsia="Calibri"/>
        </w:rPr>
        <w:fldChar w:fldCharType="separate"/>
      </w:r>
      <w:r w:rsidRPr="00A32EED">
        <w:rPr>
          <w:rFonts w:eastAsia="Calibri"/>
          <w:noProof/>
        </w:rPr>
        <w:t>(Koenig and Clark 2004; Noll et al. 2003; Ryan et al. 2015; Wilson and Widom 2008)</w:t>
      </w:r>
      <w:r w:rsidRPr="00A32EED">
        <w:rPr>
          <w:rFonts w:eastAsia="Calibri"/>
        </w:rPr>
        <w:fldChar w:fldCharType="end"/>
      </w:r>
      <w:r w:rsidRPr="00A32EED">
        <w:rPr>
          <w:rFonts w:eastAsia="Calibri"/>
        </w:rPr>
        <w:t xml:space="preserve">, and number of lifetime sexual partners </w:t>
      </w:r>
      <w:r w:rsidRPr="00A32EED">
        <w:rPr>
          <w:rFonts w:eastAsia="Calibri"/>
        </w:rPr>
        <w:fldChar w:fldCharType="begin"/>
      </w:r>
      <w:r w:rsidRPr="00A32EED">
        <w:rPr>
          <w:rFonts w:eastAsia="Calibri"/>
        </w:rPr>
        <w:instrText xml:space="preserve"> ADDIN ZOTERO_ITEM CSL_CITATION {"citationID":"2ecab6tqoo","properties":{"formattedCitation":"(Holmes et al. 2005; Ryan et al. 2015)","plainCitation":"(Holmes et al. 2005; Ryan et al. 2015)"},"citationItems":[{"id":341,"uris":["http://zotero.org/users/1165382/items/M25DZTF9"],"uri":["http://zotero.org/users/1165382/items/M25DZTF9"],"itemData":{"id":341,"type":"article-journal","title":"Men's pathways to risky sexual behavior: role of co-occurring childhood sexual abuse, posttraumatic stress disorder, and depression histories","container-title":"Journal of Urban Health: Bulletin of the New York Academy of Medicine","page":"i89-i99","volume":"82","issue":"Suppl. 1","source":"EBSCOhost","abstract":"Recent reports of sexually transmitted infection-rate increases among men indicate the need for renewed study of male sexual risk behavior to aid development of updated and novel risk reduction interventions. Men who have childhood sexual abuse (CSA) histories consistently report frequent sexual risk behavior. The objective of this sturdy is to explore whether posttraumatic stress disorder (PTSD) and depression are moderators and/or mediators of the association between CSA and sexual risk in adult men. A cross-sectional survey study employing random digit dial recruitment was administered to men aged 18-49 years from Philadelphia County. Two hundred ninety eight men were recruited and screened for CSA history, administered items from the Posttraumatic Stress Diagnostic Scale (PDS) and Center for Epidemiologic Studies-Depression (CES-D), and asked to estimate their number of lifetime sexual partners (LSPs). Effects of sociodemographic characteristics, CSA, PTSD, and depression on the number of LSPs were modeled using Poisson regression. Results show that 197 (66%) men participated; 43 (22%) had CSA histories. CSA was significantly associated with PTSD/depression (P=.03). Four sociodemographic variables (age, race, sexual identity, and education), CSA (incidence rate ratio, IRR=1.47, P&lt;.001), PTSD (IRR=1.19, P=.04), depression (IRR=1.29, P=.001), all 2-way interactions, and the 3-way CSA/PTSD/depression interaction (IRR=11.00, P&lt;.001) were associated with the number of LSPs (R2=0.27). In conclusion, sexual partnership patterns unique to men with CSA histories and comorbid PTSD/depression appear to lead to substantially higher numbers of LSPs. Estimates of this relationship may have been biased toward the null by underreporting that can occur with phone surveys. Cross-sectional studies do not support causal inferences; however, the identification of a moderating and mediating influence of PTSD/depression on the relationship between CSA and sexual risk behavior is important and suggests the need for future studies with larger samples that examine trajectories for CSA, psychiatric illness, and sexual partnerships.","ISSN":"1099-3460","note":"00058","shortTitle":"Men's pathways to risky sexual behavior","journalAbbreviation":"Journal of Urban Health: Bulletin of the New York Academy of Medicine","author":[{"family":"Holmes","given":"W. C."},{"family":"Foa","given":"E. B."},{"family":"Sammel","given":"M. D."}],"issued":{"date-parts":[["2005"]]}}},{"id":149,"uris":["http://zotero.org/users/1165382/items/9W3NVHUQ"],"uri":["http://zotero.org/users/1165382/items/9W3NVHUQ"],"itemData":{"id":149,"type":"article-journal","title":"Early Childhood Maltreatment and Girls' Sexual Behavior: The Mediating Role of Pubertal Timing","container-title":"Journal of Adolescent Health","page":"342-347","volume":"57","issue":"3","source":"ScienceDirect","abstract":"Purpose\nAlthough links between early childhood maltreatment and girls' sexual behavior in adolescence have been well established, it is unclear whether different forms of maltreatment are differentially associated with sexual outcomes and whether distinct mechanisms explain associations across maltreatment types.\nMethods\nUsing data from National Longitudinal Study of Adolescent Health (Add Health), the present study examines whether physical abuse, sexual abuse, and physical neglect in early childhood differentially predict girls' age at first intercourse and number of sexual partners in early adulthood. The study also tests whether early pubertal timing mediates the link between early maltreatment and sexual behavior (N = 6,364).\nResults\nFindings indicate that early sexual and physical abuse were equally predictive of earlier age at first intercourse and a greater number of sexual partners, but that only the sexual abuse—age at first intercourse link was mediated by early puberty.\nConclusions\nThese results suggest that sexual abuse and physical abuse are associated with earlier and riskier sexual behavior in girls relative to no maltreatment and to similar degrees. However, only the link between sexual abuse and sexual behavior involves a biological mechanism manifested in early pubertal timing.","DOI":"10.1016/j.jadohealth.2015.06.005","ISSN":"1054-139X","note":"00000","shortTitle":"Early Childhood Maltreatment and Girls' Sexual Behavior","journalAbbreviation":"Journal of Adolescent Health","author":[{"family":"Ryan","given":"Rebecca M."},{"family":"Mendle","given":"Jane"},{"family":"Markowitz","given":"Anna J."}],"issued":{"date-parts":[["2015",9]]}}}],"schema":"https://github.com/citation-style-language/schema/raw/master/csl-citation.json"} </w:instrText>
      </w:r>
      <w:r w:rsidRPr="00A32EED">
        <w:rPr>
          <w:rFonts w:eastAsia="Calibri"/>
        </w:rPr>
        <w:fldChar w:fldCharType="separate"/>
      </w:r>
      <w:r w:rsidRPr="00A32EED">
        <w:rPr>
          <w:rFonts w:eastAsia="Calibri"/>
          <w:noProof/>
        </w:rPr>
        <w:t>(Holmes et al. 2005; Ryan et al. 2015)</w:t>
      </w:r>
      <w:r w:rsidRPr="00A32EED">
        <w:rPr>
          <w:rFonts w:eastAsia="Calibri"/>
        </w:rPr>
        <w:fldChar w:fldCharType="end"/>
      </w:r>
    </w:p>
    <w:p w14:paraId="024686CC" w14:textId="77777777" w:rsidR="004C4C39" w:rsidRPr="00A32EED" w:rsidRDefault="004C4C39" w:rsidP="004C4C39">
      <w:pPr>
        <w:spacing w:after="0" w:line="480" w:lineRule="auto"/>
        <w:ind w:firstLine="720"/>
        <w:rPr>
          <w:rFonts w:eastAsia="Calibri"/>
        </w:rPr>
      </w:pPr>
      <w:r w:rsidRPr="00A32EED">
        <w:rPr>
          <w:rFonts w:eastAsia="Calibri"/>
        </w:rPr>
        <w:t xml:space="preserve">Various child welfare experiences have also been linked to significant increases in risky sexual behavior. Research has shown that removal from the home is related to a higher likelihood of ever having had sex </w:t>
      </w:r>
      <w:r w:rsidRPr="00A32EED">
        <w:rPr>
          <w:rFonts w:eastAsia="Calibri"/>
        </w:rPr>
        <w:fldChar w:fldCharType="begin"/>
      </w:r>
      <w:r w:rsidRPr="00A32EED">
        <w:rPr>
          <w:rFonts w:eastAsia="Calibri"/>
        </w:rPr>
        <w:instrText xml:space="preserve"> ADDIN ZOTERO_ITEM CSL_CITATION {"citationID":"1p37dqosco","properties":{"formattedCitation":"(James et al. 2009)","plainCitation":"(James et al. 2009)"},"citationItems":[{"id":438,"uris":["http://zotero.org/users/1165382/items/S87A2U8W"],"uri":["http://zotero.org/users/1165382/items/S87A2U8W"],"itemData":{"id":438,"type":"article-journal","title":"Sexual risk behaviors among youth in the child welfare system","container-title":"Children and Youth Services Review","page":"990-1000","volume":"31","issue":"9","source":"ScienceDirect","abstract":"This study uses data from the National Survey of Child and Adolescent Well-Being (NSCAW) to provide estimates of sexual risk behaviors for 877 youth, age 11–14 at baseline, in the child welfare system. It examines the association between baseline psychosocial risk and protective factors on engagement in sexual risk behaviors after 36 months. It further compares rates of sexual risk behaviors between youth placed in out-of-home care and those who remained with their biological family. Key findings include a high rate of pregnancy, a high percentage of youth who initiated sexual activity at or before age 13 as well as a limited role of protective factors in moderating sexual risk behaviors. A history of placement into out-of-home care is not significantly associated with greater engagement in sexual risk behaviors. Implications for intervention development and child welfare policy for this population are discussed.","DOI":"10.1016/j.childyouth.2009.04.014","ISSN":"0190-7409","journalAbbreviation":"Children and Youth Services Review","author":[{"family":"James","given":"Sigrid"},{"family":"Montgomery","given":"Susanne B."},{"family":"Leslie","given":"Laurel K."},{"family":"Zhang","given":"Jinjin"}],"issued":{"date-parts":[["2009",9]]}}}],"schema":"https://github.com/citation-style-language/schema/raw/master/csl-citation.json"} </w:instrText>
      </w:r>
      <w:r w:rsidRPr="00A32EED">
        <w:rPr>
          <w:rFonts w:eastAsia="Calibri"/>
        </w:rPr>
        <w:fldChar w:fldCharType="separate"/>
      </w:r>
      <w:r w:rsidRPr="00A32EED">
        <w:rPr>
          <w:rFonts w:eastAsia="Calibri"/>
          <w:noProof/>
        </w:rPr>
        <w:t xml:space="preserve">(James et al. </w:t>
      </w:r>
      <w:r w:rsidRPr="00A32EED">
        <w:rPr>
          <w:rFonts w:eastAsia="Calibri"/>
          <w:noProof/>
        </w:rPr>
        <w:lastRenderedPageBreak/>
        <w:t>2009)</w:t>
      </w:r>
      <w:r w:rsidRPr="00A32EED">
        <w:rPr>
          <w:rFonts w:eastAsia="Calibri"/>
        </w:rPr>
        <w:fldChar w:fldCharType="end"/>
      </w:r>
      <w:r w:rsidRPr="00A32EED">
        <w:rPr>
          <w:rFonts w:eastAsia="Calibri"/>
        </w:rPr>
        <w:t xml:space="preserve">, having a sexually transmitted infection </w:t>
      </w:r>
      <w:r w:rsidRPr="00A32EED">
        <w:rPr>
          <w:rFonts w:eastAsia="Calibri"/>
        </w:rPr>
        <w:fldChar w:fldCharType="begin"/>
      </w:r>
      <w:r w:rsidRPr="00A32EED">
        <w:rPr>
          <w:rFonts w:eastAsia="Calibri"/>
        </w:rPr>
        <w:instrText xml:space="preserve"> ADDIN ZOTERO_ITEM CSL_CITATION {"citationID":"1rkeu6u72t","properties":{"formattedCitation":"(Carpenter et al. 2001)","plainCitation":"(Carpenter et al. 2001)"},"citationItems":[{"id":1282,"uris":["http://zotero.org/users/1165382/items/RPZSQ957"],"uri":["http://zotero.org/users/1165382/items/RPZSQ957"],"itemData":{"id":1282,"type":"article-journal","title":"The Association of Foster Care or Kinship Care With Adolescent Sexual Behavior and First Pregnancy","container-title":"Pediatrics","page":"e46-e46","volume":"108","issue":"3","source":"0-pediatrics.aappublications.org.library.uark.edu","abstract":"Objective. Each year more than 500 000 children enter out-of-home placement. Few outcome studies of these children specifically address high-risk sexual behavior and adolescent pregnancy. Our study investigated the relationship between living in kinship or foster care and high-risk reproductive behaviors in a nationally representative sample of women.\nMethods. Data from 9620 women ages 15 to 44 years in the 1995 National Survey of Family Growth were analyzed in a cross-sectional study. Three groups—foster (n = 89), kinship (n = 513), and comparison (n = 9018)—were identified on the basis of self-reported childhood living situations. Bivariate and multiple linear regression analyses were performed. The outcome variables were age at first sexual intercourse and at first conception and the number of sexual partners.\nResults. After adjustment for multiple predictor variables, foster care was associated with younger age at first conception (difference: 11.3 months) and having greater than the median number of sexual partners (odds ratio: 1.7, 1.0–2.8). Kinship care was associated with younger age both at first intercourse (difference = 6 months) and at first conception (difference: 8.6 months) and having greater than the median number of sexual partners (odds ratio: 1.4, 1.1–1.8). There were no differences between the kinship and foster groups.\nConclusions. A history of living in either foster or kinship care is a marker for high-risk sexual behaviors, and the risk is comparable in both out-of-home living arrangements. Recognition of these risks may enable health care providers to intervene with high-risk youth to prevent early initiation of sexual intercourse and early pregnancy.","DOI":"10.1542/peds.108.3.e46","ISSN":"0031-4005, 1098-4275","note":"00116 \nPMID: 11533364","language":"en","author":[{"family":"Carpenter","given":"Sara C."},{"family":"Clyman","given":"Robert B."},{"family":"Davidson","given":"Arthur J."},{"family":"Steiner","given":"John F."}],"issued":{"date-parts":[["2001",9,1]]}}}],"schema":"https://github.com/citation-style-language/schema/raw/master/csl-citation.json"} </w:instrText>
      </w:r>
      <w:r w:rsidRPr="00A32EED">
        <w:rPr>
          <w:rFonts w:eastAsia="Calibri"/>
        </w:rPr>
        <w:fldChar w:fldCharType="separate"/>
      </w:r>
      <w:r w:rsidRPr="00A32EED">
        <w:rPr>
          <w:rFonts w:eastAsia="Calibri"/>
          <w:noProof/>
        </w:rPr>
        <w:t>(Carpenter et al. 2001)</w:t>
      </w:r>
      <w:r w:rsidRPr="00A32EED">
        <w:rPr>
          <w:rFonts w:eastAsia="Calibri"/>
        </w:rPr>
        <w:fldChar w:fldCharType="end"/>
      </w:r>
      <w:r w:rsidRPr="00A32EED">
        <w:rPr>
          <w:rFonts w:eastAsia="Calibri"/>
        </w:rPr>
        <w:t xml:space="preserve">, earlier sexual initiation </w:t>
      </w:r>
      <w:r w:rsidRPr="00A32EED">
        <w:rPr>
          <w:rFonts w:eastAsia="Calibri"/>
        </w:rPr>
        <w:fldChar w:fldCharType="begin"/>
      </w:r>
      <w:r w:rsidRPr="00A32EED">
        <w:rPr>
          <w:rFonts w:eastAsia="Calibri"/>
        </w:rPr>
        <w:instrText xml:space="preserve"> ADDIN ZOTERO_ITEM CSL_CITATION {"citationID":"14svpn8v5i","properties":{"formattedCitation":"(Risley-Curtiss 1997)","plainCitation":"(Risley-Curtiss 1997)"},"citationItems":[{"id":1297,"uris":["http://zotero.org/users/1165382/items/7J2RKPUZ"],"uri":["http://zotero.org/users/1165382/items/7J2RKPUZ"],"itemData":{"id":1297,"type":"article-journal","title":"Sexual activity and contraceptive use among children entering out-of-home care","container-title":"Child Welfare","page":"475-99","volume":"76","issue":"4","source":"ProQuest","abstract":"This study explored the prevalence of reported sexual activity of a cohort of children entering out-of-home care and the ability of selected factors to explain reported sexual activity and use or nonuse of contraceptives. It found that children as young as age 8 reported sexual activity, and that more than one-third of the children age 8 to 18 reported being sexually active. Of those who were sexually active, more than one-third were not using contraceptives. Using logistic regression, five variables are identified as having importance in explaining sexual activity. Two variables had some limited ability to explain contraceptive use. Implications of these findings are discussed and suggestions for policy and practice are made.","ISSN":"00094021","note":"00039","language":"English","author":[{"family":"Risley-Curtiss","given":"Christina"}],"issued":{"date-parts":[["1997",8]]}}}],"schema":"https://github.com/citation-style-language/schema/raw/master/csl-citation.json"} </w:instrText>
      </w:r>
      <w:r w:rsidRPr="00A32EED">
        <w:rPr>
          <w:rFonts w:eastAsia="Calibri"/>
        </w:rPr>
        <w:fldChar w:fldCharType="separate"/>
      </w:r>
      <w:r w:rsidRPr="00A32EED">
        <w:rPr>
          <w:rFonts w:eastAsia="Calibri"/>
          <w:noProof/>
        </w:rPr>
        <w:t>(Risley-Curtiss 1997)</w:t>
      </w:r>
      <w:r w:rsidRPr="00A32EED">
        <w:rPr>
          <w:rFonts w:eastAsia="Calibri"/>
        </w:rPr>
        <w:fldChar w:fldCharType="end"/>
      </w:r>
      <w:r w:rsidRPr="00A32EED">
        <w:rPr>
          <w:rFonts w:eastAsia="Calibri"/>
        </w:rPr>
        <w:t xml:space="preserve">, and a higher number of children </w:t>
      </w:r>
      <w:r w:rsidRPr="00A32EED">
        <w:rPr>
          <w:rFonts w:eastAsia="Calibri"/>
        </w:rPr>
        <w:fldChar w:fldCharType="begin"/>
      </w:r>
      <w:r w:rsidRPr="00A32EED">
        <w:rPr>
          <w:rFonts w:eastAsia="Calibri"/>
        </w:rPr>
        <w:instrText xml:space="preserve"> ADDIN ZOTERO_ITEM CSL_CITATION {"citationID":"2cvh7g31b9","properties":{"formattedCitation":"(Buehler et al. 2000)","plainCitation":"(Buehler et al. 2000)"},"citationItems":[{"id":390,"uris":["http://zotero.org/users/1165382/items/PPU8AVXA"],"uri":["http://zotero.org/users/1165382/items/PPU8AVXA"],"itemData":{"id":390,"type":"article-journal","title":"The long-term correlates of family foster care","container-title":"Children and Youth Services Review","page":"595-625","volume":"22","issue":"8","source":"ScienceDirect","abstract":"The purpose of this paper is to examine long-term correlates of experiencing family foster care sometime before the age of 19. Subjects for the study were selected from participants in the 1988 National Survey of Families and Households. Three groups were compared: 101 adults experiencing family foster care, 101 adults selected at random, and 101 adults matched to those experiencing family foster care on age, race, gender, parent's educational attainment, and the presence of a stepparent. Within the areas of self-sufficiency, behavioral adjustment, family and social support, and personal well-being, 36 indicators of adult adjustment were examined. When compared with the adults in the randomly selected comparison group, adults experiencing family foster care were less adjusted on 20 of 36 indicators, particularly in the areas of education, economic well-being, marital relations, and community involvement. Adults in the foster care group were similar to the adults in the matched comparison group on almost all indicators of adjustment.","DOI":"10.1016/S0190-7409(00)00108-0","ISSN":"0190-7409","journalAbbreviation":"Children and Youth Services Review","author":[{"family":"Buehler","given":"Cheryl"},{"family":"Orme","given":"John G."},{"family":"Post","given":"James"},{"family":"Patterson","given":"David A."}],"issued":{"date-parts":[["2000",8]]}}}],"schema":"https://github.com/citation-style-language/schema/raw/master/csl-citation.json"} </w:instrText>
      </w:r>
      <w:r w:rsidRPr="00A32EED">
        <w:rPr>
          <w:rFonts w:eastAsia="Calibri"/>
        </w:rPr>
        <w:fldChar w:fldCharType="separate"/>
      </w:r>
      <w:r w:rsidRPr="00A32EED">
        <w:rPr>
          <w:rFonts w:eastAsia="Calibri"/>
          <w:noProof/>
        </w:rPr>
        <w:t>(Buehler et al. 2000)</w:t>
      </w:r>
      <w:r w:rsidRPr="00A32EED">
        <w:rPr>
          <w:rFonts w:eastAsia="Calibri"/>
        </w:rPr>
        <w:fldChar w:fldCharType="end"/>
      </w:r>
      <w:r w:rsidRPr="00A32EED">
        <w:rPr>
          <w:rFonts w:eastAsia="Calibri"/>
        </w:rPr>
        <w:t xml:space="preserve">. Related to removal from the home, a lack of stable placements is also significantly related to higher rates of pregnancy </w:t>
      </w:r>
      <w:r w:rsidRPr="00A32EED">
        <w:rPr>
          <w:rFonts w:eastAsia="Calibri"/>
        </w:rPr>
        <w:fldChar w:fldCharType="begin"/>
      </w:r>
      <w:r w:rsidRPr="00A32EED">
        <w:rPr>
          <w:rFonts w:eastAsia="Calibri"/>
        </w:rPr>
        <w:instrText xml:space="preserve"> ADDIN ZOTERO_ITEM CSL_CITATION {"citationID":"e7k0ad17v","properties":{"formattedCitation":"(Reilly 2003)","plainCitation":"(Reilly 2003)"},"citationItems":[{"id":233,"uris":["http://zotero.org/users/1165382/items/FDGTJRZD"],"uri":["http://zotero.org/users/1165382/items/FDGTJRZD"],"itemData":{"id":233,"type":"article-journal","title":"Transition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care","author":[{"family":"Reilly","given":"Thom"}],"issued":{"date-parts":[["2003"]]}}}],"schema":"https://github.com/citation-style-language/schema/raw/master/csl-citation.json"} </w:instrText>
      </w:r>
      <w:r w:rsidRPr="00A32EED">
        <w:rPr>
          <w:rFonts w:eastAsia="Calibri"/>
        </w:rPr>
        <w:fldChar w:fldCharType="separate"/>
      </w:r>
      <w:r w:rsidRPr="00A32EED">
        <w:rPr>
          <w:rFonts w:eastAsia="Calibri"/>
          <w:noProof/>
        </w:rPr>
        <w:t>(Reilly 2003)</w:t>
      </w:r>
      <w:r w:rsidRPr="00A32EED">
        <w:rPr>
          <w:rFonts w:eastAsia="Calibri"/>
        </w:rPr>
        <w:fldChar w:fldCharType="end"/>
      </w:r>
      <w:r w:rsidRPr="00A32EED">
        <w:rPr>
          <w:rFonts w:eastAsia="Calibri"/>
        </w:rPr>
        <w:t xml:space="preserve">. Where a child goes upon exiting care is also linked to risky sexual behaviors. Specifically, children who do not achieve permanency are more likely to participate in general risky sexual behaviors </w:t>
      </w:r>
      <w:r w:rsidRPr="00A32EED">
        <w:rPr>
          <w:rFonts w:eastAsia="Calibri"/>
        </w:rPr>
        <w:fldChar w:fldCharType="begin"/>
      </w:r>
      <w:r w:rsidRPr="00A32EED">
        <w:rPr>
          <w:rFonts w:eastAsia="Calibri"/>
        </w:rPr>
        <w:instrText xml:space="preserve"> ADDIN ZOTERO_ITEM CSL_CITATION {"citationID":"29f74ocavk","properties":{"formattedCitation":"(Love et al. 2005)","plainCitation":"(Love et al. 2005)"},"citationItems":[{"id":1302,"uris":["http://zotero.org/users/1165382/items/KU9EK3SW"],"uri":["http://zotero.org/users/1165382/items/KU9EK3SW"],"itemData":{"id":1302,"type":"article-journal","title":"Fostering hope: preventing teen pregnancy among youth in foster care.","source":"Google Scholar","URL":"http://www.popline.org/node/265160","note":"00052","shortTitle":"Fostering hope","author":[{"family":"Love","given":"Lois Thiessen"},{"family":"McIntosh","given":"J."},{"family":"Rosst","given":"M."},{"family":"Tertzakian","given":"K."}],"issued":{"date-parts":[["2005"]]},"accessed":{"date-parts":[["2016",6,15]]}}}],"schema":"https://github.com/citation-style-language/schema/raw/master/csl-citation.json"} </w:instrText>
      </w:r>
      <w:r w:rsidRPr="00A32EED">
        <w:rPr>
          <w:rFonts w:eastAsia="Calibri"/>
        </w:rPr>
        <w:fldChar w:fldCharType="separate"/>
      </w:r>
      <w:r w:rsidRPr="00A32EED">
        <w:rPr>
          <w:rFonts w:eastAsia="Calibri"/>
          <w:noProof/>
        </w:rPr>
        <w:t>(Love et al. 2005)</w:t>
      </w:r>
      <w:r w:rsidRPr="00A32EED">
        <w:rPr>
          <w:rFonts w:eastAsia="Calibri"/>
        </w:rPr>
        <w:fldChar w:fldCharType="end"/>
      </w:r>
      <w:r w:rsidRPr="00A32EED">
        <w:rPr>
          <w:rFonts w:eastAsia="Calibri"/>
        </w:rPr>
        <w:t xml:space="preserve">, be younger at sexual initiation </w:t>
      </w:r>
      <w:r w:rsidRPr="00A32EED">
        <w:rPr>
          <w:rFonts w:eastAsia="Calibri"/>
        </w:rPr>
        <w:fldChar w:fldCharType="begin"/>
      </w:r>
      <w:r w:rsidRPr="00A32EED">
        <w:rPr>
          <w:rFonts w:eastAsia="Calibri"/>
        </w:rPr>
        <w:instrText xml:space="preserve"> ADDIN ZOTERO_ITEM CSL_CITATION {"citationID":"ji99mtnik","properties":{"formattedCitation":"(Stott 2011)","plainCitation":"(Stott 2011)"},"citationItems":[{"id":1286,"uris":["http://zotero.org/users/1165382/items/4VHQNHA7"],"uri":["http://zotero.org/users/1165382/items/4VHQNHA7"],"itemData":{"id":1286,"type":"article-journal","title":"Placement Instability and Risky Behaviors of Youth Aging Out of Foster Care","container-title":"Child and Adolescent Social Work Journal","page":"61-83","volume":"29","issue":"1","source":"link.springer.com","abstract":"Youth who age out of foster care are at risk of poor outcomes and risky behaviors in young adulthood. Yet, little is known about what child welfare workers can do to decrease these risks. The effect of foster care placement instability on substance use and risky sexual behaviors is examined using data from 114 young adults who aged out of care. When controlling for variables commonly associated with these behaviors, a history of foster care placement instability increased the young adults’ likelihood to use substances. Child welfare practitioners could potentially reduce the vulnerability of this population by providing them greater stability during adolescence.","DOI":"10.1007/s10560-011-0247-8","ISSN":"0738-0151, 1573-2797","note":"00043","journalAbbreviation":"Child Adolesc Soc Work J","language":"en","author":[{"family":"Stott","given":"Tonia"}],"issued":{"date-parts":[["2011",9,8]]}}}],"schema":"https://github.com/citation-style-language/schema/raw/master/csl-citation.json"} </w:instrText>
      </w:r>
      <w:r w:rsidRPr="00A32EED">
        <w:rPr>
          <w:rFonts w:eastAsia="Calibri"/>
        </w:rPr>
        <w:fldChar w:fldCharType="separate"/>
      </w:r>
      <w:r w:rsidRPr="00A32EED">
        <w:rPr>
          <w:rFonts w:eastAsia="Calibri"/>
          <w:noProof/>
        </w:rPr>
        <w:t>(Stott 2011)</w:t>
      </w:r>
      <w:r w:rsidRPr="00A32EED">
        <w:rPr>
          <w:rFonts w:eastAsia="Calibri"/>
        </w:rPr>
        <w:fldChar w:fldCharType="end"/>
      </w:r>
      <w:r w:rsidRPr="00A32EED">
        <w:rPr>
          <w:rFonts w:eastAsia="Calibri"/>
        </w:rPr>
        <w:t xml:space="preserve">, have higher pregnancy rates </w:t>
      </w:r>
      <w:r w:rsidRPr="00A32EED">
        <w:rPr>
          <w:rFonts w:eastAsia="Calibri"/>
        </w:rPr>
        <w:fldChar w:fldCharType="begin"/>
      </w:r>
      <w:r w:rsidRPr="00A32EED">
        <w:rPr>
          <w:rFonts w:eastAsia="Calibri"/>
        </w:rPr>
        <w:instrText xml:space="preserve"> ADDIN ZOTERO_ITEM CSL_CITATION {"citationID":"14cto4kar0","properties":{"formattedCitation":"(Mark E. Courtney, Terao, and Bost 2004; Reilly 2003; Stott 2011)","plainCitation":"(Mark E. Courtney, Terao, and Bost 2004; Reilly 2003; Stott 2011)"},"citationItems":[{"id":1304,"uris":["http://zotero.org/users/1165382/items/U3EK3KCU"],"uri":["http://zotero.org/users/1165382/items/U3EK3KCU"],"itemData":{"id":1304,"type":"book","title":"Midwest evaluation of the adult functioning of former foster youth: Conditions of youth preparing to leave state care","publisher":"Citeseer","source":"Google Scholar","URL":"http://citeseerx.ist.psu.edu/viewdoc/download?doi=10.1.1.599.150&amp;rep=rep1&amp;type=pdf","note":"00329","shortTitle":"Midwest evaluation of the adult functioning of former foster youth","author":[{"family":"Courtney","given":"Mark E."},{"family":"Terao","given":"Sherri"},{"family":"Bost","given":"Noel"}],"issued":{"date-parts":[["2004"]]},"accessed":{"date-parts":[["2016",6,15]]}}},{"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id":1286,"uris":["http://zotero.org/users/1165382/items/4VHQNHA7"],"uri":["http://zotero.org/users/1165382/items/4VHQNHA7"],"itemData":{"id":1286,"type":"article-journal","title":"Placement Instability and Risky Behaviors of Youth Aging Out of Foster Care","container-title":"Child and Adolescent Social Work Journal","page":"61-83","volume":"29","issue":"1","source":"link.springer.com","abstract":"Youth who age out of foster care are at risk of poor outcomes and risky behaviors in young adulthood. Yet, little is known about what child welfare workers can do to decrease these risks. The effect of foster care placement instability on substance use and risky sexual behaviors is examined using data from 114 young adults who aged out of care. When controlling for variables commonly associated with these behaviors, a history of foster care placement instability increased the young adults’ likelihood to use substances. Child welfare practitioners could potentially reduce the vulnerability of this population by providing them greater stability during adolescence.","DOI":"10.1007/s10560-011-0247-8","ISSN":"0738-0151, 1573-2797","note":"00043","journalAbbreviation":"Child Adolesc Soc Work J","language":"en","author":[{"family":"Stott","given":"Tonia"}],"issued":{"date-parts":[["2011",9,8]]}}}],"schema":"https://github.com/citation-style-language/schema/raw/master/csl-citation.json"} </w:instrText>
      </w:r>
      <w:r w:rsidRPr="00A32EED">
        <w:rPr>
          <w:rFonts w:eastAsia="Calibri"/>
        </w:rPr>
        <w:fldChar w:fldCharType="separate"/>
      </w:r>
      <w:r w:rsidRPr="00A32EED">
        <w:rPr>
          <w:rFonts w:eastAsia="Calibri"/>
          <w:noProof/>
        </w:rPr>
        <w:t>(Mark E. Courtney, Terao, and Bost 2004; Reilly 2003; Stott 2011)</w:t>
      </w:r>
      <w:r w:rsidRPr="00A32EED">
        <w:rPr>
          <w:rFonts w:eastAsia="Calibri"/>
        </w:rPr>
        <w:fldChar w:fldCharType="end"/>
      </w:r>
      <w:r w:rsidRPr="00A32EED">
        <w:rPr>
          <w:rFonts w:eastAsia="Calibri"/>
        </w:rPr>
        <w:t xml:space="preserve">, and use contraceptive measures at a lower rate </w:t>
      </w:r>
      <w:r w:rsidRPr="00A32EED">
        <w:rPr>
          <w:rFonts w:eastAsia="Calibri"/>
        </w:rPr>
        <w:fldChar w:fldCharType="begin"/>
      </w:r>
      <w:r w:rsidRPr="00A32EED">
        <w:rPr>
          <w:rFonts w:eastAsia="Calibri"/>
        </w:rPr>
        <w:instrText xml:space="preserve"> ADDIN ZOTERO_ITEM CSL_CITATION {"citationID":"p1muqv0gg","properties":{"formattedCitation":"(Stott 2011)","plainCitation":"(Stott 2011)"},"citationItems":[{"id":1286,"uris":["http://zotero.org/users/1165382/items/4VHQNHA7"],"uri":["http://zotero.org/users/1165382/items/4VHQNHA7"],"itemData":{"id":1286,"type":"article-journal","title":"Placement Instability and Risky Behaviors of Youth Aging Out of Foster Care","container-title":"Child and Adolescent Social Work Journal","page":"61-83","volume":"29","issue":"1","source":"link.springer.com","abstract":"Youth who age out of foster care are at risk of poor outcomes and risky behaviors in young adulthood. Yet, little is known about what child welfare workers can do to decrease these risks. The effect of foster care placement instability on substance use and risky sexual behaviors is examined using data from 114 young adults who aged out of care. When controlling for variables commonly associated with these behaviors, a history of foster care placement instability increased the young adults’ likelihood to use substances. Child welfare practitioners could potentially reduce the vulnerability of this population by providing them greater stability during adolescence.","DOI":"10.1007/s10560-011-0247-8","ISSN":"0738-0151, 1573-2797","note":"00043","journalAbbreviation":"Child Adolesc Soc Work J","language":"en","author":[{"family":"Stott","given":"Tonia"}],"issued":{"date-parts":[["2011",9,8]]}}}],"schema":"https://github.com/citation-style-language/schema/raw/master/csl-citation.json"} </w:instrText>
      </w:r>
      <w:r w:rsidRPr="00A32EED">
        <w:rPr>
          <w:rFonts w:eastAsia="Calibri"/>
        </w:rPr>
        <w:fldChar w:fldCharType="separate"/>
      </w:r>
      <w:r w:rsidRPr="00A32EED">
        <w:rPr>
          <w:rFonts w:eastAsia="Calibri"/>
          <w:noProof/>
        </w:rPr>
        <w:t>(Stott 2011)</w:t>
      </w:r>
      <w:r w:rsidRPr="00A32EED">
        <w:rPr>
          <w:rFonts w:eastAsia="Calibri"/>
        </w:rPr>
        <w:fldChar w:fldCharType="end"/>
      </w:r>
      <w:r w:rsidRPr="00A32EED">
        <w:rPr>
          <w:rFonts w:eastAsia="Calibri"/>
        </w:rPr>
        <w:t xml:space="preserve">. </w:t>
      </w:r>
    </w:p>
    <w:p w14:paraId="66ADF17C" w14:textId="77777777" w:rsidR="004C4C39" w:rsidRPr="00A32EED" w:rsidRDefault="004C4C39" w:rsidP="004C4C39">
      <w:pPr>
        <w:spacing w:after="0" w:line="480" w:lineRule="auto"/>
        <w:ind w:firstLine="720"/>
        <w:rPr>
          <w:rFonts w:eastAsia="Calibri"/>
        </w:rPr>
      </w:pPr>
      <w:r w:rsidRPr="00A32EED">
        <w:rPr>
          <w:rFonts w:eastAsia="Calibri"/>
        </w:rPr>
        <w:t xml:space="preserve">Overall, studies have found that experiences of childhood maltreatment are significantly related to higher rates of self-reported offending for both juveniles </w:t>
      </w:r>
      <w:r w:rsidRPr="00A32EED">
        <w:rPr>
          <w:rFonts w:eastAsia="Calibri"/>
        </w:rPr>
        <w:fldChar w:fldCharType="begin"/>
      </w:r>
      <w:r w:rsidRPr="00A32EED">
        <w:rPr>
          <w:rFonts w:eastAsia="Calibri"/>
        </w:rPr>
        <w:instrText xml:space="preserve"> ADDIN ZOTERO_ITEM CSL_CITATION {"citationID":"1e2blssq6e","properties":{"formattedCitation":"(Brezina 1998; Herrenkohl et al. 1997; Stouthamer-Loeber et al. 2002; Thornberry et al. 2004)","plainCitation":"(Brezina 1998; Herrenkohl et al. 1997; Stouthamer-Loeber et al. 2002; Thornberry et al. 2004)"},"citationItems":[{"id":62,"uris":["http://zotero.org/users/1165382/items/4NSM4I7M"],"uri":["http://zotero.org/users/1165382/items/4NSM4I7M"],"itemData":{"id":62,"type":"article-journal","title":"Adolescent maltreatment and delinquency: The question of intervening processes","container-title":"Journal of Research in Crime and Delinquency","page":"71–99","volume":"35","issue":"1","source":"Google Scholar","note":"00255","shortTitle":"Adolescent maltreatment and delinquency","author":[{"family":"Brezina","given":"Timothy"}],"issued":{"date-parts":[["1998"]]}}},{"id":365,"uris":["http://zotero.org/users/1165382/items/NC86WBJ9"],"uri":["http://zotero.org/users/1165382/items/NC86WBJ9"],"itemData":{"id":365,"type":"article-journal","title":"Preschool antecedents of adolescent assaultive behavior: A longitudinal study.","container-title":"American Journal of Orthopsychiatry","page":"422","volume":"67","issue":"3","source":"Google Scholar","shortTitle":"Preschool antecedents of adolescent assaultive behavior","author":[{"family":"Herrenkohl","given":"Roy C."},{"family":"Egolf","given":"Brenda P."},{"family":"Herrenkohl","given":"Ellen C."}],"issued":{"date-parts":[["1997"]]}}},{"id":151,"uris":["http://zotero.org/users/1165382/items/9X35PG5W"],"uri":["http://zotero.org/users/1165382/items/9X35PG5W"],"itemData":{"id":151,"type":"article-journal","title":"Which family and demographic factors are related to both maltreatment and persistent serious juvenile delinquency?","container-title":"Children's Services: Social Policy, Research, and Practice","page":"261–272","volume":"5","issue":"4","source":"Google Scholar","author":[{"family":"Stouthamer-Loeber","given":"Magda"},{"family":"Wei","given":"Evelyn H."},{"family":"Homish","given":"D. Lynn"},{"family":"Loeber","given":"Rolf"}],"issued":{"date-parts":[["2002"]]}}},{"id":122,"uris":["http://zotero.org/users/1165382/items/7XVA6EGP"],"uri":["http://zotero.org/users/1165382/items/7XVA6EGP"],"itemData":{"id":122,"type":"article-journal","title":"The causes and correlates studies: Findings and policy implications","container-title":"Juvenile Justice","page":"3–19","volume":"9","issue":"1","source":"Google Scholar","shortTitle":"The causes and correlates studies","author":[{"family":"Thornberry","given":"Terence P."},{"family":"Huizinga","given":"David"},{"family":"Loeber","given":"Rolf"},{"literal":"others"}],"issued":{"date-parts":[["2004"]]}}}],"schema":"https://github.com/citation-style-language/schema/raw/master/csl-citation.json"} </w:instrText>
      </w:r>
      <w:r w:rsidRPr="00A32EED">
        <w:rPr>
          <w:rFonts w:eastAsia="Calibri"/>
        </w:rPr>
        <w:fldChar w:fldCharType="separate"/>
      </w:r>
      <w:r w:rsidRPr="00A32EED">
        <w:rPr>
          <w:rFonts w:eastAsia="Calibri"/>
          <w:noProof/>
        </w:rPr>
        <w:t>(Brezina 1998; Herrenkohl et al. 1997; Stouthamer-Loeber et al. 2002; Thornberry et al. 2004)</w:t>
      </w:r>
      <w:r w:rsidRPr="00A32EED">
        <w:rPr>
          <w:rFonts w:eastAsia="Calibri"/>
        </w:rPr>
        <w:fldChar w:fldCharType="end"/>
      </w:r>
      <w:r w:rsidRPr="00A32EED">
        <w:rPr>
          <w:rFonts w:eastAsia="Calibri"/>
        </w:rPr>
        <w:t xml:space="preserve"> and adults </w:t>
      </w:r>
      <w:r w:rsidRPr="00A32EED">
        <w:rPr>
          <w:rFonts w:eastAsia="Calibri"/>
        </w:rPr>
        <w:fldChar w:fldCharType="begin"/>
      </w:r>
      <w:r w:rsidRPr="00A32EED">
        <w:rPr>
          <w:rFonts w:eastAsia="Calibri"/>
        </w:rPr>
        <w:instrText xml:space="preserve"> ADDIN ZOTERO_ITEM CSL_CITATION {"citationID":"17198pocv2","properties":{"formattedCitation":"(Fagan 2005; Smith et al. 2012; Teague et al. 2008)","plainCitation":"(Fagan 2005; Smith et al. 2012; Teague et al. 2008)"},"citationItems":[{"id":19,"uris":["http://zotero.org/users/1165382/items/2UDP4A7N"],"uri":["http://zotero.org/users/1165382/items/2UDP4A7N"],"itemData":{"id":19,"type":"article-journal","title":"The Relationship Between Adolescent Physical Abuse and Criminal Offending: Support for an Enduring and Generalized Cycle of Violence","container-title":"Journal of Family Violence","page":"279-290","volume":"20","issue":"5","source":"0-link.springer.com.library.uark.edu","abstract":"Prospective investigations have demonstrated support for the cycle of violence theory. However, few studies have examined whether or not abuse occurring during adolescence increases the prevalence and frequency of criminal involvement, or explored the long-term consequences of such victimization. In addition, there has been little investigation of whether or not the effects of abuse vary depending on characteristics of the victim, such as sex, race/ethnicity, age, family structure or income. Using data from the National Youth Survey, this study demonstrates that adolescent physical abuse has immediate and enduring effects on the prevalence and frequency of a variety of self-reported offenses, including violent and non-violent crimes, drug use and intimate partner violence. Furthermore, the study reveals that while victimization increases the prevalence of offending for victims of varying backgrounds, the frequency of offending is moderated by family income, area of residence, and family structure. Implications for prevention are discussed.","DOI":"10.1007/s10896-005-6604-7","ISSN":"0885-7482, 1573-2851","note":"00000","shortTitle":"The Relationship Between Adolescent Physical Abuse and Criminal Offending","journalAbbreviation":"J Fam Viol","language":"en","author":[{"family":"Fagan","given":"Abigail A."}],"issued":{"date-parts":[["2005",10]]}}},{"id":492,"uris":["http://zotero.org/users/1165382/items/UQVQSS4G"],"uri":["http://zotero.org/users/1165382/items/UQVQSS4G"],"itemData":{"id":492,"type":"article-journal","title":"Long-term outcomes of young adults exposed to maltreatment: the role of educational experiences in promoting resilience to crime and violence in early adulthood","container-title":"Journal of interpersonal violence","page":"0886260512448845","source":"Google Scholar","note":"00013","shortTitle":"Long-term outcomes of young adults exposed to maltreatment","author":[{"family":"Smith","given":"Carolyn A."},{"family":"Park","given":"Aely"},{"family":"Ireland","given":"Timothy O."},{"family":"Elwyn","given":"Laura"},{"family":"Thornberry","given":"Terence P."}],"issued":{"date-parts":[["2012"]]}}},{"id":100,"uris":["http://zotero.org/users/1165382/items/759725VW"],"uri":["http://zotero.org/users/1165382/items/759725VW"],"itemData":{"id":100,"type":"article-journal","title":"Linking childhood exposure to physical abuse and adult offending: Examining mediating factors and gendered relationships","container-title":"Justice Quarterly","page":"313–348","volume":"25","issue":"2","source":"Google Scholar","note":"00000","shortTitle":"Linking childhood exposure to physical abuse and adult offending","author":[{"family":"Teague","given":"Rosie"},{"family":"Mazerolle","given":"Paul"},{"family":"Legosz","given":"Margot"},{"family":"Sanderson","given":"Jennifer"}],"issued":{"date-parts":[["2008"]]}}}],"schema":"https://github.com/citation-style-language/schema/raw/master/csl-citation.json"} </w:instrText>
      </w:r>
      <w:r w:rsidRPr="00A32EED">
        <w:rPr>
          <w:rFonts w:eastAsia="Calibri"/>
        </w:rPr>
        <w:fldChar w:fldCharType="separate"/>
      </w:r>
      <w:r w:rsidRPr="00A32EED">
        <w:rPr>
          <w:rFonts w:eastAsia="Calibri"/>
          <w:noProof/>
        </w:rPr>
        <w:t>(Fagan 2005; Smith et al. 2012; Teague et al. 2008)</w:t>
      </w:r>
      <w:r w:rsidRPr="00A32EED">
        <w:rPr>
          <w:rFonts w:eastAsia="Calibri"/>
        </w:rPr>
        <w:fldChar w:fldCharType="end"/>
      </w:r>
      <w:r w:rsidRPr="00A32EED">
        <w:rPr>
          <w:rFonts w:eastAsia="Calibri"/>
        </w:rPr>
        <w:t xml:space="preserve">. Various aspects of child welfare experience are also significantly related to self-reported offending for both juvenile and adults. Child welfare experiences that involve removal from the home and placement instability are both significantly related to higher rates of self-reported offending for both juveniles </w:t>
      </w:r>
      <w:r w:rsidRPr="00A32EED">
        <w:rPr>
          <w:rFonts w:eastAsia="Calibri"/>
        </w:rPr>
        <w:fldChar w:fldCharType="begin"/>
      </w:r>
      <w:r w:rsidRPr="00A32EED">
        <w:rPr>
          <w:rFonts w:eastAsia="Calibri"/>
        </w:rPr>
        <w:instrText xml:space="preserve"> ADDIN ZOTERO_ITEM CSL_CITATION {"citationID":"1nbbsar3mc","properties":{"formattedCitation":"(Reilly 2003; Snyder and Merritt 2014)","plainCitation":"(Reilly 2003; Snyder and Merritt 2014)"},"citationItems":[{"id":233,"uris":["http://zotero.org/users/1165382/items/FDGTJRZD"],"uri":["http://zotero.org/users/1165382/items/FDGTJRZD"],"itemData":{"id":233,"type":"article-journal","title":"Transition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care","author":[{"family":"Reilly","given":"Thom"}],"issued":{"date-parts":[["2003"]]}}},{"id":360,"uris":["http://zotero.org/users/1165382/items/N6SGEDJB"],"uri":["http://zotero.org/users/1165382/items/N6SGEDJB"],"itemData":{"id":360,"type":"article-journal","title":"Do childhood experiences of neglect affect delinquency among child welfare involved-youth?","container-title":"Children and Youth Services Review","page":"64-71","volume":"46","source":"ScienceDirect","abstract":"Child neglect, which is the most common form of maltreatment in the United States, has been repeatedly linked to an increased risk of delinquency. However, the existing literature lacks studies that simultaneously investigate how distinct types of neglect differentially influence delinquency among child welfare involved-youth. In addition, few studies of the relationship between neglect and delinquency include measures of ADHD, peer deviance or community violence, even though these variables have been strongly associated with delinquency. This study uses data from 784 11 to 17 year old youth who participated in Wave I of the Second National Survey of Child and Adolescent Wellbeing (NSCAW II) to examine whether supervisory neglect, physical neglect and parental substance abuse affect delinquency after controlling for ADHD, peer deviance, exposure to community violence, and out-of-home placements. We conducted a negative binomial regression to account for the low rates of delinquency among NSCAW II participants. We did not find significant main effects for supervisory neglect, physical neglect or parental substance abuse. Our study found that as youth age the count of delinquency acts increases. Black and Hispanic youth had higher counts of delinquency than youth with White, multi-racial, or “other” racial identities. Youth in out-of-home care had nearly double the rate of delinquency. Youth with more deviant peer affiliations and youth who had been exposed to community violence engaged in more delinquent behaviors. Our findings underscore the importance of the environment surrounding the youth, and the peers with whom the youth affiliates.","DOI":"10.1016/j.childyouth.2014.08.007","ISSN":"0190-7409","journalAbbreviation":"Children and Youth Services Review","author":[{"family":"Snyder","given":"Susan M."},{"family":"Merritt","given":"Darcey H."}],"issued":{"date-parts":[["2014",11]]}}}],"schema":"https://github.com/citation-style-language/schema/raw/master/csl-citation.json"} </w:instrText>
      </w:r>
      <w:r w:rsidRPr="00A32EED">
        <w:rPr>
          <w:rFonts w:eastAsia="Calibri"/>
        </w:rPr>
        <w:fldChar w:fldCharType="separate"/>
      </w:r>
      <w:r w:rsidRPr="00A32EED">
        <w:rPr>
          <w:rFonts w:eastAsia="Calibri"/>
          <w:noProof/>
        </w:rPr>
        <w:t>(Reilly 2003; Snyder and Merritt 2014)</w:t>
      </w:r>
      <w:r w:rsidRPr="00A32EED">
        <w:rPr>
          <w:rFonts w:eastAsia="Calibri"/>
        </w:rPr>
        <w:fldChar w:fldCharType="end"/>
      </w:r>
      <w:r w:rsidRPr="00A32EED">
        <w:rPr>
          <w:rFonts w:eastAsia="Calibri"/>
        </w:rPr>
        <w:t xml:space="preserve"> and adults </w:t>
      </w:r>
      <w:r w:rsidRPr="00A32EED">
        <w:rPr>
          <w:rFonts w:eastAsia="Calibri"/>
        </w:rPr>
        <w:fldChar w:fldCharType="begin"/>
      </w:r>
      <w:r w:rsidRPr="00A32EED">
        <w:rPr>
          <w:rFonts w:eastAsia="Calibri"/>
        </w:rPr>
        <w:instrText xml:space="preserve"> ADDIN ZOTERO_ITEM CSL_CITATION {"citationID":"i03dd5t5","properties":{"formattedCitation":"(Cusick et al. 2010a; Reilly 2003)","plainCitation":"(Cusick et al. 2010a; Reilly 2003)"},"citationItems":[{"id":5,"uris":["http://zotero.org/users/1165382/items/26A6DIUW"],"uri":["http://zotero.org/users/1165382/items/26A6DIUW"],"itemData":{"id":5,"type":"book","title":"Crime during the transition to adulthood: How youth fare as they leave out-of-home care","publisher":"National Institute of Justice, Office of Justice Programs, US Department of Justice","source":"Google Scholar","URL":"http://www.ncjrs.gov/App/abstractdb/AbstractDBDetails.aspx?id=251697","note":"00025","shortTitle":"Crime during the transition to adulthood","author":[{"family":"Cusick","given":"Gretchen"},{"family":"Courtney","given":"Mark"},{"family":"Havlicek","given":"Judy"},{"family":"Hess","given":"Nathan"}],"issued":{"date-parts":[["2010"]]},"accessed":{"date-parts":[["2014",12,11]]}}},{"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care","author":[{"family":"Reilly","given":"Thom"}],"issued":{"date-parts":[["2003"]]}}}],"schema":"https://github.com/citation-style-language/schema/raw/master/csl-citation.json"} </w:instrText>
      </w:r>
      <w:r w:rsidRPr="00A32EED">
        <w:rPr>
          <w:rFonts w:eastAsia="Calibri"/>
        </w:rPr>
        <w:fldChar w:fldCharType="separate"/>
      </w:r>
      <w:r w:rsidRPr="00A32EED">
        <w:rPr>
          <w:rFonts w:eastAsia="Calibri"/>
          <w:noProof/>
        </w:rPr>
        <w:t>(Cusick et al. 2010a; Reilly 2003)</w:t>
      </w:r>
      <w:r w:rsidRPr="00A32EED">
        <w:rPr>
          <w:rFonts w:eastAsia="Calibri"/>
        </w:rPr>
        <w:fldChar w:fldCharType="end"/>
      </w:r>
      <w:r w:rsidRPr="00A32EED">
        <w:rPr>
          <w:rFonts w:eastAsia="Calibri"/>
        </w:rPr>
        <w:t xml:space="preserve">. Research also shows that youth who do not achieve permanency also have higher rates of self-reported offending as both juveniles </w:t>
      </w:r>
      <w:r w:rsidRPr="00A32EED">
        <w:rPr>
          <w:rFonts w:eastAsia="Calibri"/>
        </w:rPr>
        <w:fldChar w:fldCharType="begin"/>
      </w:r>
      <w:r w:rsidRPr="00A32EED">
        <w:rPr>
          <w:rFonts w:eastAsia="Calibri"/>
        </w:rPr>
        <w:instrText xml:space="preserve"> ADDIN ZOTERO_ITEM CSL_CITATION {"citationID":"2euecrfj1p","properties":{"formattedCitation":"(Cusick and Courtney 2007)","plainCitation":"(Cusick and Courtney 2007)"},"citationItems":[{"id":66,"uris":["http://zotero.org/users/1165382/items/59AKTAMB"],"uri":["http://zotero.org/users/1165382/items/59AKTAMB"],"itemData":{"id":66,"type":"book","title":"Offending during late adolescence: How do youth aging out of care compare with their peers?","publisher":"Chapin Hall Center for Children at the University of Chicago Chicago, IL","source":"Google Scholar","URL":"http://www.chapinhall.org/sites/default/files/publications/ChapinHallDocument_0.pdf","note":"00045","shortTitle":"Offending during late adolescence","author":[{"family":"Cusick","given":"Gretchen R."},{"family":"Courtney","given":"Mark E."}],"issued":{"date-parts":[["2007"]]},"accessed":{"date-parts":[["2015",1,28]]}}}],"schema":"https://github.com/citation-style-language/schema/raw/master/csl-citation.json"} </w:instrText>
      </w:r>
      <w:r w:rsidRPr="00A32EED">
        <w:rPr>
          <w:rFonts w:eastAsia="Calibri"/>
        </w:rPr>
        <w:fldChar w:fldCharType="separate"/>
      </w:r>
      <w:r w:rsidRPr="00A32EED">
        <w:rPr>
          <w:rFonts w:eastAsia="Calibri"/>
          <w:noProof/>
        </w:rPr>
        <w:t>(Cusick and Courtney 2007)</w:t>
      </w:r>
      <w:r w:rsidRPr="00A32EED">
        <w:rPr>
          <w:rFonts w:eastAsia="Calibri"/>
        </w:rPr>
        <w:fldChar w:fldCharType="end"/>
      </w:r>
      <w:r w:rsidRPr="00A32EED">
        <w:rPr>
          <w:rFonts w:eastAsia="Calibri"/>
        </w:rPr>
        <w:t xml:space="preserve"> and adults </w:t>
      </w:r>
      <w:r w:rsidRPr="00A32EED">
        <w:rPr>
          <w:rFonts w:eastAsia="Calibri"/>
        </w:rPr>
        <w:fldChar w:fldCharType="begin"/>
      </w:r>
      <w:r w:rsidRPr="00A32EED">
        <w:rPr>
          <w:rFonts w:eastAsia="Calibri"/>
        </w:rPr>
        <w:instrText xml:space="preserve"> ADDIN ZOTERO_ITEM CSL_CITATION {"citationID":"2oh0t9pt3","properties":{"formattedCitation":"(Courtney et al. 2001; Cusick et al. 2010a; Cusick and Courtney 2007)","plainCitation":"(Courtney et al. 2001; Cusick et al. 2010a; Cusick and Courtney 2007)"},"citationItems":[{"id":262,"uris":["http://zotero.org/users/1165382/items/GTSM7DB8"],"uri":["http://zotero.org/users/1165382/items/GTSM7DB8"],"itemData":{"id":262,"type":"article-journal","title":"Foster Youth Transitions to Adulthood: A Longitudinal View of Youth Leaving Care","container-title":"Child Welfare","page":"685-717","volume":"80","issue":"6","source":"EBSCOhost","abstract":"The well-being of youths who age out of the out-of-home care system in the U.S. has long been of great interest to child welfare practitioners and policymakers. In spite of this interest, however, very little is known about how these youths fare when they must make the transition to independence. The Foster Youth Transitions to Adulthood Study is tracking the experiences of 141 young adults who left care in Wisconsin in 1995 and 1996. This article describes these youths and their experiences in the first 12 to 18 months after leaving care. The findings suggest that the transition to independence is a difficult time for youth leaving the out-of-home care system.","ISSN":"00094021","note":"00000","shortTitle":"Foster Youth Transitions to Adulthood","journalAbbreviation":"Child Welfare","author":[{"family":"Courtney","given":"Mark E."},{"family":"Piliavin","given":"Irving"},{"family":"Grogan-Kaylor","given":"Andrew"},{"family":"Nesmith","given":"Ande"}],"issued":{"date-parts":[["2001",12,11]]}}},{"id":5,"uris":["http://zotero.org/users/1165382/items/26A6DIUW"],"uri":["http://zotero.org/users/1165382/items/26A6DIUW"],"itemData":{"id":5,"type":"book","title":"Crime during the transition to adulthood: How youth fare as they leave out-of-home care","publisher":"National Institute of Justice, Office of Justice Programs, US Department of Justice","source":"Google Scholar","URL":"http://www.ncjrs.gov/App/abstractdb/AbstractDBDetails.aspx?id=251697","note":"00025","shortTitle":"Crime during the transition to adulthood","author":[{"family":"Cusick","given":"Gretchen"},{"family":"Courtney","given":"Mark"},{"family":"Havlicek","given":"Judy"},{"family":"Hess","given":"Nathan"}],"issued":{"date-parts":[["2010"]]},"accessed":{"date-parts":[["2014",12,11]]}}},{"id":66,"uris":["http://zotero.org/users/1165382/items/59AKTAMB"],"uri":["http://zotero.org/users/1165382/items/59AKTAMB"],"itemData":{"id":66,"type":"book","title":"Offending during late adolescence: How do youth aging out of care compare with their peers?","publisher":"Chapin Hall Center for Children at the University of Chicago Chicago, IL","source":"Google Scholar","URL":"http://www.chapinhall.org/sites/default/files/publications/ChapinHallDocument_0.pdf","note":"00045","shortTitle":"Offending during late adolescence","author":[{"family":"Cusick","given":"Gretchen R."},{"family":"Courtney","given":"Mark E."}],"issued":{"date-parts":[["2007"]]},"accessed":{"date-parts":[["2015",1,28]]}}}],"schema":"https://github.com/citation-style-language/schema/raw/master/csl-citation.json"} </w:instrText>
      </w:r>
      <w:r w:rsidRPr="00A32EED">
        <w:rPr>
          <w:rFonts w:eastAsia="Calibri"/>
        </w:rPr>
        <w:fldChar w:fldCharType="separate"/>
      </w:r>
      <w:r w:rsidRPr="00A32EED">
        <w:rPr>
          <w:rFonts w:eastAsia="Calibri"/>
          <w:noProof/>
        </w:rPr>
        <w:t>(Courtney et al. 2001; Cusick et al. 2010a; Cusick and Courtney 2007)</w:t>
      </w:r>
      <w:r w:rsidRPr="00A32EED">
        <w:rPr>
          <w:rFonts w:eastAsia="Calibri"/>
        </w:rPr>
        <w:fldChar w:fldCharType="end"/>
      </w:r>
      <w:r w:rsidRPr="00A32EED">
        <w:rPr>
          <w:rFonts w:eastAsia="Calibri"/>
        </w:rPr>
        <w:t xml:space="preserve">. However, there is some research that suggests that those </w:t>
      </w:r>
      <w:r w:rsidRPr="00A32EED">
        <w:rPr>
          <w:rFonts w:eastAsia="Calibri"/>
        </w:rPr>
        <w:lastRenderedPageBreak/>
        <w:t xml:space="preserve">children reunified with their families are at higher risk for self-reported juvenile offending than those who are not reunified </w:t>
      </w:r>
      <w:r w:rsidRPr="00A32EED">
        <w:rPr>
          <w:rFonts w:eastAsia="Calibri"/>
        </w:rPr>
        <w:fldChar w:fldCharType="begin"/>
      </w:r>
      <w:r w:rsidRPr="00A32EED">
        <w:rPr>
          <w:rFonts w:eastAsia="Calibri"/>
        </w:rPr>
        <w:instrText xml:space="preserve"> ADDIN ZOTERO_ITEM CSL_CITATION {"citationID":"1tc14voh6c","properties":{"formattedCitation":"(Taussig et al. 2001)","plainCitation":"(Taussig et al. 2001)"},"citationItems":[{"id":1250,"uris":["http://zotero.org/users/1165382/items/H5PADUN9"],"uri":["http://zotero.org/users/1165382/items/H5PADUN9"],"itemData":{"id":1250,"type":"article-journal","title":"Children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B."},{"family":"Landsverk","given":"J."}],"issued":{"date-parts":[["2001",7]]}}}],"schema":"https://github.com/citation-style-language/schema/raw/master/csl-citation.json"} </w:instrText>
      </w:r>
      <w:r w:rsidRPr="00A32EED">
        <w:rPr>
          <w:rFonts w:eastAsia="Calibri"/>
        </w:rPr>
        <w:fldChar w:fldCharType="separate"/>
      </w:r>
      <w:r w:rsidRPr="00A32EED">
        <w:rPr>
          <w:rFonts w:eastAsia="Calibri"/>
          <w:noProof/>
        </w:rPr>
        <w:t>(Taussig et al. 2001)</w:t>
      </w:r>
      <w:r w:rsidRPr="00A32EED">
        <w:rPr>
          <w:rFonts w:eastAsia="Calibri"/>
        </w:rPr>
        <w:fldChar w:fldCharType="end"/>
      </w:r>
      <w:r w:rsidRPr="00A32EED">
        <w:rPr>
          <w:rFonts w:eastAsia="Calibri"/>
        </w:rPr>
        <w:t xml:space="preserve">. This contrast suggests that the environment which a child exits to may be equally as important as who they exit to. </w:t>
      </w:r>
    </w:p>
    <w:p w14:paraId="3A1616CA" w14:textId="77777777" w:rsidR="004C4C39" w:rsidRPr="00A32EED" w:rsidRDefault="004C4C39" w:rsidP="004C4C39">
      <w:pPr>
        <w:spacing w:after="0" w:line="480" w:lineRule="auto"/>
        <w:ind w:firstLine="720"/>
        <w:rPr>
          <w:rFonts w:eastAsia="Calibri"/>
        </w:rPr>
      </w:pPr>
      <w:r w:rsidRPr="00A32EED">
        <w:rPr>
          <w:rFonts w:eastAsia="Calibri"/>
        </w:rPr>
        <w:t xml:space="preserve">Although the relationship is at times nuanced, research generally finds that experiences of childhood maltreatment are significantly related to increases in criminal justice contact for both juveniles </w:t>
      </w:r>
      <w:r w:rsidRPr="00A32EED">
        <w:rPr>
          <w:rFonts w:eastAsia="Calibri"/>
        </w:rPr>
        <w:fldChar w:fldCharType="begin"/>
      </w:r>
      <w:r w:rsidRPr="00A32EED">
        <w:rPr>
          <w:rFonts w:eastAsia="Calibri"/>
        </w:rPr>
        <w:instrText xml:space="preserve"> ADDIN ZOTERO_ITEM CSL_CITATION {"citationID":"1gbouvgjfm","properties":{"formattedCitation":"(Jonson-Reid and Barth 2000; Mersky et al. 2012; Ryan and Testa 2005; J. Ryan et al. 2008; Stewart et al. 2008, 2002; Cathy Spatz Widom 1989; Widom and Maxfield 2001; Zingraff et al. 1993)","plainCitation":"(Jonson-Reid and Barth 2000; Mersky et al. 2012; Ryan and Testa 2005; J. Ryan et al. 2008; Stewart et al. 2008, 2002; Cathy Spatz Widom 1989; Widom and Maxfield 2001; Zingraff et al. 1993)"},"citationItems":[{"id":13,"uris":["http://zotero.org/users/1165382/items/2J5IW59V"],"uri":["http://zotero.org/users/1165382/items/2J5IW59V"],"itemData":{"id":13,"type":"article-journal","title":"From maltreatment report to juvenile incarceration: The role of child welfare services","container-title":"Child abuse &amp; neglect","page":"505–520","volume":"24","issue":"4","source":"Google Scholar","note":"00185","shortTitle":"From maltreatment report to juvenile incarceration","author":[{"family":"Jonson-Reid","given":"Melissa"},{"family":"Barth","given":"Richard P."}],"issued":{"date-parts":[["2000"]]}}},{"id":223,"uris":["http://zotero.org/users/1165382/items/EPHM4XPS"],"uri":["http://zotero.org/users/1165382/items/EPHM4XPS"],"itemData":{"id":223,"type":"article-journal","title":"Unsafe at Any Age Linking Childhood and Adolescent Maltreatment to Delinquency and Crime","container-title":"Journal of Research in Crime and Delinquency","page":"295-318","volume":"49","issue":"2","source":"jrc.sagepub.com","abstract":"Objectives. This study compares the effects of childhood maltreatment and adolescent maltreatment on delinquency and crime, including violent and nonviolent offending. Methods. Data were derived from the Chicago Longitudinal Study, a prospective investigation of 1,539 underprivileged, minority subjects. Results. Results confirmed that rates of overall delinquency, along with violent, drug, and property offending specifically, were elevated among childhood and adolescent maltreatment victims compared to their nonmaltreated peers. Childhood maltreatment was associated with delinquency independent of adolescent maltreatment, and strong connections between adolescent maltreatment and delinquency were present independent of prior victimization. Childhood maltreatment was also significantly related to a panel of adult crime measures, while the effects of adolescent maltreatment on adult crime were less robust. Conclusions. The study findings suggest that maltreatment at any age increases the risk of future offending, implying that investments in prevention and intervention strategies throughout childhood and adolescence may reduce delinquency and crime.","DOI":"10.1177/0022427811415284","ISSN":"0022-4278, 1552-731X","note":"00000","journalAbbreviation":"Journal of Research in Crime and Delinquency","language":"en","author":[{"family":"Mersky","given":"Joshua P."},{"family":"Topitzes","given":"James"},{"family":"Reynolds","given":"Arthur J."}],"issued":{"date-parts":[["2012",5,1]]}}},{"id":312,"uris":["http://zotero.org/users/1165382/items/JMQHCHTB"],"uri":["http://zotero.org/users/1165382/items/JMQHCHTB"],"itemData":{"id":312,"type":"article-journal","title":"Child maltreatment and juvenile delinquency: Investigating the role of placement and placement instability","container-title":"Children and Youth Services Review","page":"227-249","volume":"27","issue":"3","source":"ScienceDirect","abstract":"Children who experience maltreatment are at increased risk of engaging in delinquent behavior. Although little is known about the mechanisms responsible for this increased risk, the use of substitute care placement and placement instability are often identified as correlates. It is not clear from prior studies, however, whether delinquency precedes or follows placement instability. The current study adds significantly to the literature by identifying selected factors related to child maltreatment and delinquency and disentangling the timing of delinquency petitions relative to movements within the child welfare system. The results indicate that substantiated victims of maltreatment average 47% higher delinquency rates relative to children not indicated for abuse or neglect. In addition, approximately 16% of children placed into substitute care experience at least one delinquency petition compared to 7% of all maltreatment victims who are not removed from their family. Placement instability further increases the risk of delinquency for male foster children, but not for female foster children. Other characteristics related to delinquency include race, age, and recurrence of maltreatment.","DOI":"10.1016/j.childyouth.2004.05.007","ISSN":"0190-7409","shortTitle":"Child maltreatment and juvenile delinquency","journalAbbreviation":"Children and Youth Services Review","author":[{"family":"Ryan","given":"Joseph P."},{"family":"Testa","given":"Mark F."}],"issued":{"date-parts":[["2005",3]]}}},{"id":1318,"uris":["http://zotero.org/users/1165382/items/SV4SKN5D"],"uri":["http://zotero.org/users/1165382/items/SV4SKN5D"],"itemData":{"id":1318,"type":"article-journal","title":"African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F."},{"family":"Zhai","given":"Fuhua"}],"issued":{"date-parts":[["2008"]]}}},{"id":363,"uris":["http://zotero.org/users/1165382/items/NAFR5HQ2"],"uri":["http://zotero.org/users/1165382/items/NAFR5HQ2"],"itemData":{"id":363,"type":"article-journal","title":"Transitions and turning points: Examining the links between child maltreatment and juvenile offending","container-title":"Child Abuse &amp; Neglect","page":"51-66","volume":"32","issue":"1","source":"ScienceDirect","abstract":"Objective\nThe links between child maltreatment and juvenile offending are well established. However, the majority of maltreated children do not offend. The research presented in this paper examines the impact that timing and chronicity of child maltreatment have on juvenile offending.\nMethods\nAdministrative data were obtained on all children who were born in Queensland, Australia in 1983 or 1984 and had contact with child protective services for at least one child protection matter (N = 5,849). For these children information was obtained on all child protection and juvenile justice contacts until the age of 17. These data were analyzed using the Semi-Parametric Group-Based trajectory analyses [Nagin, D., &amp;amp; Land, L. (1993). Age, criminal careers, and population heterogeneity: Specification and estimation of a nonparametric mixed Poisson model. Criminology, 31, 327–362].\nResults\nSix distinctive maltreatment trajectory groups were identified, distinguished by the frequency of victimization, the age of onset and the duration of the maltreatment. Child maltreatment peaked around the transition from preschool to primary school and the transition from primary school to secondary school. Furthermore, children whose maltreatment trajectory started or extended into adolescence were more likely to offend as juveniles than children whose maltreatment occurred prior to, but not during, adolescence.\nConclusions\nTrajectory analysis provides a useful analytical tool for understanding heterogeneous nature of child maltreatment and the impact of maltreatment on subsequent juvenile offending.","DOI":"10.1016/j.chiabu.2007.04.011","ISSN":"0145-2134","shortTitle":"Transitions and turning points","journalAbbreviation":"Child Abuse &amp; Neglect","author":[{"family":"Stewart","given":"Anna"},{"family":"Livingston","given":"Michael"},{"family":"Dennison","given":"Susan"}],"issued":{"date-parts":[["2008",1]]}}},{"id":1279,"uris":["http://zotero.org/users/1165382/items/N5TZK8GD"],"uri":["http://zotero.org/users/1165382/items/N5TZK8GD"],"itemData":{"id":1279,"type":"book","title":"Pathways from child maltreatment to juvenile offending","publisher":"Australian Institute of Criminology Canberra, ACT","volume":"241","source":"Google Scholar","URL":"https://www.researchgate.net/profile/Anna_Stewart4/publication/40871770_Pathways_from_child_maltreatment_to_juvenile_offending/links/0a85e530b132e1cc50000000.pdf","note":"00088","author":[{"family":"Stewart","given":"Anna"},{"family":"Waterson","given":"Elissa"},{"family":"Dennison","given":"Susan"}],"issued":{"date-parts":[["2002"]]},"accessed":{"date-parts":[["2016",6,2]]}}},{"id":556,"uris":["http://zotero.org/users/1165382/items/XNQG2BNA"],"uri":["http://zotero.org/users/1165382/items/XNQG2BNA"],"itemData":{"id":556,"type":"article-journal","title":"Child Abuse, Neglect, and Violent Criminal Behavior*","container-title":"Criminology","page":"251-271","volume":"27","issue":"2","source":"Wiley Online Library","abstract":"Using a prospective cohorts design, official criminal histories for a large sample of substantiated and validated cases of physical and sexual abuse and neglect from the years 1967 through 1971 (n = 908) were compared with those of a matched control group (n = 667) of individuals with no official record of abuse or neglect. Abused and neglected subjects had higher rates of having an adult criminal record than controls and a larger number of arrests as an adult. Based on a logit analysis, a model using four explanatory variables (age, sex, race, and abuse/neglect status) provided a good fit. In comparison with controls, abused and neglected subjects also had a higher frequency of arrests for violent offenses as adults; however, this was due primarily to significantly more adult violent offenses by abused males. Support for the cycle of violence is discussed as well as sex differences in the results, limitations of the findings, and implications for further research.","DOI":"10.1111/j.1745-9125.1989.tb01032.x","ISSN":"1745-9125","language":"en","author":[{"family":"Widom","given":"Cathy Spatz"}],"issued":{"date-parts":[["1989",5,1]]}}},{"id":271,"uris":["http://zotero.org/users/1165382/items/HKNNKMTA"],"uri":["http://zotero.org/users/1165382/items/HKNNKMTA"],"itemData":{"id":271,"type":"article-journal","title":"An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G."}],"issued":{"date-parts":[["2001"]]}}},{"id":1307,"uris":["http://zotero.org/users/1165382/items/UGNKS6V7"],"uri":["http://zotero.org/users/1165382/items/UGNKS6V7"],"itemData":{"id":1307,"type":"article-journal","title":"CHILD MALTREATMENT AND YOUTHFUL PROBLEM BEHAVIOR*","container-title":"Criminology","page":"173–202","volume":"31","issue":"2","source":"Google Scholar","author":[{"family":"Zingraff","given":"Matthew T."},{"family":"Leiter","given":"Jeffrey"},{"family":"Myers","given":"Kristen A."},{"family":"Johnsen","given":"Matthew C."}],"issued":{"date-parts":[["1993"]]}}}],"schema":"https://github.com/citation-style-language/schema/raw/master/csl-citation.json"} </w:instrText>
      </w:r>
      <w:r w:rsidRPr="00A32EED">
        <w:rPr>
          <w:rFonts w:eastAsia="Calibri"/>
        </w:rPr>
        <w:fldChar w:fldCharType="separate"/>
      </w:r>
      <w:r w:rsidRPr="00A32EED">
        <w:rPr>
          <w:rFonts w:eastAsia="Calibri"/>
          <w:noProof/>
        </w:rPr>
        <w:t>(Jonson-Reid and Barth 2000; Mersky et al. 2012; Ryan and Testa 2005; J. Ryan et al. 2008; Stewart et al. 2008, 2002; Cathy Spatz Widom 1989; Widom and Maxfield 2001; Zingraff et al. 1993)</w:t>
      </w:r>
      <w:r w:rsidRPr="00A32EED">
        <w:rPr>
          <w:rFonts w:eastAsia="Calibri"/>
        </w:rPr>
        <w:fldChar w:fldCharType="end"/>
      </w:r>
      <w:r w:rsidRPr="00A32EED">
        <w:rPr>
          <w:rFonts w:eastAsia="Calibri"/>
        </w:rPr>
        <w:t xml:space="preserve"> and adults </w:t>
      </w:r>
      <w:r w:rsidRPr="00A32EED">
        <w:rPr>
          <w:rFonts w:eastAsia="Calibri"/>
        </w:rPr>
        <w:fldChar w:fldCharType="begin"/>
      </w:r>
      <w:r w:rsidRPr="00A32EED">
        <w:rPr>
          <w:rFonts w:eastAsia="Calibri"/>
        </w:rPr>
        <w:instrText xml:space="preserve"> ADDIN ZOTERO_ITEM CSL_CITATION {"citationID":"jkdu009d0","properties":{"formattedCitation":"(Ekstrand et al. 1999; Harlow 1999; Mersky and Topitzes 2010; Smith et al. 2012; Spohn 2000; Teague et al. 2008; Cathy Spatz Widom 1989; Widom and Maxfield 2001)","plainCitation":"(Ekstrand et al. 1999; Harlow 1999; Mersky and Topitzes 2010; Smith et al. 2012; Spohn 2000; Teague et al. 2008; Cathy Spatz Widom 1989; Widom and Maxfield 2001)"},"citationItems":[{"id":1276,"uris":["http://zotero.org/users/1165382/items/WFAQDAWN"],"uri":["http://zotero.org/users/1165382/items/WFAQDAWN"],"itemData":{"id":1276,"type":"article-journal","title":"Women in prison: issues and challenges confronting US correctional systems","container-title":"Pp.[URL: http://www. gao. gov/new. items/gg00022. pdf]. Washington, DC: United States General Accounting Office","source":"Google Scholar","note":"00015","shortTitle":"Women in prison","author":[{"family":"Ekstrand","given":"Laurie"},{"family":"Burton","given":"Danny"},{"family":"Erdman","given":"Eric"}],"issued":{"date-parts":[["1999"]]}}},{"id":1277,"uris":["http://zotero.org/users/1165382/items/C46DEDQU"],"uri":["http://zotero.org/users/1165382/items/C46DEDQU"],"itemData":{"id":1277,"type":"article-journal","title":"Prior abuse reported by inmates and probationers","container-title":"alcohol","page":"29–4","volume":"75","source":"Google Scholar","note":"00267","author":[{"family":"Harlow","given":"Caroline Wolf"}],"issued":{"date-parts":[["1999"]]}}},{"id":114,"uris":["http://zotero.org/users/1165382/items/7K4ZXD5H"],"uri":["http://zotero.org/users/1165382/items/7K4ZXD5H"],"itemData":{"id":114,"type":"article-journal","title":"Comparing early adult outcomes of maltreated and non-maltreated children: A prospective longitudinal investigation","container-title":"Children and Youth Services Review","collection-title":"Early Childhood to Young Adulthood: Intervention and Alterable Influences on Well-Being","page":"1086-1096","volume":"32","issue":"8","source":"ScienceDirect","abstract":"Using prospective data from the Chicago Longitudinal Study, this investigation examined associations between child maltreatment and an array of outcomes in early adulthood. Findings from bivariate and multivariate analyses indicated that verified maltreatment victims fared significantly worse than participants without an indicated maltreatment report on indicators of educational and economic attainment, criminal offending, and behavioral and mental health. Results also revealed that, while many maltreated children appeared to function well on individual outcomes, a large majority did not achieve criteria for resilience when development was assessed across domains. For example, non-maltreated participants were more than twice as likely to attain five or more positive outcomes (38.2%) on an aggregate seven-item index as the maltreated group (15.7%). These findings suggest that child maltreatment is associated with extensive and enduring impacts, reinforcing the need to develop and implement effective maltreatment prevention and intervention strategies.","DOI":"10.1016/j.childyouth.2009.10.018","ISSN":"0190-7409","note":"00000","shortTitle":"Comparing early adult outcomes of maltreated and non-maltreated children","journalAbbreviation":"Children and Youth Services Review","author":[{"family":"Mersky","given":"Joshua P."},{"family":"Topitzes","given":"James"}],"issued":{"date-parts":[["2010",8]]}}},{"id":492,"uris":["http://zotero.org/users/1165382/items/UQVQSS4G"],"uri":["http://zotero.org/users/1165382/items/UQVQSS4G"],"itemData":{"id":492,"type":"article-journal","title":"Long-term outcomes of young adults exposed to maltreatment: the role of educational experiences in promoting resilience to crime and violence in early adulthood","container-title":"Journal of interpersonal violence","page":"0886260512448845","source":"Google Scholar","note":"00013","shortTitle":"Long-term outcomes of young adults exposed to maltreatment","author":[{"family":"Smith","given":"Carolyn A."},{"family":"Park","given":"Aely"},{"family":"Ireland","given":"Timothy O."},{"family":"Elwyn","given":"Laura"},{"family":"Thornberry","given":"Terence P."}],"issued":{"date-parts":[["2012"]]}}},{"id":153,"uris":["http://zotero.org/users/1165382/items/ABCCE7SV"],"uri":["http://zotero.org/users/1165382/items/ABCCE7SV"],"itemData":{"id":153,"type":"article-journal","title":"Gender differences in the effect of child maltreatment on criminal activity over the life course","container-title":"Contemporary Perspectives in Family Research","page":"207–231","volume":"2","source":"Google Scholar","note":"00000","author":[{"family":"Spohn","given":"Ryan E."}],"issued":{"date-parts":[["2000"]]}}},{"id":100,"uris":["http://zotero.org/users/1165382/items/759725VW"],"uri":["http://zotero.org/users/1165382/items/759725VW"],"itemData":{"id":100,"type":"article-journal","title":"Linking childhood exposure to physical abuse and adult offending: Examining mediating factors and gendered relationships","container-title":"Justice Quarterly","page":"313–348","volume":"25","issue":"2","source":"Google Scholar","note":"00000","shortTitle":"Linking childhood exposure to physical abuse and adult offending","author":[{"family":"Teague","given":"Rosie"},{"family":"Mazerolle","given":"Paul"},{"family":"Legosz","given":"Margot"},{"family":"Sanderson","given":"Jennifer"}],"issued":{"date-parts":[["2008"]]}}},{"id":556,"uris":["http://zotero.org/users/1165382/items/XNQG2BNA"],"uri":["http://zotero.org/users/1165382/items/XNQG2BNA"],"itemData":{"id":556,"type":"article-journal","title":"Child Abuse, Neglect, and Violent Criminal Behavior*","container-title":"Criminology","page":"251-271","volume":"27","issue":"2","source":"Wiley Online Library","abstract":"Using a prospective cohorts design, official criminal histories for a large sample of substantiated and validated cases of physical and sexual abuse and neglect from the years 1967 through 1971 (n = 908) were compared with those of a matched control group (n = 667) of individuals with no official record of abuse or neglect. Abused and neglected subjects had higher rates of having an adult criminal record than controls and a larger number of arrests as an adult. Based on a logit analysis, a model using four explanatory variables (age, sex, race, and abuse/neglect status) provided a good fit. In comparison with controls, abused and neglected subjects also had a higher frequency of arrests for violent offenses as adults; however, this was due primarily to significantly more adult violent offenses by abused males. Support for the cycle of violence is discussed as well as sex differences in the results, limitations of the findings, and implications for further research.","DOI":"10.1111/j.1745-9125.1989.tb01032.x","ISSN":"1745-9125","language":"en","author":[{"family":"Widom","given":"Cathy Spatz"}],"issued":{"date-parts":[["1989",5,1]]}}},{"id":271,"uris":["http://zotero.org/users/1165382/items/HKNNKMTA"],"uri":["http://zotero.org/users/1165382/items/HKNNKMTA"],"itemData":{"id":271,"type":"article-journal","title":"An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G."}],"issued":{"date-parts":[["2001"]]}}}],"schema":"https://github.com/citation-style-language/schema/raw/master/csl-citation.json"} </w:instrText>
      </w:r>
      <w:r w:rsidRPr="00A32EED">
        <w:rPr>
          <w:rFonts w:eastAsia="Calibri"/>
        </w:rPr>
        <w:fldChar w:fldCharType="separate"/>
      </w:r>
      <w:r w:rsidRPr="00A32EED">
        <w:rPr>
          <w:rFonts w:eastAsia="Calibri"/>
          <w:noProof/>
        </w:rPr>
        <w:t>(Ekstrand et al. 1999; Harlow 1999; Mersky and Topitzes 2010; Smith et al. 2012; Spohn 2000; Teague et al. 2008; Cathy Spatz Widom 1989; Widom and Maxfield 2001)</w:t>
      </w:r>
      <w:r w:rsidRPr="00A32EED">
        <w:rPr>
          <w:rFonts w:eastAsia="Calibri"/>
        </w:rPr>
        <w:fldChar w:fldCharType="end"/>
      </w:r>
      <w:r w:rsidRPr="00A32EED">
        <w:rPr>
          <w:rFonts w:eastAsia="Calibri"/>
        </w:rPr>
        <w:t xml:space="preserve">. Additionally, research also finds that various aspects of child welfare experiences are also significantly related to criminal justice contact. Specifically, experiences such as high placement instability </w:t>
      </w:r>
      <w:r w:rsidRPr="00A32EED">
        <w:rPr>
          <w:rFonts w:eastAsia="Calibri"/>
        </w:rPr>
        <w:fldChar w:fldCharType="begin"/>
      </w:r>
      <w:r w:rsidRPr="00A32EED">
        <w:rPr>
          <w:rFonts w:eastAsia="Calibri"/>
        </w:rPr>
        <w:instrText xml:space="preserve"> ADDIN ZOTERO_ITEM CSL_CITATION {"citationID":"xXfjp1Xo","properties":{"formattedCitation":"(Cusick et al. 2010a; Ryan and Testa 2005; J. Ryan et al. 2008; Widom 1991b)","plainCitation":"(Cusick et al. 2010a; Ryan and Testa 2005; J. Ryan et al. 2008; Widom 1991b)"},"citationItems":[{"id":5,"uris":["http://zotero.org/users/1165382/items/26A6DIUW"],"uri":["http://zotero.org/users/1165382/items/26A6DIUW"],"itemData":{"id":5,"type":"book","title":"Crime during the transition to adulthood: How youth fare as they leave out-of-home care","publisher":"National Institute of Justice, Office of Justice Programs, US Department of Justice","source":"Google Scholar","URL":"http://www.ncjrs.gov/App/abstractdb/AbstractDBDetails.aspx?id=251697","note":"00025","shortTitle":"Crime during the transition to adulthood","author":[{"family":"Cusick","given":"Gretchen"},{"family":"Courtney","given":"Mark"},{"family":"Havlicek","given":"Judy"},{"family":"Hess","given":"Nathan"}],"issued":{"date-parts":[["2010"]]},"accessed":{"date-parts":[["2014",12,11]]}}},{"id":312,"uris":["http://zotero.org/users/1165382/items/JMQHCHTB"],"uri":["http://zotero.org/users/1165382/items/JMQHCHTB"],"itemData":{"id":312,"type":"article-journal","title":"Child maltreatment and juvenile delinquency: Investigating the role of placement and placement instability","container-title":"Children and Youth Services Review","page":"227-249","volume":"27","issue":"3","source":"ScienceDirect","abstract":"Children who experience maltreatment are at increased risk of engaging in delinquent behavior. Although little is known about the mechanisms responsible for this increased risk, the use of substitute care placement and placement instability are often identified as correlates. It is not clear from prior studies, however, whether delinquency precedes or follows placement instability. The current study adds significantly to the literature by identifying selected factors related to child maltreatment and delinquency and disentangling the timing of delinquency petitions relative to movements within the child welfare system. The results indicate that substantiated victims of maltreatment average 47% higher delinquency rates relative to children not indicated for abuse or neglect. In addition, approximately 16% of children placed into substitute care experience at least one delinquency petition compared to 7% of all maltreatment victims who are not removed from their family. Placement instability further increases the risk of delinquency for male foster children, but not for female foster children. Other characteristics related to delinquency include race, age, and recurrence of maltreatment.","DOI":"10.1016/j.childyouth.2004.05.007","ISSN":"0190-7409","shortTitle":"Child maltreatment and juvenile delinquency","journalAbbreviation":"Children and Youth Services Review","author":[{"family":"Ryan","given":"Joseph P."},{"family":"Testa","given":"Mark F."}],"issued":{"date-parts":[["2005",3]]}}},{"id":1318,"uris":["http://zotero.org/users/1165382/items/SV4SKN5D"],"uri":["http://zotero.org/users/1165382/items/SV4SKN5D"],"itemData":{"id":1318,"type":"article-journal","title":"African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F."},{"family":"Zhai","given":"Fuhua"}],"issued":{"date-parts":[["2008"]]}}},{"id":1314,"uris":["http://zotero.org/users/1165382/items/Z3UMV487"],"uri":["http://zotero.org/users/1165382/items/Z3UMV487"],"itemData":{"id":1314,"type":"article-journal","title":"The role of placement experiences in mediating the criminal consequences of early childhood victimization","container-title":"American Journal of Orthopsychiatry","page":"195-209","volume":"61","issue":"2","source":"EBSCOhost","archive_location":"1991-25522-001","abstract":"Examined foster-home placement experiences in 709 juvenile court cases (aged 18–33 yrs) of child abuse and neglect in relation to delinquent, adult criminal, and violent criminal outcomes. More males than females and more White than Black Ss were placed in foster care. Ss with indications of behavior problems were significantly more likely to be placed than Ss without such problems. Out-of-home placement did not necessarily have negative effects. A small group of abused and neglected children with behavior problems may experience frequent placement moves. The presence of these children may account for the high rates of delinquency, adult criminality, and violent criminal behavior associated with children in foster care. (PsycINFO Database Record (c) 2015 APA, all rights reserved)","DOI":"10.1037/h0079252","ISSN":"0002-9432","journalAbbreviation":"American Journal of Orthopsychiatry","author":[{"family":"Widom","given":"Cathy Spatz"}],"issued":{"date-parts":[["1991",4]]}}}],"schema":"https://github.com/citation-style-language/schema/raw/master/csl-citation.json"} </w:instrText>
      </w:r>
      <w:r w:rsidRPr="00A32EED">
        <w:rPr>
          <w:rFonts w:eastAsia="Calibri"/>
        </w:rPr>
        <w:fldChar w:fldCharType="separate"/>
      </w:r>
      <w:r w:rsidRPr="00A32EED">
        <w:rPr>
          <w:rFonts w:eastAsia="Calibri"/>
          <w:noProof/>
        </w:rPr>
        <w:t>(Cusick et al. 2010a; Ryan and Testa 2005; J. Ryan et al. 2008; Widom 1991b)</w:t>
      </w:r>
      <w:r w:rsidRPr="00A32EED">
        <w:rPr>
          <w:rFonts w:eastAsia="Calibri"/>
        </w:rPr>
        <w:fldChar w:fldCharType="end"/>
      </w:r>
      <w:r w:rsidRPr="00A32EED">
        <w:rPr>
          <w:rFonts w:eastAsia="Calibri"/>
        </w:rPr>
        <w:t xml:space="preserve">, type of placement </w:t>
      </w:r>
      <w:r w:rsidRPr="00A32EED">
        <w:rPr>
          <w:rFonts w:eastAsia="Calibri"/>
        </w:rPr>
        <w:fldChar w:fldCharType="begin"/>
      </w:r>
      <w:r w:rsidRPr="00A32EED">
        <w:rPr>
          <w:rFonts w:eastAsia="Calibri"/>
        </w:rPr>
        <w:instrText xml:space="preserve"> ADDIN ZOTERO_ITEM CSL_CITATION {"citationID":"wNYnMgA7","properties":{"formattedCitation":"(Chamberlain and Reid 1998; J. P. Ryan et al. 2008; Ryan et al. 2010)","plainCitation":"(Chamberlain and Reid 1998; J. P. Ryan et al. 2008; Ryan et al. 2010)"},"citationItems":[{"id":555,"uris":["http://zotero.org/users/1165382/items/XJJAIZ3A"],"uri":["http://zotero.org/users/1165382/items/XJJAIZ3A"],"itemData":{"id":555,"type":"article-journal","title":"Comparison of two community alternatives to incarceration for chronic juvenile offenders.","container-title":"Journal of consulting and clinical psychology","page":"624","volume":"66","issue":"4","source":"Google Scholar","author":[{"family":"Chamberlain","given":"Patricia"},{"family":"Reid","given":"John B."}],"issued":{"date-parts":[["1998"]]}}},{"id":1320,"uris":["http://zotero.org/users/1165382/items/2E22TTEU"],"uri":["http://zotero.org/users/1165382/items/2E22TTEU"],"itemData":{"id":1320,"type":"article-journal","title":"Juvenile delinquency in child welfare: Investigating group home effects","container-title":"Children and Youth Services Review","page":"1088–1099","volume":"30","issue":"9","source":"Google Scholar","shortTitle":"Juvenile delinquency in child welfare","author":[{"family":"Ryan","given":"Joseph P."},{"family":"Marshall","given":"Jane Marie"},{"family":"Herz","given":"Denise"},{"family":"Hernandez","given":"Pedro M."}],"issued":{"date-parts":[["2008"]]}}},{"id":434,"uris":["http://zotero.org/users/1165382/items/S4XTQDSR"],"uri":["http://zotero.org/users/1165382/items/S4XTQDSR"],"itemData":{"id":434,"type":"article-journal","title":"Kinship foster care and the risk of juvenile delinquency","container-title":"Children and Youth Services Review","page":"1823-1830","volume":"32","issue":"12","source":"ScienceDirect","abstract":"Formal kinship care represents the placement of a maltreated or otherwise vulnerable youth in the care and protection of a known relative or adult with a recognized kin bond. The practice of identifying and utilizing kin placements in child welfare has significantly increased over the last two decades. In part, the increased use of kinship care reflects the priorities, preferences, and mechanisms specified in federal legislation. A fairly broad literature demonstrates the value of kin homes in child welfare. Yet significant gaps in the understanding of kin homes remain, especially with regard to youth outcomes across allied service systems. In the current study we use administrative records from a large urban county and propensity score matching to investigate the relationship between kinship care placements in child welfare and the risk of delinquency. The sample (n = 13,396) is diverse and our design is longitudinal in that we follow youth through child welfare and juvenile systems for several years. The results indicate that the relative risk of delinquency is significantly greater for African American and white male adolescents served in kin homes. For Hispanic males and Hispanic females, kin homes are associated with a decreased likelihood of delinquency. There is no kin placement effect associated with African American or white females.","DOI":"10.1016/j.childyouth.2010.08.003","ISSN":"0190-7409","journalAbbreviation":"Children and Youth Services Review","author":[{"family":"Ryan","given":"Joseph P."},{"family":"Hong","given":"Jun Sung"},{"family":"Herz","given":"Denise"},{"family":"Hernandez","given":"Pedro M."}],"issued":{"date-parts":[["2010",12]]}}}],"schema":"https://github.com/citation-style-language/schema/raw/master/csl-citation.json"} </w:instrText>
      </w:r>
      <w:r w:rsidRPr="00A32EED">
        <w:rPr>
          <w:rFonts w:eastAsia="Calibri"/>
        </w:rPr>
        <w:fldChar w:fldCharType="separate"/>
      </w:r>
      <w:r w:rsidRPr="00A32EED">
        <w:rPr>
          <w:rFonts w:eastAsia="Calibri"/>
          <w:noProof/>
        </w:rPr>
        <w:t>(Chamberlain and Reid 1998; J. P. Ryan et al. 2008; Ryan et al. 2010)</w:t>
      </w:r>
      <w:r w:rsidRPr="00A32EED">
        <w:rPr>
          <w:rFonts w:eastAsia="Calibri"/>
        </w:rPr>
        <w:fldChar w:fldCharType="end"/>
      </w:r>
      <w:r w:rsidRPr="00A32EED">
        <w:rPr>
          <w:rFonts w:eastAsia="Calibri"/>
        </w:rPr>
        <w:t xml:space="preserve">, age at removal </w:t>
      </w:r>
      <w:r w:rsidRPr="00A32EED">
        <w:rPr>
          <w:rFonts w:eastAsia="Calibri"/>
        </w:rPr>
        <w:fldChar w:fldCharType="begin"/>
      </w:r>
      <w:r w:rsidRPr="00A32EED">
        <w:rPr>
          <w:rFonts w:eastAsia="Calibri"/>
        </w:rPr>
        <w:instrText xml:space="preserve"> ADDIN ZOTERO_ITEM CSL_CITATION {"citationID":"240ahsh7mu","properties":{"formattedCitation":"(Widom 1991b)","plainCitation":"(Widom 1991b)"},"citationItems":[{"id":1314,"uris":["http://zotero.org/users/1165382/items/Z3UMV487"],"uri":["http://zotero.org/users/1165382/items/Z3UMV487"],"itemData":{"id":1314,"type":"article-journal","title":"The role of placement experiences in mediating the criminal consequences of early childhood victimization","container-title":"American Journal of Orthopsychiatry","page":"195-209","volume":"61","issue":"2","source":"EBSCOhost","archive_location":"1991-25522-001","abstract":"Examined foster-home placement experiences in 709 juvenile court cases (aged 18–33 yrs) of child abuse and neglect in relation to delinquent, adult criminal, and violent criminal outcomes. More males than females and more White than Black Ss were placed in foster care. Ss with indications of behavior problems were significantly more likely to be placed than Ss without such problems. Out-of-home placement did not necessarily have negative effects. A small group of abused and neglected children with behavior problems may experience frequent placement moves. The presence of these children may account for the high rates of delinquency, adult criminality, and violent criminal behavior associated with children in foster care. (PsycINFO Database Record (c) 2015 APA, all rights reserved)","DOI":"10.1037/h0079252","ISSN":"0002-9432","journalAbbreviation":"American Journal of Orthopsychiatry","author":[{"family":"Widom","given":"Cathy Spatz"}],"issued":{"date-parts":[["1991",4]]}}}],"schema":"https://github.com/citation-style-language/schema/raw/master/csl-citation.json"} </w:instrText>
      </w:r>
      <w:r w:rsidRPr="00A32EED">
        <w:rPr>
          <w:rFonts w:eastAsia="Calibri"/>
        </w:rPr>
        <w:fldChar w:fldCharType="separate"/>
      </w:r>
      <w:r w:rsidRPr="00A32EED">
        <w:rPr>
          <w:rFonts w:eastAsia="Calibri"/>
          <w:noProof/>
        </w:rPr>
        <w:t>(Widom 1991b)</w:t>
      </w:r>
      <w:r w:rsidRPr="00A32EED">
        <w:rPr>
          <w:rFonts w:eastAsia="Calibri"/>
        </w:rPr>
        <w:fldChar w:fldCharType="end"/>
      </w:r>
      <w:r w:rsidRPr="00A32EED">
        <w:rPr>
          <w:rFonts w:eastAsia="Calibri"/>
        </w:rPr>
        <w:t xml:space="preserve">, and permanency upon exit from care </w:t>
      </w:r>
      <w:r w:rsidRPr="00A32EED">
        <w:rPr>
          <w:rFonts w:eastAsia="Calibri"/>
        </w:rPr>
        <w:fldChar w:fldCharType="begin"/>
      </w:r>
      <w:r w:rsidRPr="00A32EED">
        <w:rPr>
          <w:rFonts w:eastAsia="Calibri"/>
        </w:rPr>
        <w:instrText xml:space="preserve"> ADDIN ZOTERO_ITEM CSL_CITATION {"citationID":"0OeBBRXX","properties":{"formattedCitation":"(Cusick et al. 2012; Taussig et al. 2001)","plainCitation":"(Cusick et al. 2012; Taussig et al. 2001)"},"citationItems":[{"id":115,"uris":["http://zotero.org/users/1165382/items/7PND6TWR"],"uri":["http://zotero.org/users/1165382/items/7PND6TWR"],"itemData":{"id":115,"type":"article-journal","title":"Risk for Arrest: The Role of Social Bonds in Protecting Foster Youth Making the Transition to Adulthood","container-title":"American Journal of Orthopsychiatry","page":"19-31","volume":"82","issue":"1","source":"Wiley Online Library","abstract":"This study examines a sample of foster youth at the onset of the transition to adulthood and explores how social bonds are related to the risk of arrest during adulthood. Drawing from official arrest records, event history models are used to examine the time to arrest. Because individuals may be at risk for different types of crime, competing risk regression models are used to distinguish among arrests for drug-related, nonviolent, or violent crimes. Between the ages of 17–18 and 24, 46% of former foster youth experience an arrest. Arrests were evenly distributed across drug, nonviolent, and violent crimes columns. Although findings fail to support the significance of social bonds to interpersonal domains, bonds to employment and education are associated with a lower risk for arrest. Child welfare policy and practice implications for building connections and protections around foster youth are discussed.","DOI":"10.1111/j.1939-0025.2011.01136.x","ISSN":"1939-0025","note":"00000","shortTitle":"Risk for Arrest","language":"en","author":[{"family":"Cusick","given":"Gretchen Ruth"},{"family":"Havlicek","given":"Judy R."},{"family":"Courtney","given":"Mark E."}],"issued":{"date-parts":[["2012"]]}}},{"id":1250,"uris":["http://zotero.org/users/1165382/items/H5PADUN9"],"uri":["http://zotero.org/users/1165382/items/H5PADUN9"],"itemData":{"id":1250,"type":"article-journal","title":"Children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B."},{"family":"Landsverk","given":"J."}],"issued":{"date-parts":[["2001",7]]}}}],"schema":"https://github.com/citation-style-language/schema/raw/master/csl-citation.json"} </w:instrText>
      </w:r>
      <w:r w:rsidRPr="00A32EED">
        <w:rPr>
          <w:rFonts w:eastAsia="Calibri"/>
        </w:rPr>
        <w:fldChar w:fldCharType="separate"/>
      </w:r>
      <w:r w:rsidRPr="00A32EED">
        <w:rPr>
          <w:rFonts w:eastAsia="Calibri"/>
          <w:noProof/>
        </w:rPr>
        <w:t>(Cusick et al. 2012; Taussig et al. 2001)</w:t>
      </w:r>
      <w:r w:rsidRPr="00A32EED">
        <w:rPr>
          <w:rFonts w:eastAsia="Calibri"/>
        </w:rPr>
        <w:fldChar w:fldCharType="end"/>
      </w:r>
      <w:r w:rsidRPr="00A32EED">
        <w:rPr>
          <w:rFonts w:eastAsia="Calibri"/>
        </w:rPr>
        <w:t xml:space="preserve"> have all been found to increase odds of criminal justice contact for juveniles and adults.</w:t>
      </w:r>
    </w:p>
    <w:p w14:paraId="7C750DB5" w14:textId="77777777" w:rsidR="004C4C39" w:rsidRPr="00A32EED" w:rsidRDefault="004C4C39" w:rsidP="004C4C39">
      <w:pPr>
        <w:spacing w:after="0"/>
        <w:rPr>
          <w:rFonts w:eastAsia="Calibri"/>
        </w:rPr>
      </w:pPr>
      <w:r w:rsidRPr="00A32EED">
        <w:rPr>
          <w:rFonts w:eastAsia="Calibri"/>
        </w:rPr>
        <w:br w:type="page"/>
      </w:r>
    </w:p>
    <w:p w14:paraId="319BE027" w14:textId="77777777" w:rsidR="004C4C39" w:rsidRPr="00A32EED" w:rsidRDefault="004C4C39" w:rsidP="004C4C39">
      <w:pPr>
        <w:keepNext/>
        <w:keepLines/>
        <w:spacing w:before="40" w:after="0" w:line="480" w:lineRule="auto"/>
        <w:outlineLvl w:val="0"/>
        <w:rPr>
          <w:rFonts w:eastAsia="ＭＳ ゴシック"/>
          <w:b/>
          <w:color w:val="000000"/>
          <w:szCs w:val="26"/>
          <w:u w:val="single"/>
        </w:rPr>
      </w:pPr>
      <w:bookmarkStart w:id="41" w:name="_Toc479938153"/>
      <w:bookmarkStart w:id="42" w:name="_Toc482112682"/>
      <w:r w:rsidRPr="00A32EED">
        <w:rPr>
          <w:rFonts w:eastAsia="ＭＳ ゴシック"/>
          <w:b/>
          <w:color w:val="000000"/>
          <w:szCs w:val="26"/>
          <w:u w:val="single"/>
        </w:rPr>
        <w:lastRenderedPageBreak/>
        <w:t>Chapter 3: Description of Data and Analytic Samples</w:t>
      </w:r>
      <w:bookmarkEnd w:id="41"/>
      <w:bookmarkEnd w:id="42"/>
    </w:p>
    <w:p w14:paraId="43F2F456"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43" w:name="_Toc479938154"/>
      <w:bookmarkStart w:id="44" w:name="_Toc482112683"/>
      <w:r w:rsidRPr="00A32EED">
        <w:rPr>
          <w:rFonts w:eastAsia="ＭＳ ゴシック"/>
          <w:i/>
          <w:color w:val="000000"/>
          <w:szCs w:val="26"/>
          <w:u w:val="single"/>
        </w:rPr>
        <w:t>Description of the NSCAW Data</w:t>
      </w:r>
      <w:bookmarkEnd w:id="43"/>
      <w:bookmarkEnd w:id="44"/>
    </w:p>
    <w:p w14:paraId="5A945B9C" w14:textId="18A18334" w:rsidR="004C4C39" w:rsidRPr="00A32EED" w:rsidRDefault="004C4C39" w:rsidP="004C4C39">
      <w:pPr>
        <w:spacing w:after="0" w:line="480" w:lineRule="auto"/>
        <w:rPr>
          <w:rFonts w:eastAsia="Calibri"/>
        </w:rPr>
      </w:pPr>
      <w:r w:rsidRPr="00A32EED">
        <w:rPr>
          <w:rFonts w:eastAsia="Calibri"/>
        </w:rPr>
        <w:tab/>
        <w:t>The National Survey of Child Adolescent Well-Being data consists of 6,228 child welfare-involved children who were between the ages of birth to fourteen at the time of sampling. The overall sample of 6,228 children is comprised of two different subgroups. The smaller subgroup (727/11.7% of the overall sample) is comprised of children who were in out-of-home (OOH) placement for approximately one year at the time of sampling. This sample is the longer-term foster care (LTFC) sample. The larger subgroup (5,501/88.3% of the overall sample) are children who were the subject of a maltreatment investigation by various states’ Child Protective Services agencies. This sample is referred to as the CPS sample and is the sample used in this study. All of the children were involved with some aspect of the child-welfare system within the 15-month period beginning in October 1999. There are two different versions of the NSCAW data publicly available, the General Release and the Restricted Release. The Restricted Release version of the data includes more background variables and includes variables needed to produce accurate estimates that account for the complex sampling design of the data. More details regarding these variables and the complex survey design can be found below.</w:t>
      </w:r>
    </w:p>
    <w:p w14:paraId="088B5DBF" w14:textId="77777777" w:rsidR="004C4C39" w:rsidRPr="00A32EED" w:rsidRDefault="004C4C39" w:rsidP="004C4C39">
      <w:pPr>
        <w:spacing w:after="0" w:line="480" w:lineRule="auto"/>
        <w:rPr>
          <w:rFonts w:eastAsia="Calibri"/>
        </w:rPr>
      </w:pPr>
      <w:r w:rsidRPr="00A32EED">
        <w:rPr>
          <w:rFonts w:eastAsia="Calibri"/>
        </w:rPr>
        <w:tab/>
        <w:t xml:space="preserve">The target population for the NSCAW CPS sample is any child in the United States who was the alleged victim in a child maltreatment investigation or assessment. However, due to laws in some states requiring a staff member of the local CPS agency to make contact before any NSCAW field </w:t>
      </w:r>
      <w:r w:rsidRPr="00A32EED">
        <w:rPr>
          <w:rFonts w:eastAsia="Calibri"/>
        </w:rPr>
        <w:lastRenderedPageBreak/>
        <w:t xml:space="preserve">representatives, four states were eliminated from sampling. As such, the target population for the NSCAW CPS sample was modified to be “all children in the U.S. who are subjects of child abuse or neglect investigations (or assessments) conducted by CPS and who live in states not requiring agency first contact” </w:t>
      </w:r>
      <w:r w:rsidRPr="00A32EED">
        <w:rPr>
          <w:rFonts w:eastAsia="Calibri"/>
        </w:rPr>
        <w:fldChar w:fldCharType="begin"/>
      </w:r>
      <w:r w:rsidRPr="00A32EED">
        <w:rPr>
          <w:rFonts w:eastAsia="Calibri"/>
        </w:rPr>
        <w:instrText xml:space="preserve"> ADDIN ZOTERO_ITEM CSL_CITATION {"citationID":"fU1fydI8","properties":{"formattedCitation":"(Dowd et al. 2008:29)","plainCitation":"(Dowd et al. 2008:29)"},"citationItems":[{"id":340,"uris":["http://zotero.org/users/1165382/items/KXZHA9XC"],"uri":["http://zotero.org/users/1165382/items/KXZHA9XC"],"itemData":{"id":340,"type":"article","title":"National Survey of Child and Adolescent Well-Being (NSCAW), Combined Waves 1–5, Data File User’s Manual, Restricted Release Version.","publisher":"National Data Archive on Child Abuse and Neglect","source":"Google Scholar","note":"00000","author":[{"family":"Dowd","given":"Kathryn"},{"family":"Kinsey","given":"Susan"},{"family":"Wheeless","given":"Sara"},{"family":"Thissen","given":"Rita"},{"family":"Richardson","given":"Jean"},{"family":"Suresh","given":"R."},{"family":"Mierzwa","given":"Frank"},{"family":"Biemer","given":"Paul"},{"family":"Johnson","given":"Ilona"},{"family":"Lytle","given":"Tiffany"},{"family":"Dolan","given":"Melissa"},{"family":"Hendershott","given":"Amy"},{"family":"Smith","given":"Keith"}],"issued":{"date-parts":[["2008"]]}},"locator":"29"}],"schema":"https://github.com/citation-style-language/schema/raw/master/csl-citation.json"} </w:instrText>
      </w:r>
      <w:r w:rsidRPr="00A32EED">
        <w:rPr>
          <w:rFonts w:eastAsia="Calibri"/>
        </w:rPr>
        <w:fldChar w:fldCharType="separate"/>
      </w:r>
      <w:r w:rsidRPr="00A32EED">
        <w:rPr>
          <w:rFonts w:eastAsia="Calibri"/>
          <w:noProof/>
        </w:rPr>
        <w:t>(Dowd et al. 2008:29)</w:t>
      </w:r>
      <w:r w:rsidRPr="00A32EED">
        <w:rPr>
          <w:rFonts w:eastAsia="Calibri"/>
        </w:rPr>
        <w:fldChar w:fldCharType="end"/>
      </w:r>
      <w:r w:rsidRPr="00A32EED">
        <w:rPr>
          <w:rFonts w:eastAsia="Calibri"/>
        </w:rPr>
        <w:t>. The CPS sample is then comprised of both substantiated and unsubstantiated cases, as well as cases that both received and did not receive on-going services.</w:t>
      </w:r>
    </w:p>
    <w:p w14:paraId="65981557" w14:textId="77777777" w:rsidR="004C4C39" w:rsidRPr="00A32EED" w:rsidRDefault="004C4C39" w:rsidP="004C4C39">
      <w:pPr>
        <w:spacing w:after="0" w:line="480" w:lineRule="auto"/>
        <w:ind w:firstLine="720"/>
        <w:rPr>
          <w:rFonts w:eastAsia="Calibri"/>
        </w:rPr>
      </w:pPr>
      <w:r w:rsidRPr="00A32EED">
        <w:rPr>
          <w:rFonts w:eastAsia="Calibri"/>
        </w:rPr>
        <w:t xml:space="preserve">A two-stage stratified sample design was used to create a representative sample. The first stage of sampling involved dividing the United States into nine sampling strata and 92 primary sampling units (PSUs). The first eight sampling strata were comprised of the eight states with the largest child welfare caseloads. The ninth and final stratum was created using the remaining 38 eligible states and the District of Columbia. As previously mentioned, four states were not included in sampling due to their “first contact” laws. Next, PSUs were formed and selected within each of the nine strata. PSUs were defined as “geographic areas that encompass the population served by a single child protective (CPS) agency” </w:t>
      </w:r>
      <w:r w:rsidRPr="00A32EED">
        <w:rPr>
          <w:rFonts w:eastAsia="Calibri"/>
        </w:rPr>
        <w:fldChar w:fldCharType="begin"/>
      </w:r>
      <w:r w:rsidRPr="00A32EED">
        <w:rPr>
          <w:rFonts w:eastAsia="Calibri"/>
        </w:rPr>
        <w:instrText xml:space="preserve"> ADDIN ZOTERO_ITEM CSL_CITATION {"citationID":"7iSynFRn","properties":{"formattedCitation":"(Dowd et al. 2008:30)","plainCitation":"(Dowd et al. 2008:30)"},"citationItems":[{"id":340,"uris":["http://zotero.org/users/1165382/items/KXZHA9XC"],"uri":["http://zotero.org/users/1165382/items/KXZHA9XC"],"itemData":{"id":340,"type":"article","title":"National Survey of Child and Adolescent Well-Being (NSCAW), Combined Waves 1–5, Data File User’s Manual, Restricted Release Version.","publisher":"National Data Archive on Child Abuse and Neglect","source":"Google Scholar","note":"00000","author":[{"family":"Dowd","given":"Kathryn"},{"family":"Kinsey","given":"Susan"},{"family":"Wheeless","given":"Sara"},{"family":"Thissen","given":"Rita"},{"family":"Richardson","given":"Jean"},{"family":"Suresh","given":"R."},{"family":"Mierzwa","given":"Frank"},{"family":"Biemer","given":"Paul"},{"family":"Johnson","given":"Ilona"},{"family":"Lytle","given":"Tiffany"},{"family":"Dolan","given":"Melissa"},{"family":"Hendershott","given":"Amy"},{"family":"Smith","given":"Keith"}],"issued":{"date-parts":[["2008"]]}},"locator":"30"}],"schema":"https://github.com/citation-style-language/schema/raw/master/csl-citation.json"} </w:instrText>
      </w:r>
      <w:r w:rsidRPr="00A32EED">
        <w:rPr>
          <w:rFonts w:eastAsia="Calibri"/>
        </w:rPr>
        <w:fldChar w:fldCharType="separate"/>
      </w:r>
      <w:r w:rsidRPr="00A32EED">
        <w:rPr>
          <w:rFonts w:eastAsia="Calibri"/>
          <w:noProof/>
        </w:rPr>
        <w:t>(Dowd et al. 2008:30)</w:t>
      </w:r>
      <w:r w:rsidRPr="00A32EED">
        <w:rPr>
          <w:rFonts w:eastAsia="Calibri"/>
        </w:rPr>
        <w:fldChar w:fldCharType="end"/>
      </w:r>
      <w:r w:rsidRPr="00A32EED">
        <w:rPr>
          <w:rFonts w:eastAsia="Calibri"/>
        </w:rPr>
        <w:t xml:space="preserve">. Variances in the size of counties required some modifications to the PSUs. Most PSUs formed corresponded to counties or adjacent areas of multiple counties. However, some agencies serving smaller populations were combined, and conversely, PSUs in large metropolitan areas were formed into smaller geographical areas. Furthermore, extremely small counties (those that less than 60-67 cases a </w:t>
      </w:r>
      <w:r w:rsidRPr="00A32EED">
        <w:rPr>
          <w:rFonts w:eastAsia="Calibri"/>
        </w:rPr>
        <w:lastRenderedPageBreak/>
        <w:t>year) were deleted from the NSCAW PSU frame. It is estimated that less than 3% of the target population resided in these counties.</w:t>
      </w:r>
    </w:p>
    <w:p w14:paraId="1677AA36" w14:textId="77777777" w:rsidR="004C4C39" w:rsidRPr="00A32EED" w:rsidRDefault="004C4C39" w:rsidP="004C4C39">
      <w:pPr>
        <w:spacing w:after="0" w:line="480" w:lineRule="auto"/>
        <w:ind w:firstLine="720"/>
        <w:rPr>
          <w:rFonts w:eastAsia="Calibri"/>
        </w:rPr>
      </w:pPr>
      <w:r w:rsidRPr="00A32EED">
        <w:rPr>
          <w:rFonts w:eastAsia="Calibri"/>
        </w:rPr>
        <w:t xml:space="preserve">Following their creation, PSUs were then randomly selected using a probability-proportion-to-size (PPS) procedure. Probability-proportionate-to-size sampling is the “Unequal-probability sampling method in which the probability of sampling a unit is proportional to the number of elements in the unit” </w:t>
      </w:r>
      <w:r w:rsidRPr="00A32EED">
        <w:rPr>
          <w:rFonts w:eastAsia="Calibri"/>
        </w:rPr>
        <w:fldChar w:fldCharType="begin"/>
      </w:r>
      <w:r w:rsidRPr="00A32EED">
        <w:rPr>
          <w:rFonts w:eastAsia="Calibri"/>
        </w:rPr>
        <w:instrText xml:space="preserve"> ADDIN ZOTERO_ITEM CSL_CITATION {"citationID":"24budq1cpg","properties":{"formattedCitation":"(Lohr 2009:266)","plainCitation":"(Lohr 2009:266)"},"citationItems":[{"id":999,"uris":["http://zotero.org/users/1165382/items/6E7NZUWS"],"uri":["http://zotero.org/users/1165382/items/6E7NZUWS"],"itemData":{"id":999,"type":"book","title":"Sampling: Design and Analysis","publisher":"Cengage Learning","number-of-pages":"608","edition":"002 edition","source":"Amazon","abstract":"Sharon L. Lohr's SAMPLING: DESIGN AND ANALYSIS, 2ND EDITION, provides a modern introduction to the field of survey sampling intended for a wide audience of statistics students. Practical and authoritative, the book is listed as a standard reference for training on real-world survey problems by a number of prominent surveying organizations. Lohr concentrates on the statistical aspects of taking and analyzing a sample, incorporating a multitude of applications from a variety of disciplines. The text gives guidance on how to tell when a sample is valid or not, and how to design and analyze many different forms of sample surveys. Recent research on theoretical and applied aspects of sampling is included, as well as optional technology instructions for using statistical software with survey data.Important Notice: Media content referenced within the product description or the product text may not be available in the ebook version.","note":"02427","shortTitle":"Sampling","language":"English","author":[{"family":"Lohr","given":"Sharon L."}],"issued":{"date-parts":[["2009",12,9]]}},"locator":"266"}],"schema":"https://github.com/citation-style-language/schema/raw/master/csl-citation.json"} </w:instrText>
      </w:r>
      <w:r w:rsidRPr="00A32EED">
        <w:rPr>
          <w:rFonts w:eastAsia="Calibri"/>
        </w:rPr>
        <w:fldChar w:fldCharType="separate"/>
      </w:r>
      <w:r w:rsidRPr="00A32EED">
        <w:rPr>
          <w:rFonts w:eastAsia="Calibri"/>
          <w:noProof/>
        </w:rPr>
        <w:t>(Lohr 2009:266)</w:t>
      </w:r>
      <w:r w:rsidRPr="00A32EED">
        <w:rPr>
          <w:rFonts w:eastAsia="Calibri"/>
        </w:rPr>
        <w:fldChar w:fldCharType="end"/>
      </w:r>
      <w:r w:rsidRPr="00A32EED">
        <w:rPr>
          <w:rFonts w:eastAsia="Calibri"/>
        </w:rPr>
        <w:t xml:space="preserve">. As it applies to the NSCAW data, the use of PPS results in a higher chance of selection in PSUs with higher caseloads. To address propensity for selecting areas with the largest caseloads, the sampling procedures were set to select the same number of children within each PSU regardless of the size of the PSU. As a result, children investigated for maltreatment during the sampling period had roughly the same probability of inclusion in the sample regardless of the size of the PSU. </w:t>
      </w:r>
    </w:p>
    <w:p w14:paraId="07C999E9" w14:textId="77777777" w:rsidR="004C4C39" w:rsidRPr="00A32EED" w:rsidRDefault="004C4C39" w:rsidP="004C4C39">
      <w:pPr>
        <w:spacing w:after="0" w:line="480" w:lineRule="auto"/>
        <w:ind w:firstLine="720"/>
        <w:rPr>
          <w:rFonts w:eastAsia="Calibri"/>
        </w:rPr>
      </w:pPr>
      <w:r w:rsidRPr="00A32EED">
        <w:rPr>
          <w:rFonts w:eastAsia="Calibri"/>
        </w:rPr>
        <w:t xml:space="preserve">The second stage of the sampling design involved stratifying the children in the CPS agencies based on eight mutually exclusive and exhaustive domains of interest for the study. These eight domains consist of cross-classifications of four different characteristics </w:t>
      </w:r>
      <w:r w:rsidRPr="00A32EED">
        <w:rPr>
          <w:rFonts w:eastAsia="Calibri"/>
        </w:rPr>
        <w:fldChar w:fldCharType="begin"/>
      </w:r>
      <w:r w:rsidRPr="00A32EED">
        <w:rPr>
          <w:rFonts w:eastAsia="Calibri"/>
        </w:rPr>
        <w:instrText xml:space="preserve"> ADDIN ZOTERO_ITEM CSL_CITATION {"citationID":"2ajg26t974","properties":{"formattedCitation":"(Dowd et al. 2008)","plainCitation":"(Dowd et al. 2008)"},"citationItems":[{"id":340,"uris":["http://zotero.org/users/1165382/items/KXZHA9XC"],"uri":["http://zotero.org/users/1165382/items/KXZHA9XC"],"itemData":{"id":340,"type":"article","title":"National Survey of Child and Adolescent Well-Being (NSCAW), Combined Waves 1–5, Data File User’s Manual, Restricted Release Version.","publisher":"National Data Archive on Child Abuse and Neglect","source":"Google Scholar","note":"00000","author":[{"family":"Dowd","given":"Kathryn"},{"family":"Kinsey","given":"Susan"},{"family":"Wheeless","given":"Sara"},{"family":"Thissen","given":"Rita"},{"family":"Richardson","given":"Jean"},{"family":"Suresh","given":"R."},{"family":"Mierzwa","given":"Frank"},{"family":"Biemer","given":"Paul"},{"family":"Johnson","given":"Ilona"},{"family":"Lytle","given":"Tiffany"},{"family":"Dolan","given":"Melissa"},{"family":"Hendershott","given":"Amy"},{"family":"Smith","given":"Keith"}],"issued":{"date-parts":[["2008"]]}}}],"schema":"https://github.com/citation-style-language/schema/raw/master/csl-citation.json"} </w:instrText>
      </w:r>
      <w:r w:rsidRPr="00A32EED">
        <w:rPr>
          <w:rFonts w:eastAsia="Calibri"/>
        </w:rPr>
        <w:fldChar w:fldCharType="separate"/>
      </w:r>
      <w:r w:rsidRPr="00A32EED">
        <w:rPr>
          <w:rFonts w:eastAsia="Calibri"/>
          <w:noProof/>
        </w:rPr>
        <w:t>(Dowd et al. 2008)</w:t>
      </w:r>
      <w:r w:rsidRPr="00A32EED">
        <w:rPr>
          <w:rFonts w:eastAsia="Calibri"/>
        </w:rPr>
        <w:fldChar w:fldCharType="end"/>
      </w:r>
      <w:r w:rsidRPr="00A32EED">
        <w:rPr>
          <w:rFonts w:eastAsia="Calibri"/>
        </w:rPr>
        <w:t xml:space="preserve">. First children were divided into those not receiving services (Domains 1 and 2) and those receiving services (Domains 3-8). The first two domains (those not receiving services) were then divided into two groups: children less than 1-year-old and those older than 1-year-old. The group of those receiving services was then divided into six different groups. They were divided first by age (children less than 1-year-old and those older than 1-year-old), then within each of those age groups divided </w:t>
      </w:r>
      <w:r w:rsidRPr="00A32EED">
        <w:rPr>
          <w:rFonts w:eastAsia="Calibri"/>
        </w:rPr>
        <w:lastRenderedPageBreak/>
        <w:t xml:space="preserve">again based on placement setting (in-home care and out-of-home care). Lastly, the older groups for both in-home and out-of-home placements were again divided by type of maltreatment reported (sexual abuse vs. all other children). A visualization of the domains can be found in </w:t>
      </w:r>
      <w:r w:rsidRPr="00A32EED">
        <w:rPr>
          <w:rFonts w:eastAsia="Calibri"/>
          <w:i/>
        </w:rPr>
        <w:t>Figure 1</w:t>
      </w:r>
      <w:r w:rsidRPr="00A32EED">
        <w:rPr>
          <w:rFonts w:eastAsia="Calibri"/>
        </w:rPr>
        <w:t>. It should be noted that while the groups are the same, the domain numbers in the below figure do not directly correspond to the domain numbers in the NSCAW User’s Manual.</w:t>
      </w:r>
    </w:p>
    <w:p w14:paraId="5C222D46" w14:textId="2598C43F" w:rsidR="00957E0E" w:rsidRDefault="004C4C39" w:rsidP="004C4C39">
      <w:pPr>
        <w:spacing w:after="0" w:line="480" w:lineRule="auto"/>
        <w:ind w:firstLine="720"/>
        <w:rPr>
          <w:rFonts w:eastAsia="Calibri"/>
        </w:rPr>
      </w:pPr>
      <w:r w:rsidRPr="00A32EED">
        <w:rPr>
          <w:rFonts w:eastAsia="Calibri"/>
        </w:rPr>
        <w:t xml:space="preserve">The sampling of NSCAW data involved all children investigated for alleged maltreatment during the 15-month period between October 1999 and December 2000. During the sampling time, participating agencies provided files containing all children who were investigated for child maltreatment in the previous month. Due to a focus on children between the ages of 0-14, children included in the reports who were 15 or older were removed from the frame. Additionally, to eliminate the chances of repeated selection, children who were in the previous month's files were automatically removed. Also, children who were a part of the same family as a child from the previous month's report were also removed. This was done to limit the potential burden on a family due to having multiple children participating in the study. Children were also removed from the report if they were listed as a perpetrator of the alleged maltreatment. After the removal of siblings, previous month's children, and others not meeting the eligibility requirements, cases were selected using simple random sampling. A review of sampling rates and achieved sample sizes was conducted every month so that subsequent sampling rates could be adjusted to ensure that the final sample within each domain was as close to the targeted sample size as </w:t>
      </w:r>
      <w:r w:rsidRPr="00A32EED">
        <w:rPr>
          <w:rFonts w:eastAsia="Calibri"/>
        </w:rPr>
        <w:lastRenderedPageBreak/>
        <w:t xml:space="preserve">possible. The baseline number of targeted CPS respondents selected respondents, and final respondents for the first and second stage strata for the NSCAW can be found in Table 1. </w:t>
      </w:r>
    </w:p>
    <w:p w14:paraId="70AD5C1B" w14:textId="77777777" w:rsidR="00957E0E" w:rsidRDefault="00957E0E">
      <w:pPr>
        <w:rPr>
          <w:rFonts w:eastAsia="Calibri"/>
        </w:rPr>
      </w:pPr>
      <w:r>
        <w:rPr>
          <w:rFonts w:eastAsia="Calibri"/>
        </w:rPr>
        <w:br w:type="page"/>
      </w:r>
    </w:p>
    <w:p w14:paraId="7EABF311" w14:textId="77777777" w:rsidR="004C4C39" w:rsidRPr="00A32EED" w:rsidRDefault="004C4C39" w:rsidP="004C4C39">
      <w:pPr>
        <w:spacing w:after="0" w:line="480" w:lineRule="auto"/>
        <w:ind w:firstLine="720"/>
        <w:rPr>
          <w:rFonts w:eastAsia="Calibri"/>
        </w:rPr>
        <w:sectPr w:rsidR="004C4C39" w:rsidRPr="00A32EED" w:rsidSect="007532E3">
          <w:footerReference w:type="even" r:id="rId9"/>
          <w:footerReference w:type="default" r:id="rId10"/>
          <w:pgSz w:w="12240" w:h="15840"/>
          <w:pgMar w:top="1440" w:right="1440" w:bottom="1440" w:left="2304" w:header="720" w:footer="720" w:gutter="0"/>
          <w:pgNumType w:start="1"/>
          <w:cols w:space="720"/>
          <w:docGrid w:linePitch="360"/>
        </w:sectPr>
      </w:pPr>
    </w:p>
    <w:p w14:paraId="3DF80067" w14:textId="77777777" w:rsidR="002B5B1D" w:rsidRDefault="002B5B1D">
      <w:pPr>
        <w:rPr>
          <w:rFonts w:eastAsia="Calibri"/>
        </w:rPr>
      </w:pPr>
      <w:bookmarkStart w:id="45" w:name="_Toc479941208"/>
    </w:p>
    <w:p w14:paraId="716B957D" w14:textId="51172282" w:rsidR="009814A9" w:rsidRDefault="009814A9" w:rsidP="00272B6D">
      <w:pPr>
        <w:jc w:val="center"/>
        <w:rPr>
          <w:rFonts w:eastAsia="Calibri" w:cs="Times New Roman"/>
          <w:i/>
          <w:iCs/>
          <w:color w:val="000000"/>
          <w:szCs w:val="18"/>
        </w:rPr>
      </w:pPr>
      <w:r>
        <w:rPr>
          <w:rFonts w:eastAsia="Calibri"/>
          <w:noProof/>
        </w:rPr>
        <w:drawing>
          <wp:inline distT="0" distB="0" distL="0" distR="0" wp14:anchorId="7F93B548" wp14:editId="2F69CBE8">
            <wp:extent cx="6097657" cy="523392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 2017-04-14 14.09.17.pn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6162712" cy="5289764"/>
                    </a:xfrm>
                    <a:prstGeom prst="rect">
                      <a:avLst/>
                    </a:prstGeom>
                  </pic:spPr>
                </pic:pic>
              </a:graphicData>
            </a:graphic>
          </wp:inline>
        </w:drawing>
      </w:r>
      <w:r>
        <w:rPr>
          <w:rFonts w:eastAsia="Calibri"/>
        </w:rPr>
        <w:br w:type="page"/>
      </w:r>
    </w:p>
    <w:p w14:paraId="70150363" w14:textId="52145772" w:rsidR="004C4C39" w:rsidRPr="00A32EED" w:rsidRDefault="004C4C39" w:rsidP="00977830">
      <w:pPr>
        <w:pStyle w:val="Caption1"/>
        <w:rPr>
          <w:rFonts w:eastAsia="Calibri"/>
        </w:rPr>
      </w:pPr>
      <w:r w:rsidRPr="00A32EED">
        <w:rPr>
          <w:rFonts w:eastAsia="Calibri"/>
        </w:rPr>
        <w:lastRenderedPageBreak/>
        <w:t>Table 3.</w:t>
      </w:r>
      <w:r w:rsidRPr="00A32EED">
        <w:rPr>
          <w:rFonts w:eastAsia="Calibri"/>
        </w:rPr>
        <w:fldChar w:fldCharType="begin"/>
      </w:r>
      <w:r w:rsidRPr="00A32EED">
        <w:rPr>
          <w:rFonts w:eastAsia="Calibri"/>
        </w:rPr>
        <w:instrText xml:space="preserve"> SEQ Table_3. \* ARABIC </w:instrText>
      </w:r>
      <w:r w:rsidRPr="00A32EED">
        <w:rPr>
          <w:rFonts w:eastAsia="Calibri"/>
        </w:rPr>
        <w:fldChar w:fldCharType="separate"/>
      </w:r>
      <w:r w:rsidR="00FA12E2">
        <w:rPr>
          <w:rFonts w:eastAsia="Calibri"/>
          <w:noProof/>
        </w:rPr>
        <w:t>1</w:t>
      </w:r>
      <w:r w:rsidRPr="00A32EED">
        <w:rPr>
          <w:rFonts w:eastAsia="Calibri"/>
          <w:noProof/>
        </w:rPr>
        <w:fldChar w:fldCharType="end"/>
      </w:r>
      <w:r w:rsidRPr="00A32EED">
        <w:rPr>
          <w:rFonts w:eastAsia="Calibri"/>
        </w:rPr>
        <w:t>: NSCAW CPS Sample: Targeted, Selected, and Responding Sample Size</w:t>
      </w:r>
      <w:bookmarkEnd w:id="45"/>
    </w:p>
    <w:tbl>
      <w:tblPr>
        <w:tblStyle w:val="TableGrid"/>
        <w:tblW w:w="4750" w:type="pct"/>
        <w:tblInd w:w="223" w:type="dxa"/>
        <w:tblLayout w:type="fixed"/>
        <w:tblLook w:val="04A0" w:firstRow="1" w:lastRow="0" w:firstColumn="1" w:lastColumn="0" w:noHBand="0" w:noVBand="1"/>
      </w:tblPr>
      <w:tblGrid>
        <w:gridCol w:w="1284"/>
        <w:gridCol w:w="838"/>
        <w:gridCol w:w="589"/>
        <w:gridCol w:w="772"/>
        <w:gridCol w:w="618"/>
        <w:gridCol w:w="772"/>
        <w:gridCol w:w="774"/>
        <w:gridCol w:w="551"/>
        <w:gridCol w:w="772"/>
        <w:gridCol w:w="1092"/>
      </w:tblGrid>
      <w:tr w:rsidR="00272B6D" w:rsidRPr="00A32EED" w14:paraId="46BAC8C8" w14:textId="77777777" w:rsidTr="00272B6D">
        <w:trPr>
          <w:trHeight w:val="410"/>
        </w:trPr>
        <w:tc>
          <w:tcPr>
            <w:tcW w:w="796" w:type="pct"/>
            <w:vMerge w:val="restart"/>
            <w:vAlign w:val="bottom"/>
          </w:tcPr>
          <w:p w14:paraId="712FE539" w14:textId="77777777" w:rsidR="004C4C39" w:rsidRPr="00A32EED" w:rsidRDefault="004C4C39" w:rsidP="004C4C39">
            <w:pPr>
              <w:contextualSpacing/>
              <w:rPr>
                <w:rFonts w:eastAsia="Calibri" w:cs="Arial"/>
                <w:b/>
                <w:sz w:val="18"/>
                <w:szCs w:val="20"/>
              </w:rPr>
            </w:pPr>
            <w:r w:rsidRPr="00A32EED">
              <w:rPr>
                <w:rFonts w:eastAsia="Calibri" w:cs="Arial"/>
                <w:b/>
                <w:sz w:val="18"/>
                <w:szCs w:val="20"/>
              </w:rPr>
              <w:t>First Stage Strata</w:t>
            </w:r>
          </w:p>
        </w:tc>
        <w:tc>
          <w:tcPr>
            <w:tcW w:w="520" w:type="pct"/>
            <w:vMerge w:val="restart"/>
            <w:vAlign w:val="bottom"/>
          </w:tcPr>
          <w:p w14:paraId="5579AA13" w14:textId="77777777" w:rsidR="004C4C39" w:rsidRPr="00A32EED" w:rsidRDefault="004C4C39" w:rsidP="004C4C39">
            <w:pPr>
              <w:contextualSpacing/>
              <w:rPr>
                <w:rFonts w:eastAsia="Calibri" w:cs="Arial"/>
                <w:b/>
                <w:sz w:val="18"/>
                <w:szCs w:val="20"/>
              </w:rPr>
            </w:pPr>
            <w:r w:rsidRPr="00A32EED">
              <w:rPr>
                <w:rFonts w:eastAsia="Calibri" w:cs="Arial"/>
                <w:b/>
                <w:sz w:val="18"/>
                <w:szCs w:val="20"/>
              </w:rPr>
              <w:t>Total</w:t>
            </w:r>
          </w:p>
        </w:tc>
        <w:tc>
          <w:tcPr>
            <w:tcW w:w="844" w:type="pct"/>
            <w:gridSpan w:val="2"/>
          </w:tcPr>
          <w:p w14:paraId="377E8A2C" w14:textId="77777777" w:rsidR="004C4C39" w:rsidRPr="00A32EED" w:rsidRDefault="004C4C39" w:rsidP="004C4C39">
            <w:pPr>
              <w:contextualSpacing/>
              <w:rPr>
                <w:rFonts w:eastAsia="Calibri" w:cs="Arial"/>
                <w:b/>
                <w:sz w:val="18"/>
                <w:szCs w:val="20"/>
              </w:rPr>
            </w:pPr>
            <w:r w:rsidRPr="00A32EED">
              <w:rPr>
                <w:rFonts w:eastAsia="Calibri" w:cs="Arial"/>
                <w:b/>
                <w:sz w:val="18"/>
                <w:szCs w:val="20"/>
              </w:rPr>
              <w:t>Not Receiving Services</w:t>
            </w:r>
          </w:p>
        </w:tc>
        <w:tc>
          <w:tcPr>
            <w:tcW w:w="2840" w:type="pct"/>
            <w:gridSpan w:val="6"/>
          </w:tcPr>
          <w:p w14:paraId="0C8789B6" w14:textId="77777777" w:rsidR="004C4C39" w:rsidRPr="00A32EED" w:rsidRDefault="004C4C39" w:rsidP="004C4C39">
            <w:pPr>
              <w:contextualSpacing/>
              <w:rPr>
                <w:rFonts w:eastAsia="Calibri" w:cs="Arial"/>
                <w:b/>
                <w:sz w:val="18"/>
                <w:szCs w:val="20"/>
              </w:rPr>
            </w:pPr>
            <w:r w:rsidRPr="00A32EED">
              <w:rPr>
                <w:rFonts w:eastAsia="Calibri" w:cs="Arial"/>
                <w:b/>
                <w:sz w:val="18"/>
                <w:szCs w:val="20"/>
              </w:rPr>
              <w:t>Receiving Services</w:t>
            </w:r>
          </w:p>
        </w:tc>
      </w:tr>
      <w:tr w:rsidR="002B5B1D" w:rsidRPr="00A32EED" w14:paraId="4C66956B" w14:textId="77777777" w:rsidTr="00272B6D">
        <w:trPr>
          <w:trHeight w:val="152"/>
        </w:trPr>
        <w:tc>
          <w:tcPr>
            <w:tcW w:w="796" w:type="pct"/>
            <w:vMerge/>
          </w:tcPr>
          <w:p w14:paraId="06B58D4E" w14:textId="77777777" w:rsidR="004C4C39" w:rsidRPr="00A32EED" w:rsidRDefault="004C4C39" w:rsidP="004C4C39">
            <w:pPr>
              <w:contextualSpacing/>
              <w:rPr>
                <w:rFonts w:eastAsia="Calibri" w:cs="Arial"/>
                <w:b/>
                <w:sz w:val="18"/>
                <w:szCs w:val="20"/>
              </w:rPr>
            </w:pPr>
          </w:p>
        </w:tc>
        <w:tc>
          <w:tcPr>
            <w:tcW w:w="520" w:type="pct"/>
            <w:vMerge/>
          </w:tcPr>
          <w:p w14:paraId="7DFAAB58" w14:textId="77777777" w:rsidR="004C4C39" w:rsidRPr="00A32EED" w:rsidRDefault="004C4C39" w:rsidP="004C4C39">
            <w:pPr>
              <w:contextualSpacing/>
              <w:rPr>
                <w:rFonts w:eastAsia="Calibri" w:cs="Arial"/>
                <w:b/>
                <w:sz w:val="18"/>
                <w:szCs w:val="20"/>
              </w:rPr>
            </w:pPr>
          </w:p>
        </w:tc>
        <w:tc>
          <w:tcPr>
            <w:tcW w:w="365" w:type="pct"/>
            <w:vMerge w:val="restart"/>
            <w:textDirection w:val="btLr"/>
          </w:tcPr>
          <w:p w14:paraId="148C5026" w14:textId="77777777" w:rsidR="004C4C39" w:rsidRPr="00A32EED" w:rsidRDefault="004C4C39" w:rsidP="004C4C39">
            <w:pPr>
              <w:ind w:left="113" w:right="113"/>
              <w:contextualSpacing/>
              <w:rPr>
                <w:rFonts w:eastAsia="Calibri" w:cs="Arial"/>
                <w:b/>
                <w:sz w:val="18"/>
                <w:szCs w:val="20"/>
              </w:rPr>
            </w:pPr>
            <w:r w:rsidRPr="00A32EED">
              <w:rPr>
                <w:rFonts w:eastAsia="Calibri" w:cs="Arial"/>
                <w:b/>
                <w:sz w:val="18"/>
                <w:szCs w:val="20"/>
              </w:rPr>
              <w:t>&lt; 1 yr. old</w:t>
            </w:r>
          </w:p>
        </w:tc>
        <w:tc>
          <w:tcPr>
            <w:tcW w:w="479" w:type="pct"/>
            <w:vMerge w:val="restart"/>
            <w:textDirection w:val="btLr"/>
          </w:tcPr>
          <w:p w14:paraId="65EB7AF9" w14:textId="77777777" w:rsidR="004C4C39" w:rsidRPr="00A32EED" w:rsidRDefault="004C4C39" w:rsidP="004C4C39">
            <w:pPr>
              <w:ind w:left="113" w:right="113"/>
              <w:contextualSpacing/>
              <w:rPr>
                <w:rFonts w:eastAsia="Calibri" w:cs="Arial"/>
                <w:b/>
                <w:sz w:val="18"/>
                <w:szCs w:val="20"/>
              </w:rPr>
            </w:pPr>
            <w:r w:rsidRPr="00A32EED">
              <w:rPr>
                <w:rFonts w:eastAsia="Calibri" w:cs="Arial"/>
                <w:b/>
                <w:sz w:val="18"/>
                <w:szCs w:val="20"/>
              </w:rPr>
              <w:t>1-14 yrs. old</w:t>
            </w:r>
          </w:p>
        </w:tc>
        <w:tc>
          <w:tcPr>
            <w:tcW w:w="1342" w:type="pct"/>
            <w:gridSpan w:val="3"/>
          </w:tcPr>
          <w:p w14:paraId="15D99301" w14:textId="77777777" w:rsidR="004C4C39" w:rsidRPr="00A32EED" w:rsidRDefault="004C4C39" w:rsidP="004C4C39">
            <w:pPr>
              <w:contextualSpacing/>
              <w:rPr>
                <w:rFonts w:eastAsia="Calibri" w:cs="Arial"/>
                <w:b/>
                <w:sz w:val="18"/>
                <w:szCs w:val="20"/>
              </w:rPr>
            </w:pPr>
            <w:r w:rsidRPr="00A32EED">
              <w:rPr>
                <w:rFonts w:eastAsia="Calibri" w:cs="Arial"/>
                <w:b/>
                <w:sz w:val="18"/>
                <w:szCs w:val="20"/>
              </w:rPr>
              <w:t>In-Home Placement</w:t>
            </w:r>
          </w:p>
        </w:tc>
        <w:tc>
          <w:tcPr>
            <w:tcW w:w="1498" w:type="pct"/>
            <w:gridSpan w:val="3"/>
          </w:tcPr>
          <w:p w14:paraId="56E93A18" w14:textId="77777777" w:rsidR="004C4C39" w:rsidRPr="00A32EED" w:rsidRDefault="004C4C39" w:rsidP="004C4C39">
            <w:pPr>
              <w:contextualSpacing/>
              <w:rPr>
                <w:rFonts w:eastAsia="Calibri" w:cs="Arial"/>
                <w:b/>
                <w:sz w:val="18"/>
                <w:szCs w:val="20"/>
              </w:rPr>
            </w:pPr>
            <w:r w:rsidRPr="00A32EED">
              <w:rPr>
                <w:rFonts w:eastAsia="Calibri" w:cs="Arial"/>
                <w:b/>
                <w:sz w:val="18"/>
                <w:szCs w:val="20"/>
              </w:rPr>
              <w:t>Out-Of-Home Placement</w:t>
            </w:r>
          </w:p>
        </w:tc>
      </w:tr>
      <w:tr w:rsidR="00272B6D" w:rsidRPr="00A32EED" w14:paraId="12926059" w14:textId="77777777" w:rsidTr="00272B6D">
        <w:trPr>
          <w:cantSplit/>
          <w:trHeight w:val="1322"/>
        </w:trPr>
        <w:tc>
          <w:tcPr>
            <w:tcW w:w="796" w:type="pct"/>
            <w:vMerge/>
          </w:tcPr>
          <w:p w14:paraId="167EF687" w14:textId="77777777" w:rsidR="004C4C39" w:rsidRPr="00A32EED" w:rsidRDefault="004C4C39" w:rsidP="004C4C39">
            <w:pPr>
              <w:contextualSpacing/>
              <w:rPr>
                <w:rFonts w:eastAsia="Calibri" w:cs="Arial"/>
                <w:b/>
                <w:sz w:val="18"/>
                <w:szCs w:val="20"/>
              </w:rPr>
            </w:pPr>
          </w:p>
        </w:tc>
        <w:tc>
          <w:tcPr>
            <w:tcW w:w="520" w:type="pct"/>
            <w:vMerge/>
          </w:tcPr>
          <w:p w14:paraId="1FC4458D" w14:textId="77777777" w:rsidR="004C4C39" w:rsidRPr="00A32EED" w:rsidRDefault="004C4C39" w:rsidP="004C4C39">
            <w:pPr>
              <w:contextualSpacing/>
              <w:rPr>
                <w:rFonts w:eastAsia="Calibri" w:cs="Arial"/>
                <w:b/>
                <w:sz w:val="18"/>
                <w:szCs w:val="20"/>
              </w:rPr>
            </w:pPr>
          </w:p>
        </w:tc>
        <w:tc>
          <w:tcPr>
            <w:tcW w:w="365" w:type="pct"/>
            <w:vMerge/>
          </w:tcPr>
          <w:p w14:paraId="47AD0804" w14:textId="77777777" w:rsidR="004C4C39" w:rsidRPr="00A32EED" w:rsidRDefault="004C4C39" w:rsidP="004C4C39">
            <w:pPr>
              <w:contextualSpacing/>
              <w:rPr>
                <w:rFonts w:eastAsia="Calibri" w:cs="Arial"/>
                <w:b/>
                <w:sz w:val="18"/>
                <w:szCs w:val="20"/>
              </w:rPr>
            </w:pPr>
          </w:p>
        </w:tc>
        <w:tc>
          <w:tcPr>
            <w:tcW w:w="479" w:type="pct"/>
            <w:vMerge/>
          </w:tcPr>
          <w:p w14:paraId="54195A78" w14:textId="77777777" w:rsidR="004C4C39" w:rsidRPr="00A32EED" w:rsidRDefault="004C4C39" w:rsidP="004C4C39">
            <w:pPr>
              <w:contextualSpacing/>
              <w:rPr>
                <w:rFonts w:eastAsia="Calibri" w:cs="Arial"/>
                <w:b/>
                <w:sz w:val="18"/>
                <w:szCs w:val="20"/>
              </w:rPr>
            </w:pPr>
          </w:p>
        </w:tc>
        <w:tc>
          <w:tcPr>
            <w:tcW w:w="383" w:type="pct"/>
            <w:textDirection w:val="btLr"/>
          </w:tcPr>
          <w:p w14:paraId="6BB07F57" w14:textId="77777777" w:rsidR="004C4C39" w:rsidRPr="00A32EED" w:rsidRDefault="004C4C39" w:rsidP="004C4C39">
            <w:pPr>
              <w:ind w:left="113" w:right="113"/>
              <w:contextualSpacing/>
              <w:rPr>
                <w:rFonts w:eastAsia="Calibri" w:cs="Arial"/>
                <w:b/>
                <w:sz w:val="18"/>
                <w:szCs w:val="20"/>
              </w:rPr>
            </w:pPr>
            <w:r w:rsidRPr="00A32EED">
              <w:rPr>
                <w:rFonts w:eastAsia="Calibri" w:cs="Arial"/>
                <w:b/>
                <w:sz w:val="18"/>
                <w:szCs w:val="20"/>
              </w:rPr>
              <w:t>&lt; 1 yr. Old</w:t>
            </w:r>
          </w:p>
        </w:tc>
        <w:tc>
          <w:tcPr>
            <w:tcW w:w="479" w:type="pct"/>
            <w:textDirection w:val="btLr"/>
          </w:tcPr>
          <w:p w14:paraId="6D120CF6" w14:textId="77777777" w:rsidR="004C4C39" w:rsidRPr="00A32EED" w:rsidRDefault="004C4C39" w:rsidP="004C4C39">
            <w:pPr>
              <w:ind w:left="113" w:right="113"/>
              <w:contextualSpacing/>
              <w:rPr>
                <w:rFonts w:eastAsia="Calibri" w:cs="Arial"/>
                <w:b/>
                <w:sz w:val="18"/>
                <w:szCs w:val="20"/>
              </w:rPr>
            </w:pPr>
            <w:r w:rsidRPr="00A32EED">
              <w:rPr>
                <w:rFonts w:eastAsia="Calibri" w:cs="Arial"/>
                <w:b/>
                <w:sz w:val="18"/>
                <w:szCs w:val="20"/>
              </w:rPr>
              <w:t>1-14 yrs. old Sex. Abu</w:t>
            </w:r>
          </w:p>
        </w:tc>
        <w:tc>
          <w:tcPr>
            <w:tcW w:w="480" w:type="pct"/>
            <w:textDirection w:val="btLr"/>
          </w:tcPr>
          <w:p w14:paraId="688829FB" w14:textId="77777777" w:rsidR="004C4C39" w:rsidRPr="00A32EED" w:rsidRDefault="004C4C39" w:rsidP="004C4C39">
            <w:pPr>
              <w:ind w:left="113" w:right="113"/>
              <w:contextualSpacing/>
              <w:rPr>
                <w:rFonts w:eastAsia="Calibri" w:cs="Arial"/>
                <w:b/>
                <w:sz w:val="18"/>
                <w:szCs w:val="20"/>
              </w:rPr>
            </w:pPr>
            <w:r w:rsidRPr="00A32EED">
              <w:rPr>
                <w:rFonts w:eastAsia="Calibri" w:cs="Arial"/>
                <w:b/>
                <w:sz w:val="18"/>
                <w:szCs w:val="20"/>
              </w:rPr>
              <w:t>1-14 yrs. old Other Maltreatment</w:t>
            </w:r>
          </w:p>
        </w:tc>
        <w:tc>
          <w:tcPr>
            <w:tcW w:w="342" w:type="pct"/>
            <w:textDirection w:val="btLr"/>
          </w:tcPr>
          <w:p w14:paraId="4ABF82AF" w14:textId="77777777" w:rsidR="004C4C39" w:rsidRPr="00A32EED" w:rsidRDefault="004C4C39" w:rsidP="004C4C39">
            <w:pPr>
              <w:ind w:left="113" w:right="113"/>
              <w:contextualSpacing/>
              <w:rPr>
                <w:rFonts w:eastAsia="Calibri" w:cs="Arial"/>
                <w:b/>
                <w:sz w:val="18"/>
                <w:szCs w:val="20"/>
              </w:rPr>
            </w:pPr>
            <w:r w:rsidRPr="00A32EED">
              <w:rPr>
                <w:rFonts w:eastAsia="Calibri" w:cs="Arial"/>
                <w:b/>
                <w:sz w:val="18"/>
                <w:szCs w:val="20"/>
              </w:rPr>
              <w:t>&lt; 1 yr. old</w:t>
            </w:r>
          </w:p>
        </w:tc>
        <w:tc>
          <w:tcPr>
            <w:tcW w:w="479" w:type="pct"/>
            <w:textDirection w:val="btLr"/>
          </w:tcPr>
          <w:p w14:paraId="3005611F" w14:textId="77777777" w:rsidR="004C4C39" w:rsidRPr="00A32EED" w:rsidRDefault="004C4C39" w:rsidP="004C4C39">
            <w:pPr>
              <w:ind w:left="113" w:right="113"/>
              <w:contextualSpacing/>
              <w:rPr>
                <w:rFonts w:eastAsia="Calibri" w:cs="Arial"/>
                <w:b/>
                <w:sz w:val="18"/>
                <w:szCs w:val="20"/>
              </w:rPr>
            </w:pPr>
            <w:r w:rsidRPr="00A32EED">
              <w:rPr>
                <w:rFonts w:eastAsia="Calibri" w:cs="Arial"/>
                <w:b/>
                <w:sz w:val="18"/>
                <w:szCs w:val="20"/>
              </w:rPr>
              <w:t>1-14 yrs. old Sex. Abu</w:t>
            </w:r>
          </w:p>
        </w:tc>
        <w:tc>
          <w:tcPr>
            <w:tcW w:w="677" w:type="pct"/>
            <w:textDirection w:val="btLr"/>
          </w:tcPr>
          <w:p w14:paraId="596BAB2A" w14:textId="77777777" w:rsidR="004C4C39" w:rsidRPr="00A32EED" w:rsidRDefault="004C4C39" w:rsidP="004C4C39">
            <w:pPr>
              <w:ind w:left="113" w:right="113"/>
              <w:contextualSpacing/>
              <w:rPr>
                <w:rFonts w:eastAsia="Calibri" w:cs="Arial"/>
                <w:b/>
                <w:sz w:val="18"/>
                <w:szCs w:val="20"/>
              </w:rPr>
            </w:pPr>
            <w:r w:rsidRPr="00A32EED">
              <w:rPr>
                <w:rFonts w:eastAsia="Calibri" w:cs="Arial"/>
                <w:b/>
                <w:sz w:val="18"/>
                <w:szCs w:val="20"/>
              </w:rPr>
              <w:t>1-14 yrs. old Other Maltreatment</w:t>
            </w:r>
          </w:p>
        </w:tc>
      </w:tr>
      <w:tr w:rsidR="004C4C39" w:rsidRPr="00A32EED" w14:paraId="184B6A49" w14:textId="77777777" w:rsidTr="00272B6D">
        <w:trPr>
          <w:trHeight w:val="239"/>
        </w:trPr>
        <w:tc>
          <w:tcPr>
            <w:tcW w:w="5000" w:type="pct"/>
            <w:gridSpan w:val="10"/>
          </w:tcPr>
          <w:p w14:paraId="1486F400" w14:textId="77777777" w:rsidR="004C4C39" w:rsidRPr="00A32EED" w:rsidRDefault="004C4C39" w:rsidP="004C4C39">
            <w:pPr>
              <w:contextualSpacing/>
              <w:rPr>
                <w:rFonts w:eastAsia="Calibri" w:cs="Arial"/>
                <w:i/>
                <w:sz w:val="18"/>
                <w:szCs w:val="20"/>
              </w:rPr>
            </w:pPr>
            <w:r w:rsidRPr="00A32EED">
              <w:rPr>
                <w:rFonts w:eastAsia="Calibri" w:cs="Arial"/>
                <w:i/>
                <w:sz w:val="18"/>
                <w:szCs w:val="20"/>
              </w:rPr>
              <w:t>Allocated Sample Size (Targeted number of Respondents)</w:t>
            </w:r>
          </w:p>
        </w:tc>
      </w:tr>
      <w:tr w:rsidR="00272B6D" w:rsidRPr="00A32EED" w14:paraId="3D03348D" w14:textId="77777777" w:rsidTr="00272B6D">
        <w:trPr>
          <w:trHeight w:val="239"/>
        </w:trPr>
        <w:tc>
          <w:tcPr>
            <w:tcW w:w="796" w:type="pct"/>
            <w:vAlign w:val="center"/>
          </w:tcPr>
          <w:p w14:paraId="20393489"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California </w:t>
            </w:r>
          </w:p>
        </w:tc>
        <w:tc>
          <w:tcPr>
            <w:tcW w:w="520" w:type="pct"/>
            <w:vAlign w:val="bottom"/>
          </w:tcPr>
          <w:p w14:paraId="4DA12038"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703</w:t>
            </w:r>
          </w:p>
        </w:tc>
        <w:tc>
          <w:tcPr>
            <w:tcW w:w="365" w:type="pct"/>
            <w:vAlign w:val="bottom"/>
          </w:tcPr>
          <w:p w14:paraId="395DE3E1"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52</w:t>
            </w:r>
          </w:p>
        </w:tc>
        <w:tc>
          <w:tcPr>
            <w:tcW w:w="479" w:type="pct"/>
            <w:vAlign w:val="bottom"/>
          </w:tcPr>
          <w:p w14:paraId="61FBF8EA"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121</w:t>
            </w:r>
          </w:p>
        </w:tc>
        <w:tc>
          <w:tcPr>
            <w:tcW w:w="383" w:type="pct"/>
            <w:vAlign w:val="bottom"/>
          </w:tcPr>
          <w:p w14:paraId="1A892278"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98</w:t>
            </w:r>
          </w:p>
        </w:tc>
        <w:tc>
          <w:tcPr>
            <w:tcW w:w="479" w:type="pct"/>
            <w:vAlign w:val="bottom"/>
          </w:tcPr>
          <w:p w14:paraId="19FC19EE"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47</w:t>
            </w:r>
          </w:p>
        </w:tc>
        <w:tc>
          <w:tcPr>
            <w:tcW w:w="480" w:type="pct"/>
            <w:vAlign w:val="bottom"/>
          </w:tcPr>
          <w:p w14:paraId="777B8C1C"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220</w:t>
            </w:r>
          </w:p>
        </w:tc>
        <w:tc>
          <w:tcPr>
            <w:tcW w:w="342" w:type="pct"/>
            <w:vAlign w:val="bottom"/>
          </w:tcPr>
          <w:p w14:paraId="59BB0768"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39</w:t>
            </w:r>
          </w:p>
        </w:tc>
        <w:tc>
          <w:tcPr>
            <w:tcW w:w="479" w:type="pct"/>
            <w:vAlign w:val="bottom"/>
          </w:tcPr>
          <w:p w14:paraId="7717F6B9"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19</w:t>
            </w:r>
          </w:p>
        </w:tc>
        <w:tc>
          <w:tcPr>
            <w:tcW w:w="677" w:type="pct"/>
            <w:vAlign w:val="bottom"/>
          </w:tcPr>
          <w:p w14:paraId="6D60FE28"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107</w:t>
            </w:r>
          </w:p>
        </w:tc>
      </w:tr>
      <w:tr w:rsidR="00272B6D" w:rsidRPr="00A32EED" w14:paraId="59BD92DE" w14:textId="77777777" w:rsidTr="00272B6D">
        <w:trPr>
          <w:trHeight w:val="239"/>
        </w:trPr>
        <w:tc>
          <w:tcPr>
            <w:tcW w:w="796" w:type="pct"/>
            <w:vAlign w:val="center"/>
          </w:tcPr>
          <w:p w14:paraId="3F03CDFA"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Florida </w:t>
            </w:r>
          </w:p>
        </w:tc>
        <w:tc>
          <w:tcPr>
            <w:tcW w:w="520" w:type="pct"/>
            <w:vAlign w:val="bottom"/>
          </w:tcPr>
          <w:p w14:paraId="1001D7F9"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304</w:t>
            </w:r>
          </w:p>
        </w:tc>
        <w:tc>
          <w:tcPr>
            <w:tcW w:w="365" w:type="pct"/>
            <w:vAlign w:val="bottom"/>
          </w:tcPr>
          <w:p w14:paraId="31C7315E"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5</w:t>
            </w:r>
          </w:p>
        </w:tc>
        <w:tc>
          <w:tcPr>
            <w:tcW w:w="479" w:type="pct"/>
            <w:vAlign w:val="bottom"/>
          </w:tcPr>
          <w:p w14:paraId="41BDA8AF"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27</w:t>
            </w:r>
          </w:p>
        </w:tc>
        <w:tc>
          <w:tcPr>
            <w:tcW w:w="383" w:type="pct"/>
            <w:vAlign w:val="bottom"/>
          </w:tcPr>
          <w:p w14:paraId="23FD0AA2"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47</w:t>
            </w:r>
          </w:p>
        </w:tc>
        <w:tc>
          <w:tcPr>
            <w:tcW w:w="479" w:type="pct"/>
            <w:vAlign w:val="bottom"/>
          </w:tcPr>
          <w:p w14:paraId="3D8DA026"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29</w:t>
            </w:r>
          </w:p>
        </w:tc>
        <w:tc>
          <w:tcPr>
            <w:tcW w:w="480" w:type="pct"/>
            <w:vAlign w:val="bottom"/>
          </w:tcPr>
          <w:p w14:paraId="7D45AD97"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124</w:t>
            </w:r>
          </w:p>
        </w:tc>
        <w:tc>
          <w:tcPr>
            <w:tcW w:w="342" w:type="pct"/>
            <w:vAlign w:val="bottom"/>
          </w:tcPr>
          <w:p w14:paraId="7521673F"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19</w:t>
            </w:r>
          </w:p>
        </w:tc>
        <w:tc>
          <w:tcPr>
            <w:tcW w:w="479" w:type="pct"/>
            <w:vAlign w:val="bottom"/>
          </w:tcPr>
          <w:p w14:paraId="1D82E396"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10</w:t>
            </w:r>
          </w:p>
        </w:tc>
        <w:tc>
          <w:tcPr>
            <w:tcW w:w="677" w:type="pct"/>
            <w:vAlign w:val="bottom"/>
          </w:tcPr>
          <w:p w14:paraId="4161A32B"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43</w:t>
            </w:r>
          </w:p>
        </w:tc>
      </w:tr>
      <w:tr w:rsidR="00272B6D" w:rsidRPr="00A32EED" w14:paraId="5BFD60E3" w14:textId="77777777" w:rsidTr="00272B6D">
        <w:trPr>
          <w:trHeight w:val="239"/>
        </w:trPr>
        <w:tc>
          <w:tcPr>
            <w:tcW w:w="796" w:type="pct"/>
            <w:vAlign w:val="bottom"/>
          </w:tcPr>
          <w:p w14:paraId="58B83E37"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Illinois </w:t>
            </w:r>
          </w:p>
        </w:tc>
        <w:tc>
          <w:tcPr>
            <w:tcW w:w="520" w:type="pct"/>
            <w:vAlign w:val="bottom"/>
          </w:tcPr>
          <w:p w14:paraId="2F37AF94"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284</w:t>
            </w:r>
          </w:p>
        </w:tc>
        <w:tc>
          <w:tcPr>
            <w:tcW w:w="365" w:type="pct"/>
            <w:vAlign w:val="bottom"/>
          </w:tcPr>
          <w:p w14:paraId="06579451"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18</w:t>
            </w:r>
          </w:p>
        </w:tc>
        <w:tc>
          <w:tcPr>
            <w:tcW w:w="479" w:type="pct"/>
            <w:vAlign w:val="bottom"/>
          </w:tcPr>
          <w:p w14:paraId="68E188D7"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52</w:t>
            </w:r>
          </w:p>
        </w:tc>
        <w:tc>
          <w:tcPr>
            <w:tcW w:w="383" w:type="pct"/>
            <w:vAlign w:val="bottom"/>
          </w:tcPr>
          <w:p w14:paraId="2F4BA0C2"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41</w:t>
            </w:r>
          </w:p>
        </w:tc>
        <w:tc>
          <w:tcPr>
            <w:tcW w:w="479" w:type="pct"/>
            <w:vAlign w:val="bottom"/>
          </w:tcPr>
          <w:p w14:paraId="03630799"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19</w:t>
            </w:r>
          </w:p>
        </w:tc>
        <w:tc>
          <w:tcPr>
            <w:tcW w:w="480" w:type="pct"/>
            <w:vAlign w:val="bottom"/>
          </w:tcPr>
          <w:p w14:paraId="09273940"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86</w:t>
            </w:r>
          </w:p>
        </w:tc>
        <w:tc>
          <w:tcPr>
            <w:tcW w:w="342" w:type="pct"/>
            <w:vAlign w:val="bottom"/>
          </w:tcPr>
          <w:p w14:paraId="40CBF65C"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19</w:t>
            </w:r>
          </w:p>
        </w:tc>
        <w:tc>
          <w:tcPr>
            <w:tcW w:w="479" w:type="pct"/>
            <w:vAlign w:val="bottom"/>
          </w:tcPr>
          <w:p w14:paraId="6BB70468"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11</w:t>
            </w:r>
          </w:p>
        </w:tc>
        <w:tc>
          <w:tcPr>
            <w:tcW w:w="677" w:type="pct"/>
            <w:vAlign w:val="bottom"/>
          </w:tcPr>
          <w:p w14:paraId="6730F394"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38</w:t>
            </w:r>
          </w:p>
        </w:tc>
      </w:tr>
      <w:tr w:rsidR="00272B6D" w:rsidRPr="00A32EED" w14:paraId="2FF7822B" w14:textId="77777777" w:rsidTr="00272B6D">
        <w:trPr>
          <w:trHeight w:val="239"/>
        </w:trPr>
        <w:tc>
          <w:tcPr>
            <w:tcW w:w="796" w:type="pct"/>
            <w:vAlign w:val="bottom"/>
          </w:tcPr>
          <w:p w14:paraId="227AC26D"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Michigan </w:t>
            </w:r>
          </w:p>
        </w:tc>
        <w:tc>
          <w:tcPr>
            <w:tcW w:w="520" w:type="pct"/>
            <w:vAlign w:val="bottom"/>
          </w:tcPr>
          <w:p w14:paraId="5A81A0E5"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297</w:t>
            </w:r>
          </w:p>
        </w:tc>
        <w:tc>
          <w:tcPr>
            <w:tcW w:w="365" w:type="pct"/>
            <w:vAlign w:val="bottom"/>
          </w:tcPr>
          <w:p w14:paraId="3A064E1A"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26</w:t>
            </w:r>
          </w:p>
        </w:tc>
        <w:tc>
          <w:tcPr>
            <w:tcW w:w="479" w:type="pct"/>
            <w:vAlign w:val="bottom"/>
          </w:tcPr>
          <w:p w14:paraId="1EEF1E47"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53</w:t>
            </w:r>
          </w:p>
        </w:tc>
        <w:tc>
          <w:tcPr>
            <w:tcW w:w="383" w:type="pct"/>
            <w:vAlign w:val="bottom"/>
          </w:tcPr>
          <w:p w14:paraId="566953AC"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44</w:t>
            </w:r>
          </w:p>
        </w:tc>
        <w:tc>
          <w:tcPr>
            <w:tcW w:w="479" w:type="pct"/>
            <w:vAlign w:val="bottom"/>
          </w:tcPr>
          <w:p w14:paraId="21BBCB12"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25</w:t>
            </w:r>
          </w:p>
        </w:tc>
        <w:tc>
          <w:tcPr>
            <w:tcW w:w="480" w:type="pct"/>
            <w:vAlign w:val="bottom"/>
          </w:tcPr>
          <w:p w14:paraId="3C6A465C"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90</w:t>
            </w:r>
          </w:p>
        </w:tc>
        <w:tc>
          <w:tcPr>
            <w:tcW w:w="342" w:type="pct"/>
            <w:vAlign w:val="bottom"/>
          </w:tcPr>
          <w:p w14:paraId="541A0293"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15</w:t>
            </w:r>
          </w:p>
        </w:tc>
        <w:tc>
          <w:tcPr>
            <w:tcW w:w="479" w:type="pct"/>
            <w:vAlign w:val="bottom"/>
          </w:tcPr>
          <w:p w14:paraId="04E1A25D"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8</w:t>
            </w:r>
          </w:p>
        </w:tc>
        <w:tc>
          <w:tcPr>
            <w:tcW w:w="677" w:type="pct"/>
            <w:vAlign w:val="bottom"/>
          </w:tcPr>
          <w:p w14:paraId="5F1E7EE8"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36</w:t>
            </w:r>
          </w:p>
        </w:tc>
      </w:tr>
      <w:tr w:rsidR="00272B6D" w:rsidRPr="00A32EED" w14:paraId="43074935" w14:textId="77777777" w:rsidTr="00272B6D">
        <w:trPr>
          <w:trHeight w:val="239"/>
        </w:trPr>
        <w:tc>
          <w:tcPr>
            <w:tcW w:w="796" w:type="pct"/>
            <w:vAlign w:val="bottom"/>
          </w:tcPr>
          <w:p w14:paraId="45497713"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New York </w:t>
            </w:r>
          </w:p>
        </w:tc>
        <w:tc>
          <w:tcPr>
            <w:tcW w:w="520" w:type="pct"/>
            <w:vAlign w:val="bottom"/>
          </w:tcPr>
          <w:p w14:paraId="2E69EA5F"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402</w:t>
            </w:r>
          </w:p>
        </w:tc>
        <w:tc>
          <w:tcPr>
            <w:tcW w:w="365" w:type="pct"/>
            <w:vAlign w:val="bottom"/>
          </w:tcPr>
          <w:p w14:paraId="30510984"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27</w:t>
            </w:r>
          </w:p>
        </w:tc>
        <w:tc>
          <w:tcPr>
            <w:tcW w:w="479" w:type="pct"/>
            <w:vAlign w:val="bottom"/>
          </w:tcPr>
          <w:p w14:paraId="2FE6DFFA"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67</w:t>
            </w:r>
          </w:p>
        </w:tc>
        <w:tc>
          <w:tcPr>
            <w:tcW w:w="383" w:type="pct"/>
            <w:vAlign w:val="bottom"/>
          </w:tcPr>
          <w:p w14:paraId="472B3730"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59</w:t>
            </w:r>
          </w:p>
        </w:tc>
        <w:tc>
          <w:tcPr>
            <w:tcW w:w="479" w:type="pct"/>
            <w:vAlign w:val="bottom"/>
          </w:tcPr>
          <w:p w14:paraId="5FF0FD35"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32</w:t>
            </w:r>
          </w:p>
        </w:tc>
        <w:tc>
          <w:tcPr>
            <w:tcW w:w="480" w:type="pct"/>
            <w:vAlign w:val="bottom"/>
          </w:tcPr>
          <w:p w14:paraId="3B2ED31D"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124</w:t>
            </w:r>
          </w:p>
        </w:tc>
        <w:tc>
          <w:tcPr>
            <w:tcW w:w="342" w:type="pct"/>
            <w:vAlign w:val="bottom"/>
          </w:tcPr>
          <w:p w14:paraId="0E65D8DA"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27</w:t>
            </w:r>
          </w:p>
        </w:tc>
        <w:tc>
          <w:tcPr>
            <w:tcW w:w="479" w:type="pct"/>
            <w:vAlign w:val="bottom"/>
          </w:tcPr>
          <w:p w14:paraId="743CEA73"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10</w:t>
            </w:r>
          </w:p>
        </w:tc>
        <w:tc>
          <w:tcPr>
            <w:tcW w:w="677" w:type="pct"/>
            <w:vAlign w:val="bottom"/>
          </w:tcPr>
          <w:p w14:paraId="5FFB3403"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56</w:t>
            </w:r>
          </w:p>
        </w:tc>
      </w:tr>
      <w:tr w:rsidR="00272B6D" w:rsidRPr="00A32EED" w14:paraId="22145AB3" w14:textId="77777777" w:rsidTr="00272B6D">
        <w:trPr>
          <w:trHeight w:val="239"/>
        </w:trPr>
        <w:tc>
          <w:tcPr>
            <w:tcW w:w="796" w:type="pct"/>
            <w:vAlign w:val="bottom"/>
          </w:tcPr>
          <w:p w14:paraId="0990423C"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Ohio </w:t>
            </w:r>
          </w:p>
        </w:tc>
        <w:tc>
          <w:tcPr>
            <w:tcW w:w="520" w:type="pct"/>
            <w:vAlign w:val="bottom"/>
          </w:tcPr>
          <w:p w14:paraId="7E49B250"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293</w:t>
            </w:r>
          </w:p>
        </w:tc>
        <w:tc>
          <w:tcPr>
            <w:tcW w:w="365" w:type="pct"/>
            <w:vAlign w:val="bottom"/>
          </w:tcPr>
          <w:p w14:paraId="6C4AA1F1"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17</w:t>
            </w:r>
          </w:p>
        </w:tc>
        <w:tc>
          <w:tcPr>
            <w:tcW w:w="479" w:type="pct"/>
            <w:vAlign w:val="bottom"/>
          </w:tcPr>
          <w:p w14:paraId="06339690"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54</w:t>
            </w:r>
          </w:p>
        </w:tc>
        <w:tc>
          <w:tcPr>
            <w:tcW w:w="383" w:type="pct"/>
            <w:vAlign w:val="bottom"/>
          </w:tcPr>
          <w:p w14:paraId="0423B71B"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39</w:t>
            </w:r>
          </w:p>
        </w:tc>
        <w:tc>
          <w:tcPr>
            <w:tcW w:w="479" w:type="pct"/>
            <w:vAlign w:val="bottom"/>
          </w:tcPr>
          <w:p w14:paraId="69344166"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21</w:t>
            </w:r>
          </w:p>
        </w:tc>
        <w:tc>
          <w:tcPr>
            <w:tcW w:w="480" w:type="pct"/>
            <w:vAlign w:val="bottom"/>
          </w:tcPr>
          <w:p w14:paraId="14BDE7E9"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90</w:t>
            </w:r>
          </w:p>
        </w:tc>
        <w:tc>
          <w:tcPr>
            <w:tcW w:w="342" w:type="pct"/>
            <w:vAlign w:val="bottom"/>
          </w:tcPr>
          <w:p w14:paraId="547680CD"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21</w:t>
            </w:r>
          </w:p>
        </w:tc>
        <w:tc>
          <w:tcPr>
            <w:tcW w:w="479" w:type="pct"/>
            <w:vAlign w:val="bottom"/>
          </w:tcPr>
          <w:p w14:paraId="61382A49"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12</w:t>
            </w:r>
          </w:p>
        </w:tc>
        <w:tc>
          <w:tcPr>
            <w:tcW w:w="677" w:type="pct"/>
            <w:vAlign w:val="bottom"/>
          </w:tcPr>
          <w:p w14:paraId="42BB2F5A"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39</w:t>
            </w:r>
          </w:p>
        </w:tc>
      </w:tr>
      <w:tr w:rsidR="00272B6D" w:rsidRPr="00A32EED" w14:paraId="5E9F3855" w14:textId="77777777" w:rsidTr="00272B6D">
        <w:trPr>
          <w:trHeight w:val="239"/>
        </w:trPr>
        <w:tc>
          <w:tcPr>
            <w:tcW w:w="796" w:type="pct"/>
            <w:vAlign w:val="bottom"/>
          </w:tcPr>
          <w:p w14:paraId="01E8580D"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Pennsylvania </w:t>
            </w:r>
          </w:p>
        </w:tc>
        <w:tc>
          <w:tcPr>
            <w:tcW w:w="520" w:type="pct"/>
            <w:vAlign w:val="bottom"/>
          </w:tcPr>
          <w:p w14:paraId="4986A817"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300</w:t>
            </w:r>
          </w:p>
        </w:tc>
        <w:tc>
          <w:tcPr>
            <w:tcW w:w="365" w:type="pct"/>
            <w:vAlign w:val="bottom"/>
          </w:tcPr>
          <w:p w14:paraId="4DEB4B21"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16</w:t>
            </w:r>
          </w:p>
        </w:tc>
        <w:tc>
          <w:tcPr>
            <w:tcW w:w="479" w:type="pct"/>
            <w:vAlign w:val="bottom"/>
          </w:tcPr>
          <w:p w14:paraId="56AE1A7C"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43</w:t>
            </w:r>
          </w:p>
        </w:tc>
        <w:tc>
          <w:tcPr>
            <w:tcW w:w="383" w:type="pct"/>
            <w:vAlign w:val="bottom"/>
          </w:tcPr>
          <w:p w14:paraId="703AFDA8"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37</w:t>
            </w:r>
          </w:p>
        </w:tc>
        <w:tc>
          <w:tcPr>
            <w:tcW w:w="479" w:type="pct"/>
            <w:vAlign w:val="bottom"/>
          </w:tcPr>
          <w:p w14:paraId="2222047A"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22</w:t>
            </w:r>
          </w:p>
        </w:tc>
        <w:tc>
          <w:tcPr>
            <w:tcW w:w="480" w:type="pct"/>
            <w:vAlign w:val="bottom"/>
          </w:tcPr>
          <w:p w14:paraId="0E128C46"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110</w:t>
            </w:r>
          </w:p>
        </w:tc>
        <w:tc>
          <w:tcPr>
            <w:tcW w:w="342" w:type="pct"/>
            <w:vAlign w:val="bottom"/>
          </w:tcPr>
          <w:p w14:paraId="789C05A2"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18</w:t>
            </w:r>
          </w:p>
        </w:tc>
        <w:tc>
          <w:tcPr>
            <w:tcW w:w="479" w:type="pct"/>
            <w:vAlign w:val="bottom"/>
          </w:tcPr>
          <w:p w14:paraId="14911E80"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15</w:t>
            </w:r>
          </w:p>
        </w:tc>
        <w:tc>
          <w:tcPr>
            <w:tcW w:w="677" w:type="pct"/>
            <w:vAlign w:val="bottom"/>
          </w:tcPr>
          <w:p w14:paraId="1E4BD7B7"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39</w:t>
            </w:r>
          </w:p>
        </w:tc>
      </w:tr>
      <w:tr w:rsidR="00272B6D" w:rsidRPr="00A32EED" w14:paraId="743E59A7" w14:textId="77777777" w:rsidTr="00272B6D">
        <w:trPr>
          <w:trHeight w:val="239"/>
        </w:trPr>
        <w:tc>
          <w:tcPr>
            <w:tcW w:w="796" w:type="pct"/>
            <w:vAlign w:val="bottom"/>
          </w:tcPr>
          <w:p w14:paraId="1D40FF34"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Texas </w:t>
            </w:r>
          </w:p>
        </w:tc>
        <w:tc>
          <w:tcPr>
            <w:tcW w:w="520" w:type="pct"/>
            <w:vAlign w:val="bottom"/>
          </w:tcPr>
          <w:p w14:paraId="618B3E10"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473</w:t>
            </w:r>
          </w:p>
        </w:tc>
        <w:tc>
          <w:tcPr>
            <w:tcW w:w="365" w:type="pct"/>
            <w:vAlign w:val="bottom"/>
          </w:tcPr>
          <w:p w14:paraId="35D8D34A"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27</w:t>
            </w:r>
          </w:p>
        </w:tc>
        <w:tc>
          <w:tcPr>
            <w:tcW w:w="479" w:type="pct"/>
            <w:vAlign w:val="bottom"/>
          </w:tcPr>
          <w:p w14:paraId="5A2E91CD"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81</w:t>
            </w:r>
          </w:p>
        </w:tc>
        <w:tc>
          <w:tcPr>
            <w:tcW w:w="383" w:type="pct"/>
            <w:vAlign w:val="bottom"/>
          </w:tcPr>
          <w:p w14:paraId="479C5018"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77</w:t>
            </w:r>
          </w:p>
        </w:tc>
        <w:tc>
          <w:tcPr>
            <w:tcW w:w="479" w:type="pct"/>
            <w:vAlign w:val="bottom"/>
          </w:tcPr>
          <w:p w14:paraId="52B994C4"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38</w:t>
            </w:r>
          </w:p>
        </w:tc>
        <w:tc>
          <w:tcPr>
            <w:tcW w:w="480" w:type="pct"/>
            <w:vAlign w:val="bottom"/>
          </w:tcPr>
          <w:p w14:paraId="348CFA32"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145</w:t>
            </w:r>
          </w:p>
        </w:tc>
        <w:tc>
          <w:tcPr>
            <w:tcW w:w="342" w:type="pct"/>
            <w:vAlign w:val="bottom"/>
          </w:tcPr>
          <w:p w14:paraId="1F672596"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28</w:t>
            </w:r>
          </w:p>
        </w:tc>
        <w:tc>
          <w:tcPr>
            <w:tcW w:w="479" w:type="pct"/>
            <w:vAlign w:val="bottom"/>
          </w:tcPr>
          <w:p w14:paraId="5319A1AA"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14</w:t>
            </w:r>
          </w:p>
        </w:tc>
        <w:tc>
          <w:tcPr>
            <w:tcW w:w="677" w:type="pct"/>
            <w:vAlign w:val="bottom"/>
          </w:tcPr>
          <w:p w14:paraId="195BDD1D"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63</w:t>
            </w:r>
          </w:p>
        </w:tc>
      </w:tr>
      <w:tr w:rsidR="00272B6D" w:rsidRPr="00A32EED" w14:paraId="533B5774" w14:textId="77777777" w:rsidTr="00272B6D">
        <w:trPr>
          <w:trHeight w:val="239"/>
        </w:trPr>
        <w:tc>
          <w:tcPr>
            <w:tcW w:w="796" w:type="pct"/>
            <w:vAlign w:val="bottom"/>
          </w:tcPr>
          <w:p w14:paraId="17025DBF" w14:textId="77777777" w:rsidR="004C4C39" w:rsidRPr="00A32EED" w:rsidRDefault="004C4C39" w:rsidP="004C4C39">
            <w:pPr>
              <w:contextualSpacing/>
              <w:rPr>
                <w:rFonts w:eastAsia="Calibri" w:cs="Arial"/>
                <w:sz w:val="18"/>
                <w:szCs w:val="20"/>
              </w:rPr>
            </w:pPr>
            <w:r w:rsidRPr="00A32EED">
              <w:rPr>
                <w:rFonts w:eastAsia="Times New Roman" w:cs="Arial"/>
                <w:color w:val="000000"/>
                <w:sz w:val="18"/>
                <w:szCs w:val="20"/>
              </w:rPr>
              <w:t xml:space="preserve">Remainder </w:t>
            </w:r>
          </w:p>
        </w:tc>
        <w:tc>
          <w:tcPr>
            <w:tcW w:w="520" w:type="pct"/>
            <w:vAlign w:val="bottom"/>
          </w:tcPr>
          <w:p w14:paraId="50D32873"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2,381</w:t>
            </w:r>
          </w:p>
        </w:tc>
        <w:tc>
          <w:tcPr>
            <w:tcW w:w="365" w:type="pct"/>
            <w:vAlign w:val="bottom"/>
          </w:tcPr>
          <w:p w14:paraId="4FC3A93B"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151</w:t>
            </w:r>
          </w:p>
        </w:tc>
        <w:tc>
          <w:tcPr>
            <w:tcW w:w="479" w:type="pct"/>
            <w:vAlign w:val="bottom"/>
          </w:tcPr>
          <w:p w14:paraId="20401407"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397</w:t>
            </w:r>
          </w:p>
        </w:tc>
        <w:tc>
          <w:tcPr>
            <w:tcW w:w="383" w:type="pct"/>
            <w:vAlign w:val="bottom"/>
          </w:tcPr>
          <w:p w14:paraId="554D10FB"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341</w:t>
            </w:r>
          </w:p>
        </w:tc>
        <w:tc>
          <w:tcPr>
            <w:tcW w:w="479" w:type="pct"/>
            <w:vAlign w:val="bottom"/>
          </w:tcPr>
          <w:p w14:paraId="08914F1E"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179</w:t>
            </w:r>
          </w:p>
        </w:tc>
        <w:tc>
          <w:tcPr>
            <w:tcW w:w="480" w:type="pct"/>
            <w:vAlign w:val="bottom"/>
          </w:tcPr>
          <w:p w14:paraId="4994F4E2"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760</w:t>
            </w:r>
          </w:p>
        </w:tc>
        <w:tc>
          <w:tcPr>
            <w:tcW w:w="342" w:type="pct"/>
            <w:vAlign w:val="bottom"/>
          </w:tcPr>
          <w:p w14:paraId="72836AC6"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148</w:t>
            </w:r>
          </w:p>
        </w:tc>
        <w:tc>
          <w:tcPr>
            <w:tcW w:w="479" w:type="pct"/>
            <w:vAlign w:val="bottom"/>
          </w:tcPr>
          <w:p w14:paraId="36A4249E"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78</w:t>
            </w:r>
          </w:p>
        </w:tc>
        <w:tc>
          <w:tcPr>
            <w:tcW w:w="677" w:type="pct"/>
            <w:vAlign w:val="bottom"/>
          </w:tcPr>
          <w:p w14:paraId="521D9072" w14:textId="77777777" w:rsidR="004C4C39" w:rsidRPr="00A32EED" w:rsidRDefault="004C4C39" w:rsidP="004C4C39">
            <w:pPr>
              <w:contextualSpacing/>
              <w:jc w:val="center"/>
              <w:rPr>
                <w:rFonts w:eastAsia="Calibri" w:cs="Arial"/>
                <w:sz w:val="18"/>
                <w:szCs w:val="20"/>
              </w:rPr>
            </w:pPr>
            <w:r w:rsidRPr="00A32EED">
              <w:rPr>
                <w:rFonts w:eastAsia="Times New Roman" w:cs="Arial"/>
                <w:color w:val="000000"/>
                <w:sz w:val="18"/>
                <w:szCs w:val="20"/>
              </w:rPr>
              <w:t>327</w:t>
            </w:r>
          </w:p>
        </w:tc>
      </w:tr>
      <w:tr w:rsidR="00272B6D" w:rsidRPr="00A32EED" w14:paraId="45891439" w14:textId="77777777" w:rsidTr="00272B6D">
        <w:trPr>
          <w:trHeight w:val="239"/>
        </w:trPr>
        <w:tc>
          <w:tcPr>
            <w:tcW w:w="796" w:type="pct"/>
            <w:vAlign w:val="bottom"/>
          </w:tcPr>
          <w:p w14:paraId="2696E884" w14:textId="77777777" w:rsidR="004C4C39" w:rsidRPr="00A32EED" w:rsidRDefault="004C4C39" w:rsidP="004C4C39">
            <w:pPr>
              <w:contextualSpacing/>
              <w:jc w:val="right"/>
              <w:rPr>
                <w:rFonts w:eastAsia="Calibri" w:cs="Arial"/>
                <w:sz w:val="18"/>
                <w:szCs w:val="20"/>
              </w:rPr>
            </w:pPr>
            <w:r w:rsidRPr="00A32EED">
              <w:rPr>
                <w:rFonts w:eastAsia="Times New Roman" w:cs="Arial"/>
                <w:b/>
                <w:bCs/>
                <w:color w:val="000000"/>
                <w:sz w:val="18"/>
                <w:szCs w:val="20"/>
              </w:rPr>
              <w:t xml:space="preserve">Total </w:t>
            </w:r>
          </w:p>
        </w:tc>
        <w:tc>
          <w:tcPr>
            <w:tcW w:w="520" w:type="pct"/>
            <w:vAlign w:val="bottom"/>
          </w:tcPr>
          <w:p w14:paraId="0662CE99"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5,437</w:t>
            </w:r>
          </w:p>
        </w:tc>
        <w:tc>
          <w:tcPr>
            <w:tcW w:w="365" w:type="pct"/>
            <w:vAlign w:val="bottom"/>
          </w:tcPr>
          <w:p w14:paraId="179C715E"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339</w:t>
            </w:r>
          </w:p>
        </w:tc>
        <w:tc>
          <w:tcPr>
            <w:tcW w:w="479" w:type="pct"/>
            <w:vAlign w:val="bottom"/>
          </w:tcPr>
          <w:p w14:paraId="67B5D5F3"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895</w:t>
            </w:r>
          </w:p>
        </w:tc>
        <w:tc>
          <w:tcPr>
            <w:tcW w:w="383" w:type="pct"/>
            <w:vAlign w:val="bottom"/>
          </w:tcPr>
          <w:p w14:paraId="45DDAAF6"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783</w:t>
            </w:r>
          </w:p>
        </w:tc>
        <w:tc>
          <w:tcPr>
            <w:tcW w:w="479" w:type="pct"/>
            <w:vAlign w:val="bottom"/>
          </w:tcPr>
          <w:p w14:paraId="63F4777B"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412</w:t>
            </w:r>
          </w:p>
        </w:tc>
        <w:tc>
          <w:tcPr>
            <w:tcW w:w="480" w:type="pct"/>
            <w:vAlign w:val="bottom"/>
          </w:tcPr>
          <w:p w14:paraId="34989AE7"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1,749</w:t>
            </w:r>
          </w:p>
        </w:tc>
        <w:tc>
          <w:tcPr>
            <w:tcW w:w="342" w:type="pct"/>
            <w:vAlign w:val="bottom"/>
          </w:tcPr>
          <w:p w14:paraId="5D7B5500"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334</w:t>
            </w:r>
          </w:p>
        </w:tc>
        <w:tc>
          <w:tcPr>
            <w:tcW w:w="479" w:type="pct"/>
            <w:vAlign w:val="bottom"/>
          </w:tcPr>
          <w:p w14:paraId="5F78CCF8"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177</w:t>
            </w:r>
          </w:p>
        </w:tc>
        <w:tc>
          <w:tcPr>
            <w:tcW w:w="677" w:type="pct"/>
            <w:vAlign w:val="bottom"/>
          </w:tcPr>
          <w:p w14:paraId="385C3C7B" w14:textId="77777777" w:rsidR="004C4C39" w:rsidRPr="00A32EED" w:rsidRDefault="004C4C39" w:rsidP="004C4C39">
            <w:pPr>
              <w:contextualSpacing/>
              <w:jc w:val="center"/>
              <w:rPr>
                <w:rFonts w:eastAsia="Calibri" w:cs="Arial"/>
                <w:sz w:val="18"/>
                <w:szCs w:val="20"/>
              </w:rPr>
            </w:pPr>
            <w:r w:rsidRPr="00A32EED">
              <w:rPr>
                <w:rFonts w:eastAsia="Times New Roman" w:cs="Arial"/>
                <w:b/>
                <w:bCs/>
                <w:color w:val="000000"/>
                <w:sz w:val="18"/>
                <w:szCs w:val="20"/>
              </w:rPr>
              <w:t>748</w:t>
            </w:r>
          </w:p>
        </w:tc>
      </w:tr>
      <w:tr w:rsidR="004C4C39" w:rsidRPr="00A32EED" w14:paraId="577CF085" w14:textId="77777777" w:rsidTr="00272B6D">
        <w:trPr>
          <w:trHeight w:val="239"/>
        </w:trPr>
        <w:tc>
          <w:tcPr>
            <w:tcW w:w="5000" w:type="pct"/>
            <w:gridSpan w:val="10"/>
            <w:vAlign w:val="bottom"/>
          </w:tcPr>
          <w:p w14:paraId="36D9AADF" w14:textId="77777777" w:rsidR="004C4C39" w:rsidRPr="00A32EED" w:rsidRDefault="004C4C39" w:rsidP="004C4C39">
            <w:pPr>
              <w:contextualSpacing/>
              <w:rPr>
                <w:rFonts w:eastAsia="Times New Roman" w:cs="Arial"/>
                <w:bCs/>
                <w:i/>
                <w:color w:val="000000"/>
                <w:sz w:val="18"/>
                <w:szCs w:val="20"/>
              </w:rPr>
            </w:pPr>
            <w:r w:rsidRPr="00A32EED">
              <w:rPr>
                <w:rFonts w:eastAsia="Times New Roman" w:cs="Arial"/>
                <w:bCs/>
                <w:i/>
                <w:color w:val="000000"/>
                <w:sz w:val="18"/>
                <w:szCs w:val="20"/>
              </w:rPr>
              <w:t>Number Selected</w:t>
            </w:r>
          </w:p>
        </w:tc>
      </w:tr>
      <w:tr w:rsidR="00272B6D" w:rsidRPr="00A32EED" w14:paraId="39A71C1C" w14:textId="77777777" w:rsidTr="00272B6D">
        <w:trPr>
          <w:trHeight w:val="247"/>
        </w:trPr>
        <w:tc>
          <w:tcPr>
            <w:tcW w:w="796" w:type="pct"/>
            <w:vAlign w:val="center"/>
          </w:tcPr>
          <w:p w14:paraId="6F241167"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California </w:t>
            </w:r>
          </w:p>
        </w:tc>
        <w:tc>
          <w:tcPr>
            <w:tcW w:w="520" w:type="pct"/>
            <w:vAlign w:val="bottom"/>
          </w:tcPr>
          <w:p w14:paraId="55BC9C9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1,359</w:t>
            </w:r>
          </w:p>
        </w:tc>
        <w:tc>
          <w:tcPr>
            <w:tcW w:w="365" w:type="pct"/>
            <w:vAlign w:val="bottom"/>
          </w:tcPr>
          <w:p w14:paraId="3FD1518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89</w:t>
            </w:r>
          </w:p>
        </w:tc>
        <w:tc>
          <w:tcPr>
            <w:tcW w:w="479" w:type="pct"/>
            <w:vAlign w:val="bottom"/>
          </w:tcPr>
          <w:p w14:paraId="5C30C89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241</w:t>
            </w:r>
          </w:p>
        </w:tc>
        <w:tc>
          <w:tcPr>
            <w:tcW w:w="383" w:type="pct"/>
            <w:vAlign w:val="bottom"/>
          </w:tcPr>
          <w:p w14:paraId="568BEC9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179</w:t>
            </w:r>
          </w:p>
        </w:tc>
        <w:tc>
          <w:tcPr>
            <w:tcW w:w="479" w:type="pct"/>
            <w:vAlign w:val="bottom"/>
          </w:tcPr>
          <w:p w14:paraId="510075B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102</w:t>
            </w:r>
          </w:p>
        </w:tc>
        <w:tc>
          <w:tcPr>
            <w:tcW w:w="480" w:type="pct"/>
            <w:vAlign w:val="bottom"/>
          </w:tcPr>
          <w:p w14:paraId="19B08F9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449</w:t>
            </w:r>
          </w:p>
        </w:tc>
        <w:tc>
          <w:tcPr>
            <w:tcW w:w="342" w:type="pct"/>
            <w:vAlign w:val="bottom"/>
          </w:tcPr>
          <w:p w14:paraId="2580C6A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70</w:t>
            </w:r>
          </w:p>
        </w:tc>
        <w:tc>
          <w:tcPr>
            <w:tcW w:w="479" w:type="pct"/>
            <w:vAlign w:val="bottom"/>
          </w:tcPr>
          <w:p w14:paraId="5852D79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38</w:t>
            </w:r>
          </w:p>
        </w:tc>
        <w:tc>
          <w:tcPr>
            <w:tcW w:w="677" w:type="pct"/>
            <w:vAlign w:val="bottom"/>
          </w:tcPr>
          <w:p w14:paraId="7D261957"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191</w:t>
            </w:r>
          </w:p>
        </w:tc>
      </w:tr>
      <w:tr w:rsidR="00272B6D" w:rsidRPr="00A32EED" w14:paraId="119869E2" w14:textId="77777777" w:rsidTr="00272B6D">
        <w:trPr>
          <w:trHeight w:val="239"/>
        </w:trPr>
        <w:tc>
          <w:tcPr>
            <w:tcW w:w="796" w:type="pct"/>
            <w:vAlign w:val="center"/>
          </w:tcPr>
          <w:p w14:paraId="5AEE419A"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Florida </w:t>
            </w:r>
          </w:p>
        </w:tc>
        <w:tc>
          <w:tcPr>
            <w:tcW w:w="520" w:type="pct"/>
            <w:vAlign w:val="bottom"/>
          </w:tcPr>
          <w:p w14:paraId="01578C3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503</w:t>
            </w:r>
          </w:p>
        </w:tc>
        <w:tc>
          <w:tcPr>
            <w:tcW w:w="365" w:type="pct"/>
            <w:vAlign w:val="bottom"/>
          </w:tcPr>
          <w:p w14:paraId="16AAB03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17</w:t>
            </w:r>
          </w:p>
        </w:tc>
        <w:tc>
          <w:tcPr>
            <w:tcW w:w="479" w:type="pct"/>
            <w:vAlign w:val="bottom"/>
          </w:tcPr>
          <w:p w14:paraId="2D37C59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54</w:t>
            </w:r>
          </w:p>
        </w:tc>
        <w:tc>
          <w:tcPr>
            <w:tcW w:w="383" w:type="pct"/>
            <w:vAlign w:val="bottom"/>
          </w:tcPr>
          <w:p w14:paraId="4FA4F8E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75</w:t>
            </w:r>
          </w:p>
        </w:tc>
        <w:tc>
          <w:tcPr>
            <w:tcW w:w="479" w:type="pct"/>
            <w:vAlign w:val="bottom"/>
          </w:tcPr>
          <w:p w14:paraId="06ECB3F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39</w:t>
            </w:r>
          </w:p>
        </w:tc>
        <w:tc>
          <w:tcPr>
            <w:tcW w:w="480" w:type="pct"/>
            <w:vAlign w:val="bottom"/>
          </w:tcPr>
          <w:p w14:paraId="41C0827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209</w:t>
            </w:r>
          </w:p>
        </w:tc>
        <w:tc>
          <w:tcPr>
            <w:tcW w:w="342" w:type="pct"/>
            <w:vAlign w:val="bottom"/>
          </w:tcPr>
          <w:p w14:paraId="115AD000"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33</w:t>
            </w:r>
          </w:p>
        </w:tc>
        <w:tc>
          <w:tcPr>
            <w:tcW w:w="479" w:type="pct"/>
            <w:vAlign w:val="bottom"/>
          </w:tcPr>
          <w:p w14:paraId="63EA5AA0"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14</w:t>
            </w:r>
          </w:p>
        </w:tc>
        <w:tc>
          <w:tcPr>
            <w:tcW w:w="677" w:type="pct"/>
            <w:vAlign w:val="bottom"/>
          </w:tcPr>
          <w:p w14:paraId="30A3A90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62</w:t>
            </w:r>
          </w:p>
        </w:tc>
      </w:tr>
      <w:tr w:rsidR="00272B6D" w:rsidRPr="00A32EED" w14:paraId="6DC5E6A4" w14:textId="77777777" w:rsidTr="00272B6D">
        <w:trPr>
          <w:trHeight w:val="239"/>
        </w:trPr>
        <w:tc>
          <w:tcPr>
            <w:tcW w:w="796" w:type="pct"/>
            <w:vAlign w:val="bottom"/>
          </w:tcPr>
          <w:p w14:paraId="1F22ABA4"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Illinois </w:t>
            </w:r>
          </w:p>
        </w:tc>
        <w:tc>
          <w:tcPr>
            <w:tcW w:w="520" w:type="pct"/>
            <w:vAlign w:val="bottom"/>
          </w:tcPr>
          <w:p w14:paraId="101F705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445</w:t>
            </w:r>
          </w:p>
        </w:tc>
        <w:tc>
          <w:tcPr>
            <w:tcW w:w="365" w:type="pct"/>
            <w:vAlign w:val="bottom"/>
          </w:tcPr>
          <w:p w14:paraId="2124C70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19</w:t>
            </w:r>
          </w:p>
        </w:tc>
        <w:tc>
          <w:tcPr>
            <w:tcW w:w="479" w:type="pct"/>
            <w:vAlign w:val="bottom"/>
          </w:tcPr>
          <w:p w14:paraId="1AF4AEE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72</w:t>
            </w:r>
          </w:p>
        </w:tc>
        <w:tc>
          <w:tcPr>
            <w:tcW w:w="383" w:type="pct"/>
            <w:vAlign w:val="bottom"/>
          </w:tcPr>
          <w:p w14:paraId="37E615A7"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67</w:t>
            </w:r>
          </w:p>
        </w:tc>
        <w:tc>
          <w:tcPr>
            <w:tcW w:w="479" w:type="pct"/>
            <w:vAlign w:val="bottom"/>
          </w:tcPr>
          <w:p w14:paraId="10D983A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31</w:t>
            </w:r>
          </w:p>
        </w:tc>
        <w:tc>
          <w:tcPr>
            <w:tcW w:w="480" w:type="pct"/>
            <w:vAlign w:val="bottom"/>
          </w:tcPr>
          <w:p w14:paraId="039D8627"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147</w:t>
            </w:r>
          </w:p>
        </w:tc>
        <w:tc>
          <w:tcPr>
            <w:tcW w:w="342" w:type="pct"/>
            <w:vAlign w:val="bottom"/>
          </w:tcPr>
          <w:p w14:paraId="4D3034C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32</w:t>
            </w:r>
          </w:p>
        </w:tc>
        <w:tc>
          <w:tcPr>
            <w:tcW w:w="479" w:type="pct"/>
            <w:vAlign w:val="bottom"/>
          </w:tcPr>
          <w:p w14:paraId="4D65690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22</w:t>
            </w:r>
          </w:p>
        </w:tc>
        <w:tc>
          <w:tcPr>
            <w:tcW w:w="677" w:type="pct"/>
            <w:vAlign w:val="bottom"/>
          </w:tcPr>
          <w:p w14:paraId="467ABD8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55</w:t>
            </w:r>
          </w:p>
        </w:tc>
      </w:tr>
      <w:tr w:rsidR="00272B6D" w:rsidRPr="00A32EED" w14:paraId="761E6A38" w14:textId="77777777" w:rsidTr="00272B6D">
        <w:trPr>
          <w:trHeight w:val="239"/>
        </w:trPr>
        <w:tc>
          <w:tcPr>
            <w:tcW w:w="796" w:type="pct"/>
            <w:vAlign w:val="bottom"/>
          </w:tcPr>
          <w:p w14:paraId="5C2E126B"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Michigan </w:t>
            </w:r>
          </w:p>
        </w:tc>
        <w:tc>
          <w:tcPr>
            <w:tcW w:w="520" w:type="pct"/>
            <w:vAlign w:val="bottom"/>
          </w:tcPr>
          <w:p w14:paraId="6E8581F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435</w:t>
            </w:r>
          </w:p>
        </w:tc>
        <w:tc>
          <w:tcPr>
            <w:tcW w:w="365" w:type="pct"/>
            <w:vAlign w:val="bottom"/>
          </w:tcPr>
          <w:p w14:paraId="12D8AF10"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43</w:t>
            </w:r>
          </w:p>
        </w:tc>
        <w:tc>
          <w:tcPr>
            <w:tcW w:w="479" w:type="pct"/>
            <w:vAlign w:val="bottom"/>
          </w:tcPr>
          <w:p w14:paraId="1DC0BED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96</w:t>
            </w:r>
          </w:p>
        </w:tc>
        <w:tc>
          <w:tcPr>
            <w:tcW w:w="383" w:type="pct"/>
            <w:vAlign w:val="bottom"/>
          </w:tcPr>
          <w:p w14:paraId="0667447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60</w:t>
            </w:r>
          </w:p>
        </w:tc>
        <w:tc>
          <w:tcPr>
            <w:tcW w:w="479" w:type="pct"/>
            <w:vAlign w:val="bottom"/>
          </w:tcPr>
          <w:p w14:paraId="42BB09D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35</w:t>
            </w:r>
          </w:p>
        </w:tc>
        <w:tc>
          <w:tcPr>
            <w:tcW w:w="480" w:type="pct"/>
            <w:vAlign w:val="bottom"/>
          </w:tcPr>
          <w:p w14:paraId="1C761B5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132</w:t>
            </w:r>
          </w:p>
        </w:tc>
        <w:tc>
          <w:tcPr>
            <w:tcW w:w="342" w:type="pct"/>
            <w:vAlign w:val="bottom"/>
          </w:tcPr>
          <w:p w14:paraId="7A03609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18</w:t>
            </w:r>
          </w:p>
        </w:tc>
        <w:tc>
          <w:tcPr>
            <w:tcW w:w="479" w:type="pct"/>
            <w:vAlign w:val="bottom"/>
          </w:tcPr>
          <w:p w14:paraId="6E9E9E4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w:t>
            </w:r>
          </w:p>
        </w:tc>
        <w:tc>
          <w:tcPr>
            <w:tcW w:w="677" w:type="pct"/>
            <w:vAlign w:val="bottom"/>
          </w:tcPr>
          <w:p w14:paraId="562C21E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50</w:t>
            </w:r>
          </w:p>
        </w:tc>
      </w:tr>
      <w:tr w:rsidR="00272B6D" w:rsidRPr="00A32EED" w14:paraId="1A035549" w14:textId="77777777" w:rsidTr="00272B6D">
        <w:trPr>
          <w:trHeight w:val="239"/>
        </w:trPr>
        <w:tc>
          <w:tcPr>
            <w:tcW w:w="796" w:type="pct"/>
            <w:vAlign w:val="bottom"/>
          </w:tcPr>
          <w:p w14:paraId="07DDE07B"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New York </w:t>
            </w:r>
          </w:p>
        </w:tc>
        <w:tc>
          <w:tcPr>
            <w:tcW w:w="520" w:type="pct"/>
            <w:vAlign w:val="bottom"/>
          </w:tcPr>
          <w:p w14:paraId="65F9852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686</w:t>
            </w:r>
          </w:p>
        </w:tc>
        <w:tc>
          <w:tcPr>
            <w:tcW w:w="365" w:type="pct"/>
            <w:vAlign w:val="bottom"/>
          </w:tcPr>
          <w:p w14:paraId="30762B6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63</w:t>
            </w:r>
          </w:p>
        </w:tc>
        <w:tc>
          <w:tcPr>
            <w:tcW w:w="479" w:type="pct"/>
            <w:vAlign w:val="bottom"/>
          </w:tcPr>
          <w:p w14:paraId="406B8FB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160</w:t>
            </w:r>
          </w:p>
        </w:tc>
        <w:tc>
          <w:tcPr>
            <w:tcW w:w="383" w:type="pct"/>
            <w:vAlign w:val="bottom"/>
          </w:tcPr>
          <w:p w14:paraId="7974568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73</w:t>
            </w:r>
          </w:p>
        </w:tc>
        <w:tc>
          <w:tcPr>
            <w:tcW w:w="479" w:type="pct"/>
            <w:vAlign w:val="bottom"/>
          </w:tcPr>
          <w:p w14:paraId="7F27B7E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29</w:t>
            </w:r>
          </w:p>
        </w:tc>
        <w:tc>
          <w:tcPr>
            <w:tcW w:w="480" w:type="pct"/>
            <w:vAlign w:val="bottom"/>
          </w:tcPr>
          <w:p w14:paraId="31C8054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213</w:t>
            </w:r>
          </w:p>
        </w:tc>
        <w:tc>
          <w:tcPr>
            <w:tcW w:w="342" w:type="pct"/>
            <w:vAlign w:val="bottom"/>
          </w:tcPr>
          <w:p w14:paraId="617FF45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45</w:t>
            </w:r>
          </w:p>
        </w:tc>
        <w:tc>
          <w:tcPr>
            <w:tcW w:w="479" w:type="pct"/>
            <w:vAlign w:val="bottom"/>
          </w:tcPr>
          <w:p w14:paraId="04CED07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9</w:t>
            </w:r>
          </w:p>
        </w:tc>
        <w:tc>
          <w:tcPr>
            <w:tcW w:w="677" w:type="pct"/>
            <w:vAlign w:val="bottom"/>
          </w:tcPr>
          <w:p w14:paraId="0D1FDA3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94</w:t>
            </w:r>
          </w:p>
        </w:tc>
      </w:tr>
      <w:tr w:rsidR="00272B6D" w:rsidRPr="00A32EED" w14:paraId="14A81127" w14:textId="77777777" w:rsidTr="00272B6D">
        <w:trPr>
          <w:trHeight w:val="239"/>
        </w:trPr>
        <w:tc>
          <w:tcPr>
            <w:tcW w:w="796" w:type="pct"/>
            <w:vAlign w:val="bottom"/>
          </w:tcPr>
          <w:p w14:paraId="0CEB9B2D"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Ohio </w:t>
            </w:r>
          </w:p>
        </w:tc>
        <w:tc>
          <w:tcPr>
            <w:tcW w:w="520" w:type="pct"/>
            <w:vAlign w:val="bottom"/>
          </w:tcPr>
          <w:p w14:paraId="45ACD607"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433</w:t>
            </w:r>
          </w:p>
        </w:tc>
        <w:tc>
          <w:tcPr>
            <w:tcW w:w="365" w:type="pct"/>
            <w:vAlign w:val="bottom"/>
          </w:tcPr>
          <w:p w14:paraId="129BABB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27</w:t>
            </w:r>
          </w:p>
        </w:tc>
        <w:tc>
          <w:tcPr>
            <w:tcW w:w="479" w:type="pct"/>
            <w:vAlign w:val="bottom"/>
          </w:tcPr>
          <w:p w14:paraId="7917C899"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85</w:t>
            </w:r>
          </w:p>
        </w:tc>
        <w:tc>
          <w:tcPr>
            <w:tcW w:w="383" w:type="pct"/>
            <w:vAlign w:val="bottom"/>
          </w:tcPr>
          <w:p w14:paraId="2077811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60</w:t>
            </w:r>
          </w:p>
        </w:tc>
        <w:tc>
          <w:tcPr>
            <w:tcW w:w="479" w:type="pct"/>
            <w:vAlign w:val="bottom"/>
          </w:tcPr>
          <w:p w14:paraId="23A0B57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32</w:t>
            </w:r>
          </w:p>
        </w:tc>
        <w:tc>
          <w:tcPr>
            <w:tcW w:w="480" w:type="pct"/>
            <w:vAlign w:val="bottom"/>
          </w:tcPr>
          <w:p w14:paraId="675E42B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128</w:t>
            </w:r>
          </w:p>
        </w:tc>
        <w:tc>
          <w:tcPr>
            <w:tcW w:w="342" w:type="pct"/>
            <w:vAlign w:val="bottom"/>
          </w:tcPr>
          <w:p w14:paraId="2633227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30</w:t>
            </w:r>
          </w:p>
        </w:tc>
        <w:tc>
          <w:tcPr>
            <w:tcW w:w="479" w:type="pct"/>
            <w:vAlign w:val="bottom"/>
          </w:tcPr>
          <w:p w14:paraId="12BD9529"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19</w:t>
            </w:r>
          </w:p>
        </w:tc>
        <w:tc>
          <w:tcPr>
            <w:tcW w:w="677" w:type="pct"/>
            <w:vAlign w:val="bottom"/>
          </w:tcPr>
          <w:p w14:paraId="0E0FF14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52</w:t>
            </w:r>
          </w:p>
        </w:tc>
      </w:tr>
      <w:tr w:rsidR="00272B6D" w:rsidRPr="00A32EED" w14:paraId="4086DEE8" w14:textId="77777777" w:rsidTr="00272B6D">
        <w:trPr>
          <w:trHeight w:val="239"/>
        </w:trPr>
        <w:tc>
          <w:tcPr>
            <w:tcW w:w="796" w:type="pct"/>
            <w:vAlign w:val="bottom"/>
          </w:tcPr>
          <w:p w14:paraId="0EA6CF46"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Pennsylvania </w:t>
            </w:r>
          </w:p>
        </w:tc>
        <w:tc>
          <w:tcPr>
            <w:tcW w:w="520" w:type="pct"/>
            <w:vAlign w:val="bottom"/>
          </w:tcPr>
          <w:p w14:paraId="306A7C8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439</w:t>
            </w:r>
          </w:p>
        </w:tc>
        <w:tc>
          <w:tcPr>
            <w:tcW w:w="365" w:type="pct"/>
            <w:vAlign w:val="bottom"/>
          </w:tcPr>
          <w:p w14:paraId="00394269"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27</w:t>
            </w:r>
          </w:p>
        </w:tc>
        <w:tc>
          <w:tcPr>
            <w:tcW w:w="479" w:type="pct"/>
            <w:vAlign w:val="bottom"/>
          </w:tcPr>
          <w:p w14:paraId="2FB55C0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75</w:t>
            </w:r>
          </w:p>
        </w:tc>
        <w:tc>
          <w:tcPr>
            <w:tcW w:w="383" w:type="pct"/>
            <w:vAlign w:val="bottom"/>
          </w:tcPr>
          <w:p w14:paraId="5B9981D7"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51</w:t>
            </w:r>
          </w:p>
        </w:tc>
        <w:tc>
          <w:tcPr>
            <w:tcW w:w="479" w:type="pct"/>
            <w:vAlign w:val="bottom"/>
          </w:tcPr>
          <w:p w14:paraId="2B170DE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32</w:t>
            </w:r>
          </w:p>
        </w:tc>
        <w:tc>
          <w:tcPr>
            <w:tcW w:w="480" w:type="pct"/>
            <w:vAlign w:val="bottom"/>
          </w:tcPr>
          <w:p w14:paraId="2E7CB62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150</w:t>
            </w:r>
          </w:p>
        </w:tc>
        <w:tc>
          <w:tcPr>
            <w:tcW w:w="342" w:type="pct"/>
            <w:vAlign w:val="bottom"/>
          </w:tcPr>
          <w:p w14:paraId="0165A7B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28</w:t>
            </w:r>
          </w:p>
        </w:tc>
        <w:tc>
          <w:tcPr>
            <w:tcW w:w="479" w:type="pct"/>
            <w:vAlign w:val="bottom"/>
          </w:tcPr>
          <w:p w14:paraId="33E05A1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22</w:t>
            </w:r>
          </w:p>
        </w:tc>
        <w:tc>
          <w:tcPr>
            <w:tcW w:w="677" w:type="pct"/>
            <w:vAlign w:val="bottom"/>
          </w:tcPr>
          <w:p w14:paraId="40EC33A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54</w:t>
            </w:r>
          </w:p>
        </w:tc>
      </w:tr>
      <w:tr w:rsidR="00272B6D" w:rsidRPr="00A32EED" w14:paraId="5066038B" w14:textId="77777777" w:rsidTr="00272B6D">
        <w:trPr>
          <w:trHeight w:val="239"/>
        </w:trPr>
        <w:tc>
          <w:tcPr>
            <w:tcW w:w="796" w:type="pct"/>
            <w:vAlign w:val="bottom"/>
          </w:tcPr>
          <w:p w14:paraId="112239DC"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Texas </w:t>
            </w:r>
          </w:p>
        </w:tc>
        <w:tc>
          <w:tcPr>
            <w:tcW w:w="520" w:type="pct"/>
            <w:vAlign w:val="bottom"/>
          </w:tcPr>
          <w:p w14:paraId="69125CA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683</w:t>
            </w:r>
          </w:p>
        </w:tc>
        <w:tc>
          <w:tcPr>
            <w:tcW w:w="365" w:type="pct"/>
            <w:vAlign w:val="bottom"/>
          </w:tcPr>
          <w:p w14:paraId="0079413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48</w:t>
            </w:r>
          </w:p>
        </w:tc>
        <w:tc>
          <w:tcPr>
            <w:tcW w:w="479" w:type="pct"/>
            <w:vAlign w:val="bottom"/>
          </w:tcPr>
          <w:p w14:paraId="46C6DC6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133</w:t>
            </w:r>
          </w:p>
        </w:tc>
        <w:tc>
          <w:tcPr>
            <w:tcW w:w="383" w:type="pct"/>
            <w:vAlign w:val="bottom"/>
          </w:tcPr>
          <w:p w14:paraId="5603237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97</w:t>
            </w:r>
          </w:p>
        </w:tc>
        <w:tc>
          <w:tcPr>
            <w:tcW w:w="479" w:type="pct"/>
            <w:vAlign w:val="bottom"/>
          </w:tcPr>
          <w:p w14:paraId="517406F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54</w:t>
            </w:r>
          </w:p>
        </w:tc>
        <w:tc>
          <w:tcPr>
            <w:tcW w:w="480" w:type="pct"/>
            <w:vAlign w:val="bottom"/>
          </w:tcPr>
          <w:p w14:paraId="6B3CD65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202</w:t>
            </w:r>
          </w:p>
        </w:tc>
        <w:tc>
          <w:tcPr>
            <w:tcW w:w="342" w:type="pct"/>
            <w:vAlign w:val="bottom"/>
          </w:tcPr>
          <w:p w14:paraId="17F713C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41</w:t>
            </w:r>
          </w:p>
        </w:tc>
        <w:tc>
          <w:tcPr>
            <w:tcW w:w="479" w:type="pct"/>
            <w:vAlign w:val="bottom"/>
          </w:tcPr>
          <w:p w14:paraId="7CBDB8A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23</w:t>
            </w:r>
          </w:p>
        </w:tc>
        <w:tc>
          <w:tcPr>
            <w:tcW w:w="677" w:type="pct"/>
            <w:vAlign w:val="bottom"/>
          </w:tcPr>
          <w:p w14:paraId="15614A2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85</w:t>
            </w:r>
          </w:p>
        </w:tc>
      </w:tr>
      <w:tr w:rsidR="00272B6D" w:rsidRPr="00A32EED" w14:paraId="3B1CB7BF" w14:textId="77777777" w:rsidTr="00272B6D">
        <w:trPr>
          <w:trHeight w:val="239"/>
        </w:trPr>
        <w:tc>
          <w:tcPr>
            <w:tcW w:w="796" w:type="pct"/>
            <w:vAlign w:val="bottom"/>
          </w:tcPr>
          <w:p w14:paraId="74A2DBBC"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Remainder </w:t>
            </w:r>
          </w:p>
        </w:tc>
        <w:tc>
          <w:tcPr>
            <w:tcW w:w="520" w:type="pct"/>
            <w:vAlign w:val="bottom"/>
          </w:tcPr>
          <w:p w14:paraId="26D4BF3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3,978</w:t>
            </w:r>
          </w:p>
        </w:tc>
        <w:tc>
          <w:tcPr>
            <w:tcW w:w="365" w:type="pct"/>
            <w:vAlign w:val="bottom"/>
          </w:tcPr>
          <w:p w14:paraId="4AB9A8C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262</w:t>
            </w:r>
          </w:p>
        </w:tc>
        <w:tc>
          <w:tcPr>
            <w:tcW w:w="479" w:type="pct"/>
            <w:vAlign w:val="bottom"/>
          </w:tcPr>
          <w:p w14:paraId="4F8CD2C7"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999</w:t>
            </w:r>
          </w:p>
        </w:tc>
        <w:tc>
          <w:tcPr>
            <w:tcW w:w="383" w:type="pct"/>
            <w:vAlign w:val="bottom"/>
          </w:tcPr>
          <w:p w14:paraId="687EF92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472</w:t>
            </w:r>
          </w:p>
        </w:tc>
        <w:tc>
          <w:tcPr>
            <w:tcW w:w="479" w:type="pct"/>
            <w:vAlign w:val="bottom"/>
          </w:tcPr>
          <w:p w14:paraId="6A2842D9"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264</w:t>
            </w:r>
          </w:p>
        </w:tc>
        <w:tc>
          <w:tcPr>
            <w:tcW w:w="480" w:type="pct"/>
            <w:vAlign w:val="bottom"/>
          </w:tcPr>
          <w:p w14:paraId="2599733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1,187</w:t>
            </w:r>
          </w:p>
        </w:tc>
        <w:tc>
          <w:tcPr>
            <w:tcW w:w="342" w:type="pct"/>
            <w:vAlign w:val="bottom"/>
          </w:tcPr>
          <w:p w14:paraId="0AE5226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204</w:t>
            </w:r>
          </w:p>
        </w:tc>
        <w:tc>
          <w:tcPr>
            <w:tcW w:w="479" w:type="pct"/>
            <w:vAlign w:val="bottom"/>
          </w:tcPr>
          <w:p w14:paraId="1364953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104</w:t>
            </w:r>
          </w:p>
        </w:tc>
        <w:tc>
          <w:tcPr>
            <w:tcW w:w="677" w:type="pct"/>
            <w:vAlign w:val="bottom"/>
          </w:tcPr>
          <w:p w14:paraId="14BD3EB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486</w:t>
            </w:r>
          </w:p>
        </w:tc>
      </w:tr>
      <w:tr w:rsidR="00272B6D" w:rsidRPr="00A32EED" w14:paraId="5D629C36" w14:textId="77777777" w:rsidTr="00272B6D">
        <w:trPr>
          <w:trHeight w:val="239"/>
        </w:trPr>
        <w:tc>
          <w:tcPr>
            <w:tcW w:w="796" w:type="pct"/>
            <w:vAlign w:val="bottom"/>
          </w:tcPr>
          <w:p w14:paraId="57C1E11E" w14:textId="77777777" w:rsidR="004C4C39" w:rsidRPr="00A32EED" w:rsidRDefault="004C4C39" w:rsidP="004C4C39">
            <w:pPr>
              <w:contextualSpacing/>
              <w:jc w:val="right"/>
              <w:rPr>
                <w:rFonts w:eastAsia="Times New Roman" w:cs="Arial"/>
                <w:b/>
                <w:bCs/>
                <w:color w:val="000000"/>
                <w:sz w:val="18"/>
                <w:szCs w:val="20"/>
              </w:rPr>
            </w:pPr>
            <w:r w:rsidRPr="00A32EED">
              <w:rPr>
                <w:rFonts w:eastAsia="Times New Roman" w:cs="Arial"/>
                <w:b/>
                <w:bCs/>
                <w:color w:val="000000"/>
                <w:sz w:val="18"/>
                <w:szCs w:val="20"/>
              </w:rPr>
              <w:t>Total</w:t>
            </w:r>
          </w:p>
        </w:tc>
        <w:tc>
          <w:tcPr>
            <w:tcW w:w="520" w:type="pct"/>
            <w:vAlign w:val="bottom"/>
          </w:tcPr>
          <w:p w14:paraId="43E627B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8,961</w:t>
            </w:r>
          </w:p>
        </w:tc>
        <w:tc>
          <w:tcPr>
            <w:tcW w:w="365" w:type="pct"/>
            <w:vAlign w:val="bottom"/>
          </w:tcPr>
          <w:p w14:paraId="6F8EA64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595</w:t>
            </w:r>
          </w:p>
        </w:tc>
        <w:tc>
          <w:tcPr>
            <w:tcW w:w="479" w:type="pct"/>
            <w:vAlign w:val="bottom"/>
          </w:tcPr>
          <w:p w14:paraId="4E8E6D07"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1,915</w:t>
            </w:r>
          </w:p>
        </w:tc>
        <w:tc>
          <w:tcPr>
            <w:tcW w:w="383" w:type="pct"/>
            <w:vAlign w:val="bottom"/>
          </w:tcPr>
          <w:p w14:paraId="48F9810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1,134</w:t>
            </w:r>
          </w:p>
        </w:tc>
        <w:tc>
          <w:tcPr>
            <w:tcW w:w="479" w:type="pct"/>
            <w:vAlign w:val="bottom"/>
          </w:tcPr>
          <w:p w14:paraId="26D7E16E" w14:textId="77777777" w:rsidR="004C4C39" w:rsidRPr="00A32EED" w:rsidRDefault="004C4C39" w:rsidP="004C4C39">
            <w:pPr>
              <w:ind w:left="-136"/>
              <w:contextualSpacing/>
              <w:jc w:val="center"/>
              <w:rPr>
                <w:rFonts w:eastAsia="Times New Roman" w:cs="Arial"/>
                <w:b/>
                <w:bCs/>
                <w:color w:val="000000"/>
                <w:sz w:val="18"/>
                <w:szCs w:val="20"/>
              </w:rPr>
            </w:pPr>
            <w:r w:rsidRPr="00A32EED">
              <w:rPr>
                <w:rFonts w:eastAsia="Times New Roman" w:cs="Arial"/>
                <w:b/>
                <w:bCs/>
                <w:color w:val="000000"/>
                <w:sz w:val="18"/>
                <w:szCs w:val="20"/>
              </w:rPr>
              <w:t>618</w:t>
            </w:r>
          </w:p>
        </w:tc>
        <w:tc>
          <w:tcPr>
            <w:tcW w:w="480" w:type="pct"/>
            <w:vAlign w:val="bottom"/>
          </w:tcPr>
          <w:p w14:paraId="42F0046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2,817</w:t>
            </w:r>
          </w:p>
        </w:tc>
        <w:tc>
          <w:tcPr>
            <w:tcW w:w="342" w:type="pct"/>
            <w:vAlign w:val="bottom"/>
          </w:tcPr>
          <w:p w14:paraId="0CE62CF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501</w:t>
            </w:r>
          </w:p>
        </w:tc>
        <w:tc>
          <w:tcPr>
            <w:tcW w:w="479" w:type="pct"/>
            <w:vAlign w:val="bottom"/>
          </w:tcPr>
          <w:p w14:paraId="75583DD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252</w:t>
            </w:r>
          </w:p>
        </w:tc>
        <w:tc>
          <w:tcPr>
            <w:tcW w:w="677" w:type="pct"/>
            <w:vAlign w:val="bottom"/>
          </w:tcPr>
          <w:p w14:paraId="55489AA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1,129</w:t>
            </w:r>
          </w:p>
        </w:tc>
      </w:tr>
      <w:tr w:rsidR="004C4C39" w:rsidRPr="00A32EED" w14:paraId="157C509D" w14:textId="77777777" w:rsidTr="00272B6D">
        <w:trPr>
          <w:trHeight w:val="239"/>
        </w:trPr>
        <w:tc>
          <w:tcPr>
            <w:tcW w:w="5000" w:type="pct"/>
            <w:gridSpan w:val="10"/>
            <w:vAlign w:val="bottom"/>
          </w:tcPr>
          <w:p w14:paraId="2B0FBAC1" w14:textId="77777777" w:rsidR="004C4C39" w:rsidRPr="00A32EED" w:rsidRDefault="004C4C39" w:rsidP="004C4C39">
            <w:pPr>
              <w:contextualSpacing/>
              <w:rPr>
                <w:rFonts w:eastAsia="Times New Roman" w:cs="Arial"/>
                <w:bCs/>
                <w:i/>
                <w:color w:val="000000"/>
                <w:sz w:val="18"/>
                <w:szCs w:val="20"/>
              </w:rPr>
            </w:pPr>
            <w:r w:rsidRPr="00A32EED">
              <w:rPr>
                <w:rFonts w:eastAsia="Times New Roman" w:cs="Arial"/>
                <w:bCs/>
                <w:i/>
                <w:color w:val="000000"/>
                <w:sz w:val="18"/>
                <w:szCs w:val="20"/>
              </w:rPr>
              <w:t>Responding Sample Size</w:t>
            </w:r>
          </w:p>
        </w:tc>
      </w:tr>
      <w:tr w:rsidR="00272B6D" w:rsidRPr="00A32EED" w14:paraId="1A1CBFB7" w14:textId="77777777" w:rsidTr="00272B6D">
        <w:trPr>
          <w:trHeight w:val="239"/>
        </w:trPr>
        <w:tc>
          <w:tcPr>
            <w:tcW w:w="796" w:type="pct"/>
            <w:vAlign w:val="center"/>
          </w:tcPr>
          <w:p w14:paraId="5D2D49FC"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California </w:t>
            </w:r>
          </w:p>
        </w:tc>
        <w:tc>
          <w:tcPr>
            <w:tcW w:w="520" w:type="pct"/>
            <w:vAlign w:val="bottom"/>
          </w:tcPr>
          <w:p w14:paraId="2D7C362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695</w:t>
            </w:r>
          </w:p>
        </w:tc>
        <w:tc>
          <w:tcPr>
            <w:tcW w:w="365" w:type="pct"/>
            <w:vAlign w:val="bottom"/>
          </w:tcPr>
          <w:p w14:paraId="1136DF7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53</w:t>
            </w:r>
          </w:p>
        </w:tc>
        <w:tc>
          <w:tcPr>
            <w:tcW w:w="479" w:type="pct"/>
            <w:vAlign w:val="bottom"/>
          </w:tcPr>
          <w:p w14:paraId="0128D6B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113</w:t>
            </w:r>
          </w:p>
        </w:tc>
        <w:tc>
          <w:tcPr>
            <w:tcW w:w="383" w:type="pct"/>
            <w:vAlign w:val="bottom"/>
          </w:tcPr>
          <w:p w14:paraId="16C2F51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105</w:t>
            </w:r>
          </w:p>
        </w:tc>
        <w:tc>
          <w:tcPr>
            <w:tcW w:w="479" w:type="pct"/>
            <w:vAlign w:val="bottom"/>
          </w:tcPr>
          <w:p w14:paraId="50404FF0"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53</w:t>
            </w:r>
          </w:p>
        </w:tc>
        <w:tc>
          <w:tcPr>
            <w:tcW w:w="480" w:type="pct"/>
            <w:vAlign w:val="bottom"/>
          </w:tcPr>
          <w:p w14:paraId="4E47897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191</w:t>
            </w:r>
          </w:p>
        </w:tc>
        <w:tc>
          <w:tcPr>
            <w:tcW w:w="342" w:type="pct"/>
            <w:vAlign w:val="bottom"/>
          </w:tcPr>
          <w:p w14:paraId="297138C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45</w:t>
            </w:r>
          </w:p>
        </w:tc>
        <w:tc>
          <w:tcPr>
            <w:tcW w:w="479" w:type="pct"/>
            <w:vAlign w:val="bottom"/>
          </w:tcPr>
          <w:p w14:paraId="779CEE8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21</w:t>
            </w:r>
          </w:p>
        </w:tc>
        <w:tc>
          <w:tcPr>
            <w:tcW w:w="677" w:type="pct"/>
            <w:vAlign w:val="bottom"/>
          </w:tcPr>
          <w:p w14:paraId="5A76C97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114</w:t>
            </w:r>
          </w:p>
        </w:tc>
      </w:tr>
      <w:tr w:rsidR="00272B6D" w:rsidRPr="00A32EED" w14:paraId="3CB170FA" w14:textId="77777777" w:rsidTr="00272B6D">
        <w:trPr>
          <w:trHeight w:val="239"/>
        </w:trPr>
        <w:tc>
          <w:tcPr>
            <w:tcW w:w="796" w:type="pct"/>
            <w:vAlign w:val="center"/>
          </w:tcPr>
          <w:p w14:paraId="5BF39A42"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Florida </w:t>
            </w:r>
          </w:p>
        </w:tc>
        <w:tc>
          <w:tcPr>
            <w:tcW w:w="520" w:type="pct"/>
            <w:vAlign w:val="bottom"/>
          </w:tcPr>
          <w:p w14:paraId="2B71BA7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298</w:t>
            </w:r>
          </w:p>
        </w:tc>
        <w:tc>
          <w:tcPr>
            <w:tcW w:w="365" w:type="pct"/>
            <w:vAlign w:val="bottom"/>
          </w:tcPr>
          <w:p w14:paraId="450AE43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8</w:t>
            </w:r>
          </w:p>
        </w:tc>
        <w:tc>
          <w:tcPr>
            <w:tcW w:w="479" w:type="pct"/>
            <w:vAlign w:val="bottom"/>
          </w:tcPr>
          <w:p w14:paraId="4DE2A17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28</w:t>
            </w:r>
          </w:p>
        </w:tc>
        <w:tc>
          <w:tcPr>
            <w:tcW w:w="383" w:type="pct"/>
            <w:vAlign w:val="bottom"/>
          </w:tcPr>
          <w:p w14:paraId="0A586F7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45</w:t>
            </w:r>
          </w:p>
        </w:tc>
        <w:tc>
          <w:tcPr>
            <w:tcW w:w="479" w:type="pct"/>
            <w:vAlign w:val="bottom"/>
          </w:tcPr>
          <w:p w14:paraId="7DB965B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26</w:t>
            </w:r>
          </w:p>
        </w:tc>
        <w:tc>
          <w:tcPr>
            <w:tcW w:w="480" w:type="pct"/>
            <w:vAlign w:val="bottom"/>
          </w:tcPr>
          <w:p w14:paraId="4C80523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114</w:t>
            </w:r>
          </w:p>
        </w:tc>
        <w:tc>
          <w:tcPr>
            <w:tcW w:w="342" w:type="pct"/>
            <w:vAlign w:val="bottom"/>
          </w:tcPr>
          <w:p w14:paraId="71DE999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21</w:t>
            </w:r>
          </w:p>
        </w:tc>
        <w:tc>
          <w:tcPr>
            <w:tcW w:w="479" w:type="pct"/>
            <w:vAlign w:val="bottom"/>
          </w:tcPr>
          <w:p w14:paraId="03B703A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11</w:t>
            </w:r>
          </w:p>
        </w:tc>
        <w:tc>
          <w:tcPr>
            <w:tcW w:w="677" w:type="pct"/>
            <w:vAlign w:val="bottom"/>
          </w:tcPr>
          <w:p w14:paraId="1F13264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45</w:t>
            </w:r>
          </w:p>
        </w:tc>
      </w:tr>
      <w:tr w:rsidR="00272B6D" w:rsidRPr="00A32EED" w14:paraId="71503FD9" w14:textId="77777777" w:rsidTr="00272B6D">
        <w:trPr>
          <w:trHeight w:val="239"/>
        </w:trPr>
        <w:tc>
          <w:tcPr>
            <w:tcW w:w="796" w:type="pct"/>
            <w:vAlign w:val="bottom"/>
          </w:tcPr>
          <w:p w14:paraId="7E47FD36"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Illinois </w:t>
            </w:r>
          </w:p>
        </w:tc>
        <w:tc>
          <w:tcPr>
            <w:tcW w:w="520" w:type="pct"/>
            <w:vAlign w:val="bottom"/>
          </w:tcPr>
          <w:p w14:paraId="2AC9EB0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285</w:t>
            </w:r>
          </w:p>
        </w:tc>
        <w:tc>
          <w:tcPr>
            <w:tcW w:w="365" w:type="pct"/>
            <w:vAlign w:val="bottom"/>
          </w:tcPr>
          <w:p w14:paraId="1F49CF99"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15</w:t>
            </w:r>
          </w:p>
        </w:tc>
        <w:tc>
          <w:tcPr>
            <w:tcW w:w="479" w:type="pct"/>
            <w:vAlign w:val="bottom"/>
          </w:tcPr>
          <w:p w14:paraId="6DADDD9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45</w:t>
            </w:r>
          </w:p>
        </w:tc>
        <w:tc>
          <w:tcPr>
            <w:tcW w:w="383" w:type="pct"/>
            <w:vAlign w:val="bottom"/>
          </w:tcPr>
          <w:p w14:paraId="421A24B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43</w:t>
            </w:r>
          </w:p>
        </w:tc>
        <w:tc>
          <w:tcPr>
            <w:tcW w:w="479" w:type="pct"/>
            <w:vAlign w:val="bottom"/>
          </w:tcPr>
          <w:p w14:paraId="7FFEA7D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15</w:t>
            </w:r>
          </w:p>
        </w:tc>
        <w:tc>
          <w:tcPr>
            <w:tcW w:w="480" w:type="pct"/>
            <w:vAlign w:val="bottom"/>
          </w:tcPr>
          <w:p w14:paraId="6779C18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87</w:t>
            </w:r>
          </w:p>
        </w:tc>
        <w:tc>
          <w:tcPr>
            <w:tcW w:w="342" w:type="pct"/>
            <w:vAlign w:val="bottom"/>
          </w:tcPr>
          <w:p w14:paraId="4501B9B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27</w:t>
            </w:r>
          </w:p>
        </w:tc>
        <w:tc>
          <w:tcPr>
            <w:tcW w:w="479" w:type="pct"/>
            <w:vAlign w:val="bottom"/>
          </w:tcPr>
          <w:p w14:paraId="6E3DCC3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15</w:t>
            </w:r>
          </w:p>
        </w:tc>
        <w:tc>
          <w:tcPr>
            <w:tcW w:w="677" w:type="pct"/>
            <w:vAlign w:val="bottom"/>
          </w:tcPr>
          <w:p w14:paraId="53D018B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38</w:t>
            </w:r>
          </w:p>
        </w:tc>
      </w:tr>
      <w:tr w:rsidR="00272B6D" w:rsidRPr="00A32EED" w14:paraId="4A34F08D" w14:textId="77777777" w:rsidTr="00272B6D">
        <w:trPr>
          <w:trHeight w:val="239"/>
        </w:trPr>
        <w:tc>
          <w:tcPr>
            <w:tcW w:w="796" w:type="pct"/>
            <w:vAlign w:val="bottom"/>
          </w:tcPr>
          <w:p w14:paraId="2EAE6A35" w14:textId="77777777" w:rsidR="004C4C39" w:rsidRPr="00A32EED" w:rsidRDefault="004C4C39" w:rsidP="004C4C39">
            <w:pPr>
              <w:contextualSpacing/>
              <w:rPr>
                <w:rFonts w:eastAsia="Times New Roman" w:cs="Arial"/>
                <w:color w:val="000000"/>
                <w:sz w:val="18"/>
                <w:szCs w:val="20"/>
              </w:rPr>
            </w:pPr>
            <w:r w:rsidRPr="00A32EED">
              <w:rPr>
                <w:rFonts w:eastAsia="Times New Roman" w:cs="Arial"/>
                <w:color w:val="000000"/>
                <w:sz w:val="18"/>
                <w:szCs w:val="20"/>
              </w:rPr>
              <w:t>Michigan</w:t>
            </w:r>
          </w:p>
        </w:tc>
        <w:tc>
          <w:tcPr>
            <w:tcW w:w="520" w:type="pct"/>
            <w:vAlign w:val="bottom"/>
          </w:tcPr>
          <w:p w14:paraId="742D4F30"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336</w:t>
            </w:r>
          </w:p>
        </w:tc>
        <w:tc>
          <w:tcPr>
            <w:tcW w:w="365" w:type="pct"/>
            <w:vAlign w:val="bottom"/>
          </w:tcPr>
          <w:p w14:paraId="0943DFC6"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33</w:t>
            </w:r>
          </w:p>
        </w:tc>
        <w:tc>
          <w:tcPr>
            <w:tcW w:w="479" w:type="pct"/>
            <w:vAlign w:val="bottom"/>
          </w:tcPr>
          <w:p w14:paraId="0BEC61CF"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64</w:t>
            </w:r>
          </w:p>
        </w:tc>
        <w:tc>
          <w:tcPr>
            <w:tcW w:w="383" w:type="pct"/>
            <w:vAlign w:val="bottom"/>
          </w:tcPr>
          <w:p w14:paraId="0671027E"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48</w:t>
            </w:r>
          </w:p>
        </w:tc>
        <w:tc>
          <w:tcPr>
            <w:tcW w:w="479" w:type="pct"/>
            <w:vAlign w:val="bottom"/>
          </w:tcPr>
          <w:p w14:paraId="38794968"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26</w:t>
            </w:r>
          </w:p>
        </w:tc>
        <w:tc>
          <w:tcPr>
            <w:tcW w:w="480" w:type="pct"/>
            <w:vAlign w:val="bottom"/>
          </w:tcPr>
          <w:p w14:paraId="2001E603"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107</w:t>
            </w:r>
          </w:p>
        </w:tc>
        <w:tc>
          <w:tcPr>
            <w:tcW w:w="342" w:type="pct"/>
            <w:vAlign w:val="bottom"/>
          </w:tcPr>
          <w:p w14:paraId="03E1C2A8"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16</w:t>
            </w:r>
          </w:p>
        </w:tc>
        <w:tc>
          <w:tcPr>
            <w:tcW w:w="479" w:type="pct"/>
            <w:vAlign w:val="bottom"/>
          </w:tcPr>
          <w:p w14:paraId="06F5580A"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1</w:t>
            </w:r>
          </w:p>
        </w:tc>
        <w:tc>
          <w:tcPr>
            <w:tcW w:w="677" w:type="pct"/>
            <w:vAlign w:val="bottom"/>
          </w:tcPr>
          <w:p w14:paraId="0D3F232B" w14:textId="77777777" w:rsidR="004C4C39" w:rsidRPr="00A32EED" w:rsidRDefault="004C4C39" w:rsidP="004C4C39">
            <w:pPr>
              <w:contextualSpacing/>
              <w:jc w:val="center"/>
              <w:rPr>
                <w:rFonts w:eastAsia="Times New Roman" w:cs="Arial"/>
                <w:color w:val="000000"/>
                <w:sz w:val="18"/>
                <w:szCs w:val="20"/>
              </w:rPr>
            </w:pPr>
            <w:r w:rsidRPr="00A32EED">
              <w:rPr>
                <w:rFonts w:eastAsia="Times New Roman" w:cs="Arial"/>
                <w:color w:val="000000"/>
                <w:sz w:val="18"/>
                <w:szCs w:val="20"/>
              </w:rPr>
              <w:t>41</w:t>
            </w:r>
          </w:p>
        </w:tc>
      </w:tr>
      <w:tr w:rsidR="00272B6D" w:rsidRPr="00A32EED" w14:paraId="6BF2E3E8" w14:textId="77777777" w:rsidTr="00272B6D">
        <w:trPr>
          <w:trHeight w:val="239"/>
        </w:trPr>
        <w:tc>
          <w:tcPr>
            <w:tcW w:w="796" w:type="pct"/>
            <w:vAlign w:val="bottom"/>
          </w:tcPr>
          <w:p w14:paraId="6BFD3972"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New York </w:t>
            </w:r>
          </w:p>
        </w:tc>
        <w:tc>
          <w:tcPr>
            <w:tcW w:w="520" w:type="pct"/>
            <w:vAlign w:val="bottom"/>
          </w:tcPr>
          <w:p w14:paraId="6C91BDA7"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408</w:t>
            </w:r>
          </w:p>
        </w:tc>
        <w:tc>
          <w:tcPr>
            <w:tcW w:w="365" w:type="pct"/>
            <w:vAlign w:val="bottom"/>
          </w:tcPr>
          <w:p w14:paraId="2E25979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47</w:t>
            </w:r>
          </w:p>
        </w:tc>
        <w:tc>
          <w:tcPr>
            <w:tcW w:w="479" w:type="pct"/>
            <w:vAlign w:val="bottom"/>
          </w:tcPr>
          <w:p w14:paraId="733579A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97</w:t>
            </w:r>
          </w:p>
        </w:tc>
        <w:tc>
          <w:tcPr>
            <w:tcW w:w="383" w:type="pct"/>
            <w:vAlign w:val="bottom"/>
          </w:tcPr>
          <w:p w14:paraId="6589214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47</w:t>
            </w:r>
          </w:p>
        </w:tc>
        <w:tc>
          <w:tcPr>
            <w:tcW w:w="479" w:type="pct"/>
            <w:vAlign w:val="bottom"/>
          </w:tcPr>
          <w:p w14:paraId="58CDCB4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18</w:t>
            </w:r>
          </w:p>
        </w:tc>
        <w:tc>
          <w:tcPr>
            <w:tcW w:w="480" w:type="pct"/>
            <w:vAlign w:val="bottom"/>
          </w:tcPr>
          <w:p w14:paraId="69FD192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119</w:t>
            </w:r>
          </w:p>
        </w:tc>
        <w:tc>
          <w:tcPr>
            <w:tcW w:w="342" w:type="pct"/>
            <w:vAlign w:val="bottom"/>
          </w:tcPr>
          <w:p w14:paraId="2DBA87E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28</w:t>
            </w:r>
          </w:p>
        </w:tc>
        <w:tc>
          <w:tcPr>
            <w:tcW w:w="479" w:type="pct"/>
            <w:vAlign w:val="bottom"/>
          </w:tcPr>
          <w:p w14:paraId="67FD164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w:t>
            </w:r>
          </w:p>
        </w:tc>
        <w:tc>
          <w:tcPr>
            <w:tcW w:w="677" w:type="pct"/>
            <w:vAlign w:val="bottom"/>
          </w:tcPr>
          <w:p w14:paraId="734CFF8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48</w:t>
            </w:r>
          </w:p>
        </w:tc>
      </w:tr>
      <w:tr w:rsidR="00272B6D" w:rsidRPr="00A32EED" w14:paraId="2BA61C5F" w14:textId="77777777" w:rsidTr="00272B6D">
        <w:trPr>
          <w:trHeight w:val="239"/>
        </w:trPr>
        <w:tc>
          <w:tcPr>
            <w:tcW w:w="796" w:type="pct"/>
            <w:vAlign w:val="bottom"/>
          </w:tcPr>
          <w:p w14:paraId="601E38C9"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Ohio </w:t>
            </w:r>
          </w:p>
        </w:tc>
        <w:tc>
          <w:tcPr>
            <w:tcW w:w="520" w:type="pct"/>
            <w:vAlign w:val="bottom"/>
          </w:tcPr>
          <w:p w14:paraId="02755A7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314</w:t>
            </w:r>
          </w:p>
        </w:tc>
        <w:tc>
          <w:tcPr>
            <w:tcW w:w="365" w:type="pct"/>
            <w:vAlign w:val="bottom"/>
          </w:tcPr>
          <w:p w14:paraId="6B1BC90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17</w:t>
            </w:r>
          </w:p>
        </w:tc>
        <w:tc>
          <w:tcPr>
            <w:tcW w:w="479" w:type="pct"/>
            <w:vAlign w:val="bottom"/>
          </w:tcPr>
          <w:p w14:paraId="23FC679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53</w:t>
            </w:r>
          </w:p>
        </w:tc>
        <w:tc>
          <w:tcPr>
            <w:tcW w:w="383" w:type="pct"/>
            <w:vAlign w:val="bottom"/>
          </w:tcPr>
          <w:p w14:paraId="251FE0D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46</w:t>
            </w:r>
          </w:p>
        </w:tc>
        <w:tc>
          <w:tcPr>
            <w:tcW w:w="479" w:type="pct"/>
            <w:vAlign w:val="bottom"/>
          </w:tcPr>
          <w:p w14:paraId="5301FDD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22</w:t>
            </w:r>
          </w:p>
        </w:tc>
        <w:tc>
          <w:tcPr>
            <w:tcW w:w="480" w:type="pct"/>
            <w:vAlign w:val="bottom"/>
          </w:tcPr>
          <w:p w14:paraId="0E73D12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91</w:t>
            </w:r>
          </w:p>
        </w:tc>
        <w:tc>
          <w:tcPr>
            <w:tcW w:w="342" w:type="pct"/>
            <w:vAlign w:val="bottom"/>
          </w:tcPr>
          <w:p w14:paraId="0C2AEFC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27</w:t>
            </w:r>
          </w:p>
        </w:tc>
        <w:tc>
          <w:tcPr>
            <w:tcW w:w="479" w:type="pct"/>
            <w:vAlign w:val="bottom"/>
          </w:tcPr>
          <w:p w14:paraId="663C6FE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13</w:t>
            </w:r>
          </w:p>
        </w:tc>
        <w:tc>
          <w:tcPr>
            <w:tcW w:w="677" w:type="pct"/>
            <w:vAlign w:val="bottom"/>
          </w:tcPr>
          <w:p w14:paraId="379D612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45</w:t>
            </w:r>
          </w:p>
        </w:tc>
      </w:tr>
      <w:tr w:rsidR="00272B6D" w:rsidRPr="00A32EED" w14:paraId="37EC870D" w14:textId="77777777" w:rsidTr="00272B6D">
        <w:trPr>
          <w:trHeight w:val="239"/>
        </w:trPr>
        <w:tc>
          <w:tcPr>
            <w:tcW w:w="796" w:type="pct"/>
            <w:vAlign w:val="bottom"/>
          </w:tcPr>
          <w:p w14:paraId="1E9B2941"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Pennsylvania </w:t>
            </w:r>
          </w:p>
        </w:tc>
        <w:tc>
          <w:tcPr>
            <w:tcW w:w="520" w:type="pct"/>
            <w:vAlign w:val="bottom"/>
          </w:tcPr>
          <w:p w14:paraId="418A53B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300</w:t>
            </w:r>
          </w:p>
        </w:tc>
        <w:tc>
          <w:tcPr>
            <w:tcW w:w="365" w:type="pct"/>
            <w:vAlign w:val="bottom"/>
          </w:tcPr>
          <w:p w14:paraId="72B9862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20</w:t>
            </w:r>
          </w:p>
        </w:tc>
        <w:tc>
          <w:tcPr>
            <w:tcW w:w="479" w:type="pct"/>
            <w:vAlign w:val="bottom"/>
          </w:tcPr>
          <w:p w14:paraId="525CE36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53</w:t>
            </w:r>
          </w:p>
        </w:tc>
        <w:tc>
          <w:tcPr>
            <w:tcW w:w="383" w:type="pct"/>
            <w:vAlign w:val="bottom"/>
          </w:tcPr>
          <w:p w14:paraId="508DDBA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36</w:t>
            </w:r>
          </w:p>
        </w:tc>
        <w:tc>
          <w:tcPr>
            <w:tcW w:w="479" w:type="pct"/>
            <w:vAlign w:val="bottom"/>
          </w:tcPr>
          <w:p w14:paraId="6D2FCC89"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21</w:t>
            </w:r>
          </w:p>
        </w:tc>
        <w:tc>
          <w:tcPr>
            <w:tcW w:w="480" w:type="pct"/>
            <w:vAlign w:val="bottom"/>
          </w:tcPr>
          <w:p w14:paraId="5DC6992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104</w:t>
            </w:r>
          </w:p>
        </w:tc>
        <w:tc>
          <w:tcPr>
            <w:tcW w:w="342" w:type="pct"/>
            <w:vAlign w:val="bottom"/>
          </w:tcPr>
          <w:p w14:paraId="26EF6BD4"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17</w:t>
            </w:r>
          </w:p>
        </w:tc>
        <w:tc>
          <w:tcPr>
            <w:tcW w:w="479" w:type="pct"/>
            <w:vAlign w:val="bottom"/>
          </w:tcPr>
          <w:p w14:paraId="4A086FF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12</w:t>
            </w:r>
          </w:p>
        </w:tc>
        <w:tc>
          <w:tcPr>
            <w:tcW w:w="677" w:type="pct"/>
            <w:vAlign w:val="bottom"/>
          </w:tcPr>
          <w:p w14:paraId="40BD4428"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37</w:t>
            </w:r>
          </w:p>
        </w:tc>
      </w:tr>
      <w:tr w:rsidR="00272B6D" w:rsidRPr="00A32EED" w14:paraId="0CEAECB5" w14:textId="77777777" w:rsidTr="00272B6D">
        <w:trPr>
          <w:trHeight w:val="239"/>
        </w:trPr>
        <w:tc>
          <w:tcPr>
            <w:tcW w:w="796" w:type="pct"/>
            <w:vAlign w:val="bottom"/>
          </w:tcPr>
          <w:p w14:paraId="0805D35F"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Texas </w:t>
            </w:r>
          </w:p>
        </w:tc>
        <w:tc>
          <w:tcPr>
            <w:tcW w:w="520" w:type="pct"/>
            <w:vAlign w:val="bottom"/>
          </w:tcPr>
          <w:p w14:paraId="628A883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485</w:t>
            </w:r>
          </w:p>
        </w:tc>
        <w:tc>
          <w:tcPr>
            <w:tcW w:w="365" w:type="pct"/>
            <w:vAlign w:val="bottom"/>
          </w:tcPr>
          <w:p w14:paraId="7798F30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29</w:t>
            </w:r>
          </w:p>
        </w:tc>
        <w:tc>
          <w:tcPr>
            <w:tcW w:w="479" w:type="pct"/>
            <w:vAlign w:val="bottom"/>
          </w:tcPr>
          <w:p w14:paraId="41B1660F"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84</w:t>
            </w:r>
          </w:p>
        </w:tc>
        <w:tc>
          <w:tcPr>
            <w:tcW w:w="383" w:type="pct"/>
            <w:vAlign w:val="bottom"/>
          </w:tcPr>
          <w:p w14:paraId="4DA51E99"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78</w:t>
            </w:r>
          </w:p>
        </w:tc>
        <w:tc>
          <w:tcPr>
            <w:tcW w:w="479" w:type="pct"/>
            <w:vAlign w:val="bottom"/>
          </w:tcPr>
          <w:p w14:paraId="5293A28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37</w:t>
            </w:r>
          </w:p>
        </w:tc>
        <w:tc>
          <w:tcPr>
            <w:tcW w:w="480" w:type="pct"/>
            <w:vAlign w:val="bottom"/>
          </w:tcPr>
          <w:p w14:paraId="04D00CAA"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144</w:t>
            </w:r>
          </w:p>
        </w:tc>
        <w:tc>
          <w:tcPr>
            <w:tcW w:w="342" w:type="pct"/>
            <w:vAlign w:val="bottom"/>
          </w:tcPr>
          <w:p w14:paraId="3C82788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33</w:t>
            </w:r>
          </w:p>
        </w:tc>
        <w:tc>
          <w:tcPr>
            <w:tcW w:w="479" w:type="pct"/>
            <w:vAlign w:val="bottom"/>
          </w:tcPr>
          <w:p w14:paraId="7456914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16</w:t>
            </w:r>
          </w:p>
        </w:tc>
        <w:tc>
          <w:tcPr>
            <w:tcW w:w="677" w:type="pct"/>
            <w:vAlign w:val="bottom"/>
          </w:tcPr>
          <w:p w14:paraId="38115B5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64</w:t>
            </w:r>
          </w:p>
        </w:tc>
      </w:tr>
      <w:tr w:rsidR="00272B6D" w:rsidRPr="00A32EED" w14:paraId="4C9780AF" w14:textId="77777777" w:rsidTr="00272B6D">
        <w:trPr>
          <w:trHeight w:val="239"/>
        </w:trPr>
        <w:tc>
          <w:tcPr>
            <w:tcW w:w="796" w:type="pct"/>
            <w:vAlign w:val="bottom"/>
          </w:tcPr>
          <w:p w14:paraId="2B87A124" w14:textId="77777777" w:rsidR="004C4C39" w:rsidRPr="00A32EED" w:rsidRDefault="004C4C39" w:rsidP="004C4C39">
            <w:pPr>
              <w:contextualSpacing/>
              <w:rPr>
                <w:rFonts w:eastAsia="Times New Roman" w:cs="Arial"/>
                <w:b/>
                <w:bCs/>
                <w:color w:val="000000"/>
                <w:sz w:val="18"/>
                <w:szCs w:val="20"/>
              </w:rPr>
            </w:pPr>
            <w:r w:rsidRPr="00A32EED">
              <w:rPr>
                <w:rFonts w:eastAsia="Times New Roman" w:cs="Arial"/>
                <w:color w:val="000000"/>
                <w:sz w:val="18"/>
                <w:szCs w:val="20"/>
              </w:rPr>
              <w:t xml:space="preserve">Remainder </w:t>
            </w:r>
          </w:p>
        </w:tc>
        <w:tc>
          <w:tcPr>
            <w:tcW w:w="520" w:type="pct"/>
            <w:vAlign w:val="bottom"/>
          </w:tcPr>
          <w:p w14:paraId="0D3D9D33"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2,380</w:t>
            </w:r>
          </w:p>
        </w:tc>
        <w:tc>
          <w:tcPr>
            <w:tcW w:w="365" w:type="pct"/>
            <w:vAlign w:val="bottom"/>
          </w:tcPr>
          <w:p w14:paraId="0FC46D1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138</w:t>
            </w:r>
          </w:p>
        </w:tc>
        <w:tc>
          <w:tcPr>
            <w:tcW w:w="479" w:type="pct"/>
            <w:vAlign w:val="bottom"/>
          </w:tcPr>
          <w:p w14:paraId="7D99003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524</w:t>
            </w:r>
          </w:p>
        </w:tc>
        <w:tc>
          <w:tcPr>
            <w:tcW w:w="383" w:type="pct"/>
            <w:vAlign w:val="bottom"/>
          </w:tcPr>
          <w:p w14:paraId="71AA0C0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321</w:t>
            </w:r>
          </w:p>
        </w:tc>
        <w:tc>
          <w:tcPr>
            <w:tcW w:w="479" w:type="pct"/>
            <w:vAlign w:val="bottom"/>
          </w:tcPr>
          <w:p w14:paraId="239D596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157</w:t>
            </w:r>
          </w:p>
        </w:tc>
        <w:tc>
          <w:tcPr>
            <w:tcW w:w="480" w:type="pct"/>
            <w:vAlign w:val="bottom"/>
          </w:tcPr>
          <w:p w14:paraId="667C19B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702</w:t>
            </w:r>
          </w:p>
        </w:tc>
        <w:tc>
          <w:tcPr>
            <w:tcW w:w="342" w:type="pct"/>
            <w:vAlign w:val="bottom"/>
          </w:tcPr>
          <w:p w14:paraId="41F4468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154</w:t>
            </w:r>
          </w:p>
        </w:tc>
        <w:tc>
          <w:tcPr>
            <w:tcW w:w="479" w:type="pct"/>
            <w:vAlign w:val="bottom"/>
          </w:tcPr>
          <w:p w14:paraId="53423482"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71</w:t>
            </w:r>
          </w:p>
        </w:tc>
        <w:tc>
          <w:tcPr>
            <w:tcW w:w="677" w:type="pct"/>
            <w:vAlign w:val="bottom"/>
          </w:tcPr>
          <w:p w14:paraId="2DE5310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color w:val="000000"/>
                <w:sz w:val="18"/>
                <w:szCs w:val="20"/>
              </w:rPr>
              <w:t>313</w:t>
            </w:r>
          </w:p>
        </w:tc>
      </w:tr>
      <w:tr w:rsidR="00272B6D" w:rsidRPr="00A32EED" w14:paraId="275525A1" w14:textId="77777777" w:rsidTr="00272B6D">
        <w:trPr>
          <w:trHeight w:val="239"/>
        </w:trPr>
        <w:tc>
          <w:tcPr>
            <w:tcW w:w="796" w:type="pct"/>
            <w:vAlign w:val="bottom"/>
          </w:tcPr>
          <w:p w14:paraId="6B30A5EB" w14:textId="77777777" w:rsidR="004C4C39" w:rsidRPr="00A32EED" w:rsidRDefault="004C4C39" w:rsidP="004C4C39">
            <w:pPr>
              <w:contextualSpacing/>
              <w:jc w:val="right"/>
              <w:rPr>
                <w:rFonts w:eastAsia="Times New Roman" w:cs="Arial"/>
                <w:b/>
                <w:bCs/>
                <w:color w:val="000000"/>
                <w:sz w:val="18"/>
                <w:szCs w:val="20"/>
              </w:rPr>
            </w:pPr>
            <w:r w:rsidRPr="00A32EED">
              <w:rPr>
                <w:rFonts w:eastAsia="Times New Roman" w:cs="Arial"/>
                <w:b/>
                <w:bCs/>
                <w:color w:val="000000"/>
                <w:sz w:val="18"/>
                <w:szCs w:val="20"/>
              </w:rPr>
              <w:t>Total</w:t>
            </w:r>
          </w:p>
        </w:tc>
        <w:tc>
          <w:tcPr>
            <w:tcW w:w="520" w:type="pct"/>
            <w:vAlign w:val="bottom"/>
          </w:tcPr>
          <w:p w14:paraId="445A1B3C"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5,501</w:t>
            </w:r>
          </w:p>
        </w:tc>
        <w:tc>
          <w:tcPr>
            <w:tcW w:w="365" w:type="pct"/>
            <w:vAlign w:val="bottom"/>
          </w:tcPr>
          <w:p w14:paraId="4FD3B82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360</w:t>
            </w:r>
          </w:p>
        </w:tc>
        <w:tc>
          <w:tcPr>
            <w:tcW w:w="479" w:type="pct"/>
            <w:vAlign w:val="bottom"/>
          </w:tcPr>
          <w:p w14:paraId="084D2EA1"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1,061</w:t>
            </w:r>
          </w:p>
        </w:tc>
        <w:tc>
          <w:tcPr>
            <w:tcW w:w="383" w:type="pct"/>
            <w:vAlign w:val="bottom"/>
          </w:tcPr>
          <w:p w14:paraId="14028446"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769</w:t>
            </w:r>
          </w:p>
        </w:tc>
        <w:tc>
          <w:tcPr>
            <w:tcW w:w="479" w:type="pct"/>
            <w:vAlign w:val="bottom"/>
          </w:tcPr>
          <w:p w14:paraId="3F99243B"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375</w:t>
            </w:r>
          </w:p>
        </w:tc>
        <w:tc>
          <w:tcPr>
            <w:tcW w:w="480" w:type="pct"/>
            <w:vAlign w:val="bottom"/>
          </w:tcPr>
          <w:p w14:paraId="710FCB1D"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1,659</w:t>
            </w:r>
          </w:p>
        </w:tc>
        <w:tc>
          <w:tcPr>
            <w:tcW w:w="342" w:type="pct"/>
            <w:vAlign w:val="bottom"/>
          </w:tcPr>
          <w:p w14:paraId="05F01605"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368</w:t>
            </w:r>
          </w:p>
        </w:tc>
        <w:tc>
          <w:tcPr>
            <w:tcW w:w="479" w:type="pct"/>
            <w:vAlign w:val="bottom"/>
          </w:tcPr>
          <w:p w14:paraId="6689624E"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164</w:t>
            </w:r>
          </w:p>
        </w:tc>
        <w:tc>
          <w:tcPr>
            <w:tcW w:w="677" w:type="pct"/>
            <w:vAlign w:val="bottom"/>
          </w:tcPr>
          <w:p w14:paraId="3F8D35C9" w14:textId="77777777" w:rsidR="004C4C39" w:rsidRPr="00A32EED" w:rsidRDefault="004C4C39" w:rsidP="004C4C39">
            <w:pPr>
              <w:contextualSpacing/>
              <w:jc w:val="center"/>
              <w:rPr>
                <w:rFonts w:eastAsia="Times New Roman" w:cs="Arial"/>
                <w:b/>
                <w:bCs/>
                <w:color w:val="000000"/>
                <w:sz w:val="18"/>
                <w:szCs w:val="20"/>
              </w:rPr>
            </w:pPr>
            <w:r w:rsidRPr="00A32EED">
              <w:rPr>
                <w:rFonts w:eastAsia="Times New Roman" w:cs="Arial"/>
                <w:b/>
                <w:bCs/>
                <w:color w:val="000000"/>
                <w:sz w:val="18"/>
                <w:szCs w:val="20"/>
              </w:rPr>
              <w:t>745</w:t>
            </w:r>
          </w:p>
        </w:tc>
      </w:tr>
    </w:tbl>
    <w:p w14:paraId="1178A174" w14:textId="77777777" w:rsidR="002B5B1D" w:rsidRDefault="002B5B1D" w:rsidP="004C4C39">
      <w:pPr>
        <w:spacing w:after="0" w:line="480" w:lineRule="auto"/>
        <w:ind w:firstLine="720"/>
        <w:rPr>
          <w:rFonts w:eastAsia="Calibri"/>
        </w:rPr>
      </w:pPr>
    </w:p>
    <w:p w14:paraId="08916184" w14:textId="77777777" w:rsidR="004C4C39" w:rsidRPr="00A32EED" w:rsidRDefault="004C4C39" w:rsidP="004C4C39">
      <w:pPr>
        <w:spacing w:after="0" w:line="480" w:lineRule="auto"/>
        <w:ind w:firstLine="720"/>
        <w:rPr>
          <w:rFonts w:eastAsia="Calibri"/>
        </w:rPr>
      </w:pPr>
      <w:r w:rsidRPr="00A32EED">
        <w:rPr>
          <w:rFonts w:eastAsia="Calibri"/>
        </w:rPr>
        <w:lastRenderedPageBreak/>
        <w:t xml:space="preserve">To ensure there were sufficient numbers of cases within each domain, some domains were oversampled. As such, although the data are representative, the observations were not selected with equal probability. To correct for the effects of unequal selection probabilities, the NSCAW Restricted Release data include both stratum and PSU identifiers. The inclusion of these variables allows for the use of programs with survey data modules, such as the </w:t>
      </w:r>
      <w:r w:rsidRPr="00A32EED">
        <w:rPr>
          <w:rFonts w:eastAsia="Calibri"/>
          <w:i/>
        </w:rPr>
        <w:t xml:space="preserve">"svy" command </w:t>
      </w:r>
      <w:r w:rsidRPr="00A32EED">
        <w:rPr>
          <w:rFonts w:eastAsia="Calibri"/>
        </w:rPr>
        <w:t xml:space="preserve">in STATA. The use of these modules ensures that estimates of parameters and variance are adjusted to account for the unequal selection probabilities, stratification, and clustering of the NSCAW sampling design. Additionally, the NSCAW Restricted data include several different weights to be used in analyses. The selection of appropriate weights depends on both the waves of data being analyzed and the population to which findings are being generalized. The NSCAW Codebook provides detailed information regarding the various sample weights and their appropriate uses </w:t>
      </w:r>
      <w:r w:rsidRPr="00A32EED">
        <w:rPr>
          <w:rFonts w:eastAsia="Calibri"/>
        </w:rPr>
        <w:fldChar w:fldCharType="begin"/>
      </w:r>
      <w:r w:rsidRPr="00A32EED">
        <w:rPr>
          <w:rFonts w:eastAsia="Calibri"/>
        </w:rPr>
        <w:instrText xml:space="preserve"> ADDIN ZOTERO_ITEM CSL_CITATION {"citationID":"1g4f0d1per","properties":{"formattedCitation":"(Dowd et al. 2008)","plainCitation":"(Dowd et al. 2008)"},"citationItems":[{"id":340,"uris":["http://zotero.org/users/1165382/items/KXZHA9XC"],"uri":["http://zotero.org/users/1165382/items/KXZHA9XC"],"itemData":{"id":340,"type":"article","title":"National Survey of Child and Adolescent Well-Being (NSCAW), Combined Waves 1–5, Data File User’s Manual, Restricted Release Version.","publisher":"National Data Archive on Child Abuse and Neglect","source":"Google Scholar","note":"00000","author":[{"family":"Dowd","given":"Kathryn"},{"family":"Kinsey","given":"Susan"},{"family":"Wheeless","given":"Sara"},{"family":"Thissen","given":"Rita"},{"family":"Richardson","given":"Jean"},{"family":"Suresh","given":"R."},{"family":"Mierzwa","given":"Frank"},{"family":"Biemer","given":"Paul"},{"family":"Johnson","given":"Ilona"},{"family":"Lytle","given":"Tiffany"},{"family":"Dolan","given":"Melissa"},{"family":"Hendershott","given":"Amy"},{"family":"Smith","given":"Keith"}],"issued":{"date-parts":[["2008"]]}}}],"schema":"https://github.com/citation-style-language/schema/raw/master/csl-citation.json"} </w:instrText>
      </w:r>
      <w:r w:rsidRPr="00A32EED">
        <w:rPr>
          <w:rFonts w:eastAsia="Calibri"/>
        </w:rPr>
        <w:fldChar w:fldCharType="separate"/>
      </w:r>
      <w:r w:rsidRPr="00A32EED">
        <w:rPr>
          <w:rFonts w:eastAsia="Calibri"/>
          <w:noProof/>
        </w:rPr>
        <w:t>(Dowd et al. 2008)</w:t>
      </w:r>
      <w:r w:rsidRPr="00A32EED">
        <w:rPr>
          <w:rFonts w:eastAsia="Calibri"/>
        </w:rPr>
        <w:fldChar w:fldCharType="end"/>
      </w:r>
      <w:r w:rsidRPr="00A32EED">
        <w:rPr>
          <w:rFonts w:eastAsia="Calibri"/>
        </w:rPr>
        <w:t>. It is important to note that the use of said weights in analyses is required to obtain unbiased parameter estimation, however, due to their use, standard errors are potentially increased.</w:t>
      </w:r>
    </w:p>
    <w:p w14:paraId="4C56B821" w14:textId="485CCF25" w:rsidR="004C4C39" w:rsidRPr="00A32EED" w:rsidRDefault="004C4C39" w:rsidP="004C4C39">
      <w:pPr>
        <w:spacing w:after="0" w:line="480" w:lineRule="auto"/>
        <w:ind w:firstLine="720"/>
        <w:rPr>
          <w:rFonts w:eastAsia="Calibri"/>
        </w:rPr>
      </w:pPr>
      <w:r w:rsidRPr="00A32EED">
        <w:rPr>
          <w:rFonts w:eastAsia="Calibri"/>
        </w:rPr>
        <w:t xml:space="preserve">For this project, cases are used from all five waves of the NSCAW data to make inferences at the national level. As such, it is important to discuss the construction of the wave 1 (NANALWT) and wave 5 (NANLW345) weights which are the appropriate weights to be used when making inferences at the national level </w:t>
      </w:r>
      <w:r w:rsidRPr="00A32EED">
        <w:rPr>
          <w:rFonts w:eastAsia="Calibri"/>
        </w:rPr>
        <w:fldChar w:fldCharType="begin"/>
      </w:r>
      <w:r w:rsidRPr="00A32EED">
        <w:rPr>
          <w:rFonts w:eastAsia="Calibri"/>
        </w:rPr>
        <w:instrText xml:space="preserve"> ADDIN ZOTERO_ITEM CSL_CITATION {"citationID":"1083fc7ptq","properties":{"formattedCitation":"(Dowd et al. 2008)","plainCitation":"(Dowd et al. 2008)"},"citationItems":[{"id":340,"uris":["http://zotero.org/users/1165382/items/KXZHA9XC"],"uri":["http://zotero.org/users/1165382/items/KXZHA9XC"],"itemData":{"id":340,"type":"article","title":"National Survey of Child and Adolescent Well-Being (NSCAW), Combined Waves 1–5, Data File User’s Manual, Restricted Release Version.","publisher":"National Data Archive on Child Abuse and Neglect","source":"Google Scholar","note":"00000","author":[{"family":"Dowd","given":"Kathryn"},{"family":"Kinsey","given":"Susan"},{"family":"Wheeless","given":"Sara"},{"family":"Thissen","given":"Rita"},{"family":"Richardson","given":"Jean"},{"family":"Suresh","given":"R."},{"family":"Mierzwa","given":"Frank"},{"family":"Biemer","given":"Paul"},{"family":"Johnson","given":"Ilona"},{"family":"Lytle","given":"Tiffany"},{"family":"Dolan","given":"Melissa"},{"family":"Hendershott","given":"Amy"},{"family":"Smith","given":"Keith"}],"issued":{"date-parts":[["2008"]]}}}],"schema":"https://github.com/citation-style-language/schema/raw/master/csl-citation.json"} </w:instrText>
      </w:r>
      <w:r w:rsidRPr="00A32EED">
        <w:rPr>
          <w:rFonts w:eastAsia="Calibri"/>
        </w:rPr>
        <w:fldChar w:fldCharType="separate"/>
      </w:r>
      <w:r w:rsidRPr="00A32EED">
        <w:rPr>
          <w:rFonts w:eastAsia="Calibri"/>
          <w:noProof/>
        </w:rPr>
        <w:t>(Dowd et al. 2008)</w:t>
      </w:r>
      <w:r w:rsidRPr="00A32EED">
        <w:rPr>
          <w:rFonts w:eastAsia="Calibri"/>
        </w:rPr>
        <w:fldChar w:fldCharType="end"/>
      </w:r>
      <w:r w:rsidRPr="00A32EED">
        <w:rPr>
          <w:rFonts w:eastAsia="Calibri"/>
        </w:rPr>
        <w:t xml:space="preserve">. The wave 1 baseline weight (NANLWT) is initially calculated to represent the inverse of the probability of a child's selection </w:t>
      </w:r>
      <w:r w:rsidRPr="00A32EED">
        <w:rPr>
          <w:rFonts w:eastAsia="Calibri"/>
        </w:rPr>
        <w:lastRenderedPageBreak/>
        <w:t xml:space="preserve">into the sample, and its purpose is to adjust estimates to reflect the sampling processes' differential probability of selection. Each child's probability of selection is the product of their first and second stage weights. The first stage weight is the inverse of the probability of selection for their PSU (county of residence). The second stage weight is the inverse of the probability of a child's selection within their county of residence. This is calculated by dividing the number of sampled children by the number of eligible children for sampling at the time the sample was drawn. The full equation and notation of terms can be found in Figure </w:t>
      </w:r>
      <w:r w:rsidR="00792663">
        <w:rPr>
          <w:rFonts w:eastAsia="Calibri"/>
        </w:rPr>
        <w:t>3.2</w:t>
      </w:r>
      <w:r w:rsidRPr="00A32EED">
        <w:rPr>
          <w:rFonts w:eastAsia="Calibri"/>
        </w:rPr>
        <w:t>. Due to the month to month variations in frame sizes, including frame sizes as small as zero, the sampling domains across all months were combined into one. This process is similar to treating the various sampling times across the 15-month period as one sampling period. This reduces instability in the weight due to variations in the sampling rates.</w:t>
      </w:r>
    </w:p>
    <w:p w14:paraId="35E2A627" w14:textId="77777777" w:rsidR="004C4C39" w:rsidRPr="00A32EED" w:rsidRDefault="004C4C39" w:rsidP="004C4C39">
      <w:pPr>
        <w:keepNext/>
        <w:rPr>
          <w:rFonts w:eastAsia="Calibri"/>
          <w:i/>
          <w:iCs/>
          <w:color w:val="000000"/>
          <w:szCs w:val="18"/>
        </w:rPr>
      </w:pPr>
    </w:p>
    <w:p w14:paraId="530CE9AD" w14:textId="2A36FCBC" w:rsidR="004C4C39" w:rsidRPr="00A32EED" w:rsidRDefault="004C4C39" w:rsidP="00977830">
      <w:pPr>
        <w:pStyle w:val="Caption1"/>
        <w:rPr>
          <w:rFonts w:eastAsia="Calibri"/>
        </w:rPr>
      </w:pPr>
      <w:bookmarkStart w:id="46" w:name="_Toc479941209"/>
      <w:r w:rsidRPr="00A32EED">
        <w:rPr>
          <w:rFonts w:eastAsia="Calibri"/>
        </w:rPr>
        <w:t>Figure 3.</w:t>
      </w:r>
      <w:r w:rsidR="00676654">
        <w:rPr>
          <w:rFonts w:eastAsia="Calibri"/>
        </w:rPr>
        <w:t>2</w:t>
      </w:r>
      <w:r w:rsidRPr="00A32EED">
        <w:rPr>
          <w:rFonts w:eastAsia="Calibri"/>
        </w:rPr>
        <w:t>: Sample Equation and Notation based on Dowd et al. (2008:7.3-7.4)</w:t>
      </w:r>
      <w:bookmarkEnd w:id="46"/>
    </w:p>
    <w:p w14:paraId="316D84F0" w14:textId="77777777" w:rsidR="004C4C39" w:rsidRPr="00A32EED" w:rsidRDefault="005670AF" w:rsidP="004C4C39">
      <w:pPr>
        <w:spacing w:after="0" w:line="480" w:lineRule="auto"/>
        <w:rPr>
          <w:rFonts w:eastAsia="Calibri"/>
        </w:rPr>
      </w:pPr>
      <m:oMath>
        <m:sSub>
          <m:sSubPr>
            <m:ctrlPr>
              <w:rPr>
                <w:rFonts w:ascii="Cambria Math" w:eastAsia="Calibri" w:hAnsi="Cambria Math"/>
                <w:i/>
                <w:sz w:val="32"/>
              </w:rPr>
            </m:ctrlPr>
          </m:sSubPr>
          <m:e>
            <m:r>
              <w:rPr>
                <w:rFonts w:ascii="Cambria Math" w:eastAsia="Calibri" w:hAnsi="Cambria Math"/>
                <w:sz w:val="32"/>
              </w:rPr>
              <m:t>π</m:t>
            </m:r>
          </m:e>
          <m:sub>
            <m:r>
              <w:rPr>
                <w:rFonts w:ascii="Cambria Math" w:eastAsia="Calibri" w:hAnsi="Cambria Math"/>
                <w:sz w:val="32"/>
              </w:rPr>
              <m:t>hidmj</m:t>
            </m:r>
          </m:sub>
        </m:sSub>
        <m:r>
          <w:rPr>
            <w:rFonts w:ascii="Cambria Math" w:eastAsia="Calibri" w:hAnsi="Cambria Math"/>
            <w:sz w:val="32"/>
          </w:rPr>
          <m:t>=</m:t>
        </m:r>
        <m:sSub>
          <m:sSubPr>
            <m:ctrlPr>
              <w:rPr>
                <w:rFonts w:ascii="Cambria Math" w:eastAsia="Calibri" w:hAnsi="Cambria Math"/>
                <w:i/>
                <w:sz w:val="32"/>
              </w:rPr>
            </m:ctrlPr>
          </m:sSubPr>
          <m:e>
            <m:r>
              <w:rPr>
                <w:rFonts w:ascii="Cambria Math" w:eastAsia="Calibri" w:hAnsi="Cambria Math"/>
                <w:sz w:val="32"/>
              </w:rPr>
              <m:t>π</m:t>
            </m:r>
          </m:e>
          <m:sub>
            <m:r>
              <w:rPr>
                <w:rFonts w:ascii="Cambria Math" w:eastAsia="Calibri" w:hAnsi="Cambria Math"/>
                <w:sz w:val="32"/>
              </w:rPr>
              <m:t>hi</m:t>
            </m:r>
          </m:sub>
        </m:sSub>
        <m:r>
          <w:rPr>
            <w:rFonts w:ascii="Cambria Math" w:eastAsia="Calibri" w:hAnsi="Cambria Math"/>
            <w:sz w:val="32"/>
          </w:rPr>
          <m:t>×</m:t>
        </m:r>
        <m:f>
          <m:fPr>
            <m:ctrlPr>
              <w:rPr>
                <w:rFonts w:ascii="Cambria Math" w:eastAsia="Calibri" w:hAnsi="Cambria Math"/>
                <w:i/>
                <w:sz w:val="32"/>
              </w:rPr>
            </m:ctrlPr>
          </m:fPr>
          <m:num>
            <m:sSub>
              <m:sSubPr>
                <m:ctrlPr>
                  <w:rPr>
                    <w:rFonts w:ascii="Cambria Math" w:eastAsia="Calibri" w:hAnsi="Cambria Math"/>
                    <w:i/>
                    <w:sz w:val="32"/>
                  </w:rPr>
                </m:ctrlPr>
              </m:sSubPr>
              <m:e>
                <m:r>
                  <w:rPr>
                    <w:rFonts w:ascii="Cambria Math" w:eastAsia="Calibri" w:hAnsi="Cambria Math"/>
                    <w:sz w:val="32"/>
                  </w:rPr>
                  <m:t>n</m:t>
                </m:r>
              </m:e>
              <m:sub>
                <m:r>
                  <w:rPr>
                    <w:rFonts w:ascii="Cambria Math" w:eastAsia="Calibri" w:hAnsi="Cambria Math"/>
                    <w:sz w:val="32"/>
                  </w:rPr>
                  <m:t>hidm</m:t>
                </m:r>
              </m:sub>
            </m:sSub>
          </m:num>
          <m:den>
            <m:sSub>
              <m:sSubPr>
                <m:ctrlPr>
                  <w:rPr>
                    <w:rFonts w:ascii="Cambria Math" w:eastAsia="Calibri" w:hAnsi="Cambria Math"/>
                    <w:i/>
                    <w:sz w:val="32"/>
                  </w:rPr>
                </m:ctrlPr>
              </m:sSubPr>
              <m:e>
                <m:r>
                  <w:rPr>
                    <w:rFonts w:ascii="Cambria Math" w:eastAsia="Calibri" w:hAnsi="Cambria Math"/>
                    <w:sz w:val="32"/>
                  </w:rPr>
                  <m:t>N</m:t>
                </m:r>
              </m:e>
              <m:sub>
                <m:r>
                  <w:rPr>
                    <w:rFonts w:ascii="Cambria Math" w:eastAsia="Calibri" w:hAnsi="Cambria Math"/>
                    <w:sz w:val="32"/>
                  </w:rPr>
                  <m:t>hidm</m:t>
                </m:r>
              </m:sub>
            </m:sSub>
          </m:den>
        </m:f>
      </m:oMath>
      <w:r w:rsidR="004C4C39" w:rsidRPr="00A32EED">
        <w:rPr>
          <w:rFonts w:eastAsia="Calibri"/>
        </w:rPr>
        <w:t xml:space="preserve"> </w:t>
      </w:r>
    </w:p>
    <w:p w14:paraId="5191C507" w14:textId="77777777" w:rsidR="004C4C39" w:rsidRPr="00A32EED" w:rsidRDefault="004C4C39" w:rsidP="004C4C39">
      <w:pPr>
        <w:spacing w:after="0"/>
        <w:rPr>
          <w:rFonts w:eastAsia="Calibri"/>
          <w:i/>
          <w:sz w:val="16"/>
        </w:rPr>
      </w:pPr>
      <w:r w:rsidRPr="00A32EED">
        <w:rPr>
          <w:rFonts w:eastAsia="Calibri"/>
          <w:i/>
          <w:sz w:val="16"/>
        </w:rPr>
        <w:t xml:space="preserve">h: </w:t>
      </w:r>
      <w:r w:rsidRPr="00A32EED">
        <w:rPr>
          <w:rFonts w:eastAsia="Calibri"/>
          <w:sz w:val="16"/>
        </w:rPr>
        <w:t>the sampling stratum for the primary sample selection where h=1, h=2, etc. for eight largest states and h=9 for remaining stratum</w:t>
      </w:r>
    </w:p>
    <w:p w14:paraId="60406F37" w14:textId="77777777" w:rsidR="004C4C39" w:rsidRPr="00A32EED" w:rsidRDefault="004C4C39" w:rsidP="004C4C39">
      <w:pPr>
        <w:spacing w:after="0"/>
        <w:rPr>
          <w:rFonts w:eastAsia="Calibri"/>
          <w:i/>
          <w:sz w:val="16"/>
        </w:rPr>
      </w:pPr>
      <w:r w:rsidRPr="00A32EED">
        <w:rPr>
          <w:rFonts w:eastAsia="Calibri"/>
          <w:i/>
          <w:sz w:val="16"/>
        </w:rPr>
        <w:t>n</w:t>
      </w:r>
      <w:r w:rsidRPr="00A32EED">
        <w:rPr>
          <w:rFonts w:eastAsia="Calibri"/>
          <w:i/>
          <w:sz w:val="16"/>
          <w:vertAlign w:val="subscript"/>
        </w:rPr>
        <w:t>h</w:t>
      </w:r>
      <w:r w:rsidRPr="00A32EED">
        <w:rPr>
          <w:rFonts w:eastAsia="Calibri"/>
          <w:i/>
          <w:sz w:val="16"/>
        </w:rPr>
        <w:t xml:space="preserve">: </w:t>
      </w:r>
      <w:r w:rsidRPr="00A32EED">
        <w:rPr>
          <w:rFonts w:eastAsia="Calibri"/>
          <w:sz w:val="16"/>
        </w:rPr>
        <w:t>number of PSUs sampled in a stratum</w:t>
      </w:r>
    </w:p>
    <w:p w14:paraId="22F76A5F" w14:textId="77777777" w:rsidR="004C4C39" w:rsidRPr="00A32EED" w:rsidRDefault="004C4C39" w:rsidP="004C4C39">
      <w:pPr>
        <w:spacing w:after="0"/>
        <w:rPr>
          <w:rFonts w:eastAsia="Calibri"/>
          <w:i/>
          <w:sz w:val="16"/>
        </w:rPr>
      </w:pPr>
      <w:r w:rsidRPr="00A32EED">
        <w:rPr>
          <w:rFonts w:eastAsia="Calibri"/>
          <w:i/>
          <w:sz w:val="16"/>
        </w:rPr>
        <w:t xml:space="preserve">i: </w:t>
      </w:r>
      <w:r w:rsidRPr="00A32EED">
        <w:rPr>
          <w:rFonts w:eastAsia="Calibri"/>
          <w:sz w:val="16"/>
        </w:rPr>
        <w:t>the PSU sampled within a stratum</w:t>
      </w:r>
    </w:p>
    <w:p w14:paraId="08B88CBE" w14:textId="77777777" w:rsidR="004C4C39" w:rsidRPr="00A32EED" w:rsidRDefault="004C4C39" w:rsidP="004C4C39">
      <w:pPr>
        <w:spacing w:after="0"/>
        <w:rPr>
          <w:rFonts w:eastAsia="Calibri"/>
          <w:i/>
          <w:sz w:val="16"/>
        </w:rPr>
      </w:pPr>
      <w:r w:rsidRPr="00A32EED">
        <w:rPr>
          <w:rFonts w:eastAsia="Calibri"/>
          <w:i/>
          <w:sz w:val="16"/>
        </w:rPr>
        <w:t xml:space="preserve">d: </w:t>
      </w:r>
      <w:r w:rsidRPr="00A32EED">
        <w:rPr>
          <w:rFonts w:eastAsia="Calibri"/>
          <w:sz w:val="16"/>
        </w:rPr>
        <w:t>the sampling domain within each PSU</w:t>
      </w:r>
    </w:p>
    <w:p w14:paraId="2AFBFA6A" w14:textId="77777777" w:rsidR="004C4C39" w:rsidRPr="00A32EED" w:rsidRDefault="004C4C39" w:rsidP="004C4C39">
      <w:pPr>
        <w:spacing w:after="0"/>
        <w:rPr>
          <w:rFonts w:eastAsia="Calibri"/>
          <w:i/>
          <w:sz w:val="16"/>
        </w:rPr>
      </w:pPr>
      <w:r w:rsidRPr="00A32EED">
        <w:rPr>
          <w:rFonts w:eastAsia="Calibri"/>
          <w:i/>
          <w:sz w:val="16"/>
        </w:rPr>
        <w:t xml:space="preserve">m: </w:t>
      </w:r>
      <w:r w:rsidRPr="00A32EED">
        <w:rPr>
          <w:rFonts w:eastAsia="Calibri"/>
          <w:sz w:val="16"/>
        </w:rPr>
        <w:t>the month of the study</w:t>
      </w:r>
      <w:r w:rsidRPr="00A32EED">
        <w:rPr>
          <w:rFonts w:eastAsia="Calibri"/>
          <w:i/>
          <w:sz w:val="16"/>
        </w:rPr>
        <w:t xml:space="preserve"> </w:t>
      </w:r>
    </w:p>
    <w:p w14:paraId="1FC2807D" w14:textId="77777777" w:rsidR="004C4C39" w:rsidRPr="00A32EED" w:rsidRDefault="005670AF" w:rsidP="004C4C39">
      <w:pPr>
        <w:spacing w:after="0"/>
        <w:rPr>
          <w:rFonts w:eastAsia="Calibri"/>
          <w:i/>
          <w:sz w:val="16"/>
        </w:rPr>
      </w:pPr>
      <m:oMath>
        <m:sSub>
          <m:sSubPr>
            <m:ctrlPr>
              <w:rPr>
                <w:rFonts w:ascii="Cambria Math" w:eastAsia="Calibri" w:hAnsi="Cambria Math"/>
                <w:i/>
                <w:sz w:val="16"/>
              </w:rPr>
            </m:ctrlPr>
          </m:sSubPr>
          <m:e>
            <m:r>
              <w:rPr>
                <w:rFonts w:ascii="Cambria Math" w:eastAsia="Calibri" w:hAnsi="Cambria Math"/>
                <w:sz w:val="16"/>
              </w:rPr>
              <m:t>n</m:t>
            </m:r>
          </m:e>
          <m:sub>
            <m:r>
              <w:rPr>
                <w:rFonts w:ascii="Cambria Math" w:eastAsia="Calibri" w:hAnsi="Cambria Math"/>
                <w:sz w:val="16"/>
              </w:rPr>
              <m:t>hidm</m:t>
            </m:r>
          </m:sub>
        </m:sSub>
      </m:oMath>
      <w:r w:rsidR="004C4C39" w:rsidRPr="00A32EED">
        <w:rPr>
          <w:rFonts w:eastAsia="Calibri"/>
          <w:i/>
          <w:sz w:val="16"/>
        </w:rPr>
        <w:t xml:space="preserve"> : </w:t>
      </w:r>
      <w:r w:rsidR="004C4C39" w:rsidRPr="00A32EED">
        <w:rPr>
          <w:rFonts w:eastAsia="Calibri"/>
          <w:sz w:val="16"/>
        </w:rPr>
        <w:t>number of children sampled in month</w:t>
      </w:r>
      <w:r w:rsidR="004C4C39" w:rsidRPr="00A32EED">
        <w:rPr>
          <w:rFonts w:eastAsia="Calibri"/>
          <w:i/>
          <w:sz w:val="16"/>
        </w:rPr>
        <w:t xml:space="preserve"> m</w:t>
      </w:r>
      <w:r w:rsidR="004C4C39" w:rsidRPr="00A32EED">
        <w:rPr>
          <w:rFonts w:eastAsia="Calibri"/>
          <w:sz w:val="16"/>
        </w:rPr>
        <w:t xml:space="preserve"> stratum </w:t>
      </w:r>
      <w:r w:rsidR="004C4C39" w:rsidRPr="00A32EED">
        <w:rPr>
          <w:rFonts w:eastAsia="Calibri"/>
          <w:i/>
          <w:sz w:val="16"/>
        </w:rPr>
        <w:t>h</w:t>
      </w:r>
      <w:r w:rsidR="004C4C39" w:rsidRPr="00A32EED">
        <w:rPr>
          <w:rFonts w:eastAsia="Calibri"/>
          <w:sz w:val="16"/>
        </w:rPr>
        <w:t xml:space="preserve">, PSU </w:t>
      </w:r>
      <w:r w:rsidR="004C4C39" w:rsidRPr="00A32EED">
        <w:rPr>
          <w:rFonts w:eastAsia="Calibri"/>
          <w:i/>
          <w:sz w:val="16"/>
        </w:rPr>
        <w:t>i,</w:t>
      </w:r>
      <w:r w:rsidR="004C4C39" w:rsidRPr="00A32EED">
        <w:rPr>
          <w:rFonts w:eastAsia="Calibri"/>
          <w:sz w:val="16"/>
        </w:rPr>
        <w:t xml:space="preserve"> domain </w:t>
      </w:r>
      <w:r w:rsidR="004C4C39" w:rsidRPr="00A32EED">
        <w:rPr>
          <w:rFonts w:eastAsia="Calibri"/>
          <w:i/>
          <w:sz w:val="16"/>
        </w:rPr>
        <w:t>d</w:t>
      </w:r>
    </w:p>
    <w:p w14:paraId="03C7F5EF" w14:textId="77777777" w:rsidR="004C4C39" w:rsidRPr="00A32EED" w:rsidRDefault="004C4C39" w:rsidP="004C4C39">
      <w:pPr>
        <w:spacing w:after="0"/>
        <w:rPr>
          <w:rFonts w:eastAsia="Calibri"/>
          <w:sz w:val="16"/>
        </w:rPr>
      </w:pPr>
      <w:r w:rsidRPr="00A32EED">
        <w:rPr>
          <w:rFonts w:eastAsia="Calibri"/>
          <w:i/>
          <w:sz w:val="16"/>
        </w:rPr>
        <w:t xml:space="preserve">j: </w:t>
      </w:r>
      <w:r w:rsidRPr="00A32EED">
        <w:rPr>
          <w:rFonts w:eastAsia="Calibri"/>
          <w:sz w:val="16"/>
        </w:rPr>
        <w:t>the child sampled within PSU, domain, and month of the study</w:t>
      </w:r>
    </w:p>
    <w:p w14:paraId="29327FFB" w14:textId="77777777" w:rsidR="004C4C39" w:rsidRPr="00A32EED" w:rsidRDefault="005670AF" w:rsidP="004C4C39">
      <w:pPr>
        <w:spacing w:after="0"/>
        <w:rPr>
          <w:rFonts w:eastAsia="Calibri"/>
          <w:i/>
          <w:sz w:val="16"/>
        </w:rPr>
      </w:pPr>
      <m:oMath>
        <m:sSub>
          <m:sSubPr>
            <m:ctrlPr>
              <w:rPr>
                <w:rFonts w:ascii="Cambria Math" w:eastAsia="Calibri" w:hAnsi="Cambria Math"/>
                <w:i/>
                <w:sz w:val="16"/>
              </w:rPr>
            </m:ctrlPr>
          </m:sSubPr>
          <m:e>
            <m:r>
              <w:rPr>
                <w:rFonts w:ascii="Cambria Math" w:eastAsia="Calibri" w:hAnsi="Cambria Math"/>
                <w:sz w:val="16"/>
              </w:rPr>
              <m:t>N</m:t>
            </m:r>
          </m:e>
          <m:sub>
            <m:r>
              <w:rPr>
                <w:rFonts w:ascii="Cambria Math" w:eastAsia="Calibri" w:hAnsi="Cambria Math"/>
                <w:sz w:val="16"/>
              </w:rPr>
              <m:t>hidm</m:t>
            </m:r>
          </m:sub>
        </m:sSub>
      </m:oMath>
      <w:r w:rsidR="004C4C39" w:rsidRPr="00A32EED">
        <w:rPr>
          <w:rFonts w:eastAsia="Calibri"/>
          <w:sz w:val="16"/>
        </w:rPr>
        <w:t xml:space="preserve"> : the number of eligible children on the sampling frame in month</w:t>
      </w:r>
      <w:r w:rsidR="004C4C39" w:rsidRPr="00A32EED">
        <w:rPr>
          <w:rFonts w:eastAsia="Calibri"/>
          <w:i/>
          <w:sz w:val="16"/>
        </w:rPr>
        <w:t xml:space="preserve"> m</w:t>
      </w:r>
      <w:r w:rsidR="004C4C39" w:rsidRPr="00A32EED">
        <w:rPr>
          <w:rFonts w:eastAsia="Calibri"/>
          <w:sz w:val="16"/>
        </w:rPr>
        <w:t xml:space="preserve"> stratum </w:t>
      </w:r>
      <w:r w:rsidR="004C4C39" w:rsidRPr="00A32EED">
        <w:rPr>
          <w:rFonts w:eastAsia="Calibri"/>
          <w:i/>
          <w:sz w:val="16"/>
        </w:rPr>
        <w:t>h</w:t>
      </w:r>
      <w:r w:rsidR="004C4C39" w:rsidRPr="00A32EED">
        <w:rPr>
          <w:rFonts w:eastAsia="Calibri"/>
          <w:sz w:val="16"/>
        </w:rPr>
        <w:t xml:space="preserve">, PSU </w:t>
      </w:r>
      <w:r w:rsidR="004C4C39" w:rsidRPr="00A32EED">
        <w:rPr>
          <w:rFonts w:eastAsia="Calibri"/>
          <w:i/>
          <w:sz w:val="16"/>
        </w:rPr>
        <w:t>i,</w:t>
      </w:r>
      <w:r w:rsidR="004C4C39" w:rsidRPr="00A32EED">
        <w:rPr>
          <w:rFonts w:eastAsia="Calibri"/>
          <w:sz w:val="16"/>
        </w:rPr>
        <w:t xml:space="preserve"> domain </w:t>
      </w:r>
      <w:r w:rsidR="004C4C39" w:rsidRPr="00A32EED">
        <w:rPr>
          <w:rFonts w:eastAsia="Calibri"/>
          <w:i/>
          <w:sz w:val="16"/>
        </w:rPr>
        <w:t>d</w:t>
      </w:r>
    </w:p>
    <w:p w14:paraId="116495D4" w14:textId="77777777" w:rsidR="004C4C39" w:rsidRPr="00A32EED" w:rsidRDefault="005670AF" w:rsidP="004C4C39">
      <w:pPr>
        <w:spacing w:after="0"/>
        <w:rPr>
          <w:rFonts w:eastAsia="Calibri"/>
          <w:i/>
          <w:sz w:val="16"/>
        </w:rPr>
      </w:pPr>
      <m:oMath>
        <m:sSub>
          <m:sSubPr>
            <m:ctrlPr>
              <w:rPr>
                <w:rFonts w:ascii="Cambria Math" w:eastAsia="Calibri" w:hAnsi="Cambria Math"/>
                <w:i/>
                <w:sz w:val="16"/>
              </w:rPr>
            </m:ctrlPr>
          </m:sSubPr>
          <m:e>
            <m:r>
              <w:rPr>
                <w:rFonts w:ascii="Cambria Math" w:eastAsia="Calibri" w:hAnsi="Cambria Math"/>
                <w:sz w:val="16"/>
              </w:rPr>
              <m:t>π</m:t>
            </m:r>
          </m:e>
          <m:sub>
            <m:r>
              <w:rPr>
                <w:rFonts w:ascii="Cambria Math" w:eastAsia="Calibri" w:hAnsi="Cambria Math"/>
                <w:sz w:val="16"/>
              </w:rPr>
              <m:t>hi</m:t>
            </m:r>
          </m:sub>
        </m:sSub>
      </m:oMath>
      <w:r w:rsidR="004C4C39" w:rsidRPr="00A32EED">
        <w:rPr>
          <w:rFonts w:eastAsia="Calibri"/>
          <w:i/>
          <w:sz w:val="16"/>
        </w:rPr>
        <w:t xml:space="preserve"> :</w:t>
      </w:r>
      <w:r w:rsidR="004C4C39" w:rsidRPr="00A32EED">
        <w:rPr>
          <w:rFonts w:eastAsia="Calibri"/>
          <w:sz w:val="16"/>
        </w:rPr>
        <w:t xml:space="preserve"> the probability of selection for the </w:t>
      </w:r>
      <w:r w:rsidR="004C4C39" w:rsidRPr="00A32EED">
        <w:rPr>
          <w:rFonts w:eastAsia="Calibri"/>
          <w:i/>
          <w:sz w:val="16"/>
        </w:rPr>
        <w:t>i</w:t>
      </w:r>
      <w:r w:rsidR="004C4C39" w:rsidRPr="00A32EED">
        <w:rPr>
          <w:rFonts w:eastAsia="Calibri"/>
          <w:sz w:val="16"/>
        </w:rPr>
        <w:t xml:space="preserve">th PSU in stratum </w:t>
      </w:r>
      <w:r w:rsidR="004C4C39" w:rsidRPr="00A32EED">
        <w:rPr>
          <w:rFonts w:eastAsia="Calibri"/>
          <w:i/>
          <w:sz w:val="16"/>
        </w:rPr>
        <w:t>h</w:t>
      </w:r>
    </w:p>
    <w:p w14:paraId="5AD4B118" w14:textId="77777777" w:rsidR="004C4C39" w:rsidRPr="00A32EED" w:rsidRDefault="004C4C39" w:rsidP="004C4C39">
      <w:pPr>
        <w:spacing w:after="0" w:line="480" w:lineRule="auto"/>
        <w:ind w:firstLine="720"/>
        <w:rPr>
          <w:rFonts w:eastAsia="Calibri"/>
        </w:rPr>
      </w:pPr>
    </w:p>
    <w:p w14:paraId="2C9ABFB6" w14:textId="77777777" w:rsidR="004C4C39" w:rsidRPr="00A32EED" w:rsidRDefault="004C4C39" w:rsidP="004C4C39">
      <w:pPr>
        <w:spacing w:after="0" w:line="480" w:lineRule="auto"/>
        <w:ind w:firstLine="720"/>
        <w:rPr>
          <w:rFonts w:eastAsia="Calibri"/>
        </w:rPr>
      </w:pPr>
      <w:r w:rsidRPr="00A32EED">
        <w:rPr>
          <w:rFonts w:eastAsia="Calibri"/>
        </w:rPr>
        <w:t xml:space="preserve">The above product however, is not the final weight. Adjustments to the weight were made to address issues such as siblings, delayed sampling, </w:t>
      </w:r>
      <w:r w:rsidRPr="00A32EED">
        <w:rPr>
          <w:rFonts w:eastAsia="Calibri"/>
        </w:rPr>
        <w:lastRenderedPageBreak/>
        <w:t xml:space="preserve">missing months, and incomplete/missing data. Although the NSCAW codebook does not list specifics, it does note that in some PSUs, data collection was delayed until December 1999 despite a project start date of October 1999.  Although most PSUs submitted complete data, some states submitted incomplete data. Data were incomplete for reasons such as the exclusion of unsubstantiated cases due to legal issues, substantial percentages of unsubstantiated cases missing due to late data entry, and cases not receiving services within domains 1 and 2 were excluded from the study (one county). </w:t>
      </w:r>
    </w:p>
    <w:p w14:paraId="47B9625D" w14:textId="77777777" w:rsidR="004C4C39" w:rsidRPr="00A32EED" w:rsidRDefault="004C4C39" w:rsidP="004C4C39">
      <w:pPr>
        <w:spacing w:after="0" w:line="480" w:lineRule="auto"/>
        <w:ind w:firstLine="720"/>
        <w:rPr>
          <w:rFonts w:eastAsia="Calibri"/>
        </w:rPr>
      </w:pPr>
      <w:r w:rsidRPr="00A32EED">
        <w:rPr>
          <w:rFonts w:eastAsia="Calibri"/>
        </w:rPr>
        <w:t xml:space="preserve">Two states only included information for children who were the subject of a substantiated investigation. To account for this when making inferences at a national level, a coverage adjustment was applied for unsubstantiated cases at this level. The process involved ratio adjusting weights for sampled unsubstantiated cases in other states to the total number of unsubstantiated in states, including the two missing states. To complete these adjustments, data from the National Child Abuse and Neglect Data System (NCANDS) Detailed Case Data Component were used to estimate the total unsubstantiated cases in the two states with missing data. Data from the National Child Abuse and Neglect Data System are comprised of all reports of child maltreatment made to child protective service agencies in the United States </w:t>
      </w:r>
      <w:r w:rsidRPr="00A32EED">
        <w:rPr>
          <w:rFonts w:eastAsia="Calibri"/>
        </w:rPr>
        <w:fldChar w:fldCharType="begin"/>
      </w:r>
      <w:r w:rsidRPr="00A32EED">
        <w:rPr>
          <w:rFonts w:eastAsia="Calibri"/>
        </w:rPr>
        <w:instrText xml:space="preserve"> ADDIN ZOTERO_ITEM CSL_CITATION {"citationID":"13ih1ciie4","properties":{"formattedCitation":"{\\rtf (Children\\uc0\\u8217{}s Bureau and Administration for Children and Families 2015)}","plainCitation":"(Children’s Bureau and Administration for Children and Families 2015)"},"citationItems":[{"id":1394,"uris":["http://zotero.org/users/1165382/items/MG6Z6WK6"],"uri":["http://zotero.org/users/1165382/items/MG6Z6WK6"],"itemData":{"id":1394,"type":"webpage","title":"About NCANDS","URL":"https://www.acf.hhs.gov/cb/resource/about-ncands","note":"00000","author":[{"literal":"Children's Bureau"},{"literal":"Administration for Children and Families"}],"issued":{"date-parts":[["2015"]]},"accessed":{"date-parts":[["2017",1,4]]}}}],"schema":"https://github.com/citation-style-language/schema/raw/master/csl-citation.json"} </w:instrText>
      </w:r>
      <w:r w:rsidRPr="00A32EED">
        <w:rPr>
          <w:rFonts w:eastAsia="Calibri"/>
        </w:rPr>
        <w:fldChar w:fldCharType="separate"/>
      </w:r>
      <w:r w:rsidRPr="00A32EED">
        <w:rPr>
          <w:rFonts w:eastAsia="Times New Roman"/>
        </w:rPr>
        <w:t>(Children’s Bureau and Administration for Children and Families 2015)</w:t>
      </w:r>
      <w:r w:rsidRPr="00A32EED">
        <w:rPr>
          <w:rFonts w:eastAsia="Calibri"/>
        </w:rPr>
        <w:fldChar w:fldCharType="end"/>
      </w:r>
      <w:r w:rsidRPr="00A32EED">
        <w:rPr>
          <w:rFonts w:eastAsia="Calibri"/>
        </w:rPr>
        <w:t>. Data are voluntarily reported by states to the Children’s Bureau for every fiscal year (October 1</w:t>
      </w:r>
      <w:r w:rsidRPr="00A32EED">
        <w:rPr>
          <w:rFonts w:eastAsia="Calibri"/>
          <w:vertAlign w:val="superscript"/>
        </w:rPr>
        <w:t>st</w:t>
      </w:r>
      <w:r w:rsidRPr="00A32EED">
        <w:rPr>
          <w:rFonts w:eastAsia="Calibri"/>
        </w:rPr>
        <w:t>-September 30</w:t>
      </w:r>
      <w:r w:rsidRPr="00A32EED">
        <w:rPr>
          <w:rFonts w:eastAsia="Calibri"/>
          <w:vertAlign w:val="superscript"/>
        </w:rPr>
        <w:t>th</w:t>
      </w:r>
      <w:r w:rsidRPr="00A32EED">
        <w:rPr>
          <w:rFonts w:eastAsia="Calibri"/>
        </w:rPr>
        <w:t xml:space="preserve">). The above process has been shown to improve the precision of final estimates </w:t>
      </w:r>
      <w:r w:rsidRPr="00A32EED">
        <w:rPr>
          <w:rFonts w:eastAsia="Calibri"/>
        </w:rPr>
        <w:fldChar w:fldCharType="begin"/>
      </w:r>
      <w:r w:rsidRPr="00A32EED">
        <w:rPr>
          <w:rFonts w:eastAsia="Calibri"/>
        </w:rPr>
        <w:instrText xml:space="preserve"> ADDIN ZOTERO_ITEM CSL_CITATION {"citationID":"2okgq8hq1i","properties":{"formattedCitation":"(Folsom and Singh 2000)","plainCitation":"(Folsom and Singh 2000)"},"citationItems":[{"id":1396,"uris":["http://zotero.org/users/1165382/items/SJSZGXPZ"],"uri":["http://zotero.org/users/1165382/items/SJSZGXPZ"],"itemData":{"id":1396,"type":"paper-conference","title":"The generalized exponential model for sampling weight calibration for extreme values, nonresponse, and poststratification","container-title":"Proceedings of the American Statistical Association, Survey Research Methods Section","volume":"598603","source":"Google Scholar","note":"00129","author":[{"family":"Folsom","given":"Ralph E."},{"family":"Singh","given":"Avi C."}],"issued":{"date-parts":[["2000"]]}}}],"schema":"https://github.com/citation-style-language/schema/raw/master/csl-citation.json"} </w:instrText>
      </w:r>
      <w:r w:rsidRPr="00A32EED">
        <w:rPr>
          <w:rFonts w:eastAsia="Calibri"/>
        </w:rPr>
        <w:fldChar w:fldCharType="separate"/>
      </w:r>
      <w:r w:rsidRPr="00A32EED">
        <w:rPr>
          <w:rFonts w:eastAsia="Calibri"/>
          <w:noProof/>
        </w:rPr>
        <w:t>(Folsom and Singh 2000)</w:t>
      </w:r>
      <w:r w:rsidRPr="00A32EED">
        <w:rPr>
          <w:rFonts w:eastAsia="Calibri"/>
        </w:rPr>
        <w:fldChar w:fldCharType="end"/>
      </w:r>
      <w:r w:rsidRPr="00A32EED">
        <w:rPr>
          <w:rFonts w:eastAsia="Calibri"/>
        </w:rPr>
        <w:t>.</w:t>
      </w:r>
    </w:p>
    <w:p w14:paraId="2DFF5AEF" w14:textId="77777777" w:rsidR="004C4C39" w:rsidRPr="00A32EED" w:rsidRDefault="004C4C39" w:rsidP="004C4C39">
      <w:pPr>
        <w:spacing w:after="0" w:line="480" w:lineRule="auto"/>
        <w:ind w:firstLine="720"/>
        <w:rPr>
          <w:rFonts w:eastAsia="Calibri"/>
          <w:color w:val="000000"/>
        </w:rPr>
      </w:pPr>
      <w:r w:rsidRPr="00A32EED">
        <w:rPr>
          <w:rFonts w:eastAsia="Calibri"/>
        </w:rPr>
        <w:lastRenderedPageBreak/>
        <w:t xml:space="preserve">To address issues of nonresponse across the data, a model-based method was developed by the Research Triangle Institute. The process uses a constrained logistical and exponential model that allows for nonresponse and post stratification-type sample weight adjustments to be made at the individual level </w:t>
      </w:r>
      <w:r w:rsidRPr="00A32EED">
        <w:rPr>
          <w:rFonts w:eastAsia="Calibri"/>
        </w:rPr>
        <w:fldChar w:fldCharType="begin"/>
      </w:r>
      <w:r w:rsidRPr="00A32EED">
        <w:rPr>
          <w:rFonts w:eastAsia="Calibri"/>
        </w:rPr>
        <w:instrText xml:space="preserve"> ADDIN ZOTERO_ITEM CSL_CITATION {"citationID":"23tnqpa9pd","properties":{"formattedCitation":"(Folsom and Witt 1994)","plainCitation":"(Folsom and Witt 1994)"},"citationItems":[{"id":1397,"uris":["http://zotero.org/users/1165382/items/9AGBSTWD"],"uri":["http://zotero.org/users/1165382/items/9AGBSTWD"],"itemData":{"id":1397,"type":"paper-conference","title":"Testing a new attrition nonresponse adjustment method for SIPP","container-title":"Proceedings of the American Statistical Association, Section on Survey Research Methods","page":"428–433","source":"Google Scholar","note":"00037","author":[{"family":"Folsom","given":"Ralph E."},{"family":"Witt","given":"Michael B."}],"issued":{"date-parts":[["1994"]]}}}],"schema":"https://github.com/citation-style-language/schema/raw/master/csl-citation.json"} </w:instrText>
      </w:r>
      <w:r w:rsidRPr="00A32EED">
        <w:rPr>
          <w:rFonts w:eastAsia="Calibri"/>
        </w:rPr>
        <w:fldChar w:fldCharType="separate"/>
      </w:r>
      <w:r w:rsidRPr="00A32EED">
        <w:rPr>
          <w:rFonts w:eastAsia="Calibri"/>
          <w:noProof/>
        </w:rPr>
        <w:t>(Folsom and Witt 1994)</w:t>
      </w:r>
      <w:r w:rsidRPr="00A32EED">
        <w:rPr>
          <w:rFonts w:eastAsia="Calibri"/>
        </w:rPr>
        <w:fldChar w:fldCharType="end"/>
      </w:r>
      <w:r w:rsidRPr="00A32EED">
        <w:rPr>
          <w:rFonts w:eastAsia="Calibri"/>
        </w:rPr>
        <w:t xml:space="preserve">. This process involves creating a logistic regression model using variables present for many children in the sample. Some of these variables were kept administratively and did not require actual interviews with all parties to obtain, resulting in a low missing percentage. Variables initially considered were: age, gender, race, ethnicity, sexual abuse, receipt of services, case substantiated, and out-of-home placement (OOH). The variables used in the final nonresponse adjustment models were age, gender, race/ethnicity, receipt of services, placement in OOH, and the urbanicity of the PSU. </w:t>
      </w:r>
    </w:p>
    <w:p w14:paraId="385051CD" w14:textId="77777777" w:rsidR="004C4C39" w:rsidRPr="00A32EED" w:rsidRDefault="004C4C39" w:rsidP="004C4C39">
      <w:pPr>
        <w:spacing w:after="0" w:line="480" w:lineRule="auto"/>
        <w:ind w:firstLine="720"/>
        <w:rPr>
          <w:rFonts w:eastAsia="Calibri"/>
        </w:rPr>
      </w:pPr>
      <w:r w:rsidRPr="00A32EED">
        <w:rPr>
          <w:rFonts w:eastAsia="Calibri"/>
        </w:rPr>
        <w:t xml:space="preserve">Two additional weights were created for wave 5 to be used in analyses of wave 5 responses (NANALWT5) and for longitudinal analyses of those who responded to Waves 1, 3, 4, and 5 (NANLW345). Wave 5 data collection was divided into four groups: those sampled as infants, those sampled as young children, those sampled as adolescents, and those who were young adults at the time of wave 5 data collection. Adjustments made to the NANLW345 were computed separately for each of the 4 above-mentioned groups. The wave 5 weights were created by making adjustments and calibrations to the wave 1 weight based on nonresponses in wave 5. Adjustments for nonresponse were made using a proprietary generalized exponential modeling procedure (GEM) </w:t>
      </w:r>
      <w:r w:rsidRPr="00A32EED">
        <w:rPr>
          <w:rFonts w:eastAsia="Calibri"/>
        </w:rPr>
        <w:lastRenderedPageBreak/>
        <w:t xml:space="preserve">from the Research Triangle Institute. This process is similar to using a logistic model to make corrections for nonresponse. The advantage of using the GEM software is the ability to complete nonresponse adjustment, weight trimming, and weight smoothing in one step. Further information on the use of GEM for weight adjustments can be found in section 7.4.1 of the NSCAW Data File User Manual </w:t>
      </w:r>
      <w:r w:rsidRPr="00A32EED">
        <w:rPr>
          <w:rFonts w:eastAsia="Calibri"/>
        </w:rPr>
        <w:fldChar w:fldCharType="begin"/>
      </w:r>
      <w:r w:rsidRPr="00A32EED">
        <w:rPr>
          <w:rFonts w:eastAsia="Calibri"/>
        </w:rPr>
        <w:instrText xml:space="preserve"> ADDIN ZOTERO_ITEM CSL_CITATION {"citationID":"101s53kht1","properties":{"formattedCitation":"(Dowd et al. 2008)","plainCitation":"(Dowd et al. 2008)"},"citationItems":[{"id":340,"uris":["http://zotero.org/users/1165382/items/KXZHA9XC"],"uri":["http://zotero.org/users/1165382/items/KXZHA9XC"],"itemData":{"id":340,"type":"article","title":"National Survey of Child and Adolescent Well-Being (NSCAW), Combined Waves 1–5, Data File User’s Manual, Restricted Release Version.","publisher":"National Data Archive on Child Abuse and Neglect","source":"Google Scholar","note":"00000","author":[{"family":"Dowd","given":"Kathryn"},{"family":"Kinsey","given":"Susan"},{"family":"Wheeless","given":"Sara"},{"family":"Thissen","given":"Rita"},{"family":"Richardson","given":"Jean"},{"family":"Suresh","given":"R."},{"family":"Mierzwa","given":"Frank"},{"family":"Biemer","given":"Paul"},{"family":"Johnson","given":"Ilona"},{"family":"Lytle","given":"Tiffany"},{"family":"Dolan","given":"Melissa"},{"family":"Hendershott","given":"Amy"},{"family":"Smith","given":"Keith"}],"issued":{"date-parts":[["2008"]]}}}],"schema":"https://github.com/citation-style-language/schema/raw/master/csl-citation.json"} </w:instrText>
      </w:r>
      <w:r w:rsidRPr="00A32EED">
        <w:rPr>
          <w:rFonts w:eastAsia="Calibri"/>
        </w:rPr>
        <w:fldChar w:fldCharType="separate"/>
      </w:r>
      <w:r w:rsidRPr="00A32EED">
        <w:rPr>
          <w:rFonts w:eastAsia="Calibri"/>
          <w:noProof/>
        </w:rPr>
        <w:t>(Dowd et al. 2008)</w:t>
      </w:r>
      <w:r w:rsidRPr="00A32EED">
        <w:rPr>
          <w:rFonts w:eastAsia="Calibri"/>
        </w:rPr>
        <w:fldChar w:fldCharType="end"/>
      </w:r>
      <w:r w:rsidRPr="00A32EED">
        <w:rPr>
          <w:rFonts w:eastAsia="Calibri"/>
        </w:rPr>
        <w:t>.</w:t>
      </w:r>
    </w:p>
    <w:p w14:paraId="7C5EEA2E"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47" w:name="_Toc479938155"/>
      <w:bookmarkStart w:id="48" w:name="_Toc482112684"/>
      <w:r w:rsidRPr="00A32EED">
        <w:rPr>
          <w:rFonts w:eastAsia="ＭＳ ゴシック"/>
          <w:i/>
          <w:color w:val="000000"/>
          <w:szCs w:val="26"/>
          <w:u w:val="single"/>
        </w:rPr>
        <w:t>Description of NSCAW Sample used for Early Sexual Initiation Analyses</w:t>
      </w:r>
      <w:bookmarkEnd w:id="47"/>
      <w:bookmarkEnd w:id="48"/>
    </w:p>
    <w:p w14:paraId="604AD634" w14:textId="2B83A70B" w:rsidR="004C4C39" w:rsidRPr="00A32EED" w:rsidRDefault="004C4C39" w:rsidP="004C4C39">
      <w:pPr>
        <w:spacing w:after="0" w:line="480" w:lineRule="auto"/>
        <w:rPr>
          <w:rFonts w:eastAsia="Calibri"/>
        </w:rPr>
      </w:pPr>
      <w:r w:rsidRPr="00A32EED">
        <w:rPr>
          <w:rFonts w:eastAsia="Calibri"/>
        </w:rPr>
        <w:t xml:space="preserve"> </w:t>
      </w:r>
      <w:r w:rsidR="00792663">
        <w:rPr>
          <w:rFonts w:eastAsia="Calibri"/>
        </w:rPr>
        <w:tab/>
      </w:r>
      <w:r w:rsidRPr="00A32EED">
        <w:rPr>
          <w:rFonts w:eastAsia="Calibri"/>
        </w:rPr>
        <w:t xml:space="preserve">Many selection criteria were used for this project, as such, not all individuals in the NSCAW data were used in the analyses. Furthermore, different variables of interest required samples of different age groups. Specifics regarding differences in the ages selected are discussed later in this section. As previously mentioned, the first step of selection was to include only observations from the CPS sample. This step does not differ by the variable of interest and therefore was the same for every analysis sample used. This step reduces the number of observations from 6,228 to 5,501. The CPS sample involves those children who were the subject of a maltreatment investigation by various states' state Child Protective Services agencies. Analyses in this project were limited to only the CPS sample for multiple reasons. The first is this sample includes the largest number of children. Second, one of the goals of this study is to distinguish between the effects of child maltreatment and child welfare experiences and, as such, the LTFC portion of the sample includes only those who were in an out-of-home placement setting for at least a year. As such, the LTFC sample does not include a comparison group of those who are </w:t>
      </w:r>
      <w:r w:rsidRPr="00A32EED">
        <w:rPr>
          <w:rFonts w:eastAsia="Calibri"/>
        </w:rPr>
        <w:lastRenderedPageBreak/>
        <w:t xml:space="preserve">not in out-of-home care. Furthermore, those children who have been in out-of-home care for at least a year represent a different and less diverse group when compared to the CPS sample. Stated differently, cases in the LTFC sample include only those cases with significant enough maltreatment and social settings that required out-of-home placement for over one year. In comparison, the CPS sample contains a wide range of cases including those without substantiated maltreatment all the way through the most severe cases which may involve out-of-home placements lasting for more than a year.  </w:t>
      </w:r>
    </w:p>
    <w:p w14:paraId="32086D85" w14:textId="306F73F9" w:rsidR="004C4C39" w:rsidRPr="00A32EED" w:rsidRDefault="004C4C39" w:rsidP="004C4C39">
      <w:pPr>
        <w:spacing w:after="0" w:line="480" w:lineRule="auto"/>
        <w:rPr>
          <w:rFonts w:eastAsia="Calibri"/>
        </w:rPr>
      </w:pPr>
      <w:r w:rsidRPr="00A32EED">
        <w:rPr>
          <w:rFonts w:eastAsia="Calibri"/>
        </w:rPr>
        <w:t xml:space="preserve"> </w:t>
      </w:r>
      <w:r w:rsidR="00342999">
        <w:rPr>
          <w:rFonts w:eastAsia="Calibri"/>
        </w:rPr>
        <w:tab/>
      </w:r>
      <w:r w:rsidRPr="00A32EED">
        <w:rPr>
          <w:rFonts w:eastAsia="Calibri"/>
        </w:rPr>
        <w:t xml:space="preserve">Due to the age-dependency of the dependent variables, only those children who were guaranteed to be a certain age at the time wave 5 data collection were included. Specifically, to assess risky sexual behavior in the form of early sexual initiation, sexual initiation prior to the age of fifteen was deemed to be early. As such, observations included in the early initiation sample needed to be at least 15 at the time of the wave 5 data collection to ensure estimations were not biased by observations which had not yet reached the earliest age for early initiation. To accomplish this, only children who were at least nine years old at baseline were included in the risky sexual behavior sample.  Age at baseline was used as opposed to age variables at wave 5 due to wave 5 having a higher percentage of missing values for age. When using a minimum baseline age of nine one case was identified where the age at wave 5 was 14. This case was subsequently eliminated from the sample. There were also 10 additional cases where the age at wave 5 was missing. Of these 10 cases, 9 were at least 10 at baseline and 1 was only 9 at baseline. Given the </w:t>
      </w:r>
      <w:r w:rsidRPr="00A32EED">
        <w:rPr>
          <w:rFonts w:eastAsia="Calibri"/>
        </w:rPr>
        <w:lastRenderedPageBreak/>
        <w:t xml:space="preserve">timeframe of data collection, it is very likely the 9 youths who were 10 at baseline were at least 15 at the time of wave 5 data collection. However, it is possible the case identified as 9 at baseline was not 15 during wave 5 data collection and therefore was removed from analyses. After selecting only observations which were at least nine at baseline and fifteen at wave five, the total number of observations eligible is 1,752. </w:t>
      </w:r>
    </w:p>
    <w:p w14:paraId="085E5EFC" w14:textId="77777777" w:rsidR="004C4C39" w:rsidRPr="00A32EED" w:rsidRDefault="004C4C39" w:rsidP="004C4C39">
      <w:pPr>
        <w:spacing w:after="0" w:line="480" w:lineRule="auto"/>
        <w:rPr>
          <w:rFonts w:eastAsia="Calibri"/>
        </w:rPr>
      </w:pPr>
      <w:r w:rsidRPr="00A32EED">
        <w:rPr>
          <w:rFonts w:eastAsia="Calibri"/>
        </w:rPr>
        <w:tab/>
        <w:t xml:space="preserve">Although there were 1,752 cases eligible for inclusion in analyses based on age, more cases were subsequently removed because of missing data. The reason for cases being dropped by variable and the resulting sample sizes eligible for early initiation analyses can be found in Table 3.2. Of the 1,752 age eligible cases: 158 cases (9.02%) were dropped due to not having enough information to determine early sexual initiation, 125 cases (7.13%) were dropped due to having missing or incomplete responses for self-control, and 150 cases (8.62%) had missing or incomplete information regarding other variables used in the analyses. </w:t>
      </w:r>
    </w:p>
    <w:p w14:paraId="5EE1A4B5" w14:textId="77777777" w:rsidR="002B5B1D" w:rsidRDefault="002B5B1D">
      <w:pPr>
        <w:rPr>
          <w:rFonts w:eastAsia="Calibri" w:cs="Times New Roman"/>
          <w:i/>
          <w:iCs/>
          <w:color w:val="000000"/>
          <w:szCs w:val="18"/>
        </w:rPr>
      </w:pPr>
      <w:bookmarkStart w:id="49" w:name="_Toc479941210"/>
      <w:r>
        <w:rPr>
          <w:rFonts w:eastAsia="Calibri"/>
        </w:rPr>
        <w:br w:type="page"/>
      </w:r>
    </w:p>
    <w:p w14:paraId="276EB0F5" w14:textId="442BC998" w:rsidR="004C4C39" w:rsidRPr="00A32EED" w:rsidRDefault="004C4C39" w:rsidP="00977830">
      <w:pPr>
        <w:pStyle w:val="Caption1"/>
        <w:rPr>
          <w:rFonts w:eastAsia="Calibri"/>
        </w:rPr>
      </w:pPr>
      <w:r w:rsidRPr="00A32EED">
        <w:rPr>
          <w:rFonts w:eastAsia="Calibri"/>
        </w:rPr>
        <w:lastRenderedPageBreak/>
        <w:t>Table 3.</w:t>
      </w:r>
      <w:r w:rsidRPr="00A32EED">
        <w:rPr>
          <w:rFonts w:eastAsia="Calibri"/>
        </w:rPr>
        <w:fldChar w:fldCharType="begin"/>
      </w:r>
      <w:r w:rsidRPr="00A32EED">
        <w:rPr>
          <w:rFonts w:eastAsia="Calibri"/>
        </w:rPr>
        <w:instrText xml:space="preserve"> SEQ Table_3. \* ARABIC </w:instrText>
      </w:r>
      <w:r w:rsidRPr="00A32EED">
        <w:rPr>
          <w:rFonts w:eastAsia="Calibri"/>
        </w:rPr>
        <w:fldChar w:fldCharType="separate"/>
      </w:r>
      <w:r w:rsidR="00FA12E2">
        <w:rPr>
          <w:rFonts w:eastAsia="Calibri"/>
          <w:noProof/>
        </w:rPr>
        <w:t>2</w:t>
      </w:r>
      <w:r w:rsidRPr="00A32EED">
        <w:rPr>
          <w:rFonts w:eastAsia="Calibri"/>
          <w:noProof/>
        </w:rPr>
        <w:fldChar w:fldCharType="end"/>
      </w:r>
      <w:r w:rsidRPr="00A32EED">
        <w:rPr>
          <w:rFonts w:eastAsia="Calibri"/>
        </w:rPr>
        <w:t>: Summary of Missing Cases for Age-Eligible Early Sexual Initiation (n=1,752)</w:t>
      </w:r>
      <w:bookmarkEnd w:id="49"/>
    </w:p>
    <w:tbl>
      <w:tblPr>
        <w:tblStyle w:val="ListTable21"/>
        <w:tblW w:w="0" w:type="auto"/>
        <w:tblLook w:val="04A0" w:firstRow="1" w:lastRow="0" w:firstColumn="1" w:lastColumn="0" w:noHBand="0" w:noVBand="1"/>
      </w:tblPr>
      <w:tblGrid>
        <w:gridCol w:w="3232"/>
        <w:gridCol w:w="1473"/>
        <w:gridCol w:w="3477"/>
      </w:tblGrid>
      <w:tr w:rsidR="002B5B1D" w:rsidRPr="00A32EED" w14:paraId="69AFB2BF" w14:textId="77777777" w:rsidTr="002B5B1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32" w:type="dxa"/>
            <w:noWrap/>
            <w:hideMark/>
          </w:tcPr>
          <w:p w14:paraId="5C875E73" w14:textId="77777777" w:rsidR="004C4C39" w:rsidRPr="00A32EED" w:rsidRDefault="004C4C39" w:rsidP="004C4C39">
            <w:pPr>
              <w:rPr>
                <w:rFonts w:eastAsia="Times New Roman" w:cs="Arial"/>
                <w:color w:val="000000"/>
              </w:rPr>
            </w:pPr>
            <w:r w:rsidRPr="00A32EED">
              <w:rPr>
                <w:rFonts w:eastAsia="Times New Roman" w:cs="Arial"/>
                <w:color w:val="000000"/>
              </w:rPr>
              <w:t>Variable</w:t>
            </w:r>
          </w:p>
        </w:tc>
        <w:tc>
          <w:tcPr>
            <w:tcW w:w="1473" w:type="dxa"/>
            <w:noWrap/>
            <w:hideMark/>
          </w:tcPr>
          <w:p w14:paraId="503F4B80"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 Missing</w:t>
            </w:r>
          </w:p>
        </w:tc>
        <w:tc>
          <w:tcPr>
            <w:tcW w:w="3477" w:type="dxa"/>
            <w:noWrap/>
            <w:hideMark/>
          </w:tcPr>
          <w:p w14:paraId="274052A8"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Remaining Cases For Analyses</w:t>
            </w:r>
          </w:p>
        </w:tc>
      </w:tr>
      <w:tr w:rsidR="002B5B1D" w:rsidRPr="00A32EED" w14:paraId="30B55B6C" w14:textId="77777777" w:rsidTr="002B5B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32" w:type="dxa"/>
            <w:noWrap/>
          </w:tcPr>
          <w:p w14:paraId="146940AD" w14:textId="77777777" w:rsidR="004C4C39" w:rsidRPr="00A32EED" w:rsidRDefault="004C4C39" w:rsidP="004C4C39">
            <w:pPr>
              <w:rPr>
                <w:rFonts w:eastAsia="Times New Roman" w:cs="Arial"/>
                <w:color w:val="000000"/>
              </w:rPr>
            </w:pPr>
            <w:r w:rsidRPr="00A32EED">
              <w:rPr>
                <w:rFonts w:eastAsia="Times New Roman" w:cs="Arial"/>
                <w:color w:val="000000"/>
              </w:rPr>
              <w:t>NANLW345 =0</w:t>
            </w:r>
          </w:p>
        </w:tc>
        <w:tc>
          <w:tcPr>
            <w:tcW w:w="1473" w:type="dxa"/>
            <w:noWrap/>
          </w:tcPr>
          <w:p w14:paraId="24E2E6E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580 (33.11%)</w:t>
            </w:r>
          </w:p>
        </w:tc>
        <w:tc>
          <w:tcPr>
            <w:tcW w:w="3477" w:type="dxa"/>
            <w:noWrap/>
          </w:tcPr>
          <w:p w14:paraId="2FC1967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1172</w:t>
            </w:r>
          </w:p>
        </w:tc>
      </w:tr>
      <w:tr w:rsidR="002B5B1D" w:rsidRPr="00A32EED" w14:paraId="1A7F6DF2" w14:textId="77777777" w:rsidTr="002B5B1D">
        <w:trPr>
          <w:trHeight w:val="320"/>
        </w:trPr>
        <w:tc>
          <w:tcPr>
            <w:cnfStyle w:val="001000000000" w:firstRow="0" w:lastRow="0" w:firstColumn="1" w:lastColumn="0" w:oddVBand="0" w:evenVBand="0" w:oddHBand="0" w:evenHBand="0" w:firstRowFirstColumn="0" w:firstRowLastColumn="0" w:lastRowFirstColumn="0" w:lastRowLastColumn="0"/>
            <w:tcW w:w="3232" w:type="dxa"/>
            <w:noWrap/>
            <w:hideMark/>
          </w:tcPr>
          <w:p w14:paraId="38810711" w14:textId="77777777" w:rsidR="004C4C39" w:rsidRPr="00A32EED" w:rsidRDefault="004C4C39" w:rsidP="004C4C39">
            <w:pPr>
              <w:rPr>
                <w:rFonts w:eastAsia="Times New Roman" w:cs="Arial"/>
                <w:color w:val="000000"/>
              </w:rPr>
            </w:pPr>
            <w:r w:rsidRPr="00A32EED">
              <w:rPr>
                <w:rFonts w:eastAsia="Times New Roman" w:cs="Arial"/>
                <w:color w:val="000000"/>
              </w:rPr>
              <w:t>Early Initiation</w:t>
            </w:r>
          </w:p>
        </w:tc>
        <w:tc>
          <w:tcPr>
            <w:tcW w:w="1473" w:type="dxa"/>
            <w:noWrap/>
            <w:hideMark/>
          </w:tcPr>
          <w:p w14:paraId="48F8DFE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158 (9.02%)</w:t>
            </w:r>
          </w:p>
        </w:tc>
        <w:tc>
          <w:tcPr>
            <w:tcW w:w="3477" w:type="dxa"/>
            <w:noWrap/>
            <w:hideMark/>
          </w:tcPr>
          <w:p w14:paraId="0EB3959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1014</w:t>
            </w:r>
          </w:p>
        </w:tc>
      </w:tr>
      <w:tr w:rsidR="002B5B1D" w:rsidRPr="00A32EED" w14:paraId="588EAE92" w14:textId="77777777" w:rsidTr="002B5B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32" w:type="dxa"/>
            <w:noWrap/>
            <w:hideMark/>
          </w:tcPr>
          <w:p w14:paraId="25A9A273" w14:textId="77777777" w:rsidR="004C4C39" w:rsidRPr="00A32EED" w:rsidRDefault="004C4C39" w:rsidP="004C4C39">
            <w:pPr>
              <w:rPr>
                <w:rFonts w:eastAsia="Times New Roman" w:cs="Arial"/>
                <w:color w:val="000000"/>
              </w:rPr>
            </w:pPr>
            <w:r w:rsidRPr="00A32EED">
              <w:rPr>
                <w:rFonts w:eastAsia="Times New Roman" w:cs="Arial"/>
                <w:color w:val="000000"/>
              </w:rPr>
              <w:t>Self-Control</w:t>
            </w:r>
          </w:p>
        </w:tc>
        <w:tc>
          <w:tcPr>
            <w:tcW w:w="1473" w:type="dxa"/>
            <w:noWrap/>
            <w:hideMark/>
          </w:tcPr>
          <w:p w14:paraId="77C9DED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125 (7.13%)</w:t>
            </w:r>
          </w:p>
        </w:tc>
        <w:tc>
          <w:tcPr>
            <w:tcW w:w="3477" w:type="dxa"/>
            <w:noWrap/>
            <w:hideMark/>
          </w:tcPr>
          <w:p w14:paraId="16766F0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889</w:t>
            </w:r>
          </w:p>
        </w:tc>
      </w:tr>
      <w:tr w:rsidR="002B5B1D" w:rsidRPr="00A32EED" w14:paraId="316E3AB0" w14:textId="77777777" w:rsidTr="002B5B1D">
        <w:trPr>
          <w:trHeight w:val="320"/>
        </w:trPr>
        <w:tc>
          <w:tcPr>
            <w:cnfStyle w:val="001000000000" w:firstRow="0" w:lastRow="0" w:firstColumn="1" w:lastColumn="0" w:oddVBand="0" w:evenVBand="0" w:oddHBand="0" w:evenHBand="0" w:firstRowFirstColumn="0" w:firstRowLastColumn="0" w:lastRowFirstColumn="0" w:lastRowLastColumn="0"/>
            <w:tcW w:w="3232" w:type="dxa"/>
            <w:noWrap/>
            <w:hideMark/>
          </w:tcPr>
          <w:p w14:paraId="74CBEC01" w14:textId="77777777" w:rsidR="004C4C39" w:rsidRPr="00A32EED" w:rsidRDefault="004C4C39" w:rsidP="004C4C39">
            <w:pPr>
              <w:rPr>
                <w:rFonts w:eastAsia="Times New Roman" w:cs="Arial"/>
                <w:color w:val="000000"/>
              </w:rPr>
            </w:pPr>
            <w:r w:rsidRPr="00A32EED">
              <w:rPr>
                <w:rFonts w:eastAsia="Times New Roman" w:cs="Arial"/>
                <w:color w:val="000000"/>
              </w:rPr>
              <w:t>Other/Multiple Missing Variables</w:t>
            </w:r>
          </w:p>
        </w:tc>
        <w:tc>
          <w:tcPr>
            <w:tcW w:w="1473" w:type="dxa"/>
            <w:noWrap/>
            <w:hideMark/>
          </w:tcPr>
          <w:p w14:paraId="4E29E1D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150 (8.62%)</w:t>
            </w:r>
          </w:p>
        </w:tc>
        <w:tc>
          <w:tcPr>
            <w:tcW w:w="3477" w:type="dxa"/>
            <w:noWrap/>
            <w:hideMark/>
          </w:tcPr>
          <w:p w14:paraId="37C8E7B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739</w:t>
            </w:r>
          </w:p>
        </w:tc>
      </w:tr>
    </w:tbl>
    <w:p w14:paraId="6CCE384B" w14:textId="77777777" w:rsidR="004C4C39" w:rsidRPr="00A32EED" w:rsidRDefault="004C4C39" w:rsidP="004C4C39">
      <w:pPr>
        <w:spacing w:after="0" w:line="480" w:lineRule="auto"/>
        <w:rPr>
          <w:rFonts w:eastAsia="Calibri"/>
        </w:rPr>
      </w:pPr>
    </w:p>
    <w:p w14:paraId="3E528497" w14:textId="0F6DB62E" w:rsidR="004C4C39" w:rsidRPr="00A32EED" w:rsidRDefault="004C4C39" w:rsidP="004C4C39">
      <w:pPr>
        <w:spacing w:after="0" w:line="480" w:lineRule="auto"/>
        <w:ind w:firstLine="720"/>
        <w:rPr>
          <w:rFonts w:eastAsia="Calibri"/>
        </w:rPr>
      </w:pPr>
      <w:r w:rsidRPr="00A32EED">
        <w:rPr>
          <w:rFonts w:eastAsia="Calibri"/>
        </w:rPr>
        <w:t>Most missing cases in the age-eligible sample were dropped due</w:t>
      </w:r>
      <w:r w:rsidR="00E50CBE">
        <w:rPr>
          <w:rFonts w:eastAsia="Calibri"/>
        </w:rPr>
        <w:t xml:space="preserve"> to</w:t>
      </w:r>
      <w:r w:rsidRPr="00A32EED">
        <w:rPr>
          <w:rFonts w:eastAsia="Calibri"/>
        </w:rPr>
        <w:t xml:space="preserve"> missing survey weights. In the final adjustment and calibration of the wave 5 NANLW345 weight, the weight was set to zero for any case where the respondent had died, moved out of the country, or was missing at any previous waves. The reason for these missing weights by wave can be found in Table 3.3. The table lists the four most common reasons for the interview not being completed for each wave. The most common reasons for the interview not being completed across waves are refusals, being unavailable, the child was unlocatable, or partial interviews. Of the 580 cases with missing weights, Wave 3 has the highest number of missing cases with 251 (43.28%). After the elimination of cases with missing data and weights, the analytical sample for early sexual initiation includes 739 cases.</w:t>
      </w:r>
    </w:p>
    <w:p w14:paraId="7EB56BB2" w14:textId="77777777" w:rsidR="004C4C39" w:rsidRPr="00A32EED" w:rsidRDefault="004C4C39" w:rsidP="004C4C39">
      <w:pPr>
        <w:spacing w:after="0"/>
        <w:rPr>
          <w:rFonts w:eastAsia="Calibri"/>
          <w:i/>
          <w:iCs/>
          <w:color w:val="000000"/>
          <w:szCs w:val="18"/>
        </w:rPr>
      </w:pPr>
      <w:r w:rsidRPr="00A32EED">
        <w:rPr>
          <w:rFonts w:eastAsia="Calibri"/>
        </w:rPr>
        <w:br w:type="page"/>
      </w:r>
    </w:p>
    <w:p w14:paraId="10F17983" w14:textId="77777777" w:rsidR="004C4C39" w:rsidRPr="00A32EED" w:rsidRDefault="004C4C39" w:rsidP="00977830">
      <w:pPr>
        <w:pStyle w:val="Caption1"/>
        <w:rPr>
          <w:rFonts w:eastAsia="Calibri"/>
        </w:rPr>
      </w:pPr>
      <w:bookmarkStart w:id="50" w:name="_Toc479941211"/>
      <w:r w:rsidRPr="00A32EED">
        <w:rPr>
          <w:rFonts w:eastAsia="Calibri"/>
        </w:rPr>
        <w:lastRenderedPageBreak/>
        <w:t>Table 3.</w:t>
      </w:r>
      <w:r w:rsidRPr="00A32EED">
        <w:rPr>
          <w:rFonts w:eastAsia="Calibri"/>
        </w:rPr>
        <w:fldChar w:fldCharType="begin"/>
      </w:r>
      <w:r w:rsidRPr="00A32EED">
        <w:rPr>
          <w:rFonts w:eastAsia="Calibri"/>
        </w:rPr>
        <w:instrText xml:space="preserve"> SEQ Table_3. \* ARABIC </w:instrText>
      </w:r>
      <w:r w:rsidRPr="00A32EED">
        <w:rPr>
          <w:rFonts w:eastAsia="Calibri"/>
        </w:rPr>
        <w:fldChar w:fldCharType="separate"/>
      </w:r>
      <w:r w:rsidR="00FA12E2">
        <w:rPr>
          <w:rFonts w:eastAsia="Calibri"/>
          <w:noProof/>
        </w:rPr>
        <w:t>3</w:t>
      </w:r>
      <w:r w:rsidRPr="00A32EED">
        <w:rPr>
          <w:rFonts w:eastAsia="Calibri"/>
          <w:noProof/>
        </w:rPr>
        <w:fldChar w:fldCharType="end"/>
      </w:r>
      <w:r w:rsidRPr="00A32EED">
        <w:rPr>
          <w:rFonts w:eastAsia="Calibri"/>
        </w:rPr>
        <w:t>: Summary of 580 Early Sexual Initiation Cases With Missing Weights by Wave</w:t>
      </w:r>
      <w:bookmarkEnd w:id="50"/>
    </w:p>
    <w:tbl>
      <w:tblPr>
        <w:tblStyle w:val="ListTable21"/>
        <w:tblW w:w="8155" w:type="dxa"/>
        <w:tblLook w:val="04A0" w:firstRow="1" w:lastRow="0" w:firstColumn="1" w:lastColumn="0" w:noHBand="0" w:noVBand="1"/>
      </w:tblPr>
      <w:tblGrid>
        <w:gridCol w:w="1663"/>
        <w:gridCol w:w="1862"/>
        <w:gridCol w:w="1934"/>
        <w:gridCol w:w="2696"/>
      </w:tblGrid>
      <w:tr w:rsidR="004C4C39" w:rsidRPr="00A32EED" w14:paraId="0E3853F2" w14:textId="77777777" w:rsidTr="0085059C">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25" w:type="dxa"/>
            <w:gridSpan w:val="2"/>
          </w:tcPr>
          <w:p w14:paraId="1ACF5528" w14:textId="77777777" w:rsidR="004C4C39" w:rsidRPr="00A32EED" w:rsidRDefault="004C4C39" w:rsidP="004C4C39">
            <w:pPr>
              <w:rPr>
                <w:rFonts w:eastAsia="Calibri" w:cs="Arial"/>
              </w:rPr>
            </w:pPr>
          </w:p>
        </w:tc>
        <w:tc>
          <w:tcPr>
            <w:tcW w:w="1934" w:type="dxa"/>
          </w:tcPr>
          <w:p w14:paraId="1F02ACB6"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Missing Cases</w:t>
            </w:r>
          </w:p>
        </w:tc>
        <w:tc>
          <w:tcPr>
            <w:tcW w:w="2696" w:type="dxa"/>
          </w:tcPr>
          <w:p w14:paraId="44A8790A"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Total</w:t>
            </w:r>
          </w:p>
        </w:tc>
      </w:tr>
      <w:tr w:rsidR="004C4C39" w:rsidRPr="00A32EED" w14:paraId="2B5C787F"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25" w:type="dxa"/>
            <w:gridSpan w:val="2"/>
          </w:tcPr>
          <w:p w14:paraId="21F92031" w14:textId="77777777" w:rsidR="004C4C39" w:rsidRPr="00A32EED" w:rsidRDefault="004C4C39" w:rsidP="004C4C39">
            <w:pPr>
              <w:rPr>
                <w:rFonts w:eastAsia="Calibri" w:cs="Arial"/>
              </w:rPr>
            </w:pPr>
            <w:r w:rsidRPr="00A32EED">
              <w:rPr>
                <w:rFonts w:eastAsia="Calibri" w:cs="Arial"/>
              </w:rPr>
              <w:t xml:space="preserve">Wave 1 </w:t>
            </w:r>
          </w:p>
        </w:tc>
        <w:tc>
          <w:tcPr>
            <w:tcW w:w="1934" w:type="dxa"/>
          </w:tcPr>
          <w:p w14:paraId="6D54B0E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c>
          <w:tcPr>
            <w:tcW w:w="2696" w:type="dxa"/>
          </w:tcPr>
          <w:p w14:paraId="65132AC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r w:rsidRPr="00A32EED">
              <w:rPr>
                <w:rFonts w:eastAsia="Calibri" w:cs="Arial"/>
                <w:b/>
              </w:rPr>
              <w:t xml:space="preserve">32 </w:t>
            </w:r>
            <w:r w:rsidRPr="00A32EED">
              <w:rPr>
                <w:rFonts w:eastAsia="Calibri" w:cs="Arial"/>
              </w:rPr>
              <w:t>(5.51%)</w:t>
            </w:r>
          </w:p>
        </w:tc>
      </w:tr>
      <w:tr w:rsidR="004C4C39" w:rsidRPr="00A32EED" w14:paraId="3B3B0F72"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15876B11" w14:textId="77777777" w:rsidR="004C4C39" w:rsidRPr="00A32EED" w:rsidRDefault="004C4C39" w:rsidP="004C4C39">
            <w:pPr>
              <w:jc w:val="center"/>
              <w:rPr>
                <w:rFonts w:eastAsia="Times New Roman" w:cs="Arial"/>
                <w:color w:val="000000"/>
              </w:rPr>
            </w:pPr>
          </w:p>
        </w:tc>
        <w:tc>
          <w:tcPr>
            <w:tcW w:w="1862" w:type="dxa"/>
          </w:tcPr>
          <w:p w14:paraId="0723373B"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Refusal</w:t>
            </w:r>
          </w:p>
        </w:tc>
        <w:tc>
          <w:tcPr>
            <w:tcW w:w="1934" w:type="dxa"/>
          </w:tcPr>
          <w:p w14:paraId="6D0A93E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15</w:t>
            </w:r>
          </w:p>
        </w:tc>
        <w:tc>
          <w:tcPr>
            <w:tcW w:w="2696" w:type="dxa"/>
          </w:tcPr>
          <w:p w14:paraId="49D9952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6D79A40B"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3" w:type="dxa"/>
          </w:tcPr>
          <w:p w14:paraId="63CC56F0" w14:textId="77777777" w:rsidR="004C4C39" w:rsidRPr="00A32EED" w:rsidRDefault="004C4C39" w:rsidP="004C4C39">
            <w:pPr>
              <w:jc w:val="center"/>
              <w:rPr>
                <w:rFonts w:eastAsia="Times New Roman" w:cs="Arial"/>
                <w:color w:val="000000"/>
              </w:rPr>
            </w:pPr>
          </w:p>
        </w:tc>
        <w:tc>
          <w:tcPr>
            <w:tcW w:w="1862" w:type="dxa"/>
          </w:tcPr>
          <w:p w14:paraId="31301CD1"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Unavailable</w:t>
            </w:r>
          </w:p>
        </w:tc>
        <w:tc>
          <w:tcPr>
            <w:tcW w:w="1934" w:type="dxa"/>
          </w:tcPr>
          <w:p w14:paraId="1DCE396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5</w:t>
            </w:r>
          </w:p>
        </w:tc>
        <w:tc>
          <w:tcPr>
            <w:tcW w:w="2696" w:type="dxa"/>
          </w:tcPr>
          <w:p w14:paraId="0B7DA04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70B904B8"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6E97304E" w14:textId="77777777" w:rsidR="004C4C39" w:rsidRPr="00A32EED" w:rsidRDefault="004C4C39" w:rsidP="004C4C39">
            <w:pPr>
              <w:jc w:val="center"/>
              <w:rPr>
                <w:rFonts w:eastAsia="Times New Roman" w:cs="Arial"/>
                <w:color w:val="000000"/>
              </w:rPr>
            </w:pPr>
          </w:p>
        </w:tc>
        <w:tc>
          <w:tcPr>
            <w:tcW w:w="1862" w:type="dxa"/>
          </w:tcPr>
          <w:p w14:paraId="39251959"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Incapable</w:t>
            </w:r>
          </w:p>
        </w:tc>
        <w:tc>
          <w:tcPr>
            <w:tcW w:w="1934" w:type="dxa"/>
          </w:tcPr>
          <w:p w14:paraId="5F4A2C4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4</w:t>
            </w:r>
          </w:p>
        </w:tc>
        <w:tc>
          <w:tcPr>
            <w:tcW w:w="2696" w:type="dxa"/>
          </w:tcPr>
          <w:p w14:paraId="3B92259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600C2B9E" w14:textId="77777777" w:rsidTr="0085059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63" w:type="dxa"/>
          </w:tcPr>
          <w:p w14:paraId="04F6F225" w14:textId="77777777" w:rsidR="004C4C39" w:rsidRPr="00A32EED" w:rsidRDefault="004C4C39" w:rsidP="004C4C39">
            <w:pPr>
              <w:jc w:val="center"/>
              <w:rPr>
                <w:rFonts w:eastAsia="Times New Roman" w:cs="Arial"/>
                <w:color w:val="000000"/>
              </w:rPr>
            </w:pPr>
          </w:p>
        </w:tc>
        <w:tc>
          <w:tcPr>
            <w:tcW w:w="1862" w:type="dxa"/>
          </w:tcPr>
          <w:p w14:paraId="10B42D1E"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Partial Interview</w:t>
            </w:r>
          </w:p>
        </w:tc>
        <w:tc>
          <w:tcPr>
            <w:tcW w:w="1934" w:type="dxa"/>
          </w:tcPr>
          <w:p w14:paraId="6B3389C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4</w:t>
            </w:r>
          </w:p>
        </w:tc>
        <w:tc>
          <w:tcPr>
            <w:tcW w:w="2696" w:type="dxa"/>
          </w:tcPr>
          <w:p w14:paraId="333A564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3D4A4FCD"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4DF24016" w14:textId="77777777" w:rsidR="004C4C39" w:rsidRPr="00A32EED" w:rsidRDefault="004C4C39" w:rsidP="004C4C39">
            <w:pPr>
              <w:jc w:val="center"/>
              <w:rPr>
                <w:rFonts w:eastAsia="Times New Roman" w:cs="Arial"/>
                <w:color w:val="000000"/>
              </w:rPr>
            </w:pPr>
          </w:p>
        </w:tc>
        <w:tc>
          <w:tcPr>
            <w:tcW w:w="1862" w:type="dxa"/>
          </w:tcPr>
          <w:p w14:paraId="61917736"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Other</w:t>
            </w:r>
          </w:p>
        </w:tc>
        <w:tc>
          <w:tcPr>
            <w:tcW w:w="1934" w:type="dxa"/>
          </w:tcPr>
          <w:p w14:paraId="2497500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4</w:t>
            </w:r>
          </w:p>
        </w:tc>
        <w:tc>
          <w:tcPr>
            <w:tcW w:w="2696" w:type="dxa"/>
          </w:tcPr>
          <w:p w14:paraId="5BE6B8B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46FEF90A"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25" w:type="dxa"/>
            <w:gridSpan w:val="2"/>
          </w:tcPr>
          <w:p w14:paraId="66E45233" w14:textId="77777777" w:rsidR="004C4C39" w:rsidRPr="00A32EED" w:rsidRDefault="004C4C39" w:rsidP="004C4C39">
            <w:pPr>
              <w:rPr>
                <w:rFonts w:eastAsia="Calibri" w:cs="Arial"/>
              </w:rPr>
            </w:pPr>
            <w:r w:rsidRPr="00A32EED">
              <w:rPr>
                <w:rFonts w:eastAsia="Calibri" w:cs="Arial"/>
              </w:rPr>
              <w:t>Wave 3</w:t>
            </w:r>
          </w:p>
        </w:tc>
        <w:tc>
          <w:tcPr>
            <w:tcW w:w="1934" w:type="dxa"/>
          </w:tcPr>
          <w:p w14:paraId="6032497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p>
        </w:tc>
        <w:tc>
          <w:tcPr>
            <w:tcW w:w="2696" w:type="dxa"/>
          </w:tcPr>
          <w:p w14:paraId="043A2DE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b/>
              </w:rPr>
              <w:t xml:space="preserve">251 </w:t>
            </w:r>
            <w:r w:rsidRPr="00A32EED">
              <w:rPr>
                <w:rFonts w:eastAsia="Calibri" w:cs="Arial"/>
              </w:rPr>
              <w:t>(43.28%)</w:t>
            </w:r>
          </w:p>
        </w:tc>
      </w:tr>
      <w:tr w:rsidR="004C4C39" w:rsidRPr="00A32EED" w14:paraId="655040F6"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3EA4C87A" w14:textId="77777777" w:rsidR="004C4C39" w:rsidRPr="00A32EED" w:rsidRDefault="004C4C39" w:rsidP="004C4C39">
            <w:pPr>
              <w:jc w:val="center"/>
              <w:rPr>
                <w:rFonts w:eastAsia="Calibri" w:cs="Arial"/>
              </w:rPr>
            </w:pPr>
          </w:p>
        </w:tc>
        <w:tc>
          <w:tcPr>
            <w:tcW w:w="1862" w:type="dxa"/>
          </w:tcPr>
          <w:p w14:paraId="52ABD3F9"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Refusal</w:t>
            </w:r>
          </w:p>
        </w:tc>
        <w:tc>
          <w:tcPr>
            <w:tcW w:w="1934" w:type="dxa"/>
          </w:tcPr>
          <w:p w14:paraId="24EFE7A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99</w:t>
            </w:r>
          </w:p>
        </w:tc>
        <w:tc>
          <w:tcPr>
            <w:tcW w:w="2696" w:type="dxa"/>
          </w:tcPr>
          <w:p w14:paraId="2295BBB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157217BB"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3" w:type="dxa"/>
          </w:tcPr>
          <w:p w14:paraId="52D90E82" w14:textId="77777777" w:rsidR="004C4C39" w:rsidRPr="00A32EED" w:rsidRDefault="004C4C39" w:rsidP="004C4C39">
            <w:pPr>
              <w:jc w:val="center"/>
              <w:rPr>
                <w:rFonts w:eastAsia="Calibri" w:cs="Arial"/>
              </w:rPr>
            </w:pPr>
          </w:p>
        </w:tc>
        <w:tc>
          <w:tcPr>
            <w:tcW w:w="1862" w:type="dxa"/>
          </w:tcPr>
          <w:p w14:paraId="6C0E75B4"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Unlocatable</w:t>
            </w:r>
          </w:p>
        </w:tc>
        <w:tc>
          <w:tcPr>
            <w:tcW w:w="1934" w:type="dxa"/>
          </w:tcPr>
          <w:p w14:paraId="01C66A7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65</w:t>
            </w:r>
          </w:p>
        </w:tc>
        <w:tc>
          <w:tcPr>
            <w:tcW w:w="2696" w:type="dxa"/>
          </w:tcPr>
          <w:p w14:paraId="33EFE6B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4BC52FB0"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55051BFA" w14:textId="77777777" w:rsidR="004C4C39" w:rsidRPr="00A32EED" w:rsidRDefault="004C4C39" w:rsidP="004C4C39">
            <w:pPr>
              <w:jc w:val="center"/>
              <w:rPr>
                <w:rFonts w:eastAsia="Calibri" w:cs="Arial"/>
              </w:rPr>
            </w:pPr>
          </w:p>
        </w:tc>
        <w:tc>
          <w:tcPr>
            <w:tcW w:w="1862" w:type="dxa"/>
          </w:tcPr>
          <w:p w14:paraId="400F24C1"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Unavailable</w:t>
            </w:r>
          </w:p>
        </w:tc>
        <w:tc>
          <w:tcPr>
            <w:tcW w:w="1934" w:type="dxa"/>
          </w:tcPr>
          <w:p w14:paraId="2001DF4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33</w:t>
            </w:r>
          </w:p>
        </w:tc>
        <w:tc>
          <w:tcPr>
            <w:tcW w:w="2696" w:type="dxa"/>
          </w:tcPr>
          <w:p w14:paraId="02DF4E2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60367E36"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3" w:type="dxa"/>
          </w:tcPr>
          <w:p w14:paraId="66C35BC3" w14:textId="77777777" w:rsidR="004C4C39" w:rsidRPr="00A32EED" w:rsidRDefault="004C4C39" w:rsidP="004C4C39">
            <w:pPr>
              <w:jc w:val="center"/>
              <w:rPr>
                <w:rFonts w:eastAsia="Calibri" w:cs="Arial"/>
              </w:rPr>
            </w:pPr>
          </w:p>
        </w:tc>
        <w:tc>
          <w:tcPr>
            <w:tcW w:w="1862" w:type="dxa"/>
          </w:tcPr>
          <w:p w14:paraId="6FA43D1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Partial Interview</w:t>
            </w:r>
          </w:p>
        </w:tc>
        <w:tc>
          <w:tcPr>
            <w:tcW w:w="1934" w:type="dxa"/>
          </w:tcPr>
          <w:p w14:paraId="0AC8F28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13</w:t>
            </w:r>
          </w:p>
        </w:tc>
        <w:tc>
          <w:tcPr>
            <w:tcW w:w="2696" w:type="dxa"/>
          </w:tcPr>
          <w:p w14:paraId="5A0DD87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3CFD4CDC"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2594B8CF" w14:textId="77777777" w:rsidR="004C4C39" w:rsidRPr="00A32EED" w:rsidRDefault="004C4C39" w:rsidP="004C4C39">
            <w:pPr>
              <w:jc w:val="center"/>
              <w:rPr>
                <w:rFonts w:eastAsia="Calibri" w:cs="Arial"/>
              </w:rPr>
            </w:pPr>
          </w:p>
        </w:tc>
        <w:tc>
          <w:tcPr>
            <w:tcW w:w="1862" w:type="dxa"/>
          </w:tcPr>
          <w:p w14:paraId="558292D9"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Other</w:t>
            </w:r>
          </w:p>
        </w:tc>
        <w:tc>
          <w:tcPr>
            <w:tcW w:w="1934" w:type="dxa"/>
          </w:tcPr>
          <w:p w14:paraId="0D486AC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41</w:t>
            </w:r>
          </w:p>
        </w:tc>
        <w:tc>
          <w:tcPr>
            <w:tcW w:w="2696" w:type="dxa"/>
          </w:tcPr>
          <w:p w14:paraId="2E34DC8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3492055E"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25" w:type="dxa"/>
            <w:gridSpan w:val="2"/>
          </w:tcPr>
          <w:p w14:paraId="5C7A6CA3" w14:textId="77777777" w:rsidR="004C4C39" w:rsidRPr="00A32EED" w:rsidRDefault="004C4C39" w:rsidP="004C4C39">
            <w:pPr>
              <w:rPr>
                <w:rFonts w:eastAsia="Times New Roman" w:cs="Arial"/>
                <w:color w:val="000000"/>
              </w:rPr>
            </w:pPr>
            <w:r w:rsidRPr="00A32EED">
              <w:rPr>
                <w:rFonts w:eastAsia="Calibri" w:cs="Arial"/>
              </w:rPr>
              <w:t>Wave 4</w:t>
            </w:r>
          </w:p>
        </w:tc>
        <w:tc>
          <w:tcPr>
            <w:tcW w:w="1934" w:type="dxa"/>
          </w:tcPr>
          <w:p w14:paraId="5FA6857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c>
          <w:tcPr>
            <w:tcW w:w="2696" w:type="dxa"/>
          </w:tcPr>
          <w:p w14:paraId="125A7D9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b/>
              </w:rPr>
              <w:t xml:space="preserve">106 </w:t>
            </w:r>
            <w:r w:rsidRPr="00A32EED">
              <w:rPr>
                <w:rFonts w:eastAsia="Calibri" w:cs="Arial"/>
              </w:rPr>
              <w:t>(18.28%)</w:t>
            </w:r>
          </w:p>
        </w:tc>
      </w:tr>
      <w:tr w:rsidR="004C4C39" w:rsidRPr="00A32EED" w14:paraId="3BFFDD18"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60E4C15C" w14:textId="77777777" w:rsidR="004C4C39" w:rsidRPr="00A32EED" w:rsidRDefault="004C4C39" w:rsidP="004C4C39">
            <w:pPr>
              <w:jc w:val="center"/>
              <w:rPr>
                <w:rFonts w:eastAsia="Calibri" w:cs="Arial"/>
              </w:rPr>
            </w:pPr>
          </w:p>
        </w:tc>
        <w:tc>
          <w:tcPr>
            <w:tcW w:w="1862" w:type="dxa"/>
          </w:tcPr>
          <w:p w14:paraId="42DADAEF"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Refusal</w:t>
            </w:r>
          </w:p>
        </w:tc>
        <w:tc>
          <w:tcPr>
            <w:tcW w:w="1934" w:type="dxa"/>
          </w:tcPr>
          <w:p w14:paraId="610DEDF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44</w:t>
            </w:r>
          </w:p>
        </w:tc>
        <w:tc>
          <w:tcPr>
            <w:tcW w:w="2696" w:type="dxa"/>
          </w:tcPr>
          <w:p w14:paraId="6E6F398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6150C696"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3" w:type="dxa"/>
          </w:tcPr>
          <w:p w14:paraId="61D1B9C2" w14:textId="77777777" w:rsidR="004C4C39" w:rsidRPr="00A32EED" w:rsidRDefault="004C4C39" w:rsidP="004C4C39">
            <w:pPr>
              <w:jc w:val="center"/>
              <w:rPr>
                <w:rFonts w:eastAsia="Calibri" w:cs="Arial"/>
              </w:rPr>
            </w:pPr>
          </w:p>
        </w:tc>
        <w:tc>
          <w:tcPr>
            <w:tcW w:w="1862" w:type="dxa"/>
          </w:tcPr>
          <w:p w14:paraId="45D031B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Unlocatable</w:t>
            </w:r>
          </w:p>
        </w:tc>
        <w:tc>
          <w:tcPr>
            <w:tcW w:w="1934" w:type="dxa"/>
          </w:tcPr>
          <w:p w14:paraId="5F1075C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37</w:t>
            </w:r>
          </w:p>
        </w:tc>
        <w:tc>
          <w:tcPr>
            <w:tcW w:w="2696" w:type="dxa"/>
          </w:tcPr>
          <w:p w14:paraId="1583188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1BF6EFDB" w14:textId="77777777" w:rsidTr="0085059C">
        <w:trPr>
          <w:trHeight w:val="280"/>
        </w:trPr>
        <w:tc>
          <w:tcPr>
            <w:cnfStyle w:val="001000000000" w:firstRow="0" w:lastRow="0" w:firstColumn="1" w:lastColumn="0" w:oddVBand="0" w:evenVBand="0" w:oddHBand="0" w:evenHBand="0" w:firstRowFirstColumn="0" w:firstRowLastColumn="0" w:lastRowFirstColumn="0" w:lastRowLastColumn="0"/>
            <w:tcW w:w="1663" w:type="dxa"/>
          </w:tcPr>
          <w:p w14:paraId="72DF56A2" w14:textId="77777777" w:rsidR="004C4C39" w:rsidRPr="00A32EED" w:rsidRDefault="004C4C39" w:rsidP="004C4C39">
            <w:pPr>
              <w:jc w:val="center"/>
              <w:rPr>
                <w:rFonts w:eastAsia="Calibri" w:cs="Arial"/>
              </w:rPr>
            </w:pPr>
          </w:p>
        </w:tc>
        <w:tc>
          <w:tcPr>
            <w:tcW w:w="1862" w:type="dxa"/>
          </w:tcPr>
          <w:p w14:paraId="7D0B8580"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Unavailable</w:t>
            </w:r>
          </w:p>
        </w:tc>
        <w:tc>
          <w:tcPr>
            <w:tcW w:w="1934" w:type="dxa"/>
          </w:tcPr>
          <w:p w14:paraId="3E0D7B0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12</w:t>
            </w:r>
          </w:p>
        </w:tc>
        <w:tc>
          <w:tcPr>
            <w:tcW w:w="2696" w:type="dxa"/>
          </w:tcPr>
          <w:p w14:paraId="2636B62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7349E5DF"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3" w:type="dxa"/>
          </w:tcPr>
          <w:p w14:paraId="6B5C576F" w14:textId="77777777" w:rsidR="004C4C39" w:rsidRPr="00A32EED" w:rsidRDefault="004C4C39" w:rsidP="004C4C39">
            <w:pPr>
              <w:jc w:val="center"/>
              <w:rPr>
                <w:rFonts w:eastAsia="Calibri" w:cs="Arial"/>
              </w:rPr>
            </w:pPr>
          </w:p>
        </w:tc>
        <w:tc>
          <w:tcPr>
            <w:tcW w:w="1862" w:type="dxa"/>
          </w:tcPr>
          <w:p w14:paraId="509323F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Out of Area</w:t>
            </w:r>
          </w:p>
        </w:tc>
        <w:tc>
          <w:tcPr>
            <w:tcW w:w="1934" w:type="dxa"/>
          </w:tcPr>
          <w:p w14:paraId="37D801F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3</w:t>
            </w:r>
          </w:p>
        </w:tc>
        <w:tc>
          <w:tcPr>
            <w:tcW w:w="2696" w:type="dxa"/>
          </w:tcPr>
          <w:p w14:paraId="74D039E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2E123094"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75049A90" w14:textId="77777777" w:rsidR="004C4C39" w:rsidRPr="00A32EED" w:rsidRDefault="004C4C39" w:rsidP="004C4C39">
            <w:pPr>
              <w:jc w:val="center"/>
              <w:rPr>
                <w:rFonts w:eastAsia="Calibri" w:cs="Arial"/>
              </w:rPr>
            </w:pPr>
          </w:p>
        </w:tc>
        <w:tc>
          <w:tcPr>
            <w:tcW w:w="1862" w:type="dxa"/>
          </w:tcPr>
          <w:p w14:paraId="4CAA7E92"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Other</w:t>
            </w:r>
          </w:p>
        </w:tc>
        <w:tc>
          <w:tcPr>
            <w:tcW w:w="1934" w:type="dxa"/>
          </w:tcPr>
          <w:p w14:paraId="43C6956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10</w:t>
            </w:r>
          </w:p>
        </w:tc>
        <w:tc>
          <w:tcPr>
            <w:tcW w:w="2696" w:type="dxa"/>
          </w:tcPr>
          <w:p w14:paraId="345EA5F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1007188B"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25" w:type="dxa"/>
            <w:gridSpan w:val="2"/>
          </w:tcPr>
          <w:p w14:paraId="0ADE5F8E" w14:textId="77777777" w:rsidR="004C4C39" w:rsidRPr="00A32EED" w:rsidRDefault="004C4C39" w:rsidP="004C4C39">
            <w:pPr>
              <w:rPr>
                <w:rFonts w:eastAsia="Times New Roman" w:cs="Arial"/>
                <w:color w:val="000000"/>
              </w:rPr>
            </w:pPr>
            <w:r w:rsidRPr="00A32EED">
              <w:rPr>
                <w:rFonts w:eastAsia="Calibri" w:cs="Arial"/>
              </w:rPr>
              <w:t>Wave 5</w:t>
            </w:r>
          </w:p>
        </w:tc>
        <w:tc>
          <w:tcPr>
            <w:tcW w:w="1934" w:type="dxa"/>
          </w:tcPr>
          <w:p w14:paraId="1004907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c>
          <w:tcPr>
            <w:tcW w:w="2696" w:type="dxa"/>
          </w:tcPr>
          <w:p w14:paraId="1A281DA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b/>
              </w:rPr>
              <w:t xml:space="preserve">191 </w:t>
            </w:r>
            <w:r w:rsidRPr="00A32EED">
              <w:rPr>
                <w:rFonts w:eastAsia="Calibri" w:cs="Arial"/>
              </w:rPr>
              <w:t>(32.93%)</w:t>
            </w:r>
          </w:p>
        </w:tc>
      </w:tr>
      <w:tr w:rsidR="004C4C39" w:rsidRPr="00A32EED" w14:paraId="348C09B2"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7B4543CA" w14:textId="77777777" w:rsidR="004C4C39" w:rsidRPr="00A32EED" w:rsidRDefault="004C4C39" w:rsidP="004C4C39">
            <w:pPr>
              <w:jc w:val="center"/>
              <w:rPr>
                <w:rFonts w:eastAsia="Calibri" w:cs="Arial"/>
              </w:rPr>
            </w:pPr>
          </w:p>
        </w:tc>
        <w:tc>
          <w:tcPr>
            <w:tcW w:w="1862" w:type="dxa"/>
          </w:tcPr>
          <w:p w14:paraId="2B469E89"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Unlocatable</w:t>
            </w:r>
          </w:p>
        </w:tc>
        <w:tc>
          <w:tcPr>
            <w:tcW w:w="1934" w:type="dxa"/>
          </w:tcPr>
          <w:p w14:paraId="4F3CB4E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95</w:t>
            </w:r>
          </w:p>
        </w:tc>
        <w:tc>
          <w:tcPr>
            <w:tcW w:w="2696" w:type="dxa"/>
          </w:tcPr>
          <w:p w14:paraId="66F3DDA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067D3C52"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3" w:type="dxa"/>
          </w:tcPr>
          <w:p w14:paraId="7B5CAEF4" w14:textId="77777777" w:rsidR="004C4C39" w:rsidRPr="00A32EED" w:rsidRDefault="004C4C39" w:rsidP="004C4C39">
            <w:pPr>
              <w:jc w:val="center"/>
              <w:rPr>
                <w:rFonts w:eastAsia="Calibri" w:cs="Arial"/>
              </w:rPr>
            </w:pPr>
          </w:p>
        </w:tc>
        <w:tc>
          <w:tcPr>
            <w:tcW w:w="1862" w:type="dxa"/>
          </w:tcPr>
          <w:p w14:paraId="2DB0B6CF"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Refusal</w:t>
            </w:r>
          </w:p>
        </w:tc>
        <w:tc>
          <w:tcPr>
            <w:tcW w:w="1934" w:type="dxa"/>
          </w:tcPr>
          <w:p w14:paraId="6F61F9E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36</w:t>
            </w:r>
          </w:p>
        </w:tc>
        <w:tc>
          <w:tcPr>
            <w:tcW w:w="2696" w:type="dxa"/>
          </w:tcPr>
          <w:p w14:paraId="1CBC7FB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087DA676"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0D7FD448" w14:textId="77777777" w:rsidR="004C4C39" w:rsidRPr="00A32EED" w:rsidRDefault="004C4C39" w:rsidP="004C4C39">
            <w:pPr>
              <w:jc w:val="center"/>
              <w:rPr>
                <w:rFonts w:eastAsia="Calibri" w:cs="Arial"/>
              </w:rPr>
            </w:pPr>
          </w:p>
        </w:tc>
        <w:tc>
          <w:tcPr>
            <w:tcW w:w="1862" w:type="dxa"/>
          </w:tcPr>
          <w:p w14:paraId="7BFF945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Unavailable</w:t>
            </w:r>
          </w:p>
        </w:tc>
        <w:tc>
          <w:tcPr>
            <w:tcW w:w="1934" w:type="dxa"/>
          </w:tcPr>
          <w:p w14:paraId="16EB953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13</w:t>
            </w:r>
          </w:p>
        </w:tc>
        <w:tc>
          <w:tcPr>
            <w:tcW w:w="2696" w:type="dxa"/>
          </w:tcPr>
          <w:p w14:paraId="66C757B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792664C3"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3" w:type="dxa"/>
          </w:tcPr>
          <w:p w14:paraId="5767A434" w14:textId="77777777" w:rsidR="004C4C39" w:rsidRPr="00A32EED" w:rsidRDefault="004C4C39" w:rsidP="004C4C39">
            <w:pPr>
              <w:jc w:val="center"/>
              <w:rPr>
                <w:rFonts w:eastAsia="Calibri" w:cs="Arial"/>
              </w:rPr>
            </w:pPr>
          </w:p>
        </w:tc>
        <w:tc>
          <w:tcPr>
            <w:tcW w:w="1862" w:type="dxa"/>
          </w:tcPr>
          <w:p w14:paraId="3E13469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Out of Area</w:t>
            </w:r>
          </w:p>
        </w:tc>
        <w:tc>
          <w:tcPr>
            <w:tcW w:w="1934" w:type="dxa"/>
          </w:tcPr>
          <w:p w14:paraId="0487F7A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8</w:t>
            </w:r>
          </w:p>
        </w:tc>
        <w:tc>
          <w:tcPr>
            <w:tcW w:w="2696" w:type="dxa"/>
          </w:tcPr>
          <w:p w14:paraId="6F35AC7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33117233" w14:textId="77777777" w:rsidTr="0085059C">
        <w:trPr>
          <w:trHeight w:val="261"/>
        </w:trPr>
        <w:tc>
          <w:tcPr>
            <w:cnfStyle w:val="001000000000" w:firstRow="0" w:lastRow="0" w:firstColumn="1" w:lastColumn="0" w:oddVBand="0" w:evenVBand="0" w:oddHBand="0" w:evenHBand="0" w:firstRowFirstColumn="0" w:firstRowLastColumn="0" w:lastRowFirstColumn="0" w:lastRowLastColumn="0"/>
            <w:tcW w:w="1663" w:type="dxa"/>
          </w:tcPr>
          <w:p w14:paraId="50F47FB4" w14:textId="77777777" w:rsidR="004C4C39" w:rsidRPr="00A32EED" w:rsidRDefault="004C4C39" w:rsidP="004C4C39">
            <w:pPr>
              <w:jc w:val="center"/>
              <w:rPr>
                <w:rFonts w:eastAsia="Calibri" w:cs="Arial"/>
              </w:rPr>
            </w:pPr>
          </w:p>
        </w:tc>
        <w:tc>
          <w:tcPr>
            <w:tcW w:w="1862" w:type="dxa"/>
          </w:tcPr>
          <w:p w14:paraId="4ED407C3"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Other</w:t>
            </w:r>
          </w:p>
        </w:tc>
        <w:tc>
          <w:tcPr>
            <w:tcW w:w="1934" w:type="dxa"/>
          </w:tcPr>
          <w:p w14:paraId="373AA8D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39</w:t>
            </w:r>
          </w:p>
        </w:tc>
        <w:tc>
          <w:tcPr>
            <w:tcW w:w="2696" w:type="dxa"/>
          </w:tcPr>
          <w:p w14:paraId="606C3A9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6723A540" w14:textId="77777777" w:rsidTr="008505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25" w:type="dxa"/>
            <w:gridSpan w:val="2"/>
          </w:tcPr>
          <w:p w14:paraId="3F56EE36" w14:textId="77777777" w:rsidR="004C4C39" w:rsidRPr="00A32EED" w:rsidRDefault="004C4C39" w:rsidP="004C4C39">
            <w:pPr>
              <w:rPr>
                <w:rFonts w:eastAsia="Times New Roman" w:cs="Arial"/>
                <w:color w:val="000000"/>
              </w:rPr>
            </w:pPr>
            <w:r w:rsidRPr="00A32EED">
              <w:rPr>
                <w:rFonts w:eastAsia="Calibri" w:cs="Arial"/>
              </w:rPr>
              <w:t>Total</w:t>
            </w:r>
          </w:p>
        </w:tc>
        <w:tc>
          <w:tcPr>
            <w:tcW w:w="1934" w:type="dxa"/>
          </w:tcPr>
          <w:p w14:paraId="04FD65BD" w14:textId="77777777" w:rsidR="004C4C39" w:rsidRPr="00A32EED" w:rsidRDefault="004C4C39" w:rsidP="004C4C39">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c>
          <w:tcPr>
            <w:tcW w:w="2696" w:type="dxa"/>
          </w:tcPr>
          <w:p w14:paraId="0834A827" w14:textId="77777777" w:rsidR="004C4C39" w:rsidRPr="00A32EED" w:rsidRDefault="004C4C39" w:rsidP="004C4C39">
            <w:pPr>
              <w:keepNext/>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b/>
              </w:rPr>
              <w:t xml:space="preserve">580 </w:t>
            </w:r>
            <w:r w:rsidRPr="00A32EED">
              <w:rPr>
                <w:rFonts w:eastAsia="Calibri" w:cs="Arial"/>
              </w:rPr>
              <w:t>(100%)</w:t>
            </w:r>
          </w:p>
        </w:tc>
      </w:tr>
    </w:tbl>
    <w:p w14:paraId="5D877438" w14:textId="77777777" w:rsidR="004C4C39" w:rsidRPr="00A32EED" w:rsidRDefault="004C4C39" w:rsidP="004C4C39">
      <w:pPr>
        <w:spacing w:after="0"/>
        <w:rPr>
          <w:rFonts w:eastAsia="ＭＳ ゴシック"/>
          <w:i/>
          <w:color w:val="000000"/>
          <w:szCs w:val="26"/>
          <w:highlight w:val="green"/>
        </w:rPr>
      </w:pPr>
    </w:p>
    <w:p w14:paraId="30827EBB"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51" w:name="_Toc479938156"/>
      <w:bookmarkStart w:id="52" w:name="_Toc482112685"/>
      <w:r w:rsidRPr="00A32EED">
        <w:rPr>
          <w:rFonts w:eastAsia="ＭＳ ゴシック"/>
          <w:i/>
          <w:color w:val="000000"/>
          <w:szCs w:val="26"/>
          <w:u w:val="single"/>
        </w:rPr>
        <w:t>Description of NSCAW Sample used for Criminal Justice Contact</w:t>
      </w:r>
      <w:bookmarkEnd w:id="51"/>
      <w:bookmarkEnd w:id="52"/>
    </w:p>
    <w:p w14:paraId="1944A57A" w14:textId="77777777" w:rsidR="004C4C39" w:rsidRPr="00A32EED" w:rsidRDefault="004C4C39" w:rsidP="004C4C39">
      <w:pPr>
        <w:spacing w:after="0" w:line="480" w:lineRule="auto"/>
        <w:ind w:firstLine="720"/>
        <w:rPr>
          <w:rFonts w:eastAsia="Calibri"/>
        </w:rPr>
      </w:pPr>
      <w:r w:rsidRPr="00A32EED">
        <w:rPr>
          <w:rFonts w:eastAsia="Calibri"/>
        </w:rPr>
        <w:t xml:space="preserve">The same process was used to select the criminal justice contact analytical sample. However, for this sample, the minimum age at wave five was lowered to twelve years of age. The cutoff for the criminal justice contact analytical sample was set at twelve because it is believed that this age allows for most respondents to have participated in some form of delinquent behavior </w:t>
      </w:r>
      <w:r w:rsidRPr="00A32EED">
        <w:rPr>
          <w:rFonts w:eastAsia="Calibri"/>
        </w:rPr>
        <w:lastRenderedPageBreak/>
        <w:t>and resulting formal interaction with the criminal justice system. Due to the same reasons listed above, the age at baseline was once again used for sample selection. To achieve a high likelihood of the respondent being at least twelve years old by wave five, only those respondents who were at least six years older at baseline were included. This step yielded a sample of 2,671 respondents who were at least twelve years old at the time of wave five data collection.</w:t>
      </w:r>
    </w:p>
    <w:p w14:paraId="798CEF1E" w14:textId="77777777" w:rsidR="004C4C39" w:rsidRPr="00A32EED" w:rsidRDefault="004C4C39" w:rsidP="004C4C39">
      <w:pPr>
        <w:spacing w:after="0" w:line="480" w:lineRule="auto"/>
        <w:ind w:firstLine="720"/>
        <w:rPr>
          <w:rFonts w:eastAsia="Calibri"/>
          <w:b/>
          <w:i/>
          <w:iCs/>
          <w:color w:val="000000"/>
          <w:szCs w:val="18"/>
        </w:rPr>
      </w:pPr>
      <w:r w:rsidRPr="00A32EED">
        <w:rPr>
          <w:rFonts w:eastAsia="Calibri"/>
        </w:rPr>
        <w:t xml:space="preserve">As with the early sexual initiation analytical sample, cases from the age-eligible criminal justice contact sample were subsequently eliminated due to missing data. The reason for cases being dropped by variable and the resulting sample size can be found in Table 3.4. In this sample, 187 (7.00%) of the 2,671 age eligible cases were missing information regarding self-control. An additional 252 (9.43%) cases were missing information related to other control variables or multiple variables used in the criminal justice contact analytical model. </w:t>
      </w:r>
    </w:p>
    <w:p w14:paraId="2EBE3BC6" w14:textId="77777777" w:rsidR="004C4C39" w:rsidRPr="00A32EED" w:rsidRDefault="004C4C39" w:rsidP="0023176A">
      <w:pPr>
        <w:pStyle w:val="Caption1"/>
        <w:rPr>
          <w:rFonts w:eastAsia="Calibri"/>
        </w:rPr>
      </w:pPr>
      <w:bookmarkStart w:id="53" w:name="_Toc479941212"/>
      <w:r w:rsidRPr="00A32EED">
        <w:rPr>
          <w:rFonts w:eastAsia="Calibri"/>
        </w:rPr>
        <w:t>Table 3.</w:t>
      </w:r>
      <w:r w:rsidRPr="00A32EED">
        <w:rPr>
          <w:rFonts w:eastAsia="Calibri"/>
        </w:rPr>
        <w:fldChar w:fldCharType="begin"/>
      </w:r>
      <w:r w:rsidRPr="00A32EED">
        <w:rPr>
          <w:rFonts w:eastAsia="Calibri"/>
        </w:rPr>
        <w:instrText xml:space="preserve"> SEQ Table_3. \* ARABIC </w:instrText>
      </w:r>
      <w:r w:rsidRPr="00A32EED">
        <w:rPr>
          <w:rFonts w:eastAsia="Calibri"/>
        </w:rPr>
        <w:fldChar w:fldCharType="separate"/>
      </w:r>
      <w:r w:rsidR="00FA12E2">
        <w:rPr>
          <w:rFonts w:eastAsia="Calibri"/>
          <w:noProof/>
        </w:rPr>
        <w:t>4</w:t>
      </w:r>
      <w:r w:rsidRPr="00A32EED">
        <w:rPr>
          <w:rFonts w:eastAsia="Calibri"/>
          <w:noProof/>
        </w:rPr>
        <w:fldChar w:fldCharType="end"/>
      </w:r>
      <w:r w:rsidRPr="00A32EED">
        <w:rPr>
          <w:rFonts w:eastAsia="Calibri"/>
        </w:rPr>
        <w:t>: Summary of Missing Cases for Age-Eligible Criminal Justice Contact Sample (n=2,671)</w:t>
      </w:r>
      <w:bookmarkEnd w:id="53"/>
    </w:p>
    <w:tbl>
      <w:tblPr>
        <w:tblStyle w:val="ListTable6Colorful1"/>
        <w:tblW w:w="8269" w:type="dxa"/>
        <w:tblLook w:val="04A0" w:firstRow="1" w:lastRow="0" w:firstColumn="1" w:lastColumn="0" w:noHBand="0" w:noVBand="1"/>
      </w:tblPr>
      <w:tblGrid>
        <w:gridCol w:w="2650"/>
        <w:gridCol w:w="1956"/>
        <w:gridCol w:w="3663"/>
      </w:tblGrid>
      <w:tr w:rsidR="0085059C" w:rsidRPr="00A32EED" w14:paraId="690F683D" w14:textId="77777777" w:rsidTr="0085059C">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0" w:type="auto"/>
            <w:noWrap/>
            <w:hideMark/>
          </w:tcPr>
          <w:p w14:paraId="5307E7BB" w14:textId="77777777" w:rsidR="004C4C39" w:rsidRPr="00A32EED" w:rsidRDefault="004C4C39" w:rsidP="004C4C39">
            <w:pPr>
              <w:rPr>
                <w:rFonts w:eastAsia="Times New Roman" w:cs="Arial"/>
              </w:rPr>
            </w:pPr>
            <w:r w:rsidRPr="00A32EED">
              <w:rPr>
                <w:rFonts w:eastAsia="Times New Roman" w:cs="Arial"/>
              </w:rPr>
              <w:t>Variable</w:t>
            </w:r>
          </w:p>
        </w:tc>
        <w:tc>
          <w:tcPr>
            <w:tcW w:w="0" w:type="auto"/>
            <w:noWrap/>
            <w:hideMark/>
          </w:tcPr>
          <w:p w14:paraId="7151D1BD"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 Missing</w:t>
            </w:r>
          </w:p>
        </w:tc>
        <w:tc>
          <w:tcPr>
            <w:tcW w:w="3663" w:type="dxa"/>
            <w:noWrap/>
            <w:hideMark/>
          </w:tcPr>
          <w:p w14:paraId="6AE83392"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Remaining Cases For Analyses</w:t>
            </w:r>
          </w:p>
        </w:tc>
      </w:tr>
      <w:tr w:rsidR="0085059C" w:rsidRPr="00A32EED" w14:paraId="12E5AB85" w14:textId="77777777" w:rsidTr="0085059C">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0" w:type="auto"/>
            <w:noWrap/>
          </w:tcPr>
          <w:p w14:paraId="0F1EE446" w14:textId="77777777" w:rsidR="004C4C39" w:rsidRPr="00A32EED" w:rsidRDefault="004C4C39" w:rsidP="004C4C39">
            <w:pPr>
              <w:rPr>
                <w:rFonts w:eastAsia="Times New Roman" w:cs="Arial"/>
              </w:rPr>
            </w:pPr>
            <w:r w:rsidRPr="00A32EED">
              <w:rPr>
                <w:rFonts w:eastAsia="Times New Roman" w:cs="Arial"/>
              </w:rPr>
              <w:t>NANLW345 =0</w:t>
            </w:r>
          </w:p>
        </w:tc>
        <w:tc>
          <w:tcPr>
            <w:tcW w:w="0" w:type="auto"/>
            <w:noWrap/>
          </w:tcPr>
          <w:p w14:paraId="2F280B6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901 (33.73%)</w:t>
            </w:r>
          </w:p>
        </w:tc>
        <w:tc>
          <w:tcPr>
            <w:tcW w:w="3663" w:type="dxa"/>
            <w:noWrap/>
          </w:tcPr>
          <w:p w14:paraId="2E4B1EB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1,770</w:t>
            </w:r>
          </w:p>
        </w:tc>
      </w:tr>
      <w:tr w:rsidR="0085059C" w:rsidRPr="00A32EED" w14:paraId="0B4D5058" w14:textId="77777777" w:rsidTr="0085059C">
        <w:trPr>
          <w:trHeight w:val="326"/>
        </w:trPr>
        <w:tc>
          <w:tcPr>
            <w:cnfStyle w:val="001000000000" w:firstRow="0" w:lastRow="0" w:firstColumn="1" w:lastColumn="0" w:oddVBand="0" w:evenVBand="0" w:oddHBand="0" w:evenHBand="0" w:firstRowFirstColumn="0" w:firstRowLastColumn="0" w:lastRowFirstColumn="0" w:lastRowLastColumn="0"/>
            <w:tcW w:w="0" w:type="auto"/>
            <w:noWrap/>
            <w:hideMark/>
          </w:tcPr>
          <w:p w14:paraId="0FF1D5C6" w14:textId="77777777" w:rsidR="004C4C39" w:rsidRPr="00A32EED" w:rsidRDefault="004C4C39" w:rsidP="004C4C39">
            <w:pPr>
              <w:rPr>
                <w:rFonts w:eastAsia="Times New Roman" w:cs="Arial"/>
              </w:rPr>
            </w:pPr>
            <w:r w:rsidRPr="00A32EED">
              <w:rPr>
                <w:rFonts w:eastAsia="Times New Roman" w:cs="Arial"/>
              </w:rPr>
              <w:t>Self-Control</w:t>
            </w:r>
          </w:p>
        </w:tc>
        <w:tc>
          <w:tcPr>
            <w:tcW w:w="0" w:type="auto"/>
            <w:noWrap/>
            <w:hideMark/>
          </w:tcPr>
          <w:p w14:paraId="4BA2D93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187 (7.00%)</w:t>
            </w:r>
          </w:p>
        </w:tc>
        <w:tc>
          <w:tcPr>
            <w:tcW w:w="3663" w:type="dxa"/>
            <w:noWrap/>
            <w:hideMark/>
          </w:tcPr>
          <w:p w14:paraId="41739CA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1,583</w:t>
            </w:r>
          </w:p>
        </w:tc>
      </w:tr>
      <w:tr w:rsidR="0085059C" w:rsidRPr="00A32EED" w14:paraId="44E8C59A" w14:textId="77777777" w:rsidTr="0085059C">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0" w:type="auto"/>
            <w:noWrap/>
            <w:hideMark/>
          </w:tcPr>
          <w:p w14:paraId="3A1312EA" w14:textId="77777777" w:rsidR="0022268A" w:rsidRDefault="004C4C39" w:rsidP="004C4C39">
            <w:pPr>
              <w:rPr>
                <w:rFonts w:eastAsia="Times New Roman" w:cs="Arial"/>
              </w:rPr>
            </w:pPr>
            <w:r w:rsidRPr="00A32EED">
              <w:rPr>
                <w:rFonts w:eastAsia="Times New Roman" w:cs="Arial"/>
              </w:rPr>
              <w:t xml:space="preserve">Other/Multiple </w:t>
            </w:r>
          </w:p>
          <w:p w14:paraId="300FF0C0" w14:textId="08C96531" w:rsidR="004C4C39" w:rsidRPr="00A32EED" w:rsidRDefault="004C4C39" w:rsidP="004C4C39">
            <w:pPr>
              <w:rPr>
                <w:rFonts w:eastAsia="Times New Roman" w:cs="Arial"/>
              </w:rPr>
            </w:pPr>
            <w:r w:rsidRPr="00A32EED">
              <w:rPr>
                <w:rFonts w:eastAsia="Times New Roman" w:cs="Arial"/>
              </w:rPr>
              <w:t>Missing Variables</w:t>
            </w:r>
          </w:p>
        </w:tc>
        <w:tc>
          <w:tcPr>
            <w:tcW w:w="0" w:type="auto"/>
            <w:noWrap/>
            <w:hideMark/>
          </w:tcPr>
          <w:p w14:paraId="6E93B2B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252 (9.43%)</w:t>
            </w:r>
          </w:p>
        </w:tc>
        <w:tc>
          <w:tcPr>
            <w:tcW w:w="3663" w:type="dxa"/>
            <w:noWrap/>
            <w:hideMark/>
          </w:tcPr>
          <w:p w14:paraId="333CF75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1,331</w:t>
            </w:r>
          </w:p>
        </w:tc>
      </w:tr>
    </w:tbl>
    <w:p w14:paraId="30F1835B" w14:textId="77777777" w:rsidR="004C4C39" w:rsidRPr="00A32EED" w:rsidRDefault="004C4C39" w:rsidP="004C4C39">
      <w:pPr>
        <w:spacing w:after="0"/>
        <w:rPr>
          <w:rFonts w:eastAsia="Calibri"/>
          <w:b/>
          <w:i/>
          <w:iCs/>
          <w:color w:val="000000"/>
          <w:szCs w:val="18"/>
        </w:rPr>
      </w:pPr>
    </w:p>
    <w:p w14:paraId="3C490ECE" w14:textId="77777777" w:rsidR="004C4C39" w:rsidRPr="00A32EED" w:rsidRDefault="004C4C39" w:rsidP="004C4C39">
      <w:pPr>
        <w:spacing w:after="0" w:line="480" w:lineRule="auto"/>
        <w:ind w:firstLine="720"/>
        <w:rPr>
          <w:rFonts w:eastAsia="Calibri"/>
          <w:b/>
          <w:i/>
          <w:iCs/>
          <w:color w:val="000000"/>
          <w:szCs w:val="18"/>
        </w:rPr>
      </w:pPr>
      <w:r w:rsidRPr="00A32EED">
        <w:rPr>
          <w:rFonts w:eastAsia="Calibri"/>
        </w:rPr>
        <w:t xml:space="preserve">Most cases dropped from the criminal justice age-eligible sample were dropped due to missing survey weights. As previously mentioned, during the final adjustment and calibration of the NANLW345 weight, weights were set to zero for respondents who died, moved out of the country, or were missing at </w:t>
      </w:r>
      <w:r w:rsidRPr="00A32EED">
        <w:rPr>
          <w:rFonts w:eastAsia="Calibri"/>
        </w:rPr>
        <w:lastRenderedPageBreak/>
        <w:t>any previous waves. The reason for these missing weights by interview wave can be found in Table 3.5. The table lists the four most common reasons the interview was not completed for each wave. The most common reasons for the interview not being completed across waves were refusals, being unavailable, and being unlocatable. Waves 3 and 5 contain represent the most missing cases with 390 (43.29%) and 271 (30.01%) respectively. After the elimination of cases with missing weights and data, the final criminal justice analytical sample includes 1,331cases.</w:t>
      </w:r>
    </w:p>
    <w:p w14:paraId="55EBC4BB" w14:textId="77777777" w:rsidR="0057347A" w:rsidRDefault="0057347A">
      <w:pPr>
        <w:rPr>
          <w:rFonts w:eastAsia="Calibri" w:cs="Times New Roman"/>
          <w:i/>
          <w:iCs/>
          <w:color w:val="000000"/>
          <w:szCs w:val="18"/>
        </w:rPr>
      </w:pPr>
      <w:bookmarkStart w:id="54" w:name="_Toc479941213"/>
      <w:r>
        <w:rPr>
          <w:rFonts w:eastAsia="Calibri"/>
        </w:rPr>
        <w:br w:type="page"/>
      </w:r>
    </w:p>
    <w:p w14:paraId="59C9B905" w14:textId="7212CA67" w:rsidR="004C4C39" w:rsidRPr="00A32EED" w:rsidRDefault="004C4C39" w:rsidP="0023176A">
      <w:pPr>
        <w:pStyle w:val="Caption1"/>
        <w:rPr>
          <w:rFonts w:eastAsia="Calibri"/>
        </w:rPr>
      </w:pPr>
      <w:r w:rsidRPr="00A32EED">
        <w:rPr>
          <w:rFonts w:eastAsia="Calibri"/>
        </w:rPr>
        <w:lastRenderedPageBreak/>
        <w:t>Table 3.</w:t>
      </w:r>
      <w:r w:rsidRPr="00A32EED">
        <w:rPr>
          <w:rFonts w:eastAsia="Calibri"/>
        </w:rPr>
        <w:fldChar w:fldCharType="begin"/>
      </w:r>
      <w:r w:rsidRPr="00A32EED">
        <w:rPr>
          <w:rFonts w:eastAsia="Calibri"/>
        </w:rPr>
        <w:instrText xml:space="preserve"> SEQ Table_3. \* ARABIC </w:instrText>
      </w:r>
      <w:r w:rsidRPr="00A32EED">
        <w:rPr>
          <w:rFonts w:eastAsia="Calibri"/>
        </w:rPr>
        <w:fldChar w:fldCharType="separate"/>
      </w:r>
      <w:r w:rsidR="00FA12E2">
        <w:rPr>
          <w:rFonts w:eastAsia="Calibri"/>
          <w:noProof/>
        </w:rPr>
        <w:t>5</w:t>
      </w:r>
      <w:r w:rsidRPr="00A32EED">
        <w:rPr>
          <w:rFonts w:eastAsia="Calibri"/>
          <w:noProof/>
        </w:rPr>
        <w:fldChar w:fldCharType="end"/>
      </w:r>
      <w:r w:rsidRPr="00A32EED">
        <w:rPr>
          <w:rFonts w:eastAsia="Calibri"/>
        </w:rPr>
        <w:t>: Summary of Criminal Justice Contact Cases With Missing Weights by Wave</w:t>
      </w:r>
      <w:bookmarkEnd w:id="54"/>
    </w:p>
    <w:tbl>
      <w:tblPr>
        <w:tblStyle w:val="ListTable21"/>
        <w:tblW w:w="0" w:type="auto"/>
        <w:tblLook w:val="04A0" w:firstRow="1" w:lastRow="0" w:firstColumn="1" w:lastColumn="0" w:noHBand="0" w:noVBand="1"/>
      </w:tblPr>
      <w:tblGrid>
        <w:gridCol w:w="1689"/>
        <w:gridCol w:w="1888"/>
        <w:gridCol w:w="1964"/>
        <w:gridCol w:w="2737"/>
      </w:tblGrid>
      <w:tr w:rsidR="004C4C39" w:rsidRPr="00A32EED" w14:paraId="08CA834D" w14:textId="77777777" w:rsidTr="0057347A">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77" w:type="dxa"/>
            <w:gridSpan w:val="2"/>
          </w:tcPr>
          <w:p w14:paraId="2ACBD9E5" w14:textId="77777777" w:rsidR="004C4C39" w:rsidRPr="00A32EED" w:rsidRDefault="004C4C39" w:rsidP="004C4C39">
            <w:pPr>
              <w:rPr>
                <w:rFonts w:eastAsia="Calibri" w:cs="Arial"/>
              </w:rPr>
            </w:pPr>
          </w:p>
        </w:tc>
        <w:tc>
          <w:tcPr>
            <w:tcW w:w="1964" w:type="dxa"/>
          </w:tcPr>
          <w:p w14:paraId="6973014D"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Missing Cases</w:t>
            </w:r>
          </w:p>
        </w:tc>
        <w:tc>
          <w:tcPr>
            <w:tcW w:w="2737" w:type="dxa"/>
          </w:tcPr>
          <w:p w14:paraId="7C05E260"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Total Missing</w:t>
            </w:r>
          </w:p>
        </w:tc>
      </w:tr>
      <w:tr w:rsidR="004C4C39" w:rsidRPr="00A32EED" w14:paraId="7F35EC0E"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77" w:type="dxa"/>
            <w:gridSpan w:val="2"/>
          </w:tcPr>
          <w:p w14:paraId="5C1BCF5A" w14:textId="77777777" w:rsidR="004C4C39" w:rsidRPr="00A32EED" w:rsidRDefault="004C4C39" w:rsidP="004C4C39">
            <w:pPr>
              <w:rPr>
                <w:rFonts w:eastAsia="Calibri" w:cs="Arial"/>
              </w:rPr>
            </w:pPr>
            <w:r w:rsidRPr="00A32EED">
              <w:rPr>
                <w:rFonts w:eastAsia="Calibri" w:cs="Arial"/>
              </w:rPr>
              <w:t xml:space="preserve">Wave 1 </w:t>
            </w:r>
          </w:p>
        </w:tc>
        <w:tc>
          <w:tcPr>
            <w:tcW w:w="1964" w:type="dxa"/>
          </w:tcPr>
          <w:p w14:paraId="31EE9A3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c>
          <w:tcPr>
            <w:tcW w:w="2737" w:type="dxa"/>
          </w:tcPr>
          <w:p w14:paraId="29A0219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r w:rsidRPr="00A32EED">
              <w:rPr>
                <w:rFonts w:eastAsia="Calibri" w:cs="Arial"/>
                <w:b/>
              </w:rPr>
              <w:t xml:space="preserve">77 </w:t>
            </w:r>
            <w:r w:rsidRPr="00A32EED">
              <w:rPr>
                <w:rFonts w:eastAsia="Calibri" w:cs="Arial"/>
              </w:rPr>
              <w:t>(8.54%)</w:t>
            </w:r>
          </w:p>
        </w:tc>
      </w:tr>
      <w:tr w:rsidR="004C4C39" w:rsidRPr="00A32EED" w14:paraId="2A6C6E71"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52ADD07E" w14:textId="77777777" w:rsidR="004C4C39" w:rsidRPr="00A32EED" w:rsidRDefault="004C4C39" w:rsidP="004C4C39">
            <w:pPr>
              <w:jc w:val="center"/>
              <w:rPr>
                <w:rFonts w:eastAsia="Times New Roman" w:cs="Arial"/>
                <w:color w:val="000000"/>
              </w:rPr>
            </w:pPr>
          </w:p>
        </w:tc>
        <w:tc>
          <w:tcPr>
            <w:tcW w:w="1888" w:type="dxa"/>
          </w:tcPr>
          <w:p w14:paraId="712451E7"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Refusal</w:t>
            </w:r>
          </w:p>
        </w:tc>
        <w:tc>
          <w:tcPr>
            <w:tcW w:w="1964" w:type="dxa"/>
          </w:tcPr>
          <w:p w14:paraId="19670CD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32</w:t>
            </w:r>
          </w:p>
        </w:tc>
        <w:tc>
          <w:tcPr>
            <w:tcW w:w="2737" w:type="dxa"/>
          </w:tcPr>
          <w:p w14:paraId="2164931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76E4B17C"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689" w:type="dxa"/>
          </w:tcPr>
          <w:p w14:paraId="1CD5B3A7" w14:textId="77777777" w:rsidR="004C4C39" w:rsidRPr="00A32EED" w:rsidRDefault="004C4C39" w:rsidP="004C4C39">
            <w:pPr>
              <w:jc w:val="center"/>
              <w:rPr>
                <w:rFonts w:eastAsia="Times New Roman" w:cs="Arial"/>
                <w:color w:val="000000"/>
              </w:rPr>
            </w:pPr>
          </w:p>
        </w:tc>
        <w:tc>
          <w:tcPr>
            <w:tcW w:w="1888" w:type="dxa"/>
          </w:tcPr>
          <w:p w14:paraId="4D59D5E6"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Unavailable</w:t>
            </w:r>
          </w:p>
        </w:tc>
        <w:tc>
          <w:tcPr>
            <w:tcW w:w="1964" w:type="dxa"/>
          </w:tcPr>
          <w:p w14:paraId="0A6FB64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15</w:t>
            </w:r>
          </w:p>
        </w:tc>
        <w:tc>
          <w:tcPr>
            <w:tcW w:w="2737" w:type="dxa"/>
          </w:tcPr>
          <w:p w14:paraId="7AB117A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55C34243"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3E79EA31" w14:textId="77777777" w:rsidR="004C4C39" w:rsidRPr="00A32EED" w:rsidRDefault="004C4C39" w:rsidP="004C4C39">
            <w:pPr>
              <w:jc w:val="center"/>
              <w:rPr>
                <w:rFonts w:eastAsia="Times New Roman" w:cs="Arial"/>
                <w:color w:val="000000"/>
              </w:rPr>
            </w:pPr>
          </w:p>
        </w:tc>
        <w:tc>
          <w:tcPr>
            <w:tcW w:w="1888" w:type="dxa"/>
          </w:tcPr>
          <w:p w14:paraId="661A3549"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Incapable</w:t>
            </w:r>
          </w:p>
        </w:tc>
        <w:tc>
          <w:tcPr>
            <w:tcW w:w="1964" w:type="dxa"/>
          </w:tcPr>
          <w:p w14:paraId="167B296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7</w:t>
            </w:r>
          </w:p>
        </w:tc>
        <w:tc>
          <w:tcPr>
            <w:tcW w:w="2737" w:type="dxa"/>
          </w:tcPr>
          <w:p w14:paraId="0DF0463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28175E1E" w14:textId="77777777" w:rsidTr="005734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89" w:type="dxa"/>
          </w:tcPr>
          <w:p w14:paraId="3ED1F5B5" w14:textId="77777777" w:rsidR="004C4C39" w:rsidRPr="00A32EED" w:rsidRDefault="004C4C39" w:rsidP="004C4C39">
            <w:pPr>
              <w:jc w:val="center"/>
              <w:rPr>
                <w:rFonts w:eastAsia="Times New Roman" w:cs="Arial"/>
                <w:color w:val="000000"/>
              </w:rPr>
            </w:pPr>
          </w:p>
        </w:tc>
        <w:tc>
          <w:tcPr>
            <w:tcW w:w="1888" w:type="dxa"/>
          </w:tcPr>
          <w:p w14:paraId="17CBF3C7"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Partial Interview</w:t>
            </w:r>
          </w:p>
        </w:tc>
        <w:tc>
          <w:tcPr>
            <w:tcW w:w="1964" w:type="dxa"/>
          </w:tcPr>
          <w:p w14:paraId="0653D6A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5</w:t>
            </w:r>
          </w:p>
        </w:tc>
        <w:tc>
          <w:tcPr>
            <w:tcW w:w="2737" w:type="dxa"/>
          </w:tcPr>
          <w:p w14:paraId="595EE22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5E95EE6A"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23827E37" w14:textId="77777777" w:rsidR="004C4C39" w:rsidRPr="00A32EED" w:rsidRDefault="004C4C39" w:rsidP="004C4C39">
            <w:pPr>
              <w:jc w:val="center"/>
              <w:rPr>
                <w:rFonts w:eastAsia="Times New Roman" w:cs="Arial"/>
                <w:color w:val="000000"/>
              </w:rPr>
            </w:pPr>
          </w:p>
        </w:tc>
        <w:tc>
          <w:tcPr>
            <w:tcW w:w="1888" w:type="dxa"/>
          </w:tcPr>
          <w:p w14:paraId="6030CB3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Other</w:t>
            </w:r>
          </w:p>
        </w:tc>
        <w:tc>
          <w:tcPr>
            <w:tcW w:w="1964" w:type="dxa"/>
          </w:tcPr>
          <w:p w14:paraId="4AF1B30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18</w:t>
            </w:r>
          </w:p>
        </w:tc>
        <w:tc>
          <w:tcPr>
            <w:tcW w:w="2737" w:type="dxa"/>
          </w:tcPr>
          <w:p w14:paraId="356E2BE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2636A8B4"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77" w:type="dxa"/>
            <w:gridSpan w:val="2"/>
          </w:tcPr>
          <w:p w14:paraId="38E841A2" w14:textId="77777777" w:rsidR="004C4C39" w:rsidRPr="00A32EED" w:rsidRDefault="004C4C39" w:rsidP="004C4C39">
            <w:pPr>
              <w:rPr>
                <w:rFonts w:eastAsia="Calibri" w:cs="Arial"/>
              </w:rPr>
            </w:pPr>
            <w:r w:rsidRPr="00A32EED">
              <w:rPr>
                <w:rFonts w:eastAsia="Calibri" w:cs="Arial"/>
              </w:rPr>
              <w:t>Wave 3</w:t>
            </w:r>
          </w:p>
        </w:tc>
        <w:tc>
          <w:tcPr>
            <w:tcW w:w="1964" w:type="dxa"/>
          </w:tcPr>
          <w:p w14:paraId="412AB79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p>
        </w:tc>
        <w:tc>
          <w:tcPr>
            <w:tcW w:w="2737" w:type="dxa"/>
          </w:tcPr>
          <w:p w14:paraId="1ED32B7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b/>
              </w:rPr>
              <w:t xml:space="preserve">390 </w:t>
            </w:r>
            <w:r w:rsidRPr="00A32EED">
              <w:rPr>
                <w:rFonts w:eastAsia="Calibri" w:cs="Arial"/>
              </w:rPr>
              <w:t>(43.29%)</w:t>
            </w:r>
          </w:p>
        </w:tc>
      </w:tr>
      <w:tr w:rsidR="004C4C39" w:rsidRPr="00A32EED" w14:paraId="5485A527"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19F2D7A3" w14:textId="77777777" w:rsidR="004C4C39" w:rsidRPr="00A32EED" w:rsidRDefault="004C4C39" w:rsidP="004C4C39">
            <w:pPr>
              <w:jc w:val="center"/>
              <w:rPr>
                <w:rFonts w:eastAsia="Calibri" w:cs="Arial"/>
              </w:rPr>
            </w:pPr>
          </w:p>
        </w:tc>
        <w:tc>
          <w:tcPr>
            <w:tcW w:w="1888" w:type="dxa"/>
          </w:tcPr>
          <w:p w14:paraId="14473E51"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Refusal</w:t>
            </w:r>
          </w:p>
        </w:tc>
        <w:tc>
          <w:tcPr>
            <w:tcW w:w="1964" w:type="dxa"/>
          </w:tcPr>
          <w:p w14:paraId="0C2E627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153</w:t>
            </w:r>
          </w:p>
        </w:tc>
        <w:tc>
          <w:tcPr>
            <w:tcW w:w="2737" w:type="dxa"/>
          </w:tcPr>
          <w:p w14:paraId="6A83920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4D7111AA"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689" w:type="dxa"/>
          </w:tcPr>
          <w:p w14:paraId="261DB31E" w14:textId="77777777" w:rsidR="004C4C39" w:rsidRPr="00A32EED" w:rsidRDefault="004C4C39" w:rsidP="004C4C39">
            <w:pPr>
              <w:jc w:val="center"/>
              <w:rPr>
                <w:rFonts w:eastAsia="Calibri" w:cs="Arial"/>
              </w:rPr>
            </w:pPr>
          </w:p>
        </w:tc>
        <w:tc>
          <w:tcPr>
            <w:tcW w:w="1888" w:type="dxa"/>
          </w:tcPr>
          <w:p w14:paraId="5C6D599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Unlocatable</w:t>
            </w:r>
          </w:p>
        </w:tc>
        <w:tc>
          <w:tcPr>
            <w:tcW w:w="1964" w:type="dxa"/>
          </w:tcPr>
          <w:p w14:paraId="6A12F1E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108</w:t>
            </w:r>
          </w:p>
        </w:tc>
        <w:tc>
          <w:tcPr>
            <w:tcW w:w="2737" w:type="dxa"/>
          </w:tcPr>
          <w:p w14:paraId="73D8563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42D0859B"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05BF86E5" w14:textId="77777777" w:rsidR="004C4C39" w:rsidRPr="00A32EED" w:rsidRDefault="004C4C39" w:rsidP="004C4C39">
            <w:pPr>
              <w:jc w:val="center"/>
              <w:rPr>
                <w:rFonts w:eastAsia="Calibri" w:cs="Arial"/>
              </w:rPr>
            </w:pPr>
          </w:p>
        </w:tc>
        <w:tc>
          <w:tcPr>
            <w:tcW w:w="1888" w:type="dxa"/>
          </w:tcPr>
          <w:p w14:paraId="1FA6B465"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Unavailable</w:t>
            </w:r>
          </w:p>
        </w:tc>
        <w:tc>
          <w:tcPr>
            <w:tcW w:w="1964" w:type="dxa"/>
          </w:tcPr>
          <w:p w14:paraId="596338D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53</w:t>
            </w:r>
          </w:p>
        </w:tc>
        <w:tc>
          <w:tcPr>
            <w:tcW w:w="2737" w:type="dxa"/>
          </w:tcPr>
          <w:p w14:paraId="4E87979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7F6D0F50"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689" w:type="dxa"/>
          </w:tcPr>
          <w:p w14:paraId="54A252CA" w14:textId="77777777" w:rsidR="004C4C39" w:rsidRPr="00A32EED" w:rsidRDefault="004C4C39" w:rsidP="004C4C39">
            <w:pPr>
              <w:jc w:val="center"/>
              <w:rPr>
                <w:rFonts w:eastAsia="Calibri" w:cs="Arial"/>
              </w:rPr>
            </w:pPr>
          </w:p>
        </w:tc>
        <w:tc>
          <w:tcPr>
            <w:tcW w:w="1888" w:type="dxa"/>
          </w:tcPr>
          <w:p w14:paraId="724EF429"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Partial Interview</w:t>
            </w:r>
          </w:p>
        </w:tc>
        <w:tc>
          <w:tcPr>
            <w:tcW w:w="1964" w:type="dxa"/>
          </w:tcPr>
          <w:p w14:paraId="59F9AE7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20</w:t>
            </w:r>
          </w:p>
        </w:tc>
        <w:tc>
          <w:tcPr>
            <w:tcW w:w="2737" w:type="dxa"/>
          </w:tcPr>
          <w:p w14:paraId="5AA823A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4A8BE7F5"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15F1791C" w14:textId="77777777" w:rsidR="004C4C39" w:rsidRPr="00A32EED" w:rsidRDefault="004C4C39" w:rsidP="004C4C39">
            <w:pPr>
              <w:jc w:val="center"/>
              <w:rPr>
                <w:rFonts w:eastAsia="Calibri" w:cs="Arial"/>
              </w:rPr>
            </w:pPr>
          </w:p>
        </w:tc>
        <w:tc>
          <w:tcPr>
            <w:tcW w:w="1888" w:type="dxa"/>
          </w:tcPr>
          <w:p w14:paraId="6BBFE330"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Other</w:t>
            </w:r>
          </w:p>
        </w:tc>
        <w:tc>
          <w:tcPr>
            <w:tcW w:w="1964" w:type="dxa"/>
          </w:tcPr>
          <w:p w14:paraId="3B7B953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56</w:t>
            </w:r>
          </w:p>
        </w:tc>
        <w:tc>
          <w:tcPr>
            <w:tcW w:w="2737" w:type="dxa"/>
          </w:tcPr>
          <w:p w14:paraId="0F18EEC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3B215842"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77" w:type="dxa"/>
            <w:gridSpan w:val="2"/>
          </w:tcPr>
          <w:p w14:paraId="744E8249" w14:textId="77777777" w:rsidR="004C4C39" w:rsidRPr="00A32EED" w:rsidRDefault="004C4C39" w:rsidP="004C4C39">
            <w:pPr>
              <w:rPr>
                <w:rFonts w:eastAsia="Times New Roman" w:cs="Arial"/>
                <w:color w:val="000000"/>
              </w:rPr>
            </w:pPr>
            <w:r w:rsidRPr="00A32EED">
              <w:rPr>
                <w:rFonts w:eastAsia="Calibri" w:cs="Arial"/>
              </w:rPr>
              <w:t>Wave 4</w:t>
            </w:r>
          </w:p>
        </w:tc>
        <w:tc>
          <w:tcPr>
            <w:tcW w:w="1964" w:type="dxa"/>
          </w:tcPr>
          <w:p w14:paraId="02E9140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c>
          <w:tcPr>
            <w:tcW w:w="2737" w:type="dxa"/>
          </w:tcPr>
          <w:p w14:paraId="42B1D41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b/>
              </w:rPr>
              <w:t>163</w:t>
            </w:r>
            <w:r w:rsidRPr="00A32EED">
              <w:rPr>
                <w:rFonts w:eastAsia="Calibri" w:cs="Arial"/>
              </w:rPr>
              <w:t xml:space="preserve"> (18.09%)</w:t>
            </w:r>
          </w:p>
        </w:tc>
      </w:tr>
      <w:tr w:rsidR="004C4C39" w:rsidRPr="00A32EED" w14:paraId="2414602A"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0943C2C8" w14:textId="77777777" w:rsidR="004C4C39" w:rsidRPr="00A32EED" w:rsidRDefault="004C4C39" w:rsidP="004C4C39">
            <w:pPr>
              <w:jc w:val="center"/>
              <w:rPr>
                <w:rFonts w:eastAsia="Calibri" w:cs="Arial"/>
              </w:rPr>
            </w:pPr>
          </w:p>
        </w:tc>
        <w:tc>
          <w:tcPr>
            <w:tcW w:w="1888" w:type="dxa"/>
          </w:tcPr>
          <w:p w14:paraId="07942E3A"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Refusal</w:t>
            </w:r>
          </w:p>
        </w:tc>
        <w:tc>
          <w:tcPr>
            <w:tcW w:w="1964" w:type="dxa"/>
          </w:tcPr>
          <w:p w14:paraId="5ABE2A0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77</w:t>
            </w:r>
          </w:p>
        </w:tc>
        <w:tc>
          <w:tcPr>
            <w:tcW w:w="2737" w:type="dxa"/>
          </w:tcPr>
          <w:p w14:paraId="4C6043C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596661F9"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689" w:type="dxa"/>
          </w:tcPr>
          <w:p w14:paraId="3CB9FA4F" w14:textId="77777777" w:rsidR="004C4C39" w:rsidRPr="00A32EED" w:rsidRDefault="004C4C39" w:rsidP="004C4C39">
            <w:pPr>
              <w:jc w:val="center"/>
              <w:rPr>
                <w:rFonts w:eastAsia="Calibri" w:cs="Arial"/>
              </w:rPr>
            </w:pPr>
          </w:p>
        </w:tc>
        <w:tc>
          <w:tcPr>
            <w:tcW w:w="1888" w:type="dxa"/>
          </w:tcPr>
          <w:p w14:paraId="45C47460"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Unlocatable</w:t>
            </w:r>
          </w:p>
        </w:tc>
        <w:tc>
          <w:tcPr>
            <w:tcW w:w="1964" w:type="dxa"/>
          </w:tcPr>
          <w:p w14:paraId="1CB1724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53</w:t>
            </w:r>
          </w:p>
        </w:tc>
        <w:tc>
          <w:tcPr>
            <w:tcW w:w="2737" w:type="dxa"/>
          </w:tcPr>
          <w:p w14:paraId="5E78BFE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3829A56D" w14:textId="77777777" w:rsidTr="0057347A">
        <w:trPr>
          <w:trHeight w:val="284"/>
        </w:trPr>
        <w:tc>
          <w:tcPr>
            <w:cnfStyle w:val="001000000000" w:firstRow="0" w:lastRow="0" w:firstColumn="1" w:lastColumn="0" w:oddVBand="0" w:evenVBand="0" w:oddHBand="0" w:evenHBand="0" w:firstRowFirstColumn="0" w:firstRowLastColumn="0" w:lastRowFirstColumn="0" w:lastRowLastColumn="0"/>
            <w:tcW w:w="1689" w:type="dxa"/>
          </w:tcPr>
          <w:p w14:paraId="47C9669F" w14:textId="77777777" w:rsidR="004C4C39" w:rsidRPr="00A32EED" w:rsidRDefault="004C4C39" w:rsidP="004C4C39">
            <w:pPr>
              <w:jc w:val="center"/>
              <w:rPr>
                <w:rFonts w:eastAsia="Calibri" w:cs="Arial"/>
              </w:rPr>
            </w:pPr>
          </w:p>
        </w:tc>
        <w:tc>
          <w:tcPr>
            <w:tcW w:w="1888" w:type="dxa"/>
          </w:tcPr>
          <w:p w14:paraId="1472C173"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Unavailable</w:t>
            </w:r>
          </w:p>
        </w:tc>
        <w:tc>
          <w:tcPr>
            <w:tcW w:w="1964" w:type="dxa"/>
          </w:tcPr>
          <w:p w14:paraId="11740A8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16</w:t>
            </w:r>
          </w:p>
        </w:tc>
        <w:tc>
          <w:tcPr>
            <w:tcW w:w="2737" w:type="dxa"/>
          </w:tcPr>
          <w:p w14:paraId="2BC4CE4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6354B481"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689" w:type="dxa"/>
          </w:tcPr>
          <w:p w14:paraId="30BC0C35" w14:textId="77777777" w:rsidR="004C4C39" w:rsidRPr="00A32EED" w:rsidRDefault="004C4C39" w:rsidP="004C4C39">
            <w:pPr>
              <w:jc w:val="center"/>
              <w:rPr>
                <w:rFonts w:eastAsia="Calibri" w:cs="Arial"/>
              </w:rPr>
            </w:pPr>
          </w:p>
        </w:tc>
        <w:tc>
          <w:tcPr>
            <w:tcW w:w="1888" w:type="dxa"/>
          </w:tcPr>
          <w:p w14:paraId="392D1D47"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Out of Area</w:t>
            </w:r>
          </w:p>
        </w:tc>
        <w:tc>
          <w:tcPr>
            <w:tcW w:w="1964" w:type="dxa"/>
          </w:tcPr>
          <w:p w14:paraId="12C9065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4</w:t>
            </w:r>
          </w:p>
        </w:tc>
        <w:tc>
          <w:tcPr>
            <w:tcW w:w="2737" w:type="dxa"/>
          </w:tcPr>
          <w:p w14:paraId="4504C70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043B0302"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439DABF4" w14:textId="77777777" w:rsidR="004C4C39" w:rsidRPr="00A32EED" w:rsidRDefault="004C4C39" w:rsidP="004C4C39">
            <w:pPr>
              <w:jc w:val="center"/>
              <w:rPr>
                <w:rFonts w:eastAsia="Calibri" w:cs="Arial"/>
              </w:rPr>
            </w:pPr>
          </w:p>
        </w:tc>
        <w:tc>
          <w:tcPr>
            <w:tcW w:w="1888" w:type="dxa"/>
          </w:tcPr>
          <w:p w14:paraId="12DA897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Other</w:t>
            </w:r>
          </w:p>
        </w:tc>
        <w:tc>
          <w:tcPr>
            <w:tcW w:w="1964" w:type="dxa"/>
          </w:tcPr>
          <w:p w14:paraId="64D9055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13</w:t>
            </w:r>
          </w:p>
        </w:tc>
        <w:tc>
          <w:tcPr>
            <w:tcW w:w="2737" w:type="dxa"/>
          </w:tcPr>
          <w:p w14:paraId="74AF4D7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46CA6992"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77" w:type="dxa"/>
            <w:gridSpan w:val="2"/>
          </w:tcPr>
          <w:p w14:paraId="66EF091D" w14:textId="77777777" w:rsidR="004C4C39" w:rsidRPr="00A32EED" w:rsidRDefault="004C4C39" w:rsidP="004C4C39">
            <w:pPr>
              <w:rPr>
                <w:rFonts w:eastAsia="Times New Roman" w:cs="Arial"/>
                <w:color w:val="000000"/>
              </w:rPr>
            </w:pPr>
            <w:r w:rsidRPr="00A32EED">
              <w:rPr>
                <w:rFonts w:eastAsia="Calibri" w:cs="Arial"/>
              </w:rPr>
              <w:t>Wave 5</w:t>
            </w:r>
          </w:p>
        </w:tc>
        <w:tc>
          <w:tcPr>
            <w:tcW w:w="1964" w:type="dxa"/>
          </w:tcPr>
          <w:p w14:paraId="7B3D8FD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c>
          <w:tcPr>
            <w:tcW w:w="2737" w:type="dxa"/>
          </w:tcPr>
          <w:p w14:paraId="03C5654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b/>
              </w:rPr>
              <w:t xml:space="preserve">271 </w:t>
            </w:r>
            <w:r w:rsidRPr="00A32EED">
              <w:rPr>
                <w:rFonts w:eastAsia="Calibri" w:cs="Arial"/>
              </w:rPr>
              <w:t>(30.01%)</w:t>
            </w:r>
          </w:p>
        </w:tc>
      </w:tr>
      <w:tr w:rsidR="004C4C39" w:rsidRPr="00A32EED" w14:paraId="27437CC9"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5E40E2A6" w14:textId="77777777" w:rsidR="004C4C39" w:rsidRPr="00A32EED" w:rsidRDefault="004C4C39" w:rsidP="004C4C39">
            <w:pPr>
              <w:jc w:val="center"/>
              <w:rPr>
                <w:rFonts w:eastAsia="Calibri" w:cs="Arial"/>
              </w:rPr>
            </w:pPr>
          </w:p>
        </w:tc>
        <w:tc>
          <w:tcPr>
            <w:tcW w:w="1888" w:type="dxa"/>
          </w:tcPr>
          <w:p w14:paraId="7A43E79F"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Unlocatable</w:t>
            </w:r>
          </w:p>
        </w:tc>
        <w:tc>
          <w:tcPr>
            <w:tcW w:w="1964" w:type="dxa"/>
          </w:tcPr>
          <w:p w14:paraId="1A19BF7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130</w:t>
            </w:r>
          </w:p>
        </w:tc>
        <w:tc>
          <w:tcPr>
            <w:tcW w:w="2737" w:type="dxa"/>
          </w:tcPr>
          <w:p w14:paraId="68D3FAA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7E126283"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689" w:type="dxa"/>
          </w:tcPr>
          <w:p w14:paraId="6316F3A0" w14:textId="77777777" w:rsidR="004C4C39" w:rsidRPr="00A32EED" w:rsidRDefault="004C4C39" w:rsidP="004C4C39">
            <w:pPr>
              <w:jc w:val="center"/>
              <w:rPr>
                <w:rFonts w:eastAsia="Calibri" w:cs="Arial"/>
              </w:rPr>
            </w:pPr>
          </w:p>
        </w:tc>
        <w:tc>
          <w:tcPr>
            <w:tcW w:w="1888" w:type="dxa"/>
          </w:tcPr>
          <w:p w14:paraId="028D1B5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Refusal</w:t>
            </w:r>
          </w:p>
        </w:tc>
        <w:tc>
          <w:tcPr>
            <w:tcW w:w="1964" w:type="dxa"/>
          </w:tcPr>
          <w:p w14:paraId="7A5EA6C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68</w:t>
            </w:r>
          </w:p>
        </w:tc>
        <w:tc>
          <w:tcPr>
            <w:tcW w:w="2737" w:type="dxa"/>
          </w:tcPr>
          <w:p w14:paraId="1C30254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7546DDAD"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225A405D" w14:textId="77777777" w:rsidR="004C4C39" w:rsidRPr="00A32EED" w:rsidRDefault="004C4C39" w:rsidP="004C4C39">
            <w:pPr>
              <w:jc w:val="center"/>
              <w:rPr>
                <w:rFonts w:eastAsia="Calibri" w:cs="Arial"/>
              </w:rPr>
            </w:pPr>
          </w:p>
        </w:tc>
        <w:tc>
          <w:tcPr>
            <w:tcW w:w="1888" w:type="dxa"/>
          </w:tcPr>
          <w:p w14:paraId="7B640487"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Unavailable</w:t>
            </w:r>
          </w:p>
        </w:tc>
        <w:tc>
          <w:tcPr>
            <w:tcW w:w="1964" w:type="dxa"/>
          </w:tcPr>
          <w:p w14:paraId="470E999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16</w:t>
            </w:r>
          </w:p>
        </w:tc>
        <w:tc>
          <w:tcPr>
            <w:tcW w:w="2737" w:type="dxa"/>
          </w:tcPr>
          <w:p w14:paraId="16271B1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297C984F"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689" w:type="dxa"/>
          </w:tcPr>
          <w:p w14:paraId="3AB32903" w14:textId="77777777" w:rsidR="004C4C39" w:rsidRPr="00A32EED" w:rsidRDefault="004C4C39" w:rsidP="004C4C39">
            <w:pPr>
              <w:jc w:val="center"/>
              <w:rPr>
                <w:rFonts w:eastAsia="Calibri" w:cs="Arial"/>
              </w:rPr>
            </w:pPr>
          </w:p>
        </w:tc>
        <w:tc>
          <w:tcPr>
            <w:tcW w:w="1888" w:type="dxa"/>
          </w:tcPr>
          <w:p w14:paraId="063938F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Out of Country</w:t>
            </w:r>
          </w:p>
        </w:tc>
        <w:tc>
          <w:tcPr>
            <w:tcW w:w="1964" w:type="dxa"/>
          </w:tcPr>
          <w:p w14:paraId="5C4B7CF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6</w:t>
            </w:r>
          </w:p>
        </w:tc>
        <w:tc>
          <w:tcPr>
            <w:tcW w:w="2737" w:type="dxa"/>
          </w:tcPr>
          <w:p w14:paraId="5706587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rPr>
            </w:pPr>
          </w:p>
        </w:tc>
      </w:tr>
      <w:tr w:rsidR="004C4C39" w:rsidRPr="00A32EED" w14:paraId="39FE5C1A" w14:textId="77777777" w:rsidTr="0057347A">
        <w:trPr>
          <w:trHeight w:val="265"/>
        </w:trPr>
        <w:tc>
          <w:tcPr>
            <w:cnfStyle w:val="001000000000" w:firstRow="0" w:lastRow="0" w:firstColumn="1" w:lastColumn="0" w:oddVBand="0" w:evenVBand="0" w:oddHBand="0" w:evenHBand="0" w:firstRowFirstColumn="0" w:firstRowLastColumn="0" w:lastRowFirstColumn="0" w:lastRowLastColumn="0"/>
            <w:tcW w:w="1689" w:type="dxa"/>
          </w:tcPr>
          <w:p w14:paraId="2BEBE8B1" w14:textId="77777777" w:rsidR="004C4C39" w:rsidRPr="00A32EED" w:rsidRDefault="004C4C39" w:rsidP="004C4C39">
            <w:pPr>
              <w:jc w:val="center"/>
              <w:rPr>
                <w:rFonts w:eastAsia="Calibri" w:cs="Arial"/>
              </w:rPr>
            </w:pPr>
          </w:p>
        </w:tc>
        <w:tc>
          <w:tcPr>
            <w:tcW w:w="1888" w:type="dxa"/>
          </w:tcPr>
          <w:p w14:paraId="144A878D"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Other</w:t>
            </w:r>
          </w:p>
        </w:tc>
        <w:tc>
          <w:tcPr>
            <w:tcW w:w="1964" w:type="dxa"/>
          </w:tcPr>
          <w:p w14:paraId="0A3ED70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51</w:t>
            </w:r>
          </w:p>
        </w:tc>
        <w:tc>
          <w:tcPr>
            <w:tcW w:w="2737" w:type="dxa"/>
          </w:tcPr>
          <w:p w14:paraId="27CB36B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p>
        </w:tc>
      </w:tr>
      <w:tr w:rsidR="004C4C39" w:rsidRPr="00A32EED" w14:paraId="58531EAE" w14:textId="77777777" w:rsidTr="005734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77" w:type="dxa"/>
            <w:gridSpan w:val="2"/>
          </w:tcPr>
          <w:p w14:paraId="6E201A93" w14:textId="77777777" w:rsidR="004C4C39" w:rsidRPr="00A32EED" w:rsidRDefault="004C4C39" w:rsidP="004C4C39">
            <w:pPr>
              <w:rPr>
                <w:rFonts w:eastAsia="Times New Roman" w:cs="Arial"/>
                <w:color w:val="000000"/>
              </w:rPr>
            </w:pPr>
            <w:r w:rsidRPr="00A32EED">
              <w:rPr>
                <w:rFonts w:eastAsia="Calibri" w:cs="Arial"/>
              </w:rPr>
              <w:t>Total</w:t>
            </w:r>
          </w:p>
        </w:tc>
        <w:tc>
          <w:tcPr>
            <w:tcW w:w="1964" w:type="dxa"/>
          </w:tcPr>
          <w:p w14:paraId="60A85E08" w14:textId="77777777" w:rsidR="004C4C39" w:rsidRPr="00A32EED" w:rsidRDefault="004C4C39" w:rsidP="004C4C39">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c>
          <w:tcPr>
            <w:tcW w:w="2737" w:type="dxa"/>
          </w:tcPr>
          <w:p w14:paraId="362C30A6" w14:textId="77777777" w:rsidR="004C4C39" w:rsidRPr="00A32EED" w:rsidRDefault="004C4C39" w:rsidP="004C4C39">
            <w:pPr>
              <w:keepNext/>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b/>
              </w:rPr>
              <w:t xml:space="preserve">901 </w:t>
            </w:r>
            <w:r w:rsidRPr="00A32EED">
              <w:rPr>
                <w:rFonts w:eastAsia="Calibri" w:cs="Arial"/>
              </w:rPr>
              <w:t>(100%)</w:t>
            </w:r>
          </w:p>
        </w:tc>
      </w:tr>
    </w:tbl>
    <w:p w14:paraId="07CCD2E7" w14:textId="77777777" w:rsidR="004C4C39" w:rsidRPr="00A32EED" w:rsidRDefault="004C4C39" w:rsidP="004C4C39">
      <w:pPr>
        <w:spacing w:after="0" w:line="480" w:lineRule="auto"/>
        <w:rPr>
          <w:rFonts w:eastAsia="Calibri"/>
        </w:rPr>
      </w:pPr>
    </w:p>
    <w:p w14:paraId="57C3ABA7" w14:textId="77777777" w:rsidR="004C4C39" w:rsidRPr="00A32EED" w:rsidRDefault="004C4C39" w:rsidP="004C4C39">
      <w:pPr>
        <w:spacing w:after="0"/>
        <w:rPr>
          <w:rFonts w:eastAsia="Calibri"/>
        </w:rPr>
      </w:pPr>
      <w:r w:rsidRPr="00A32EED">
        <w:rPr>
          <w:rFonts w:eastAsia="Calibri"/>
        </w:rPr>
        <w:br w:type="page"/>
      </w:r>
    </w:p>
    <w:p w14:paraId="089D074E" w14:textId="77777777" w:rsidR="004C4C39" w:rsidRPr="00A32EED" w:rsidRDefault="004C4C39" w:rsidP="004C4C39">
      <w:pPr>
        <w:keepNext/>
        <w:keepLines/>
        <w:spacing w:before="40" w:after="0" w:line="480" w:lineRule="auto"/>
        <w:outlineLvl w:val="0"/>
        <w:rPr>
          <w:rFonts w:eastAsia="ＭＳ ゴシック"/>
          <w:b/>
          <w:color w:val="000000"/>
          <w:szCs w:val="26"/>
          <w:u w:val="single"/>
        </w:rPr>
      </w:pPr>
      <w:bookmarkStart w:id="55" w:name="_Toc479938157"/>
      <w:bookmarkStart w:id="56" w:name="_Toc482112686"/>
      <w:r w:rsidRPr="00A32EED">
        <w:rPr>
          <w:rFonts w:eastAsia="ＭＳ ゴシック"/>
          <w:b/>
          <w:color w:val="000000"/>
          <w:szCs w:val="26"/>
          <w:u w:val="single"/>
        </w:rPr>
        <w:lastRenderedPageBreak/>
        <w:t>Chapter 4: Variables and Methodology</w:t>
      </w:r>
      <w:bookmarkEnd w:id="55"/>
      <w:bookmarkEnd w:id="56"/>
    </w:p>
    <w:p w14:paraId="0B2DE274" w14:textId="1EC1F3A7" w:rsidR="004C4C39" w:rsidRPr="00A32EED" w:rsidRDefault="004C4C39" w:rsidP="004C4C39">
      <w:pPr>
        <w:spacing w:after="0" w:line="480" w:lineRule="auto"/>
        <w:rPr>
          <w:rFonts w:eastAsia="Calibri"/>
        </w:rPr>
      </w:pPr>
      <w:r w:rsidRPr="00A32EED">
        <w:rPr>
          <w:rFonts w:eastAsia="Calibri"/>
        </w:rPr>
        <w:tab/>
        <w:t xml:space="preserve">The following chapter provides information on the steps taken to create variables used in analyses and details regarding the analyses used. Except for the early sexual initiation dependent variable, all frequencies reported are based on the sample of children who were at least 12 years older at wave 5 and did not have </w:t>
      </w:r>
      <w:r w:rsidR="00E50CBE">
        <w:rPr>
          <w:rFonts w:eastAsia="Calibri"/>
        </w:rPr>
        <w:t>a missing sample weight (n=1,772</w:t>
      </w:r>
      <w:r w:rsidRPr="00A32EED">
        <w:rPr>
          <w:rFonts w:eastAsia="Calibri"/>
        </w:rPr>
        <w:t>). Due to the dependent variable early initiation only being created for those who were at least 15 at wave 5 frequencies reported for this variable are based on the 15-year-old sample who were not missing sample weights (n=1,172).</w:t>
      </w:r>
    </w:p>
    <w:p w14:paraId="7A552892"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57" w:name="_Toc479938158"/>
      <w:bookmarkStart w:id="58" w:name="_Toc482112687"/>
      <w:r w:rsidRPr="00A32EED">
        <w:rPr>
          <w:rFonts w:eastAsia="ＭＳ ゴシック"/>
          <w:i/>
          <w:color w:val="000000"/>
          <w:szCs w:val="26"/>
          <w:u w:val="single"/>
        </w:rPr>
        <w:t>Dependent Variables</w:t>
      </w:r>
      <w:bookmarkEnd w:id="57"/>
      <w:bookmarkEnd w:id="58"/>
    </w:p>
    <w:p w14:paraId="30025E3A" w14:textId="77777777" w:rsidR="004C4C39" w:rsidRPr="00A32EED" w:rsidRDefault="004C4C39" w:rsidP="004C4C39">
      <w:pPr>
        <w:keepNext/>
        <w:keepLines/>
        <w:spacing w:before="40" w:after="0" w:line="480" w:lineRule="auto"/>
        <w:outlineLvl w:val="2"/>
        <w:rPr>
          <w:rFonts w:eastAsia="ＭＳ ゴシック"/>
          <w:i/>
          <w:color w:val="000000"/>
        </w:rPr>
      </w:pPr>
      <w:bookmarkStart w:id="59" w:name="_Toc479938159"/>
      <w:bookmarkStart w:id="60" w:name="_Toc482112688"/>
      <w:r w:rsidRPr="00A32EED">
        <w:rPr>
          <w:rFonts w:eastAsia="ＭＳ ゴシック"/>
          <w:i/>
          <w:color w:val="000000"/>
        </w:rPr>
        <w:t>Early Sexual Initiation</w:t>
      </w:r>
      <w:bookmarkEnd w:id="59"/>
      <w:bookmarkEnd w:id="60"/>
    </w:p>
    <w:p w14:paraId="65E5B434" w14:textId="7EF2ABD8" w:rsidR="004C4C39" w:rsidRPr="00A32EED" w:rsidRDefault="004C4C39" w:rsidP="00E50CBE">
      <w:pPr>
        <w:spacing w:after="0" w:line="480" w:lineRule="auto"/>
        <w:ind w:firstLine="720"/>
        <w:rPr>
          <w:rFonts w:eastAsia="Calibri"/>
        </w:rPr>
      </w:pPr>
      <w:r w:rsidRPr="00A32EED">
        <w:rPr>
          <w:rFonts w:eastAsia="Calibri"/>
        </w:rPr>
        <w:t xml:space="preserve">Previous literature varies on the definition of "early sexual initiation," but sexual initiation during adolescence is generally considered to be early </w:t>
      </w:r>
      <w:r w:rsidRPr="00A32EED">
        <w:rPr>
          <w:rFonts w:eastAsia="Calibri"/>
        </w:rPr>
        <w:fldChar w:fldCharType="begin"/>
      </w:r>
      <w:r w:rsidRPr="00A32EED">
        <w:rPr>
          <w:rFonts w:eastAsia="Calibri"/>
        </w:rPr>
        <w:instrText xml:space="preserve"> ADDIN ZOTERO_ITEM CSL_CITATION {"citationID":"lXD4W8KF","properties":{"formattedCitation":"(Koenig and Clark 2004; Madkour et al. 2010; Sandfort et al. 2008)","plainCitation":"(Koenig and Clark 2004; Madkour et al. 2010; Sandfort et al. 2008)"},"citationItems":[{"id":1259,"uris":["http://zotero.org/users/1165382/items/PAVS6R4Q"],"uri":["http://zotero.org/users/1165382/items/PAVS6R4Q"],"itemData":{"id":1259,"type":"article-journal","title":"Sexual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id":1409,"uris":["http://zotero.org/users/1165382/items/BZKM6RKH"],"uri":["http://zotero.org/users/1165382/items/BZKM6RKH"],"itemData":{"id":1409,"type":"article-journal","title":"Early Adolescent Sexual Initiation as a Problem Behavior: A Comparative Study of Five Nations","container-title":"Journal of Adolescent Health","page":"389-398","volume":"47","issue":"4","source":"ScienceDirect","abstract":"Purpose\nUsing a Problem Behavior Theory framework, this article examines the extent to which psychosocial correlates of early sexual initiation (before age 16) vary across developed nations.\nMethods\nFifteen-year-old participants (n = 5,624) in the 1997–1998 World Health Organization collaborative Health Behavior in School-Aged Children survey (Finland, Scotland, France, and Poland) and the 1996 U.S. Add Health survey self-reported substance use (alcohol and tobacco), school attachment, positive parental communication, and early sexual intercourse experience. Stratifying by gender, we performed univariate, bivariate, and multivariable analyses controlling for family socioeconomic status, family structure, and nation fixed effects.\nResults\nSelf-reported early sexual experience, substance use, school attachment, and positive communication with parents varied significantly across nations for both boys and girls. In both crude and adjusted analyses, substance use was positively associated with early sexual experience among boys and girls across nations, although associations were stronger in Europe than in the United States (adjusted odds ratio [AOR]; range, 1.56–3.74). School attachment was similarly inversely related to early sexual experience among boys and girls across nations (AOR range, .63–.94). However, positive parent communication was significantly inversely related to early sexual experience only among U.S. females (AOR .50).\nConclusions\nFindings overall supported the fit of early adolescent sexual initiation as a risk behavior within a Problem Behavior Theory framework cross-nationally, suggesting that similar factors could be targeted to prevent early sexual initiation across some developed nations. However, further research is warranted examining the temporality of these relationships.","DOI":"10.1016/j.jadohealth.2010.02.008","ISSN":"1054-139X","note":"00096","shortTitle":"Early Adolescent Sexual Initiation as a Problem Behavior","journalAbbreviation":"Journal of Adolescent Health","author":[{"family":"Madkour","given":"Aubrey S."},{"family":"Farhat","given":"Tilda"},{"family":"Halpern","given":"Carolyn T."},{"family":"Godeau","given":"Emmanuelle"},{"family":"Gabhainn","given":"Saoirse N."}],"issued":{"date-parts":[["2010",10]]}}},{"id":1328,"uris":["http://zotero.org/users/1165382/items/TCFAHWKD"],"uri":["http://zotero.org/users/1165382/items/TCFAHWKD"],"itemData":{"id":1328,"type":"article-journal","title":"Long-Term Health Correlates of Timing of Sexual Debut: Results From a National US Study","container-title":"American Journal of Public Health","page":"155-161","volume":"98","issue":"1","source":"ajph.aphapublications.org (Atypon)","abstract":"Objectives. We explored long-term health consequences of age at sexual initiation and of abstinence until marriage to evaluate empirical support for the claim that postponing sexual initiation has beneficial health effects.Methods. We analyzed data from the 1996 National Sexual Health Survey, a cross-sectional study of the US adult population. We compared sexual health outcomes among individuals who had initiated sexual activity at an early or late age versus a normative age. We also compared individuals whose first sexual intercourse had occurred before versus after marriage.Results. Early initiation of sexual intercourse was associated with various sexual risk factors, including increased numbers of sexual partners and recent sexual intercourse under the influence of alcohol, whereas late initiation was associated with fewer risk factors. However, both early and late initiation were associated with sexual problems such as problems with arousal and orgasm, primarily among men. Relationship solidity and sexual relationship satisfaction were not associated with early or late initiation.Conclusions. Early sexual debut is associated with certain long-term negative sexual health outcomes, including increased sexual risk behaviors and problems in sexual functioning. Late initiation was also associated with sexual problems, especially among men. Further research is needed to understand how sexual initiation patterns affect later health outcomes.","DOI":"10.2105/AJPH.2006.097444","ISSN":"0090-0036","note":"00202","shortTitle":"Long-Term Health Correlates of Timing of Sexual Debut","journalAbbreviation":"Am J Public Health","author":[{"family":"Sandfort","given":"Theo G.M."},{"family":"Orr","given":"Mark"},{"family":"Hirsch","given":"Jennifer S."},{"family":"Santelli","given":"John"}],"issued":{"date-parts":[["2008",1,1]]}}}],"schema":"https://github.com/citation-style-language/schema/raw/master/csl-citation.json"} </w:instrText>
      </w:r>
      <w:r w:rsidRPr="00A32EED">
        <w:rPr>
          <w:rFonts w:eastAsia="Calibri"/>
        </w:rPr>
        <w:fldChar w:fldCharType="separate"/>
      </w:r>
      <w:r w:rsidRPr="00A32EED">
        <w:rPr>
          <w:rFonts w:eastAsia="Calibri"/>
          <w:noProof/>
        </w:rPr>
        <w:t>(Koenig and Clark 2004; Madkour et al. 2010; Sandfort et al. 2008)</w:t>
      </w:r>
      <w:r w:rsidRPr="00A32EED">
        <w:rPr>
          <w:rFonts w:eastAsia="Calibri"/>
        </w:rPr>
        <w:fldChar w:fldCharType="end"/>
      </w:r>
      <w:r w:rsidRPr="00A32EED">
        <w:rPr>
          <w:rFonts w:eastAsia="Calibri"/>
        </w:rPr>
        <w:t>. To measure risky sexual behavior a variable indicating sexual initiation before the age of 16 was created. This variable was created using multiple questions from all five waves of data. The NSCAW data contains multiple questions from which the early sexual initiation variable was created. All of the responses used to create the early sexual initiation variable were self-reported by the victim of the original report.</w:t>
      </w:r>
    </w:p>
    <w:p w14:paraId="383F26A0" w14:textId="77777777" w:rsidR="004C4C39" w:rsidRPr="00A32EED" w:rsidRDefault="004C4C39" w:rsidP="004C4C39">
      <w:pPr>
        <w:spacing w:after="0" w:line="480" w:lineRule="auto"/>
        <w:ind w:firstLine="720"/>
        <w:rPr>
          <w:rFonts w:eastAsia="Calibri"/>
        </w:rPr>
      </w:pPr>
      <w:r w:rsidRPr="00A32EED">
        <w:rPr>
          <w:rFonts w:eastAsia="Calibri"/>
        </w:rPr>
        <w:t xml:space="preserve">The first answers used were categorical responses to the question “How old were you the first time you had sexual intercourse?” This set of questions will be referred to as SX#2A, where # stands for the wave number. SX#2A was </w:t>
      </w:r>
      <w:r w:rsidRPr="00A32EED">
        <w:rPr>
          <w:rFonts w:eastAsia="Calibri"/>
        </w:rPr>
        <w:lastRenderedPageBreak/>
        <w:t xml:space="preserve">asked of child respondents who were at least 12 years old in Waves 1, 3, 4, and 5. There is no data on this question for Wave 2 because children were not contacted for this wave. Available answers were “Under 8 years old”, “8 or 9 years old”, “10 or 11 years old”, “12 or 13 years old”, “14 or 15 years old”, and “16 years or older”. Any response indicating sexual initiation before the age of 16 was recoded to indicate early sexual initiation. A frequency table of responses can be found in Table 4.1. For all waves, over 90% of the legitimate skips are accounted for by summing together those said they had never had sex before and those who were 12 or younger at the time of interviews. The remaining legitimate skips are due to other random skip patterns throughout the data. The one exception is wave 5 where the legitimate skips are accounted for by either those who had not had sex yet or who received the Young Adult Instrument. This Young Adult Instrument was reserved for only those individuals who were 18 at the time of wave 5 interviews. </w:t>
      </w:r>
    </w:p>
    <w:p w14:paraId="4058D6A0" w14:textId="77777777" w:rsidR="004012E6" w:rsidRDefault="004012E6">
      <w:pPr>
        <w:rPr>
          <w:rFonts w:eastAsia="Calibri" w:cs="Times New Roman"/>
          <w:i/>
          <w:iCs/>
          <w:color w:val="000000"/>
          <w:szCs w:val="18"/>
        </w:rPr>
      </w:pPr>
      <w:bookmarkStart w:id="61" w:name="_Toc479941214"/>
      <w:r>
        <w:rPr>
          <w:rFonts w:eastAsia="Calibri"/>
        </w:rPr>
        <w:br w:type="page"/>
      </w:r>
    </w:p>
    <w:p w14:paraId="69B9AC01" w14:textId="2ABD6F05" w:rsidR="004C4C39" w:rsidRPr="00A32EED" w:rsidRDefault="004C4C39" w:rsidP="0023176A">
      <w:pPr>
        <w:pStyle w:val="Caption1"/>
        <w:rPr>
          <w:rFonts w:eastAsia="Calibri"/>
        </w:rPr>
      </w:pPr>
      <w:r w:rsidRPr="00A32EED">
        <w:rPr>
          <w:rFonts w:eastAsia="Calibri"/>
        </w:rPr>
        <w:lastRenderedPageBreak/>
        <w:t>Table 4.</w:t>
      </w:r>
      <w:r w:rsidRPr="00A32EED">
        <w:rPr>
          <w:rFonts w:eastAsia="Calibri"/>
        </w:rPr>
        <w:fldChar w:fldCharType="begin"/>
      </w:r>
      <w:r w:rsidRPr="00A32EED">
        <w:rPr>
          <w:rFonts w:eastAsia="Calibri"/>
        </w:rPr>
        <w:instrText xml:space="preserve"> SEQ Table_4. \* ARABIC </w:instrText>
      </w:r>
      <w:r w:rsidRPr="00A32EED">
        <w:rPr>
          <w:rFonts w:eastAsia="Calibri"/>
        </w:rPr>
        <w:fldChar w:fldCharType="separate"/>
      </w:r>
      <w:r w:rsidR="00FA12E2">
        <w:rPr>
          <w:rFonts w:eastAsia="Calibri"/>
          <w:noProof/>
        </w:rPr>
        <w:t>1</w:t>
      </w:r>
      <w:r w:rsidRPr="00A32EED">
        <w:rPr>
          <w:rFonts w:eastAsia="Calibri"/>
          <w:noProof/>
        </w:rPr>
        <w:fldChar w:fldCharType="end"/>
      </w:r>
      <w:r w:rsidRPr="00A32EED">
        <w:rPr>
          <w:rFonts w:eastAsia="Calibri"/>
        </w:rPr>
        <w:t>: Responses for Age at Sexual Initiation (SX#2A)</w:t>
      </w:r>
      <w:bookmarkEnd w:id="61"/>
    </w:p>
    <w:tbl>
      <w:tblPr>
        <w:tblStyle w:val="ListTable21"/>
        <w:tblW w:w="7800" w:type="dxa"/>
        <w:tblLook w:val="04A0" w:firstRow="1" w:lastRow="0" w:firstColumn="1" w:lastColumn="0" w:noHBand="0" w:noVBand="1"/>
      </w:tblPr>
      <w:tblGrid>
        <w:gridCol w:w="2600"/>
        <w:gridCol w:w="1300"/>
        <w:gridCol w:w="1300"/>
        <w:gridCol w:w="1300"/>
        <w:gridCol w:w="1300"/>
      </w:tblGrid>
      <w:tr w:rsidR="004C4C39" w:rsidRPr="00A32EED" w14:paraId="39DD5899" w14:textId="77777777" w:rsidTr="004C4C39">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13088113" w14:textId="77777777" w:rsidR="004C4C39" w:rsidRPr="00A32EED" w:rsidRDefault="004C4C39" w:rsidP="004C4C39">
            <w:pPr>
              <w:rPr>
                <w:rFonts w:eastAsia="Calibri" w:cs="Arial"/>
                <w:sz w:val="20"/>
                <w:szCs w:val="20"/>
              </w:rPr>
            </w:pPr>
          </w:p>
        </w:tc>
        <w:tc>
          <w:tcPr>
            <w:tcW w:w="5200" w:type="dxa"/>
            <w:gridSpan w:val="4"/>
            <w:noWrap/>
            <w:hideMark/>
          </w:tcPr>
          <w:p w14:paraId="484C8028"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A32EED">
              <w:rPr>
                <w:rFonts w:eastAsia="Times New Roman" w:cs="Arial"/>
                <w:color w:val="000000"/>
              </w:rPr>
              <w:t>Frequency</w:t>
            </w:r>
          </w:p>
        </w:tc>
      </w:tr>
      <w:tr w:rsidR="004C4C39" w:rsidRPr="00A32EED" w14:paraId="38D719FD" w14:textId="77777777" w:rsidTr="004C4C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7B9CA5CB" w14:textId="77777777" w:rsidR="004C4C39" w:rsidRPr="00A32EED" w:rsidRDefault="004C4C39" w:rsidP="004C4C39">
            <w:pPr>
              <w:rPr>
                <w:rFonts w:eastAsia="Times New Roman" w:cs="Arial"/>
                <w:color w:val="000000"/>
              </w:rPr>
            </w:pPr>
            <w:r w:rsidRPr="00A32EED">
              <w:rPr>
                <w:rFonts w:eastAsia="Times New Roman" w:cs="Arial"/>
                <w:color w:val="000000"/>
              </w:rPr>
              <w:t>Response</w:t>
            </w:r>
          </w:p>
        </w:tc>
        <w:tc>
          <w:tcPr>
            <w:tcW w:w="1300" w:type="dxa"/>
            <w:noWrap/>
            <w:hideMark/>
          </w:tcPr>
          <w:p w14:paraId="4391502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000000"/>
              </w:rPr>
            </w:pPr>
            <w:r w:rsidRPr="00A32EED">
              <w:rPr>
                <w:rFonts w:eastAsia="Times New Roman" w:cs="Arial"/>
                <w:b/>
                <w:color w:val="000000"/>
              </w:rPr>
              <w:t>Wave 1</w:t>
            </w:r>
          </w:p>
        </w:tc>
        <w:tc>
          <w:tcPr>
            <w:tcW w:w="1300" w:type="dxa"/>
            <w:noWrap/>
            <w:hideMark/>
          </w:tcPr>
          <w:p w14:paraId="38BC1E1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000000"/>
              </w:rPr>
            </w:pPr>
            <w:r w:rsidRPr="00A32EED">
              <w:rPr>
                <w:rFonts w:eastAsia="Times New Roman" w:cs="Arial"/>
                <w:b/>
                <w:color w:val="000000"/>
              </w:rPr>
              <w:t>Wave 3</w:t>
            </w:r>
          </w:p>
        </w:tc>
        <w:tc>
          <w:tcPr>
            <w:tcW w:w="1300" w:type="dxa"/>
            <w:noWrap/>
            <w:hideMark/>
          </w:tcPr>
          <w:p w14:paraId="23DA335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000000"/>
              </w:rPr>
            </w:pPr>
            <w:r w:rsidRPr="00A32EED">
              <w:rPr>
                <w:rFonts w:eastAsia="Times New Roman" w:cs="Arial"/>
                <w:b/>
                <w:color w:val="000000"/>
              </w:rPr>
              <w:t>Wave 4</w:t>
            </w:r>
          </w:p>
        </w:tc>
        <w:tc>
          <w:tcPr>
            <w:tcW w:w="1300" w:type="dxa"/>
            <w:noWrap/>
            <w:hideMark/>
          </w:tcPr>
          <w:p w14:paraId="04F151A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000000"/>
              </w:rPr>
            </w:pPr>
            <w:r w:rsidRPr="00A32EED">
              <w:rPr>
                <w:rFonts w:eastAsia="Times New Roman" w:cs="Arial"/>
                <w:b/>
                <w:color w:val="000000"/>
              </w:rPr>
              <w:t>Wave 5</w:t>
            </w:r>
          </w:p>
        </w:tc>
      </w:tr>
      <w:tr w:rsidR="004C4C39" w:rsidRPr="00A32EED" w14:paraId="4478AAF5" w14:textId="77777777" w:rsidTr="004C4C39">
        <w:trPr>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2F0CC4F8" w14:textId="77777777" w:rsidR="004C4C39" w:rsidRPr="00A32EED" w:rsidRDefault="004C4C39" w:rsidP="004C4C39">
            <w:pPr>
              <w:rPr>
                <w:rFonts w:eastAsia="Times New Roman" w:cs="Arial"/>
                <w:color w:val="000000"/>
              </w:rPr>
            </w:pPr>
            <w:r w:rsidRPr="00A32EED">
              <w:rPr>
                <w:rFonts w:eastAsia="Times New Roman" w:cs="Arial"/>
                <w:color w:val="000000"/>
              </w:rPr>
              <w:t>Partial Interview</w:t>
            </w:r>
          </w:p>
        </w:tc>
        <w:tc>
          <w:tcPr>
            <w:tcW w:w="1300" w:type="dxa"/>
            <w:noWrap/>
            <w:hideMark/>
          </w:tcPr>
          <w:p w14:paraId="17ED319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w:t>
            </w:r>
          </w:p>
        </w:tc>
        <w:tc>
          <w:tcPr>
            <w:tcW w:w="1300" w:type="dxa"/>
            <w:noWrap/>
            <w:hideMark/>
          </w:tcPr>
          <w:p w14:paraId="0193487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w:t>
            </w:r>
          </w:p>
        </w:tc>
        <w:tc>
          <w:tcPr>
            <w:tcW w:w="1300" w:type="dxa"/>
            <w:noWrap/>
            <w:hideMark/>
          </w:tcPr>
          <w:p w14:paraId="0A50C1D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w:t>
            </w:r>
          </w:p>
        </w:tc>
        <w:tc>
          <w:tcPr>
            <w:tcW w:w="1300" w:type="dxa"/>
            <w:noWrap/>
            <w:hideMark/>
          </w:tcPr>
          <w:p w14:paraId="57286A0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5</w:t>
            </w:r>
          </w:p>
        </w:tc>
      </w:tr>
      <w:tr w:rsidR="004C4C39" w:rsidRPr="00A32EED" w14:paraId="0CA0A19A" w14:textId="77777777" w:rsidTr="004C4C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64434654" w14:textId="77777777" w:rsidR="004C4C39" w:rsidRPr="00A32EED" w:rsidRDefault="004C4C39" w:rsidP="004C4C39">
            <w:pPr>
              <w:rPr>
                <w:rFonts w:eastAsia="Times New Roman" w:cs="Arial"/>
                <w:color w:val="000000"/>
              </w:rPr>
            </w:pPr>
            <w:r w:rsidRPr="00A32EED">
              <w:rPr>
                <w:rFonts w:eastAsia="Times New Roman" w:cs="Arial"/>
                <w:color w:val="000000"/>
              </w:rPr>
              <w:t>Legitimate Skip</w:t>
            </w:r>
          </w:p>
        </w:tc>
        <w:tc>
          <w:tcPr>
            <w:tcW w:w="1300" w:type="dxa"/>
            <w:noWrap/>
            <w:hideMark/>
          </w:tcPr>
          <w:p w14:paraId="03EDEFB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961</w:t>
            </w:r>
          </w:p>
        </w:tc>
        <w:tc>
          <w:tcPr>
            <w:tcW w:w="1300" w:type="dxa"/>
            <w:noWrap/>
            <w:hideMark/>
          </w:tcPr>
          <w:p w14:paraId="5A12FCB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842</w:t>
            </w:r>
          </w:p>
        </w:tc>
        <w:tc>
          <w:tcPr>
            <w:tcW w:w="1300" w:type="dxa"/>
            <w:noWrap/>
            <w:hideMark/>
          </w:tcPr>
          <w:p w14:paraId="257647F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715</w:t>
            </w:r>
          </w:p>
        </w:tc>
        <w:tc>
          <w:tcPr>
            <w:tcW w:w="1300" w:type="dxa"/>
            <w:noWrap/>
            <w:hideMark/>
          </w:tcPr>
          <w:p w14:paraId="45B35A6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930</w:t>
            </w:r>
          </w:p>
        </w:tc>
      </w:tr>
      <w:tr w:rsidR="004C4C39" w:rsidRPr="00A32EED" w14:paraId="5CD48896" w14:textId="77777777" w:rsidTr="004C4C39">
        <w:trPr>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0964458C" w14:textId="77777777" w:rsidR="004C4C39" w:rsidRPr="00A32EED" w:rsidRDefault="004C4C39" w:rsidP="004C4C39">
            <w:pPr>
              <w:rPr>
                <w:rFonts w:eastAsia="Times New Roman" w:cs="Arial"/>
                <w:color w:val="000000"/>
              </w:rPr>
            </w:pPr>
            <w:r w:rsidRPr="00A32EED">
              <w:rPr>
                <w:rFonts w:eastAsia="Times New Roman" w:cs="Arial"/>
                <w:color w:val="000000"/>
              </w:rPr>
              <w:t>Non-Interview</w:t>
            </w:r>
          </w:p>
        </w:tc>
        <w:tc>
          <w:tcPr>
            <w:tcW w:w="1300" w:type="dxa"/>
            <w:noWrap/>
            <w:hideMark/>
          </w:tcPr>
          <w:p w14:paraId="66CCD2F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27</w:t>
            </w:r>
          </w:p>
        </w:tc>
        <w:tc>
          <w:tcPr>
            <w:tcW w:w="1300" w:type="dxa"/>
            <w:noWrap/>
            <w:hideMark/>
          </w:tcPr>
          <w:p w14:paraId="5AC6360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53</w:t>
            </w:r>
          </w:p>
        </w:tc>
        <w:tc>
          <w:tcPr>
            <w:tcW w:w="1300" w:type="dxa"/>
            <w:noWrap/>
            <w:hideMark/>
          </w:tcPr>
          <w:p w14:paraId="0113A4C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50</w:t>
            </w:r>
          </w:p>
        </w:tc>
        <w:tc>
          <w:tcPr>
            <w:tcW w:w="1300" w:type="dxa"/>
            <w:noWrap/>
            <w:hideMark/>
          </w:tcPr>
          <w:p w14:paraId="69A43D6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35</w:t>
            </w:r>
          </w:p>
        </w:tc>
      </w:tr>
      <w:tr w:rsidR="004C4C39" w:rsidRPr="00A32EED" w14:paraId="473DE54C" w14:textId="77777777" w:rsidTr="004C4C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6088C492" w14:textId="77777777" w:rsidR="004C4C39" w:rsidRPr="00A32EED" w:rsidRDefault="004C4C39" w:rsidP="004C4C39">
            <w:pPr>
              <w:rPr>
                <w:rFonts w:eastAsia="Times New Roman" w:cs="Arial"/>
                <w:color w:val="000000"/>
              </w:rPr>
            </w:pPr>
            <w:r w:rsidRPr="00A32EED">
              <w:rPr>
                <w:rFonts w:eastAsia="Times New Roman" w:cs="Arial"/>
                <w:color w:val="000000"/>
              </w:rPr>
              <w:t>Refused</w:t>
            </w:r>
          </w:p>
        </w:tc>
        <w:tc>
          <w:tcPr>
            <w:tcW w:w="1300" w:type="dxa"/>
            <w:noWrap/>
            <w:hideMark/>
          </w:tcPr>
          <w:p w14:paraId="79EA0C5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2</w:t>
            </w:r>
          </w:p>
        </w:tc>
        <w:tc>
          <w:tcPr>
            <w:tcW w:w="1300" w:type="dxa"/>
            <w:noWrap/>
            <w:hideMark/>
          </w:tcPr>
          <w:p w14:paraId="22E7AC9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3</w:t>
            </w:r>
          </w:p>
        </w:tc>
        <w:tc>
          <w:tcPr>
            <w:tcW w:w="1300" w:type="dxa"/>
            <w:noWrap/>
            <w:hideMark/>
          </w:tcPr>
          <w:p w14:paraId="2CD4C7A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0</w:t>
            </w:r>
          </w:p>
        </w:tc>
        <w:tc>
          <w:tcPr>
            <w:tcW w:w="1300" w:type="dxa"/>
            <w:noWrap/>
            <w:hideMark/>
          </w:tcPr>
          <w:p w14:paraId="79FBAD8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0</w:t>
            </w:r>
          </w:p>
        </w:tc>
      </w:tr>
      <w:tr w:rsidR="004C4C39" w:rsidRPr="00A32EED" w14:paraId="268A63FC" w14:textId="77777777" w:rsidTr="004C4C39">
        <w:trPr>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2C925DD1" w14:textId="77777777" w:rsidR="004C4C39" w:rsidRPr="00A32EED" w:rsidRDefault="004C4C39" w:rsidP="004C4C39">
            <w:pPr>
              <w:rPr>
                <w:rFonts w:eastAsia="Times New Roman" w:cs="Arial"/>
                <w:color w:val="000000"/>
              </w:rPr>
            </w:pPr>
            <w:r w:rsidRPr="00A32EED">
              <w:rPr>
                <w:rFonts w:eastAsia="Times New Roman" w:cs="Arial"/>
                <w:color w:val="000000"/>
              </w:rPr>
              <w:t>Don’t Know</w:t>
            </w:r>
          </w:p>
        </w:tc>
        <w:tc>
          <w:tcPr>
            <w:tcW w:w="1300" w:type="dxa"/>
            <w:noWrap/>
            <w:hideMark/>
          </w:tcPr>
          <w:p w14:paraId="0625E02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3</w:t>
            </w:r>
          </w:p>
        </w:tc>
        <w:tc>
          <w:tcPr>
            <w:tcW w:w="1300" w:type="dxa"/>
            <w:noWrap/>
            <w:hideMark/>
          </w:tcPr>
          <w:p w14:paraId="7615587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w:t>
            </w:r>
          </w:p>
        </w:tc>
        <w:tc>
          <w:tcPr>
            <w:tcW w:w="1300" w:type="dxa"/>
            <w:noWrap/>
            <w:hideMark/>
          </w:tcPr>
          <w:p w14:paraId="2BEEAED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4</w:t>
            </w:r>
          </w:p>
        </w:tc>
        <w:tc>
          <w:tcPr>
            <w:tcW w:w="1300" w:type="dxa"/>
            <w:noWrap/>
            <w:hideMark/>
          </w:tcPr>
          <w:p w14:paraId="7EB5FBD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w:t>
            </w:r>
          </w:p>
        </w:tc>
      </w:tr>
      <w:tr w:rsidR="004C4C39" w:rsidRPr="00A32EED" w14:paraId="64ADFE32" w14:textId="77777777" w:rsidTr="004C4C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262A731F" w14:textId="77777777" w:rsidR="004C4C39" w:rsidRPr="00A32EED" w:rsidRDefault="004C4C39" w:rsidP="004C4C39">
            <w:pPr>
              <w:rPr>
                <w:rFonts w:eastAsia="Times New Roman" w:cs="Arial"/>
                <w:color w:val="000000"/>
              </w:rPr>
            </w:pPr>
            <w:r w:rsidRPr="00A32EED">
              <w:rPr>
                <w:rFonts w:eastAsia="Times New Roman" w:cs="Arial"/>
                <w:color w:val="000000"/>
              </w:rPr>
              <w:t>Under 8 Years Old</w:t>
            </w:r>
          </w:p>
        </w:tc>
        <w:tc>
          <w:tcPr>
            <w:tcW w:w="1300" w:type="dxa"/>
            <w:noWrap/>
            <w:hideMark/>
          </w:tcPr>
          <w:p w14:paraId="458F250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19</w:t>
            </w:r>
          </w:p>
        </w:tc>
        <w:tc>
          <w:tcPr>
            <w:tcW w:w="1300" w:type="dxa"/>
            <w:noWrap/>
            <w:hideMark/>
          </w:tcPr>
          <w:p w14:paraId="1F8D7E2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24</w:t>
            </w:r>
          </w:p>
        </w:tc>
        <w:tc>
          <w:tcPr>
            <w:tcW w:w="1300" w:type="dxa"/>
            <w:noWrap/>
            <w:hideMark/>
          </w:tcPr>
          <w:p w14:paraId="122D5F8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30</w:t>
            </w:r>
          </w:p>
        </w:tc>
        <w:tc>
          <w:tcPr>
            <w:tcW w:w="1300" w:type="dxa"/>
            <w:noWrap/>
            <w:hideMark/>
          </w:tcPr>
          <w:p w14:paraId="71B5C0A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5</w:t>
            </w:r>
          </w:p>
        </w:tc>
      </w:tr>
      <w:tr w:rsidR="004C4C39" w:rsidRPr="00A32EED" w14:paraId="612AE809" w14:textId="77777777" w:rsidTr="004C4C39">
        <w:trPr>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01FDB17D" w14:textId="77777777" w:rsidR="004C4C39" w:rsidRPr="00A32EED" w:rsidRDefault="004C4C39" w:rsidP="004C4C39">
            <w:pPr>
              <w:rPr>
                <w:rFonts w:eastAsia="Times New Roman" w:cs="Arial"/>
                <w:color w:val="000000"/>
              </w:rPr>
            </w:pPr>
            <w:r w:rsidRPr="00A32EED">
              <w:rPr>
                <w:rFonts w:eastAsia="Times New Roman" w:cs="Arial"/>
                <w:color w:val="000000"/>
              </w:rPr>
              <w:t>8 OR 9 Years Old</w:t>
            </w:r>
          </w:p>
        </w:tc>
        <w:tc>
          <w:tcPr>
            <w:tcW w:w="1300" w:type="dxa"/>
            <w:noWrap/>
            <w:hideMark/>
          </w:tcPr>
          <w:p w14:paraId="7C8EBC6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8</w:t>
            </w:r>
          </w:p>
        </w:tc>
        <w:tc>
          <w:tcPr>
            <w:tcW w:w="1300" w:type="dxa"/>
            <w:noWrap/>
            <w:hideMark/>
          </w:tcPr>
          <w:p w14:paraId="0ADEE43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12</w:t>
            </w:r>
          </w:p>
        </w:tc>
        <w:tc>
          <w:tcPr>
            <w:tcW w:w="1300" w:type="dxa"/>
            <w:noWrap/>
            <w:hideMark/>
          </w:tcPr>
          <w:p w14:paraId="23E6A55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22</w:t>
            </w:r>
          </w:p>
        </w:tc>
        <w:tc>
          <w:tcPr>
            <w:tcW w:w="1300" w:type="dxa"/>
            <w:noWrap/>
            <w:hideMark/>
          </w:tcPr>
          <w:p w14:paraId="6261E8C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8</w:t>
            </w:r>
          </w:p>
        </w:tc>
      </w:tr>
      <w:tr w:rsidR="004C4C39" w:rsidRPr="00A32EED" w14:paraId="0D1DD6EC" w14:textId="77777777" w:rsidTr="004C4C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46149CC0" w14:textId="77777777" w:rsidR="004C4C39" w:rsidRPr="00A32EED" w:rsidRDefault="004C4C39" w:rsidP="004C4C39">
            <w:pPr>
              <w:rPr>
                <w:rFonts w:eastAsia="Times New Roman" w:cs="Arial"/>
                <w:color w:val="000000"/>
              </w:rPr>
            </w:pPr>
            <w:r w:rsidRPr="00A32EED">
              <w:rPr>
                <w:rFonts w:eastAsia="Times New Roman" w:cs="Arial"/>
                <w:color w:val="000000"/>
              </w:rPr>
              <w:t>10 OR 11 Years Old</w:t>
            </w:r>
          </w:p>
        </w:tc>
        <w:tc>
          <w:tcPr>
            <w:tcW w:w="1300" w:type="dxa"/>
            <w:noWrap/>
            <w:hideMark/>
          </w:tcPr>
          <w:p w14:paraId="1FCE58C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27</w:t>
            </w:r>
          </w:p>
        </w:tc>
        <w:tc>
          <w:tcPr>
            <w:tcW w:w="1300" w:type="dxa"/>
            <w:noWrap/>
            <w:hideMark/>
          </w:tcPr>
          <w:p w14:paraId="4A309AC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38</w:t>
            </w:r>
          </w:p>
        </w:tc>
        <w:tc>
          <w:tcPr>
            <w:tcW w:w="1300" w:type="dxa"/>
            <w:noWrap/>
            <w:hideMark/>
          </w:tcPr>
          <w:p w14:paraId="45AE2E3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32</w:t>
            </w:r>
          </w:p>
        </w:tc>
        <w:tc>
          <w:tcPr>
            <w:tcW w:w="1300" w:type="dxa"/>
            <w:noWrap/>
            <w:hideMark/>
          </w:tcPr>
          <w:p w14:paraId="462ED13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14</w:t>
            </w:r>
          </w:p>
        </w:tc>
      </w:tr>
      <w:tr w:rsidR="004C4C39" w:rsidRPr="00A32EED" w14:paraId="7FF5D1D9" w14:textId="77777777" w:rsidTr="004C4C39">
        <w:trPr>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4CCAD355" w14:textId="77777777" w:rsidR="004C4C39" w:rsidRPr="00A32EED" w:rsidRDefault="004C4C39" w:rsidP="004C4C39">
            <w:pPr>
              <w:rPr>
                <w:rFonts w:eastAsia="Times New Roman" w:cs="Arial"/>
                <w:color w:val="000000"/>
              </w:rPr>
            </w:pPr>
            <w:r w:rsidRPr="00A32EED">
              <w:rPr>
                <w:rFonts w:eastAsia="Times New Roman" w:cs="Arial"/>
                <w:color w:val="000000"/>
              </w:rPr>
              <w:t>12 OR 13 Years Old</w:t>
            </w:r>
          </w:p>
        </w:tc>
        <w:tc>
          <w:tcPr>
            <w:tcW w:w="1300" w:type="dxa"/>
            <w:noWrap/>
            <w:hideMark/>
          </w:tcPr>
          <w:p w14:paraId="1C1A352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91</w:t>
            </w:r>
          </w:p>
        </w:tc>
        <w:tc>
          <w:tcPr>
            <w:tcW w:w="1300" w:type="dxa"/>
            <w:noWrap/>
            <w:hideMark/>
          </w:tcPr>
          <w:p w14:paraId="3476DC4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110</w:t>
            </w:r>
          </w:p>
        </w:tc>
        <w:tc>
          <w:tcPr>
            <w:tcW w:w="1300" w:type="dxa"/>
            <w:noWrap/>
            <w:hideMark/>
          </w:tcPr>
          <w:p w14:paraId="4EECB2C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124</w:t>
            </w:r>
          </w:p>
        </w:tc>
        <w:tc>
          <w:tcPr>
            <w:tcW w:w="1300" w:type="dxa"/>
            <w:noWrap/>
            <w:hideMark/>
          </w:tcPr>
          <w:p w14:paraId="6994791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43</w:t>
            </w:r>
          </w:p>
        </w:tc>
      </w:tr>
      <w:tr w:rsidR="004C4C39" w:rsidRPr="00A32EED" w14:paraId="045EA09C" w14:textId="77777777" w:rsidTr="004C4C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14806D04" w14:textId="77777777" w:rsidR="004C4C39" w:rsidRPr="00A32EED" w:rsidRDefault="004C4C39" w:rsidP="004C4C39">
            <w:pPr>
              <w:rPr>
                <w:rFonts w:eastAsia="Times New Roman" w:cs="Arial"/>
                <w:color w:val="000000"/>
              </w:rPr>
            </w:pPr>
            <w:r w:rsidRPr="00A32EED">
              <w:rPr>
                <w:rFonts w:eastAsia="Times New Roman" w:cs="Arial"/>
                <w:color w:val="000000"/>
              </w:rPr>
              <w:t>14 OR 15 Years Old</w:t>
            </w:r>
          </w:p>
        </w:tc>
        <w:tc>
          <w:tcPr>
            <w:tcW w:w="1300" w:type="dxa"/>
            <w:noWrap/>
            <w:hideMark/>
          </w:tcPr>
          <w:p w14:paraId="1DE2FD9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33</w:t>
            </w:r>
          </w:p>
        </w:tc>
        <w:tc>
          <w:tcPr>
            <w:tcW w:w="1300" w:type="dxa"/>
            <w:noWrap/>
            <w:hideMark/>
          </w:tcPr>
          <w:p w14:paraId="2828044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84</w:t>
            </w:r>
          </w:p>
        </w:tc>
        <w:tc>
          <w:tcPr>
            <w:tcW w:w="1300" w:type="dxa"/>
            <w:noWrap/>
            <w:hideMark/>
          </w:tcPr>
          <w:p w14:paraId="2238803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146</w:t>
            </w:r>
          </w:p>
        </w:tc>
        <w:tc>
          <w:tcPr>
            <w:tcW w:w="1300" w:type="dxa"/>
            <w:noWrap/>
            <w:hideMark/>
          </w:tcPr>
          <w:p w14:paraId="6C9AA95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79</w:t>
            </w:r>
          </w:p>
        </w:tc>
      </w:tr>
      <w:tr w:rsidR="004C4C39" w:rsidRPr="00A32EED" w14:paraId="4055EE10" w14:textId="77777777" w:rsidTr="004C4C39">
        <w:trPr>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3D4430DA" w14:textId="77777777" w:rsidR="004C4C39" w:rsidRPr="00A32EED" w:rsidRDefault="004C4C39" w:rsidP="004C4C39">
            <w:pPr>
              <w:rPr>
                <w:rFonts w:eastAsia="Times New Roman" w:cs="Arial"/>
                <w:color w:val="000000"/>
              </w:rPr>
            </w:pPr>
            <w:r w:rsidRPr="00A32EED">
              <w:rPr>
                <w:rFonts w:eastAsia="Times New Roman" w:cs="Arial"/>
                <w:color w:val="000000"/>
              </w:rPr>
              <w:t>16 Years or Older</w:t>
            </w:r>
          </w:p>
        </w:tc>
        <w:tc>
          <w:tcPr>
            <w:tcW w:w="1300" w:type="dxa"/>
            <w:noWrap/>
            <w:hideMark/>
          </w:tcPr>
          <w:p w14:paraId="7C12ED2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0</w:t>
            </w:r>
          </w:p>
        </w:tc>
        <w:tc>
          <w:tcPr>
            <w:tcW w:w="1300" w:type="dxa"/>
            <w:noWrap/>
            <w:hideMark/>
          </w:tcPr>
          <w:p w14:paraId="7D21598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4</w:t>
            </w:r>
          </w:p>
        </w:tc>
        <w:tc>
          <w:tcPr>
            <w:tcW w:w="1300" w:type="dxa"/>
            <w:noWrap/>
            <w:hideMark/>
          </w:tcPr>
          <w:p w14:paraId="0374278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48</w:t>
            </w:r>
          </w:p>
        </w:tc>
        <w:tc>
          <w:tcPr>
            <w:tcW w:w="1300" w:type="dxa"/>
            <w:noWrap/>
            <w:hideMark/>
          </w:tcPr>
          <w:p w14:paraId="1A1C076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52</w:t>
            </w:r>
          </w:p>
        </w:tc>
      </w:tr>
      <w:tr w:rsidR="004C4C39" w:rsidRPr="00A32EED" w14:paraId="7AB6679A" w14:textId="77777777" w:rsidTr="004C4C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3B9AB341" w14:textId="77777777" w:rsidR="004C4C39" w:rsidRPr="00A32EED" w:rsidRDefault="004C4C39" w:rsidP="004C4C39">
            <w:pPr>
              <w:rPr>
                <w:rFonts w:eastAsia="Times New Roman" w:cs="Arial"/>
                <w:color w:val="000000"/>
              </w:rPr>
            </w:pPr>
            <w:r w:rsidRPr="00A32EED">
              <w:rPr>
                <w:rFonts w:eastAsia="Times New Roman" w:cs="Arial"/>
                <w:color w:val="000000"/>
              </w:rPr>
              <w:t>Total</w:t>
            </w:r>
          </w:p>
        </w:tc>
        <w:tc>
          <w:tcPr>
            <w:tcW w:w="1300" w:type="dxa"/>
            <w:noWrap/>
            <w:hideMark/>
          </w:tcPr>
          <w:p w14:paraId="38DB9D7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1,172</w:t>
            </w:r>
          </w:p>
        </w:tc>
        <w:tc>
          <w:tcPr>
            <w:tcW w:w="1300" w:type="dxa"/>
            <w:noWrap/>
            <w:hideMark/>
          </w:tcPr>
          <w:p w14:paraId="5C353B7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1,172</w:t>
            </w:r>
          </w:p>
        </w:tc>
        <w:tc>
          <w:tcPr>
            <w:tcW w:w="1300" w:type="dxa"/>
            <w:noWrap/>
            <w:hideMark/>
          </w:tcPr>
          <w:p w14:paraId="0138396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1,172</w:t>
            </w:r>
          </w:p>
        </w:tc>
        <w:tc>
          <w:tcPr>
            <w:tcW w:w="1300" w:type="dxa"/>
            <w:noWrap/>
            <w:hideMark/>
          </w:tcPr>
          <w:p w14:paraId="64FDE13A" w14:textId="77777777" w:rsidR="004C4C39" w:rsidRPr="00A32EED" w:rsidRDefault="004C4C39" w:rsidP="004C4C39">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1,172</w:t>
            </w:r>
          </w:p>
        </w:tc>
      </w:tr>
    </w:tbl>
    <w:p w14:paraId="42B17C13" w14:textId="77777777" w:rsidR="004C4C39" w:rsidRPr="00A32EED" w:rsidRDefault="004C4C39" w:rsidP="004C4C39">
      <w:pPr>
        <w:spacing w:after="0" w:line="480" w:lineRule="auto"/>
        <w:rPr>
          <w:rFonts w:eastAsia="Calibri"/>
        </w:rPr>
      </w:pPr>
    </w:p>
    <w:p w14:paraId="2DF1CBEE" w14:textId="77777777" w:rsidR="004C4C39" w:rsidRPr="00A32EED" w:rsidRDefault="004C4C39" w:rsidP="004C4C39">
      <w:pPr>
        <w:spacing w:after="0" w:line="480" w:lineRule="auto"/>
        <w:ind w:firstLine="720"/>
        <w:rPr>
          <w:rFonts w:eastAsia="Calibri"/>
        </w:rPr>
      </w:pPr>
      <w:r w:rsidRPr="00A32EED">
        <w:rPr>
          <w:rFonts w:eastAsia="Calibri"/>
        </w:rPr>
        <w:t xml:space="preserve">The second question used for the creation of the early sexual initiation variable was the question “Thinking about the very first time in your life that you had sexual intercourse, how old were you?” This question is referred to as SX510A. This question was asked as part of the Young Adult. Responses for this question can be found in Table 4.2. The 376 legitimate skips are accounted for by skip patterns for those who were under the age of 18 (272), indicated they had never had sex (98), refused to answer if that had ever had sex (6), or did not know if they had ever had sex (2). Respondents who indicated they had sex prior to the age of 16 for question SX#2A in any wave or indicated they had sex prior to the age of 16 for question SX510A in wave 5 were coded as yes for early sexual initiation. </w:t>
      </w:r>
    </w:p>
    <w:p w14:paraId="36D8C8ED" w14:textId="77777777" w:rsidR="004012E6" w:rsidRDefault="004012E6">
      <w:pPr>
        <w:rPr>
          <w:rFonts w:eastAsia="Calibri" w:cs="Times New Roman"/>
          <w:i/>
          <w:iCs/>
          <w:color w:val="000000"/>
          <w:szCs w:val="18"/>
        </w:rPr>
      </w:pPr>
      <w:bookmarkStart w:id="62" w:name="_Toc479941215"/>
      <w:r>
        <w:rPr>
          <w:rFonts w:eastAsia="Calibri"/>
        </w:rPr>
        <w:br w:type="page"/>
      </w:r>
    </w:p>
    <w:p w14:paraId="302939EF" w14:textId="2B2EA0BA" w:rsidR="004C4C39" w:rsidRPr="00A32EED" w:rsidRDefault="004C4C39" w:rsidP="0023176A">
      <w:pPr>
        <w:pStyle w:val="Caption1"/>
        <w:rPr>
          <w:rFonts w:eastAsia="Calibri"/>
        </w:rPr>
      </w:pPr>
      <w:r w:rsidRPr="00A32EED">
        <w:rPr>
          <w:rFonts w:eastAsia="Calibri"/>
        </w:rPr>
        <w:lastRenderedPageBreak/>
        <w:t>Table 4.</w:t>
      </w:r>
      <w:r w:rsidRPr="00A32EED">
        <w:rPr>
          <w:rFonts w:eastAsia="Calibri"/>
        </w:rPr>
        <w:fldChar w:fldCharType="begin"/>
      </w:r>
      <w:r w:rsidRPr="00A32EED">
        <w:rPr>
          <w:rFonts w:eastAsia="Calibri"/>
        </w:rPr>
        <w:instrText xml:space="preserve"> SEQ Table_4. \* ARABIC </w:instrText>
      </w:r>
      <w:r w:rsidRPr="00A32EED">
        <w:rPr>
          <w:rFonts w:eastAsia="Calibri"/>
        </w:rPr>
        <w:fldChar w:fldCharType="separate"/>
      </w:r>
      <w:r w:rsidR="00FA12E2">
        <w:rPr>
          <w:rFonts w:eastAsia="Calibri"/>
          <w:noProof/>
        </w:rPr>
        <w:t>2</w:t>
      </w:r>
      <w:r w:rsidRPr="00A32EED">
        <w:rPr>
          <w:rFonts w:eastAsia="Calibri"/>
          <w:noProof/>
        </w:rPr>
        <w:fldChar w:fldCharType="end"/>
      </w:r>
      <w:r w:rsidRPr="00A32EED">
        <w:rPr>
          <w:rFonts w:eastAsia="Calibri"/>
        </w:rPr>
        <w:t>: Age at First Sex (SX510A)</w:t>
      </w:r>
      <w:bookmarkEnd w:id="62"/>
    </w:p>
    <w:tbl>
      <w:tblPr>
        <w:tblStyle w:val="ListTable21"/>
        <w:tblW w:w="0" w:type="auto"/>
        <w:tblLook w:val="04A0" w:firstRow="1" w:lastRow="0" w:firstColumn="1" w:lastColumn="0" w:noHBand="0" w:noVBand="1"/>
      </w:tblPr>
      <w:tblGrid>
        <w:gridCol w:w="3001"/>
        <w:gridCol w:w="2729"/>
        <w:gridCol w:w="2548"/>
      </w:tblGrid>
      <w:tr w:rsidR="004C4C39" w:rsidRPr="00A32EED" w14:paraId="17AF1284" w14:textId="77777777" w:rsidTr="0057347A">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38A062D0" w14:textId="77777777" w:rsidR="004C4C39" w:rsidRPr="00A32EED" w:rsidRDefault="004C4C39" w:rsidP="004C4C39">
            <w:pPr>
              <w:rPr>
                <w:rFonts w:eastAsia="Calibri" w:cs="Arial"/>
              </w:rPr>
            </w:pPr>
            <w:r w:rsidRPr="00A32EED">
              <w:rPr>
                <w:rFonts w:eastAsia="Calibri" w:cs="Arial"/>
              </w:rPr>
              <w:t>Response</w:t>
            </w:r>
          </w:p>
        </w:tc>
        <w:tc>
          <w:tcPr>
            <w:tcW w:w="2729" w:type="dxa"/>
          </w:tcPr>
          <w:p w14:paraId="7BFB88FF"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Frequency</w:t>
            </w:r>
          </w:p>
        </w:tc>
        <w:tc>
          <w:tcPr>
            <w:tcW w:w="2548" w:type="dxa"/>
          </w:tcPr>
          <w:p w14:paraId="7BC38AC1"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Percent</w:t>
            </w:r>
          </w:p>
        </w:tc>
      </w:tr>
      <w:tr w:rsidR="004C4C39" w:rsidRPr="00A32EED" w14:paraId="661D02B1"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326603EE" w14:textId="77777777" w:rsidR="004C4C39" w:rsidRPr="00A32EED" w:rsidRDefault="004C4C39" w:rsidP="004C4C39">
            <w:pPr>
              <w:rPr>
                <w:rFonts w:eastAsia="Calibri" w:cs="Arial"/>
              </w:rPr>
            </w:pPr>
            <w:r w:rsidRPr="00A32EED">
              <w:rPr>
                <w:rFonts w:eastAsia="Calibri" w:cs="Arial"/>
              </w:rPr>
              <w:t>Partial Interview</w:t>
            </w:r>
          </w:p>
        </w:tc>
        <w:tc>
          <w:tcPr>
            <w:tcW w:w="2729" w:type="dxa"/>
          </w:tcPr>
          <w:p w14:paraId="0EB1A13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6</w:t>
            </w:r>
          </w:p>
        </w:tc>
        <w:tc>
          <w:tcPr>
            <w:tcW w:w="2548" w:type="dxa"/>
          </w:tcPr>
          <w:p w14:paraId="4F82C06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0.51</w:t>
            </w:r>
          </w:p>
        </w:tc>
      </w:tr>
      <w:tr w:rsidR="004C4C39" w:rsidRPr="00A32EED" w14:paraId="6FC225F8"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3001" w:type="dxa"/>
          </w:tcPr>
          <w:p w14:paraId="01FD2C20" w14:textId="77777777" w:rsidR="004C4C39" w:rsidRPr="00A32EED" w:rsidRDefault="004C4C39" w:rsidP="004C4C39">
            <w:pPr>
              <w:rPr>
                <w:rFonts w:eastAsia="Calibri" w:cs="Arial"/>
              </w:rPr>
            </w:pPr>
            <w:r w:rsidRPr="00A32EED">
              <w:rPr>
                <w:rFonts w:eastAsia="Calibri" w:cs="Arial"/>
              </w:rPr>
              <w:t>Legitimate Skip</w:t>
            </w:r>
          </w:p>
        </w:tc>
        <w:tc>
          <w:tcPr>
            <w:tcW w:w="2729" w:type="dxa"/>
          </w:tcPr>
          <w:p w14:paraId="689289B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378</w:t>
            </w:r>
          </w:p>
        </w:tc>
        <w:tc>
          <w:tcPr>
            <w:tcW w:w="2548" w:type="dxa"/>
          </w:tcPr>
          <w:p w14:paraId="58B9ECE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32.25</w:t>
            </w:r>
          </w:p>
        </w:tc>
      </w:tr>
      <w:tr w:rsidR="004C4C39" w:rsidRPr="00A32EED" w14:paraId="22E5A5F8"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063782F3" w14:textId="77777777" w:rsidR="004C4C39" w:rsidRPr="00A32EED" w:rsidRDefault="004C4C39" w:rsidP="004C4C39">
            <w:pPr>
              <w:rPr>
                <w:rFonts w:eastAsia="Calibri" w:cs="Arial"/>
              </w:rPr>
            </w:pPr>
            <w:r w:rsidRPr="00A32EED">
              <w:rPr>
                <w:rFonts w:eastAsia="Calibri" w:cs="Arial"/>
              </w:rPr>
              <w:t>Non-Interview</w:t>
            </w:r>
          </w:p>
        </w:tc>
        <w:tc>
          <w:tcPr>
            <w:tcW w:w="2729" w:type="dxa"/>
          </w:tcPr>
          <w:p w14:paraId="1AA74E7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35</w:t>
            </w:r>
          </w:p>
        </w:tc>
        <w:tc>
          <w:tcPr>
            <w:tcW w:w="2548" w:type="dxa"/>
          </w:tcPr>
          <w:p w14:paraId="1F79E8D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2.99</w:t>
            </w:r>
          </w:p>
        </w:tc>
      </w:tr>
      <w:tr w:rsidR="004C4C39" w:rsidRPr="00A32EED" w14:paraId="02AF5718"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3001" w:type="dxa"/>
          </w:tcPr>
          <w:p w14:paraId="5F1CE13A" w14:textId="77777777" w:rsidR="004C4C39" w:rsidRPr="00A32EED" w:rsidRDefault="004C4C39" w:rsidP="004C4C39">
            <w:pPr>
              <w:rPr>
                <w:rFonts w:eastAsia="Calibri" w:cs="Arial"/>
              </w:rPr>
            </w:pPr>
            <w:r w:rsidRPr="00A32EED">
              <w:rPr>
                <w:rFonts w:eastAsia="Calibri" w:cs="Arial"/>
              </w:rPr>
              <w:t>Inadvertent Skip</w:t>
            </w:r>
          </w:p>
        </w:tc>
        <w:tc>
          <w:tcPr>
            <w:tcW w:w="2729" w:type="dxa"/>
          </w:tcPr>
          <w:p w14:paraId="71F9488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100</w:t>
            </w:r>
          </w:p>
        </w:tc>
        <w:tc>
          <w:tcPr>
            <w:tcW w:w="2548" w:type="dxa"/>
          </w:tcPr>
          <w:p w14:paraId="035F864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8.53</w:t>
            </w:r>
          </w:p>
        </w:tc>
      </w:tr>
      <w:tr w:rsidR="004C4C39" w:rsidRPr="00A32EED" w14:paraId="48FF8645" w14:textId="77777777" w:rsidTr="0057347A">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001" w:type="dxa"/>
          </w:tcPr>
          <w:p w14:paraId="1BACEC84" w14:textId="77777777" w:rsidR="004C4C39" w:rsidRPr="00A32EED" w:rsidRDefault="004C4C39" w:rsidP="004C4C39">
            <w:pPr>
              <w:rPr>
                <w:rFonts w:eastAsia="Calibri" w:cs="Arial"/>
              </w:rPr>
            </w:pPr>
            <w:r w:rsidRPr="00A32EED">
              <w:rPr>
                <w:rFonts w:eastAsia="Calibri" w:cs="Arial"/>
              </w:rPr>
              <w:t>Refused</w:t>
            </w:r>
          </w:p>
        </w:tc>
        <w:tc>
          <w:tcPr>
            <w:tcW w:w="2729" w:type="dxa"/>
          </w:tcPr>
          <w:p w14:paraId="53FA51A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4</w:t>
            </w:r>
          </w:p>
        </w:tc>
        <w:tc>
          <w:tcPr>
            <w:tcW w:w="2548" w:type="dxa"/>
          </w:tcPr>
          <w:p w14:paraId="451B725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0.34</w:t>
            </w:r>
          </w:p>
        </w:tc>
      </w:tr>
      <w:tr w:rsidR="004C4C39" w:rsidRPr="00A32EED" w14:paraId="3972C453"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3001" w:type="dxa"/>
          </w:tcPr>
          <w:p w14:paraId="0DCEE427" w14:textId="77777777" w:rsidR="004C4C39" w:rsidRPr="00A32EED" w:rsidRDefault="004C4C39" w:rsidP="004C4C39">
            <w:pPr>
              <w:rPr>
                <w:rFonts w:eastAsia="Calibri" w:cs="Arial"/>
              </w:rPr>
            </w:pPr>
            <w:r w:rsidRPr="00A32EED">
              <w:rPr>
                <w:rFonts w:eastAsia="Calibri" w:cs="Arial"/>
              </w:rPr>
              <w:t>Don’t Know</w:t>
            </w:r>
          </w:p>
        </w:tc>
        <w:tc>
          <w:tcPr>
            <w:tcW w:w="2729" w:type="dxa"/>
          </w:tcPr>
          <w:p w14:paraId="551372E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5</w:t>
            </w:r>
          </w:p>
        </w:tc>
        <w:tc>
          <w:tcPr>
            <w:tcW w:w="2548" w:type="dxa"/>
          </w:tcPr>
          <w:p w14:paraId="662BCD6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0.43</w:t>
            </w:r>
          </w:p>
        </w:tc>
      </w:tr>
      <w:tr w:rsidR="004C4C39" w:rsidRPr="00A32EED" w14:paraId="74FB6E0E"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02E285F0" w14:textId="77777777" w:rsidR="004C4C39" w:rsidRPr="00A32EED" w:rsidRDefault="004C4C39" w:rsidP="004C4C39">
            <w:pPr>
              <w:rPr>
                <w:rFonts w:eastAsia="Calibri" w:cs="Arial"/>
              </w:rPr>
            </w:pPr>
            <w:r w:rsidRPr="00A32EED">
              <w:rPr>
                <w:rFonts w:eastAsia="Calibri" w:cs="Arial"/>
              </w:rPr>
              <w:t>5</w:t>
            </w:r>
          </w:p>
        </w:tc>
        <w:tc>
          <w:tcPr>
            <w:tcW w:w="2729" w:type="dxa"/>
          </w:tcPr>
          <w:p w14:paraId="4738FD3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w:t>
            </w:r>
          </w:p>
        </w:tc>
        <w:tc>
          <w:tcPr>
            <w:tcW w:w="2548" w:type="dxa"/>
          </w:tcPr>
          <w:p w14:paraId="7057D7B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0.09</w:t>
            </w:r>
          </w:p>
        </w:tc>
      </w:tr>
      <w:tr w:rsidR="004C4C39" w:rsidRPr="00A32EED" w14:paraId="215B5F57"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3001" w:type="dxa"/>
          </w:tcPr>
          <w:p w14:paraId="6CBA028C" w14:textId="77777777" w:rsidR="004C4C39" w:rsidRPr="00A32EED" w:rsidRDefault="004C4C39" w:rsidP="004C4C39">
            <w:pPr>
              <w:rPr>
                <w:rFonts w:eastAsia="Calibri" w:cs="Arial"/>
              </w:rPr>
            </w:pPr>
            <w:r w:rsidRPr="00A32EED">
              <w:rPr>
                <w:rFonts w:eastAsia="Calibri" w:cs="Arial"/>
              </w:rPr>
              <w:t>9</w:t>
            </w:r>
          </w:p>
        </w:tc>
        <w:tc>
          <w:tcPr>
            <w:tcW w:w="2729" w:type="dxa"/>
          </w:tcPr>
          <w:p w14:paraId="3700B19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w:t>
            </w:r>
          </w:p>
        </w:tc>
        <w:tc>
          <w:tcPr>
            <w:tcW w:w="2548" w:type="dxa"/>
          </w:tcPr>
          <w:p w14:paraId="30AABE8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0.09</w:t>
            </w:r>
          </w:p>
        </w:tc>
      </w:tr>
      <w:tr w:rsidR="004C4C39" w:rsidRPr="00A32EED" w14:paraId="19FD729D"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4965457A" w14:textId="77777777" w:rsidR="004C4C39" w:rsidRPr="00A32EED" w:rsidRDefault="004C4C39" w:rsidP="004C4C39">
            <w:pPr>
              <w:rPr>
                <w:rFonts w:eastAsia="Calibri" w:cs="Arial"/>
              </w:rPr>
            </w:pPr>
            <w:r w:rsidRPr="00A32EED">
              <w:rPr>
                <w:rFonts w:eastAsia="Calibri" w:cs="Arial"/>
              </w:rPr>
              <w:t>10</w:t>
            </w:r>
          </w:p>
        </w:tc>
        <w:tc>
          <w:tcPr>
            <w:tcW w:w="2729" w:type="dxa"/>
          </w:tcPr>
          <w:p w14:paraId="4D272DF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2</w:t>
            </w:r>
          </w:p>
        </w:tc>
        <w:tc>
          <w:tcPr>
            <w:tcW w:w="2548" w:type="dxa"/>
          </w:tcPr>
          <w:p w14:paraId="731C267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0.17</w:t>
            </w:r>
          </w:p>
        </w:tc>
      </w:tr>
      <w:tr w:rsidR="004C4C39" w:rsidRPr="00A32EED" w14:paraId="21ED8CAB"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3001" w:type="dxa"/>
          </w:tcPr>
          <w:p w14:paraId="2B22A569" w14:textId="77777777" w:rsidR="004C4C39" w:rsidRPr="00A32EED" w:rsidRDefault="004C4C39" w:rsidP="004C4C39">
            <w:pPr>
              <w:rPr>
                <w:rFonts w:eastAsia="Calibri" w:cs="Arial"/>
              </w:rPr>
            </w:pPr>
            <w:r w:rsidRPr="00A32EED">
              <w:rPr>
                <w:rFonts w:eastAsia="Calibri" w:cs="Arial"/>
              </w:rPr>
              <w:t>11</w:t>
            </w:r>
          </w:p>
        </w:tc>
        <w:tc>
          <w:tcPr>
            <w:tcW w:w="2729" w:type="dxa"/>
          </w:tcPr>
          <w:p w14:paraId="6B3085B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24</w:t>
            </w:r>
          </w:p>
        </w:tc>
        <w:tc>
          <w:tcPr>
            <w:tcW w:w="2548" w:type="dxa"/>
          </w:tcPr>
          <w:p w14:paraId="3F86656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2.05</w:t>
            </w:r>
          </w:p>
        </w:tc>
      </w:tr>
      <w:tr w:rsidR="004C4C39" w:rsidRPr="00A32EED" w14:paraId="5C690B99"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313A4AF2" w14:textId="77777777" w:rsidR="004C4C39" w:rsidRPr="00A32EED" w:rsidRDefault="004C4C39" w:rsidP="004C4C39">
            <w:pPr>
              <w:rPr>
                <w:rFonts w:eastAsia="Calibri" w:cs="Arial"/>
              </w:rPr>
            </w:pPr>
            <w:r w:rsidRPr="00A32EED">
              <w:rPr>
                <w:rFonts w:eastAsia="Calibri" w:cs="Arial"/>
              </w:rPr>
              <w:t>12</w:t>
            </w:r>
          </w:p>
        </w:tc>
        <w:tc>
          <w:tcPr>
            <w:tcW w:w="2729" w:type="dxa"/>
          </w:tcPr>
          <w:p w14:paraId="245A030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61</w:t>
            </w:r>
          </w:p>
        </w:tc>
        <w:tc>
          <w:tcPr>
            <w:tcW w:w="2548" w:type="dxa"/>
          </w:tcPr>
          <w:p w14:paraId="2C33DB1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5.2</w:t>
            </w:r>
          </w:p>
        </w:tc>
      </w:tr>
      <w:tr w:rsidR="004C4C39" w:rsidRPr="00A32EED" w14:paraId="2B3FD8E4"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3001" w:type="dxa"/>
          </w:tcPr>
          <w:p w14:paraId="44EECB4B" w14:textId="77777777" w:rsidR="004C4C39" w:rsidRPr="00A32EED" w:rsidRDefault="004C4C39" w:rsidP="004C4C39">
            <w:pPr>
              <w:rPr>
                <w:rFonts w:eastAsia="Calibri" w:cs="Arial"/>
              </w:rPr>
            </w:pPr>
            <w:r w:rsidRPr="00A32EED">
              <w:rPr>
                <w:rFonts w:eastAsia="Calibri" w:cs="Arial"/>
              </w:rPr>
              <w:t>13</w:t>
            </w:r>
          </w:p>
        </w:tc>
        <w:tc>
          <w:tcPr>
            <w:tcW w:w="2729" w:type="dxa"/>
          </w:tcPr>
          <w:p w14:paraId="17F9C68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80</w:t>
            </w:r>
          </w:p>
        </w:tc>
        <w:tc>
          <w:tcPr>
            <w:tcW w:w="2548" w:type="dxa"/>
          </w:tcPr>
          <w:p w14:paraId="6440F69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6.83</w:t>
            </w:r>
          </w:p>
        </w:tc>
      </w:tr>
      <w:tr w:rsidR="004C4C39" w:rsidRPr="00A32EED" w14:paraId="41BCB044"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4B706FDB" w14:textId="77777777" w:rsidR="004C4C39" w:rsidRPr="00A32EED" w:rsidRDefault="004C4C39" w:rsidP="004C4C39">
            <w:pPr>
              <w:rPr>
                <w:rFonts w:eastAsia="Calibri" w:cs="Arial"/>
              </w:rPr>
            </w:pPr>
            <w:r w:rsidRPr="00A32EED">
              <w:rPr>
                <w:rFonts w:eastAsia="Calibri" w:cs="Arial"/>
              </w:rPr>
              <w:t>14</w:t>
            </w:r>
          </w:p>
        </w:tc>
        <w:tc>
          <w:tcPr>
            <w:tcW w:w="2729" w:type="dxa"/>
          </w:tcPr>
          <w:p w14:paraId="337FF3E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121</w:t>
            </w:r>
          </w:p>
        </w:tc>
        <w:tc>
          <w:tcPr>
            <w:tcW w:w="2548" w:type="dxa"/>
          </w:tcPr>
          <w:p w14:paraId="4EBCF2D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10.32</w:t>
            </w:r>
          </w:p>
        </w:tc>
      </w:tr>
      <w:tr w:rsidR="004C4C39" w:rsidRPr="00A32EED" w14:paraId="55AD8A74"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3001" w:type="dxa"/>
          </w:tcPr>
          <w:p w14:paraId="7EC30734" w14:textId="77777777" w:rsidR="004C4C39" w:rsidRPr="00A32EED" w:rsidRDefault="004C4C39" w:rsidP="004C4C39">
            <w:pPr>
              <w:rPr>
                <w:rFonts w:eastAsia="Calibri" w:cs="Arial"/>
              </w:rPr>
            </w:pPr>
            <w:r w:rsidRPr="00A32EED">
              <w:rPr>
                <w:rFonts w:eastAsia="Calibri" w:cs="Arial"/>
              </w:rPr>
              <w:t>15</w:t>
            </w:r>
          </w:p>
        </w:tc>
        <w:tc>
          <w:tcPr>
            <w:tcW w:w="2729" w:type="dxa"/>
          </w:tcPr>
          <w:p w14:paraId="1AF8425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91</w:t>
            </w:r>
          </w:p>
        </w:tc>
        <w:tc>
          <w:tcPr>
            <w:tcW w:w="2548" w:type="dxa"/>
          </w:tcPr>
          <w:p w14:paraId="4114CA9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7.76</w:t>
            </w:r>
          </w:p>
        </w:tc>
      </w:tr>
      <w:tr w:rsidR="004C4C39" w:rsidRPr="00A32EED" w14:paraId="497F0AB8"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7DA55E6D" w14:textId="77777777" w:rsidR="004C4C39" w:rsidRPr="00A32EED" w:rsidRDefault="004C4C39" w:rsidP="004C4C39">
            <w:pPr>
              <w:rPr>
                <w:rFonts w:eastAsia="Calibri" w:cs="Arial"/>
              </w:rPr>
            </w:pPr>
            <w:r w:rsidRPr="00A32EED">
              <w:rPr>
                <w:rFonts w:eastAsia="Calibri" w:cs="Arial"/>
              </w:rPr>
              <w:t>16</w:t>
            </w:r>
          </w:p>
        </w:tc>
        <w:tc>
          <w:tcPr>
            <w:tcW w:w="2729" w:type="dxa"/>
          </w:tcPr>
          <w:p w14:paraId="4C24771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111</w:t>
            </w:r>
          </w:p>
        </w:tc>
        <w:tc>
          <w:tcPr>
            <w:tcW w:w="2548" w:type="dxa"/>
          </w:tcPr>
          <w:p w14:paraId="2DF9214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9.47</w:t>
            </w:r>
          </w:p>
        </w:tc>
      </w:tr>
      <w:tr w:rsidR="004C4C39" w:rsidRPr="00A32EED" w14:paraId="235F659C" w14:textId="77777777" w:rsidTr="0057347A">
        <w:trPr>
          <w:trHeight w:val="286"/>
        </w:trPr>
        <w:tc>
          <w:tcPr>
            <w:cnfStyle w:val="001000000000" w:firstRow="0" w:lastRow="0" w:firstColumn="1" w:lastColumn="0" w:oddVBand="0" w:evenVBand="0" w:oddHBand="0" w:evenHBand="0" w:firstRowFirstColumn="0" w:firstRowLastColumn="0" w:lastRowFirstColumn="0" w:lastRowLastColumn="0"/>
            <w:tcW w:w="3001" w:type="dxa"/>
          </w:tcPr>
          <w:p w14:paraId="29CB11D5" w14:textId="77777777" w:rsidR="004C4C39" w:rsidRPr="00A32EED" w:rsidRDefault="004C4C39" w:rsidP="004C4C39">
            <w:pPr>
              <w:rPr>
                <w:rFonts w:eastAsia="Calibri" w:cs="Arial"/>
              </w:rPr>
            </w:pPr>
            <w:r w:rsidRPr="00A32EED">
              <w:rPr>
                <w:rFonts w:eastAsia="Calibri" w:cs="Arial"/>
              </w:rPr>
              <w:t>17</w:t>
            </w:r>
          </w:p>
        </w:tc>
        <w:tc>
          <w:tcPr>
            <w:tcW w:w="2729" w:type="dxa"/>
          </w:tcPr>
          <w:p w14:paraId="6E77DBD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86</w:t>
            </w:r>
          </w:p>
        </w:tc>
        <w:tc>
          <w:tcPr>
            <w:tcW w:w="2548" w:type="dxa"/>
          </w:tcPr>
          <w:p w14:paraId="0738A6B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7.34</w:t>
            </w:r>
          </w:p>
        </w:tc>
      </w:tr>
      <w:tr w:rsidR="004C4C39" w:rsidRPr="00A32EED" w14:paraId="26D398E7"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1DC9E9F1" w14:textId="77777777" w:rsidR="004C4C39" w:rsidRPr="00A32EED" w:rsidRDefault="004C4C39" w:rsidP="004C4C39">
            <w:pPr>
              <w:rPr>
                <w:rFonts w:eastAsia="Calibri" w:cs="Arial"/>
              </w:rPr>
            </w:pPr>
            <w:r w:rsidRPr="00A32EED">
              <w:rPr>
                <w:rFonts w:eastAsia="Calibri" w:cs="Arial"/>
              </w:rPr>
              <w:t>18</w:t>
            </w:r>
          </w:p>
        </w:tc>
        <w:tc>
          <w:tcPr>
            <w:tcW w:w="2729" w:type="dxa"/>
          </w:tcPr>
          <w:p w14:paraId="662074F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55</w:t>
            </w:r>
          </w:p>
        </w:tc>
        <w:tc>
          <w:tcPr>
            <w:tcW w:w="2548" w:type="dxa"/>
          </w:tcPr>
          <w:p w14:paraId="06347E0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4.69</w:t>
            </w:r>
          </w:p>
        </w:tc>
      </w:tr>
      <w:tr w:rsidR="004C4C39" w:rsidRPr="00A32EED" w14:paraId="2F64BCC5"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3001" w:type="dxa"/>
          </w:tcPr>
          <w:p w14:paraId="1E9D9EE7" w14:textId="77777777" w:rsidR="004C4C39" w:rsidRPr="00A32EED" w:rsidRDefault="004C4C39" w:rsidP="004C4C39">
            <w:pPr>
              <w:rPr>
                <w:rFonts w:eastAsia="Calibri" w:cs="Arial"/>
              </w:rPr>
            </w:pPr>
            <w:r w:rsidRPr="00A32EED">
              <w:rPr>
                <w:rFonts w:eastAsia="Calibri" w:cs="Arial"/>
              </w:rPr>
              <w:t>19</w:t>
            </w:r>
          </w:p>
        </w:tc>
        <w:tc>
          <w:tcPr>
            <w:tcW w:w="2729" w:type="dxa"/>
          </w:tcPr>
          <w:p w14:paraId="1FE5B44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10</w:t>
            </w:r>
          </w:p>
        </w:tc>
        <w:tc>
          <w:tcPr>
            <w:tcW w:w="2548" w:type="dxa"/>
          </w:tcPr>
          <w:p w14:paraId="4A40B4C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0.85</w:t>
            </w:r>
          </w:p>
        </w:tc>
      </w:tr>
      <w:tr w:rsidR="004C4C39" w:rsidRPr="00A32EED" w14:paraId="00557AA0"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001" w:type="dxa"/>
          </w:tcPr>
          <w:p w14:paraId="46AA900E" w14:textId="77777777" w:rsidR="004C4C39" w:rsidRPr="00A32EED" w:rsidRDefault="004C4C39" w:rsidP="004C4C39">
            <w:pPr>
              <w:rPr>
                <w:rFonts w:eastAsia="Calibri" w:cs="Arial"/>
              </w:rPr>
            </w:pPr>
            <w:r w:rsidRPr="00A32EED">
              <w:rPr>
                <w:rFonts w:eastAsia="Calibri" w:cs="Arial"/>
              </w:rPr>
              <w:t>20</w:t>
            </w:r>
          </w:p>
        </w:tc>
        <w:tc>
          <w:tcPr>
            <w:tcW w:w="2729" w:type="dxa"/>
          </w:tcPr>
          <w:p w14:paraId="186555A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w:t>
            </w:r>
          </w:p>
        </w:tc>
        <w:tc>
          <w:tcPr>
            <w:tcW w:w="2548" w:type="dxa"/>
          </w:tcPr>
          <w:p w14:paraId="0293EF7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0.09</w:t>
            </w:r>
          </w:p>
        </w:tc>
      </w:tr>
      <w:tr w:rsidR="004C4C39" w:rsidRPr="00A32EED" w14:paraId="5DBD42B7" w14:textId="77777777" w:rsidTr="0057347A">
        <w:trPr>
          <w:trHeight w:val="248"/>
        </w:trPr>
        <w:tc>
          <w:tcPr>
            <w:cnfStyle w:val="001000000000" w:firstRow="0" w:lastRow="0" w:firstColumn="1" w:lastColumn="0" w:oddVBand="0" w:evenVBand="0" w:oddHBand="0" w:evenHBand="0" w:firstRowFirstColumn="0" w:firstRowLastColumn="0" w:lastRowFirstColumn="0" w:lastRowLastColumn="0"/>
            <w:tcW w:w="3001" w:type="dxa"/>
          </w:tcPr>
          <w:p w14:paraId="6A4E04EC" w14:textId="77777777" w:rsidR="004C4C39" w:rsidRPr="00A32EED" w:rsidRDefault="004C4C39" w:rsidP="004C4C39">
            <w:pPr>
              <w:rPr>
                <w:rFonts w:eastAsia="Calibri" w:cs="Arial"/>
              </w:rPr>
            </w:pPr>
            <w:r w:rsidRPr="00A32EED">
              <w:rPr>
                <w:rFonts w:eastAsia="Calibri" w:cs="Arial"/>
              </w:rPr>
              <w:t>Total</w:t>
            </w:r>
          </w:p>
        </w:tc>
        <w:tc>
          <w:tcPr>
            <w:tcW w:w="2729" w:type="dxa"/>
          </w:tcPr>
          <w:p w14:paraId="4E1FB66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r w:rsidRPr="00A32EED">
              <w:rPr>
                <w:rFonts w:eastAsia="Calibri" w:cs="Arial"/>
                <w:b/>
              </w:rPr>
              <w:t>1,172</w:t>
            </w:r>
          </w:p>
        </w:tc>
        <w:tc>
          <w:tcPr>
            <w:tcW w:w="2548" w:type="dxa"/>
          </w:tcPr>
          <w:p w14:paraId="31A68EB3"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rPr>
            </w:pPr>
          </w:p>
        </w:tc>
      </w:tr>
    </w:tbl>
    <w:p w14:paraId="40B55094" w14:textId="77777777" w:rsidR="004C4C39" w:rsidRPr="00A32EED" w:rsidRDefault="004C4C39" w:rsidP="004C4C39">
      <w:pPr>
        <w:spacing w:after="0" w:line="480" w:lineRule="auto"/>
        <w:rPr>
          <w:rFonts w:eastAsia="Calibri"/>
        </w:rPr>
      </w:pPr>
    </w:p>
    <w:p w14:paraId="06E11F67" w14:textId="77777777" w:rsidR="004C4C39" w:rsidRPr="00A32EED" w:rsidRDefault="004C4C39" w:rsidP="004C4C39">
      <w:pPr>
        <w:spacing w:after="0" w:line="480" w:lineRule="auto"/>
        <w:rPr>
          <w:rFonts w:eastAsia="Calibri"/>
        </w:rPr>
      </w:pPr>
      <w:r w:rsidRPr="00A32EED">
        <w:rPr>
          <w:rFonts w:eastAsia="Calibri"/>
        </w:rPr>
        <w:tab/>
        <w:t>Children were coded as no for early initiation if they met any of three different criteria in wave 5. First, if a child indicated they had sex for the first time at 16 or older for question SX#2A at wave 5, they were coded as no for early sexual initiation. Second, if the child indicated they had sex for the first time at 16 or older for question SX510A in the Young Adult instrument in wave 5, they were coded as no for early initiation.  Finally, if respondents indicated they had never had sex in the General Sexual Activity Instrument (those under 18 at the time of the interview) or indicated they had never had sex in the Young Adult Instrument (those over 18 at the time of interview) they were coded as zero.</w:t>
      </w:r>
    </w:p>
    <w:p w14:paraId="057E5989" w14:textId="77777777" w:rsidR="004C4C39" w:rsidRPr="00A32EED" w:rsidRDefault="004C4C39" w:rsidP="004C4C39">
      <w:pPr>
        <w:spacing w:after="0" w:line="480" w:lineRule="auto"/>
        <w:ind w:firstLine="720"/>
        <w:rPr>
          <w:rFonts w:eastAsia="Calibri"/>
        </w:rPr>
      </w:pPr>
      <w:r w:rsidRPr="00A32EED">
        <w:rPr>
          <w:rFonts w:eastAsia="Calibri"/>
        </w:rPr>
        <w:lastRenderedPageBreak/>
        <w:t>After these steps, a total of 957 cases had enough information to generate a yes or no designation for sexual initiation prior to the age of 16. In the age-eligible sample, 381 (39.81%) of respondents engaged in sexual intercourse prior to the age of 16, with 576 (60.19%) engaging in sexual intercourse after the age of 15. After these steps, there were 215 cases (18.4%) of the 1,172 cases eligible for inclusion in the analyses did not have enough information to generate a non-missing response for early sexual initiation. Frequencies can be found in Table 5.1 in the early sexual initiation results chapter. This could be due to partial interviews, refusals, non-interviews, or responses of "Don't Know."</w:t>
      </w:r>
    </w:p>
    <w:p w14:paraId="5B3D8933" w14:textId="77777777" w:rsidR="004C4C39" w:rsidRPr="00A32EED" w:rsidRDefault="004C4C39" w:rsidP="004C4C39">
      <w:pPr>
        <w:keepNext/>
        <w:keepLines/>
        <w:spacing w:before="40" w:after="0" w:line="480" w:lineRule="auto"/>
        <w:outlineLvl w:val="2"/>
        <w:rPr>
          <w:rFonts w:eastAsia="ＭＳ ゴシック"/>
          <w:i/>
          <w:color w:val="000000"/>
        </w:rPr>
      </w:pPr>
      <w:bookmarkStart w:id="63" w:name="_Toc479938160"/>
      <w:bookmarkStart w:id="64" w:name="_Toc482112689"/>
      <w:r w:rsidRPr="00A32EED">
        <w:rPr>
          <w:rFonts w:eastAsia="ＭＳ ゴシック"/>
          <w:i/>
          <w:color w:val="000000"/>
        </w:rPr>
        <w:t>Criminal Justice Contact</w:t>
      </w:r>
      <w:bookmarkEnd w:id="63"/>
      <w:bookmarkEnd w:id="64"/>
    </w:p>
    <w:p w14:paraId="62C55EB7" w14:textId="77777777" w:rsidR="004C4C39" w:rsidRPr="00A32EED" w:rsidRDefault="004C4C39" w:rsidP="004C4C39">
      <w:pPr>
        <w:spacing w:after="0" w:line="480" w:lineRule="auto"/>
        <w:rPr>
          <w:rFonts w:eastAsia="Calibri"/>
        </w:rPr>
      </w:pPr>
      <w:r w:rsidRPr="00A32EED">
        <w:rPr>
          <w:rFonts w:eastAsia="Calibri"/>
        </w:rPr>
        <w:t xml:space="preserve"> To measure criminal justice contact, a variable was created to indicate any arrests or incarceration. This variable was create using three different sets of questions. In the first questions used, respondents were asked if they had been arrested at any time in the past six months at every wave, except for wave 2 when children were not interviewed. This question is referred to as DE#71A. Question DE#71A is part of the Delinquency module delivered to all children who were at least 11 years old at the time of interviews. Responses to DE#71A across all waves can be found in Table 4.3. Legitimate skips are the result of children being younger than 11-years-old at the time of interviews.  </w:t>
      </w:r>
    </w:p>
    <w:p w14:paraId="7C6DC55E" w14:textId="77777777" w:rsidR="004012E6" w:rsidRDefault="004012E6">
      <w:pPr>
        <w:rPr>
          <w:rFonts w:eastAsia="Calibri" w:cs="Times New Roman"/>
          <w:i/>
          <w:iCs/>
          <w:color w:val="000000"/>
          <w:szCs w:val="18"/>
        </w:rPr>
      </w:pPr>
      <w:bookmarkStart w:id="65" w:name="_Toc479941216"/>
      <w:r>
        <w:rPr>
          <w:rFonts w:eastAsia="Calibri"/>
        </w:rPr>
        <w:br w:type="page"/>
      </w:r>
    </w:p>
    <w:p w14:paraId="48CF6F9E" w14:textId="35A0FF45" w:rsidR="004C4C39" w:rsidRPr="00A32EED" w:rsidRDefault="004C4C39" w:rsidP="0023176A">
      <w:pPr>
        <w:pStyle w:val="Caption1"/>
        <w:rPr>
          <w:rFonts w:eastAsia="Calibri"/>
        </w:rPr>
      </w:pPr>
      <w:r w:rsidRPr="00A32EED">
        <w:rPr>
          <w:rFonts w:eastAsia="Calibri"/>
        </w:rPr>
        <w:lastRenderedPageBreak/>
        <w:t>Table 4.</w:t>
      </w:r>
      <w:r w:rsidRPr="00A32EED">
        <w:rPr>
          <w:rFonts w:eastAsia="Calibri"/>
        </w:rPr>
        <w:fldChar w:fldCharType="begin"/>
      </w:r>
      <w:r w:rsidRPr="00A32EED">
        <w:rPr>
          <w:rFonts w:eastAsia="Calibri"/>
        </w:rPr>
        <w:instrText xml:space="preserve"> SEQ Table_4. \* ARABIC </w:instrText>
      </w:r>
      <w:r w:rsidRPr="00A32EED">
        <w:rPr>
          <w:rFonts w:eastAsia="Calibri"/>
        </w:rPr>
        <w:fldChar w:fldCharType="separate"/>
      </w:r>
      <w:r w:rsidR="00FA12E2">
        <w:rPr>
          <w:rFonts w:eastAsia="Calibri"/>
          <w:noProof/>
        </w:rPr>
        <w:t>3</w:t>
      </w:r>
      <w:r w:rsidRPr="00A32EED">
        <w:rPr>
          <w:rFonts w:eastAsia="Calibri"/>
          <w:noProof/>
        </w:rPr>
        <w:fldChar w:fldCharType="end"/>
      </w:r>
      <w:r w:rsidRPr="00A32EED">
        <w:rPr>
          <w:rFonts w:eastAsia="Calibri"/>
        </w:rPr>
        <w:t>: Arrest Past 6 Months Across all Waves (DE#71A)</w:t>
      </w:r>
      <w:bookmarkEnd w:id="65"/>
    </w:p>
    <w:tbl>
      <w:tblPr>
        <w:tblStyle w:val="ListTable21"/>
        <w:tblW w:w="0" w:type="auto"/>
        <w:tblLook w:val="04A0" w:firstRow="1" w:lastRow="0" w:firstColumn="1" w:lastColumn="0" w:noHBand="0" w:noVBand="1"/>
      </w:tblPr>
      <w:tblGrid>
        <w:gridCol w:w="1809"/>
        <w:gridCol w:w="1554"/>
        <w:gridCol w:w="1636"/>
        <w:gridCol w:w="1636"/>
        <w:gridCol w:w="1636"/>
      </w:tblGrid>
      <w:tr w:rsidR="004C4C39" w:rsidRPr="00A32EED" w14:paraId="19B4BB59" w14:textId="77777777" w:rsidTr="0057347A">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809" w:type="dxa"/>
          </w:tcPr>
          <w:p w14:paraId="58F9D1C5" w14:textId="77777777" w:rsidR="004C4C39" w:rsidRPr="00A32EED" w:rsidRDefault="004C4C39" w:rsidP="004C4C39">
            <w:pPr>
              <w:rPr>
                <w:rFonts w:eastAsia="Calibri" w:cs="Arial"/>
              </w:rPr>
            </w:pPr>
          </w:p>
        </w:tc>
        <w:tc>
          <w:tcPr>
            <w:tcW w:w="1554" w:type="dxa"/>
          </w:tcPr>
          <w:p w14:paraId="02F15673"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Wave 1</w:t>
            </w:r>
          </w:p>
        </w:tc>
        <w:tc>
          <w:tcPr>
            <w:tcW w:w="1636" w:type="dxa"/>
          </w:tcPr>
          <w:p w14:paraId="7F8E321F"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Wave 3</w:t>
            </w:r>
          </w:p>
        </w:tc>
        <w:tc>
          <w:tcPr>
            <w:tcW w:w="1636" w:type="dxa"/>
          </w:tcPr>
          <w:p w14:paraId="0D25BFE2"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Wave 4</w:t>
            </w:r>
          </w:p>
        </w:tc>
        <w:tc>
          <w:tcPr>
            <w:tcW w:w="1636" w:type="dxa"/>
          </w:tcPr>
          <w:p w14:paraId="7C3F0BCD"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Wave 5</w:t>
            </w:r>
          </w:p>
        </w:tc>
      </w:tr>
      <w:tr w:rsidR="004C4C39" w:rsidRPr="00A32EED" w14:paraId="49D5B999" w14:textId="77777777" w:rsidTr="0057347A">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809" w:type="dxa"/>
          </w:tcPr>
          <w:p w14:paraId="4584132F" w14:textId="77777777" w:rsidR="004C4C39" w:rsidRPr="00A32EED" w:rsidRDefault="004C4C39" w:rsidP="004C4C39">
            <w:pPr>
              <w:rPr>
                <w:rFonts w:eastAsia="Calibri" w:cs="Arial"/>
              </w:rPr>
            </w:pPr>
            <w:r w:rsidRPr="00A32EED">
              <w:rPr>
                <w:rFonts w:eastAsia="Calibri" w:cs="Arial"/>
              </w:rPr>
              <w:t>Partial Interview</w:t>
            </w:r>
          </w:p>
        </w:tc>
        <w:tc>
          <w:tcPr>
            <w:tcW w:w="1554" w:type="dxa"/>
          </w:tcPr>
          <w:p w14:paraId="76E0C15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w:t>
            </w:r>
          </w:p>
        </w:tc>
        <w:tc>
          <w:tcPr>
            <w:tcW w:w="1636" w:type="dxa"/>
          </w:tcPr>
          <w:p w14:paraId="276653E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w:t>
            </w:r>
          </w:p>
        </w:tc>
        <w:tc>
          <w:tcPr>
            <w:tcW w:w="1636" w:type="dxa"/>
          </w:tcPr>
          <w:p w14:paraId="1BAE171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2</w:t>
            </w:r>
          </w:p>
        </w:tc>
        <w:tc>
          <w:tcPr>
            <w:tcW w:w="1636" w:type="dxa"/>
          </w:tcPr>
          <w:p w14:paraId="00B8BA7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10</w:t>
            </w:r>
          </w:p>
        </w:tc>
      </w:tr>
      <w:tr w:rsidR="004C4C39" w:rsidRPr="00A32EED" w14:paraId="508BA333" w14:textId="77777777" w:rsidTr="0057347A">
        <w:trPr>
          <w:trHeight w:val="545"/>
        </w:trPr>
        <w:tc>
          <w:tcPr>
            <w:cnfStyle w:val="001000000000" w:firstRow="0" w:lastRow="0" w:firstColumn="1" w:lastColumn="0" w:oddVBand="0" w:evenVBand="0" w:oddHBand="0" w:evenHBand="0" w:firstRowFirstColumn="0" w:firstRowLastColumn="0" w:lastRowFirstColumn="0" w:lastRowLastColumn="0"/>
            <w:tcW w:w="1809" w:type="dxa"/>
          </w:tcPr>
          <w:p w14:paraId="273E0B09" w14:textId="77777777" w:rsidR="004C4C39" w:rsidRPr="00A32EED" w:rsidRDefault="004C4C39" w:rsidP="004C4C39">
            <w:pPr>
              <w:rPr>
                <w:rFonts w:eastAsia="Calibri" w:cs="Arial"/>
              </w:rPr>
            </w:pPr>
            <w:r w:rsidRPr="00A32EED">
              <w:rPr>
                <w:rFonts w:eastAsia="Calibri" w:cs="Arial"/>
              </w:rPr>
              <w:t>Legitimate Skip</w:t>
            </w:r>
          </w:p>
        </w:tc>
        <w:tc>
          <w:tcPr>
            <w:tcW w:w="1554" w:type="dxa"/>
          </w:tcPr>
          <w:p w14:paraId="123A1F2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910</w:t>
            </w:r>
          </w:p>
        </w:tc>
        <w:tc>
          <w:tcPr>
            <w:tcW w:w="1636" w:type="dxa"/>
          </w:tcPr>
          <w:p w14:paraId="5AC9EE9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681</w:t>
            </w:r>
          </w:p>
        </w:tc>
        <w:tc>
          <w:tcPr>
            <w:tcW w:w="1636" w:type="dxa"/>
          </w:tcPr>
          <w:p w14:paraId="0FD1EA8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448</w:t>
            </w:r>
          </w:p>
        </w:tc>
        <w:tc>
          <w:tcPr>
            <w:tcW w:w="1636" w:type="dxa"/>
          </w:tcPr>
          <w:p w14:paraId="031ED2D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0</w:t>
            </w:r>
          </w:p>
        </w:tc>
      </w:tr>
      <w:tr w:rsidR="004C4C39" w:rsidRPr="00A32EED" w14:paraId="6A628FFA" w14:textId="77777777" w:rsidTr="0057347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809" w:type="dxa"/>
          </w:tcPr>
          <w:p w14:paraId="1800C99A" w14:textId="77777777" w:rsidR="004C4C39" w:rsidRPr="00A32EED" w:rsidRDefault="004C4C39" w:rsidP="004C4C39">
            <w:pPr>
              <w:rPr>
                <w:rFonts w:eastAsia="Calibri" w:cs="Arial"/>
              </w:rPr>
            </w:pPr>
            <w:r w:rsidRPr="00A32EED">
              <w:rPr>
                <w:rFonts w:eastAsia="Calibri" w:cs="Arial"/>
              </w:rPr>
              <w:t>Non-interview</w:t>
            </w:r>
          </w:p>
        </w:tc>
        <w:tc>
          <w:tcPr>
            <w:tcW w:w="1554" w:type="dxa"/>
          </w:tcPr>
          <w:p w14:paraId="7142DCE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81</w:t>
            </w:r>
          </w:p>
        </w:tc>
        <w:tc>
          <w:tcPr>
            <w:tcW w:w="1636" w:type="dxa"/>
          </w:tcPr>
          <w:p w14:paraId="2D21807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98</w:t>
            </w:r>
          </w:p>
        </w:tc>
        <w:tc>
          <w:tcPr>
            <w:tcW w:w="1636" w:type="dxa"/>
          </w:tcPr>
          <w:p w14:paraId="7949C9C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77</w:t>
            </w:r>
          </w:p>
        </w:tc>
        <w:tc>
          <w:tcPr>
            <w:tcW w:w="1636" w:type="dxa"/>
          </w:tcPr>
          <w:p w14:paraId="1ECE461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63</w:t>
            </w:r>
          </w:p>
        </w:tc>
      </w:tr>
      <w:tr w:rsidR="004C4C39" w:rsidRPr="00A32EED" w14:paraId="24377064" w14:textId="77777777" w:rsidTr="0057347A">
        <w:trPr>
          <w:trHeight w:val="272"/>
        </w:trPr>
        <w:tc>
          <w:tcPr>
            <w:cnfStyle w:val="001000000000" w:firstRow="0" w:lastRow="0" w:firstColumn="1" w:lastColumn="0" w:oddVBand="0" w:evenVBand="0" w:oddHBand="0" w:evenHBand="0" w:firstRowFirstColumn="0" w:firstRowLastColumn="0" w:lastRowFirstColumn="0" w:lastRowLastColumn="0"/>
            <w:tcW w:w="1809" w:type="dxa"/>
          </w:tcPr>
          <w:p w14:paraId="623A648D" w14:textId="77777777" w:rsidR="004C4C39" w:rsidRPr="00A32EED" w:rsidRDefault="004C4C39" w:rsidP="004C4C39">
            <w:pPr>
              <w:rPr>
                <w:rFonts w:eastAsia="Calibri" w:cs="Arial"/>
              </w:rPr>
            </w:pPr>
            <w:r w:rsidRPr="00A32EED">
              <w:rPr>
                <w:rFonts w:eastAsia="Calibri" w:cs="Arial"/>
              </w:rPr>
              <w:t>Refused</w:t>
            </w:r>
          </w:p>
        </w:tc>
        <w:tc>
          <w:tcPr>
            <w:tcW w:w="1554" w:type="dxa"/>
          </w:tcPr>
          <w:p w14:paraId="7530634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24</w:t>
            </w:r>
          </w:p>
        </w:tc>
        <w:tc>
          <w:tcPr>
            <w:tcW w:w="1636" w:type="dxa"/>
          </w:tcPr>
          <w:p w14:paraId="5C5E079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11</w:t>
            </w:r>
          </w:p>
        </w:tc>
        <w:tc>
          <w:tcPr>
            <w:tcW w:w="1636" w:type="dxa"/>
          </w:tcPr>
          <w:p w14:paraId="1E551EE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21</w:t>
            </w:r>
          </w:p>
        </w:tc>
        <w:tc>
          <w:tcPr>
            <w:tcW w:w="1636" w:type="dxa"/>
          </w:tcPr>
          <w:p w14:paraId="428FDDA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30</w:t>
            </w:r>
          </w:p>
        </w:tc>
      </w:tr>
      <w:tr w:rsidR="004C4C39" w:rsidRPr="00A32EED" w14:paraId="072D546A" w14:textId="77777777" w:rsidTr="0057347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809" w:type="dxa"/>
          </w:tcPr>
          <w:p w14:paraId="7DDF778D" w14:textId="77777777" w:rsidR="004C4C39" w:rsidRPr="00A32EED" w:rsidRDefault="004C4C39" w:rsidP="004C4C39">
            <w:pPr>
              <w:rPr>
                <w:rFonts w:eastAsia="Calibri" w:cs="Arial"/>
              </w:rPr>
            </w:pPr>
            <w:r w:rsidRPr="00A32EED">
              <w:rPr>
                <w:rFonts w:eastAsia="Calibri" w:cs="Arial"/>
              </w:rPr>
              <w:t>Don’t Know</w:t>
            </w:r>
          </w:p>
        </w:tc>
        <w:tc>
          <w:tcPr>
            <w:tcW w:w="1554" w:type="dxa"/>
          </w:tcPr>
          <w:p w14:paraId="00FA6A8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5</w:t>
            </w:r>
          </w:p>
        </w:tc>
        <w:tc>
          <w:tcPr>
            <w:tcW w:w="1636" w:type="dxa"/>
          </w:tcPr>
          <w:p w14:paraId="21D4FB0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2</w:t>
            </w:r>
          </w:p>
        </w:tc>
        <w:tc>
          <w:tcPr>
            <w:tcW w:w="1636" w:type="dxa"/>
          </w:tcPr>
          <w:p w14:paraId="02AF3AC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10</w:t>
            </w:r>
          </w:p>
        </w:tc>
        <w:tc>
          <w:tcPr>
            <w:tcW w:w="1636" w:type="dxa"/>
          </w:tcPr>
          <w:p w14:paraId="176E8D3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8</w:t>
            </w:r>
          </w:p>
        </w:tc>
      </w:tr>
      <w:tr w:rsidR="004C4C39" w:rsidRPr="00A32EED" w14:paraId="6A192257" w14:textId="77777777" w:rsidTr="0057347A">
        <w:trPr>
          <w:trHeight w:val="272"/>
        </w:trPr>
        <w:tc>
          <w:tcPr>
            <w:cnfStyle w:val="001000000000" w:firstRow="0" w:lastRow="0" w:firstColumn="1" w:lastColumn="0" w:oddVBand="0" w:evenVBand="0" w:oddHBand="0" w:evenHBand="0" w:firstRowFirstColumn="0" w:firstRowLastColumn="0" w:lastRowFirstColumn="0" w:lastRowLastColumn="0"/>
            <w:tcW w:w="1809" w:type="dxa"/>
          </w:tcPr>
          <w:p w14:paraId="710C20E9" w14:textId="77777777" w:rsidR="004C4C39" w:rsidRPr="00A32EED" w:rsidRDefault="004C4C39" w:rsidP="004C4C39">
            <w:pPr>
              <w:rPr>
                <w:rFonts w:eastAsia="Calibri" w:cs="Arial"/>
              </w:rPr>
            </w:pPr>
            <w:r w:rsidRPr="00A32EED">
              <w:rPr>
                <w:rFonts w:eastAsia="Calibri" w:cs="Arial"/>
              </w:rPr>
              <w:t>Yes</w:t>
            </w:r>
          </w:p>
        </w:tc>
        <w:tc>
          <w:tcPr>
            <w:tcW w:w="1554" w:type="dxa"/>
          </w:tcPr>
          <w:p w14:paraId="79578E4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59</w:t>
            </w:r>
          </w:p>
        </w:tc>
        <w:tc>
          <w:tcPr>
            <w:tcW w:w="1636" w:type="dxa"/>
          </w:tcPr>
          <w:p w14:paraId="2EF942B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54</w:t>
            </w:r>
          </w:p>
        </w:tc>
        <w:tc>
          <w:tcPr>
            <w:tcW w:w="1636" w:type="dxa"/>
          </w:tcPr>
          <w:p w14:paraId="2B81E82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65</w:t>
            </w:r>
          </w:p>
        </w:tc>
        <w:tc>
          <w:tcPr>
            <w:tcW w:w="1636" w:type="dxa"/>
          </w:tcPr>
          <w:p w14:paraId="31B439C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106</w:t>
            </w:r>
          </w:p>
        </w:tc>
      </w:tr>
      <w:tr w:rsidR="004C4C39" w:rsidRPr="00A32EED" w14:paraId="4FF62321" w14:textId="77777777" w:rsidTr="0057347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809" w:type="dxa"/>
          </w:tcPr>
          <w:p w14:paraId="61475366" w14:textId="77777777" w:rsidR="004C4C39" w:rsidRPr="00A32EED" w:rsidRDefault="004C4C39" w:rsidP="004C4C39">
            <w:pPr>
              <w:rPr>
                <w:rFonts w:eastAsia="Calibri" w:cs="Arial"/>
              </w:rPr>
            </w:pPr>
            <w:r w:rsidRPr="00A32EED">
              <w:rPr>
                <w:rFonts w:eastAsia="Calibri" w:cs="Arial"/>
              </w:rPr>
              <w:t>No</w:t>
            </w:r>
          </w:p>
        </w:tc>
        <w:tc>
          <w:tcPr>
            <w:tcW w:w="1554" w:type="dxa"/>
          </w:tcPr>
          <w:p w14:paraId="08574A3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690</w:t>
            </w:r>
          </w:p>
        </w:tc>
        <w:tc>
          <w:tcPr>
            <w:tcW w:w="1636" w:type="dxa"/>
          </w:tcPr>
          <w:p w14:paraId="17C6275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923</w:t>
            </w:r>
          </w:p>
        </w:tc>
        <w:tc>
          <w:tcPr>
            <w:tcW w:w="1636" w:type="dxa"/>
          </w:tcPr>
          <w:p w14:paraId="27E04A3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1,147</w:t>
            </w:r>
          </w:p>
        </w:tc>
        <w:tc>
          <w:tcPr>
            <w:tcW w:w="1636" w:type="dxa"/>
          </w:tcPr>
          <w:p w14:paraId="628CD5E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1,553</w:t>
            </w:r>
          </w:p>
        </w:tc>
      </w:tr>
      <w:tr w:rsidR="004C4C39" w:rsidRPr="00A32EED" w14:paraId="535A5CC9" w14:textId="77777777" w:rsidTr="0057347A">
        <w:trPr>
          <w:trHeight w:val="252"/>
        </w:trPr>
        <w:tc>
          <w:tcPr>
            <w:cnfStyle w:val="001000000000" w:firstRow="0" w:lastRow="0" w:firstColumn="1" w:lastColumn="0" w:oddVBand="0" w:evenVBand="0" w:oddHBand="0" w:evenHBand="0" w:firstRowFirstColumn="0" w:firstRowLastColumn="0" w:lastRowFirstColumn="0" w:lastRowLastColumn="0"/>
            <w:tcW w:w="1809" w:type="dxa"/>
          </w:tcPr>
          <w:p w14:paraId="30AE95A3" w14:textId="77777777" w:rsidR="004C4C39" w:rsidRPr="00A32EED" w:rsidRDefault="004C4C39" w:rsidP="004C4C39">
            <w:pPr>
              <w:rPr>
                <w:rFonts w:eastAsia="Calibri" w:cs="Arial"/>
              </w:rPr>
            </w:pPr>
            <w:r w:rsidRPr="00A32EED">
              <w:rPr>
                <w:rFonts w:eastAsia="Calibri" w:cs="Arial"/>
              </w:rPr>
              <w:t>Total</w:t>
            </w:r>
          </w:p>
        </w:tc>
        <w:tc>
          <w:tcPr>
            <w:tcW w:w="1554" w:type="dxa"/>
          </w:tcPr>
          <w:p w14:paraId="34AF503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1,1770</w:t>
            </w:r>
          </w:p>
        </w:tc>
        <w:tc>
          <w:tcPr>
            <w:tcW w:w="1636" w:type="dxa"/>
          </w:tcPr>
          <w:p w14:paraId="44A59BE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1,1770</w:t>
            </w:r>
          </w:p>
        </w:tc>
        <w:tc>
          <w:tcPr>
            <w:tcW w:w="1636" w:type="dxa"/>
          </w:tcPr>
          <w:p w14:paraId="205A0CA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1,1770</w:t>
            </w:r>
          </w:p>
        </w:tc>
        <w:tc>
          <w:tcPr>
            <w:tcW w:w="1636" w:type="dxa"/>
          </w:tcPr>
          <w:p w14:paraId="39A3936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1,1770</w:t>
            </w:r>
          </w:p>
        </w:tc>
      </w:tr>
    </w:tbl>
    <w:p w14:paraId="4CA675B8" w14:textId="77777777" w:rsidR="004C4C39" w:rsidRPr="00A32EED" w:rsidRDefault="004C4C39" w:rsidP="004C4C39">
      <w:pPr>
        <w:spacing w:after="0" w:line="480" w:lineRule="auto"/>
        <w:rPr>
          <w:rFonts w:eastAsia="Calibri"/>
        </w:rPr>
      </w:pPr>
    </w:p>
    <w:p w14:paraId="54F73B02" w14:textId="272F882A" w:rsidR="004C4C39" w:rsidRPr="00A32EED" w:rsidRDefault="004C4C39" w:rsidP="00C76ACA">
      <w:pPr>
        <w:spacing w:after="0" w:line="480" w:lineRule="auto"/>
        <w:ind w:firstLine="720"/>
        <w:rPr>
          <w:rFonts w:eastAsia="Calibri"/>
          <w:i/>
          <w:iCs/>
          <w:color w:val="000000"/>
          <w:szCs w:val="18"/>
        </w:rPr>
      </w:pPr>
      <w:r w:rsidRPr="00A32EED">
        <w:rPr>
          <w:rFonts w:eastAsia="Calibri"/>
        </w:rPr>
        <w:t xml:space="preserve">  The next question used was part of the Young Adult Instrument. This question is referred to as YL51A. For question YL51A, the respondents were asked it they had ever been arrested for any offense.  Responses for YL51A can be found in Table 4.4. The 946 legitimate skips are fully accounted for by respondents who were younger than 18 years old at the time of their wave 5 interview. The final variable used to identify any criminal justice system contact was the interview summary codes for each wave the respondent was interviewed. Only waves 4 and 5 had any incarcerated individuals who were not otherwise identified by the arrest variables. </w:t>
      </w:r>
    </w:p>
    <w:p w14:paraId="2B9F9185" w14:textId="77777777" w:rsidR="004C4C39" w:rsidRPr="00A32EED" w:rsidRDefault="004C4C39" w:rsidP="0023176A">
      <w:pPr>
        <w:pStyle w:val="Caption1"/>
        <w:rPr>
          <w:rFonts w:eastAsia="Calibri"/>
        </w:rPr>
      </w:pPr>
      <w:bookmarkStart w:id="66" w:name="_Toc479941217"/>
      <w:r w:rsidRPr="00A32EED">
        <w:rPr>
          <w:rFonts w:eastAsia="Calibri"/>
        </w:rPr>
        <w:t>Table 4.</w:t>
      </w:r>
      <w:r w:rsidRPr="00A32EED">
        <w:rPr>
          <w:rFonts w:eastAsia="Calibri"/>
        </w:rPr>
        <w:fldChar w:fldCharType="begin"/>
      </w:r>
      <w:r w:rsidRPr="00A32EED">
        <w:rPr>
          <w:rFonts w:eastAsia="Calibri"/>
        </w:rPr>
        <w:instrText xml:space="preserve"> SEQ Table_4. \* ARABIC </w:instrText>
      </w:r>
      <w:r w:rsidRPr="00A32EED">
        <w:rPr>
          <w:rFonts w:eastAsia="Calibri"/>
        </w:rPr>
        <w:fldChar w:fldCharType="separate"/>
      </w:r>
      <w:r w:rsidR="00FA12E2">
        <w:rPr>
          <w:rFonts w:eastAsia="Calibri"/>
          <w:noProof/>
        </w:rPr>
        <w:t>4</w:t>
      </w:r>
      <w:r w:rsidRPr="00A32EED">
        <w:rPr>
          <w:rFonts w:eastAsia="Calibri"/>
          <w:noProof/>
        </w:rPr>
        <w:fldChar w:fldCharType="end"/>
      </w:r>
      <w:r w:rsidRPr="00A32EED">
        <w:rPr>
          <w:rFonts w:eastAsia="Calibri"/>
        </w:rPr>
        <w:t>: Ever Been Arrested for Any Offense (YL51A)</w:t>
      </w:r>
      <w:bookmarkEnd w:id="66"/>
    </w:p>
    <w:tbl>
      <w:tblPr>
        <w:tblStyle w:val="ListTable21"/>
        <w:tblW w:w="0" w:type="auto"/>
        <w:tblLook w:val="04A0" w:firstRow="1" w:lastRow="0" w:firstColumn="1" w:lastColumn="0" w:noHBand="0" w:noVBand="1"/>
      </w:tblPr>
      <w:tblGrid>
        <w:gridCol w:w="2743"/>
        <w:gridCol w:w="2731"/>
        <w:gridCol w:w="2680"/>
      </w:tblGrid>
      <w:tr w:rsidR="004C4C39" w:rsidRPr="00A32EED" w14:paraId="1F7D5327" w14:textId="77777777" w:rsidTr="0057347A">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743" w:type="dxa"/>
          </w:tcPr>
          <w:p w14:paraId="239E7455" w14:textId="77777777" w:rsidR="004C4C39" w:rsidRPr="00A32EED" w:rsidRDefault="004C4C39" w:rsidP="004C4C39">
            <w:pPr>
              <w:rPr>
                <w:rFonts w:eastAsia="Calibri" w:cs="Arial"/>
              </w:rPr>
            </w:pPr>
          </w:p>
        </w:tc>
        <w:tc>
          <w:tcPr>
            <w:tcW w:w="2731" w:type="dxa"/>
          </w:tcPr>
          <w:p w14:paraId="10E1B2A1"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Frequency</w:t>
            </w:r>
          </w:p>
        </w:tc>
        <w:tc>
          <w:tcPr>
            <w:tcW w:w="2680" w:type="dxa"/>
          </w:tcPr>
          <w:p w14:paraId="3D8E847C"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Percent</w:t>
            </w:r>
          </w:p>
        </w:tc>
      </w:tr>
      <w:tr w:rsidR="004C4C39" w:rsidRPr="00A32EED" w14:paraId="6E6AB388"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743" w:type="dxa"/>
          </w:tcPr>
          <w:p w14:paraId="25EBCB4C" w14:textId="77777777" w:rsidR="004C4C39" w:rsidRPr="00A32EED" w:rsidRDefault="004C4C39" w:rsidP="004C4C39">
            <w:pPr>
              <w:rPr>
                <w:rFonts w:eastAsia="Calibri" w:cs="Arial"/>
              </w:rPr>
            </w:pPr>
            <w:r w:rsidRPr="00A32EED">
              <w:rPr>
                <w:rFonts w:eastAsia="Calibri" w:cs="Arial"/>
              </w:rPr>
              <w:t>Legitimate Skip</w:t>
            </w:r>
          </w:p>
        </w:tc>
        <w:tc>
          <w:tcPr>
            <w:tcW w:w="2731" w:type="dxa"/>
          </w:tcPr>
          <w:p w14:paraId="61E2EB1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946</w:t>
            </w:r>
          </w:p>
        </w:tc>
        <w:tc>
          <w:tcPr>
            <w:tcW w:w="2680" w:type="dxa"/>
          </w:tcPr>
          <w:p w14:paraId="5960B77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53.45</w:t>
            </w:r>
          </w:p>
        </w:tc>
      </w:tr>
      <w:tr w:rsidR="004C4C39" w:rsidRPr="00A32EED" w14:paraId="690BFBCA"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2743" w:type="dxa"/>
          </w:tcPr>
          <w:p w14:paraId="0E7652CF" w14:textId="77777777" w:rsidR="004C4C39" w:rsidRPr="00A32EED" w:rsidRDefault="004C4C39" w:rsidP="004C4C39">
            <w:pPr>
              <w:rPr>
                <w:rFonts w:eastAsia="Calibri" w:cs="Arial"/>
              </w:rPr>
            </w:pPr>
            <w:r w:rsidRPr="00A32EED">
              <w:rPr>
                <w:rFonts w:eastAsia="Calibri" w:cs="Arial"/>
              </w:rPr>
              <w:t>Non-Interview</w:t>
            </w:r>
          </w:p>
        </w:tc>
        <w:tc>
          <w:tcPr>
            <w:tcW w:w="2731" w:type="dxa"/>
          </w:tcPr>
          <w:p w14:paraId="6C537FF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63</w:t>
            </w:r>
          </w:p>
        </w:tc>
        <w:tc>
          <w:tcPr>
            <w:tcW w:w="2680" w:type="dxa"/>
          </w:tcPr>
          <w:p w14:paraId="5A617D2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3.56</w:t>
            </w:r>
          </w:p>
        </w:tc>
      </w:tr>
      <w:tr w:rsidR="004C4C39" w:rsidRPr="00A32EED" w14:paraId="185F0452"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743" w:type="dxa"/>
          </w:tcPr>
          <w:p w14:paraId="0BC7696D" w14:textId="77777777" w:rsidR="004C4C39" w:rsidRPr="00A32EED" w:rsidRDefault="004C4C39" w:rsidP="004C4C39">
            <w:pPr>
              <w:rPr>
                <w:rFonts w:eastAsia="Calibri" w:cs="Arial"/>
              </w:rPr>
            </w:pPr>
            <w:r w:rsidRPr="00A32EED">
              <w:rPr>
                <w:rFonts w:eastAsia="Calibri" w:cs="Arial"/>
              </w:rPr>
              <w:t>Inadvertent Skip</w:t>
            </w:r>
          </w:p>
        </w:tc>
        <w:tc>
          <w:tcPr>
            <w:tcW w:w="2731" w:type="dxa"/>
          </w:tcPr>
          <w:p w14:paraId="7C24236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w:t>
            </w:r>
          </w:p>
        </w:tc>
        <w:tc>
          <w:tcPr>
            <w:tcW w:w="2680" w:type="dxa"/>
          </w:tcPr>
          <w:p w14:paraId="117032F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0.06</w:t>
            </w:r>
          </w:p>
        </w:tc>
      </w:tr>
      <w:tr w:rsidR="004C4C39" w:rsidRPr="00A32EED" w14:paraId="7F27622A"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2743" w:type="dxa"/>
          </w:tcPr>
          <w:p w14:paraId="10357D2F" w14:textId="77777777" w:rsidR="004C4C39" w:rsidRPr="00A32EED" w:rsidRDefault="004C4C39" w:rsidP="004C4C39">
            <w:pPr>
              <w:rPr>
                <w:rFonts w:eastAsia="Calibri" w:cs="Arial"/>
              </w:rPr>
            </w:pPr>
            <w:r w:rsidRPr="00A32EED">
              <w:rPr>
                <w:rFonts w:eastAsia="Calibri" w:cs="Arial"/>
              </w:rPr>
              <w:t>Refused</w:t>
            </w:r>
          </w:p>
        </w:tc>
        <w:tc>
          <w:tcPr>
            <w:tcW w:w="2731" w:type="dxa"/>
          </w:tcPr>
          <w:p w14:paraId="6F101AC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6</w:t>
            </w:r>
          </w:p>
        </w:tc>
        <w:tc>
          <w:tcPr>
            <w:tcW w:w="2680" w:type="dxa"/>
          </w:tcPr>
          <w:p w14:paraId="57E173E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0.34</w:t>
            </w:r>
          </w:p>
        </w:tc>
      </w:tr>
      <w:tr w:rsidR="004C4C39" w:rsidRPr="00A32EED" w14:paraId="2D8FAE8A" w14:textId="77777777" w:rsidTr="0057347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43" w:type="dxa"/>
          </w:tcPr>
          <w:p w14:paraId="24EDE6E3" w14:textId="77777777" w:rsidR="004C4C39" w:rsidRPr="00A32EED" w:rsidRDefault="004C4C39" w:rsidP="004C4C39">
            <w:pPr>
              <w:rPr>
                <w:rFonts w:eastAsia="Calibri" w:cs="Arial"/>
              </w:rPr>
            </w:pPr>
            <w:r w:rsidRPr="00A32EED">
              <w:rPr>
                <w:rFonts w:eastAsia="Calibri" w:cs="Arial"/>
              </w:rPr>
              <w:t>Don’t Know</w:t>
            </w:r>
          </w:p>
        </w:tc>
        <w:tc>
          <w:tcPr>
            <w:tcW w:w="2731" w:type="dxa"/>
          </w:tcPr>
          <w:p w14:paraId="55BF4F3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2</w:t>
            </w:r>
          </w:p>
        </w:tc>
        <w:tc>
          <w:tcPr>
            <w:tcW w:w="2680" w:type="dxa"/>
          </w:tcPr>
          <w:p w14:paraId="274F703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0.11</w:t>
            </w:r>
          </w:p>
        </w:tc>
      </w:tr>
      <w:tr w:rsidR="004C4C39" w:rsidRPr="00A32EED" w14:paraId="74999FCD" w14:textId="77777777" w:rsidTr="0057347A">
        <w:trPr>
          <w:trHeight w:val="267"/>
        </w:trPr>
        <w:tc>
          <w:tcPr>
            <w:cnfStyle w:val="001000000000" w:firstRow="0" w:lastRow="0" w:firstColumn="1" w:lastColumn="0" w:oddVBand="0" w:evenVBand="0" w:oddHBand="0" w:evenHBand="0" w:firstRowFirstColumn="0" w:firstRowLastColumn="0" w:lastRowFirstColumn="0" w:lastRowLastColumn="0"/>
            <w:tcW w:w="2743" w:type="dxa"/>
          </w:tcPr>
          <w:p w14:paraId="7C27BA72" w14:textId="77777777" w:rsidR="004C4C39" w:rsidRPr="00A32EED" w:rsidRDefault="004C4C39" w:rsidP="004C4C39">
            <w:pPr>
              <w:rPr>
                <w:rFonts w:eastAsia="Calibri" w:cs="Arial"/>
              </w:rPr>
            </w:pPr>
            <w:r w:rsidRPr="00A32EED">
              <w:rPr>
                <w:rFonts w:eastAsia="Calibri" w:cs="Arial"/>
              </w:rPr>
              <w:t>Yes</w:t>
            </w:r>
          </w:p>
        </w:tc>
        <w:tc>
          <w:tcPr>
            <w:tcW w:w="2731" w:type="dxa"/>
          </w:tcPr>
          <w:p w14:paraId="1B28B13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92</w:t>
            </w:r>
          </w:p>
        </w:tc>
        <w:tc>
          <w:tcPr>
            <w:tcW w:w="2680" w:type="dxa"/>
          </w:tcPr>
          <w:p w14:paraId="0323199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5.2</w:t>
            </w:r>
          </w:p>
        </w:tc>
      </w:tr>
      <w:tr w:rsidR="004C4C39" w:rsidRPr="00A32EED" w14:paraId="694919C9" w14:textId="77777777" w:rsidTr="005734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743" w:type="dxa"/>
          </w:tcPr>
          <w:p w14:paraId="44947589" w14:textId="77777777" w:rsidR="004C4C39" w:rsidRPr="00A32EED" w:rsidRDefault="004C4C39" w:rsidP="004C4C39">
            <w:pPr>
              <w:rPr>
                <w:rFonts w:eastAsia="Calibri" w:cs="Arial"/>
              </w:rPr>
            </w:pPr>
            <w:r w:rsidRPr="00A32EED">
              <w:rPr>
                <w:rFonts w:eastAsia="Calibri" w:cs="Arial"/>
              </w:rPr>
              <w:t>No</w:t>
            </w:r>
          </w:p>
        </w:tc>
        <w:tc>
          <w:tcPr>
            <w:tcW w:w="2731" w:type="dxa"/>
          </w:tcPr>
          <w:p w14:paraId="0E6DCF2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660</w:t>
            </w:r>
          </w:p>
        </w:tc>
        <w:tc>
          <w:tcPr>
            <w:tcW w:w="2680" w:type="dxa"/>
          </w:tcPr>
          <w:p w14:paraId="25AFEDF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37.29</w:t>
            </w:r>
          </w:p>
        </w:tc>
      </w:tr>
      <w:tr w:rsidR="004C4C39" w:rsidRPr="00A32EED" w14:paraId="66A5C152" w14:textId="77777777" w:rsidTr="0057347A">
        <w:trPr>
          <w:trHeight w:val="248"/>
        </w:trPr>
        <w:tc>
          <w:tcPr>
            <w:cnfStyle w:val="001000000000" w:firstRow="0" w:lastRow="0" w:firstColumn="1" w:lastColumn="0" w:oddVBand="0" w:evenVBand="0" w:oddHBand="0" w:evenHBand="0" w:firstRowFirstColumn="0" w:firstRowLastColumn="0" w:lastRowFirstColumn="0" w:lastRowLastColumn="0"/>
            <w:tcW w:w="2743" w:type="dxa"/>
          </w:tcPr>
          <w:p w14:paraId="346F13EE" w14:textId="77777777" w:rsidR="004C4C39" w:rsidRPr="00A32EED" w:rsidRDefault="004C4C39" w:rsidP="004C4C39">
            <w:pPr>
              <w:rPr>
                <w:rFonts w:eastAsia="Calibri" w:cs="Arial"/>
              </w:rPr>
            </w:pPr>
            <w:r w:rsidRPr="00A32EED">
              <w:rPr>
                <w:rFonts w:eastAsia="Calibri" w:cs="Arial"/>
              </w:rPr>
              <w:t>Total</w:t>
            </w:r>
          </w:p>
        </w:tc>
        <w:tc>
          <w:tcPr>
            <w:tcW w:w="2731" w:type="dxa"/>
          </w:tcPr>
          <w:p w14:paraId="245C581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r w:rsidRPr="00A32EED">
              <w:rPr>
                <w:rFonts w:eastAsia="Calibri" w:cs="Arial"/>
                <w:b/>
              </w:rPr>
              <w:t>1,770</w:t>
            </w:r>
          </w:p>
        </w:tc>
        <w:tc>
          <w:tcPr>
            <w:tcW w:w="2680" w:type="dxa"/>
          </w:tcPr>
          <w:p w14:paraId="05AD5BC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rPr>
            </w:pPr>
            <w:r w:rsidRPr="00A32EED">
              <w:rPr>
                <w:rFonts w:eastAsia="Calibri" w:cs="Arial"/>
                <w:b/>
              </w:rPr>
              <w:t>100</w:t>
            </w:r>
          </w:p>
        </w:tc>
      </w:tr>
    </w:tbl>
    <w:p w14:paraId="7FF64831" w14:textId="77777777" w:rsidR="004C4C39" w:rsidRPr="00A32EED" w:rsidRDefault="004C4C39" w:rsidP="004C4C39">
      <w:pPr>
        <w:spacing w:after="0" w:line="480" w:lineRule="auto"/>
        <w:rPr>
          <w:rFonts w:eastAsia="Calibri"/>
        </w:rPr>
      </w:pPr>
    </w:p>
    <w:p w14:paraId="7ACAEF50" w14:textId="17B09E22" w:rsidR="004C4C39" w:rsidRPr="00A32EED" w:rsidRDefault="004C4C39" w:rsidP="00C76ACA">
      <w:pPr>
        <w:spacing w:after="0" w:line="480" w:lineRule="auto"/>
        <w:rPr>
          <w:rFonts w:eastAsia="ＭＳ ゴシック"/>
          <w:i/>
          <w:color w:val="000000"/>
          <w:szCs w:val="26"/>
          <w:u w:val="single"/>
        </w:rPr>
      </w:pPr>
      <w:r w:rsidRPr="00A32EED">
        <w:rPr>
          <w:rFonts w:eastAsia="Calibri"/>
        </w:rPr>
        <w:lastRenderedPageBreak/>
        <w:tab/>
        <w:t xml:space="preserve">Coding respondents as no for criminal justice contact posed some unique difficulties compared to early sexual initiation and therefore was approached differently. The first difficulty is the result of the DE#71A question and the fact that these questions only ask about arrests in the past six months and not overall. Additionally, the question that does ask about any arrest ever (YL51A) is only asked of individuals who are 18 years or older. In consideration of this and in an attempt to maintain the most cases, all cases were initially coded as no criminal justice contact. As such, any individual who indicated an arrest in the past six months for question DE#71A at any wave indicated an arrest for any offense for question YL51A at wave 5, or had a summary code of incarcerated for any wave was subsequently recoded to yes for criminal justice contact. As such, there are no missing cases for criminal justice contact. Although not ideal, given the rare occurrence of arrest it is believed that, at worst, this approach will only under-estimate odds of incarceration. In total, 298 of 1,770 respondents (16.84%) had some form of criminal justice contact. </w:t>
      </w:r>
    </w:p>
    <w:p w14:paraId="564BCB18"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67" w:name="_Toc479938161"/>
      <w:bookmarkStart w:id="68" w:name="_Toc482112690"/>
      <w:r w:rsidRPr="00A32EED">
        <w:rPr>
          <w:rFonts w:eastAsia="ＭＳ ゴシック"/>
          <w:i/>
          <w:color w:val="000000"/>
          <w:szCs w:val="26"/>
          <w:u w:val="single"/>
        </w:rPr>
        <w:t>Population Heterogeneity Variables</w:t>
      </w:r>
      <w:bookmarkEnd w:id="67"/>
      <w:bookmarkEnd w:id="68"/>
    </w:p>
    <w:p w14:paraId="34BB3B73" w14:textId="77777777" w:rsidR="004C4C39" w:rsidRPr="00A32EED" w:rsidRDefault="004C4C39" w:rsidP="004C4C39">
      <w:pPr>
        <w:keepNext/>
        <w:keepLines/>
        <w:spacing w:before="40" w:after="0" w:line="480" w:lineRule="auto"/>
        <w:outlineLvl w:val="2"/>
        <w:rPr>
          <w:rFonts w:eastAsia="ＭＳ ゴシック"/>
          <w:i/>
          <w:color w:val="000000"/>
        </w:rPr>
      </w:pPr>
      <w:r w:rsidRPr="00A32EED">
        <w:rPr>
          <w:rFonts w:eastAsia="ＭＳ ゴシック"/>
          <w:i/>
          <w:color w:val="000000"/>
        </w:rPr>
        <w:tab/>
      </w:r>
      <w:bookmarkStart w:id="69" w:name="_Toc464641006"/>
      <w:bookmarkStart w:id="70" w:name="_Toc479938162"/>
      <w:bookmarkStart w:id="71" w:name="_Toc482112691"/>
      <w:r w:rsidRPr="00A32EED">
        <w:rPr>
          <w:rFonts w:eastAsia="ＭＳ ゴシック"/>
          <w:i/>
          <w:color w:val="000000"/>
        </w:rPr>
        <w:t>Population Heterogeneity Variables</w:t>
      </w:r>
      <w:bookmarkEnd w:id="69"/>
      <w:bookmarkEnd w:id="70"/>
      <w:bookmarkEnd w:id="71"/>
    </w:p>
    <w:p w14:paraId="0DE47B8E" w14:textId="77777777" w:rsidR="004C4C39" w:rsidRPr="00A32EED" w:rsidRDefault="004C4C39" w:rsidP="004C4C39">
      <w:pPr>
        <w:spacing w:after="0" w:line="480" w:lineRule="auto"/>
        <w:rPr>
          <w:rFonts w:eastAsia="Calibri"/>
        </w:rPr>
      </w:pPr>
      <w:r w:rsidRPr="00A32EED">
        <w:rPr>
          <w:rFonts w:eastAsia="Calibri"/>
        </w:rPr>
        <w:tab/>
        <w:t xml:space="preserve">As discussed in previous sections, items relating to population heterogeneity are believed to be established early in the life-course, remain stable, and operate as a risk factor for adverse outcomes throughout the life-course. Furthermore, given Nagin and Paternoster’s </w:t>
      </w:r>
      <w:r w:rsidRPr="00A32EED">
        <w:rPr>
          <w:rFonts w:eastAsia="Calibri"/>
        </w:rPr>
        <w:fldChar w:fldCharType="begin"/>
      </w:r>
      <w:r w:rsidRPr="00A32EED">
        <w:rPr>
          <w:rFonts w:eastAsia="Calibri"/>
        </w:rPr>
        <w:instrText xml:space="preserve"> ADDIN ZOTERO_ITEM CSL_CITATION {"citationID":"cjd4u418q","properties":{"formattedCitation":"(2000b)","plainCitation":"(2000b)"},"citationItems":[{"id":190,"uris":["http://zotero.org/users/1165382/items/CE3RQXEW"],"uri":["http://zotero.org/users/1165382/items/CE3RQXEW"],"itemData":{"id":190,"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1573-7799","note":"00000","shortTitle":"Population Heterogeneity and State Dependence","journalAbbreviation":"Journal of Quantitative Criminology","language":"en","author":[{"family":"Nagin","given":"Daniel"},{"family":"Paternoster","given":"Raymond"}],"issued":{"date-parts":[["2000",6,1]]}},"suppress-author":true}],"schema":"https://github.com/citation-style-language/schema/raw/master/csl-citation.json"} </w:instrText>
      </w:r>
      <w:r w:rsidRPr="00A32EED">
        <w:rPr>
          <w:rFonts w:eastAsia="Calibri"/>
        </w:rPr>
        <w:fldChar w:fldCharType="separate"/>
      </w:r>
      <w:r w:rsidRPr="00A32EED">
        <w:rPr>
          <w:rFonts w:eastAsia="Calibri"/>
          <w:noProof/>
        </w:rPr>
        <w:t>(2000)</w:t>
      </w:r>
      <w:r w:rsidRPr="00A32EED">
        <w:rPr>
          <w:rFonts w:eastAsia="Calibri"/>
        </w:rPr>
        <w:fldChar w:fldCharType="end"/>
      </w:r>
      <w:r w:rsidRPr="00A32EED">
        <w:rPr>
          <w:rFonts w:eastAsia="Calibri"/>
        </w:rPr>
        <w:t xml:space="preserve"> specific identification of Gottfredson and Hirschi’s </w:t>
      </w:r>
      <w:r w:rsidRPr="00A32EED">
        <w:rPr>
          <w:rFonts w:eastAsia="Calibri"/>
        </w:rPr>
        <w:fldChar w:fldCharType="begin"/>
      </w:r>
      <w:r w:rsidRPr="00A32EED">
        <w:rPr>
          <w:rFonts w:eastAsia="Calibri"/>
        </w:rPr>
        <w:instrText xml:space="preserve"> ADDIN ZOTERO_ITEM CSL_CITATION {"citationID":"266hr3uu6o","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concept of self-control as one of population heterogeneity, self-control is included in the analyses to control for </w:t>
      </w:r>
      <w:r w:rsidRPr="00A32EED">
        <w:rPr>
          <w:rFonts w:eastAsia="Calibri"/>
        </w:rPr>
        <w:lastRenderedPageBreak/>
        <w:t xml:space="preserve">population heterogeneity. The NSCAW data do not contain any independent measures of self-control. However, the NSCAW data do include the Behavior Problem Index (BPI) which has been used previously as a measure of self-control </w:t>
      </w:r>
      <w:r w:rsidRPr="00A32EED">
        <w:rPr>
          <w:rFonts w:eastAsia="Calibri"/>
        </w:rPr>
        <w:fldChar w:fldCharType="begin"/>
      </w:r>
      <w:r w:rsidRPr="00A32EED">
        <w:rPr>
          <w:rFonts w:eastAsia="Calibri"/>
        </w:rPr>
        <w:instrText xml:space="preserve"> ADDIN ZOTERO_ITEM CSL_CITATION {"citationID":"PHcP2GFQ","properties":{"formattedCitation":"(Chapple 2005; Hope and Chapple 2004; Turner and Piquero 2002)","plainCitation":"(Chapple 2005; Hope and Chapple 2004; Turner and Piquero 2002)"},"citationItems":[{"id":1446,"uris":["http://zotero.org/users/1165382/items/P2Z8HWP4"],"uri":["http://zotero.org/users/1165382/items/P2Z8HWP4"],"itemData":{"id":1446,"type":"article-journal","title":"Self</w:instrText>
      </w:r>
      <w:r w:rsidRPr="00A32EED">
        <w:rPr>
          <w:rFonts w:ascii="Calibri" w:eastAsia="Calibri" w:hAnsi="Calibri" w:cs="Calibri"/>
        </w:rPr>
        <w:instrText>‐</w:instrText>
      </w:r>
      <w:r w:rsidRPr="00A32EED">
        <w:rPr>
          <w:rFonts w:eastAsia="Calibri"/>
        </w:rPr>
        <w:instrText xml:space="preserve">control, peer relations, and delinquency","container-title":"Justice Quarterly","page":"89-106","volume":"22","issue":"1","source":"CrossRef","DOI":"10.1080/0741882042000333654","ISSN":"0741-8825, 1745-9109","note":"00162","language":"en","author":[{"family":"Chapple","given":"Constance L."}],"issued":{"date-parts":[["2005",3]]}}},{"id":1339,"uris":["http://zotero.org/users/1165382/items/E8CK7TTR"],"uri":["http://zotero.org/users/1165382/items/E8CK7TTR"],"itemData":{"id":1339,"type":"article-journal","title":"maternal characteristics, parenting, and adolescent sexual behavior: the role of self-control","container-title":"Deviant Behavior","page":"25-45","volume":"26","issue":"1","source":"Taylor and Francis+NEJM","abstract":"Gottfredson and Hirschi's general theory of crime has been extensively tested by researchers in the field of criminology, and measures of self-control have been shown to predict crime, delinquency, and deviance. With few exceptions, however, the theory has not been applied to the study of adolescent sexual behavior. Using data from the 1979 National Longitudinal Survey of Youth (NLSY79) and the Children of the NLSY79, this research explores the direct and indirect effects of parenting and self-control on adolescent sexual behavior. Self-control predicts engagement in sexual activity, the number of sex partners, and relationship to last sex partner. Self-control also mediates the relationship between certain parental behaviors and adolescent sexual behavior.","DOI":"10.1080/016396290500405","ISSN":"0163-9625","note":"00072","shortTitle":"maternal characteristics, parenting, and adolescent sexual behavior","author":[{"family":"Hope","given":"Trina L."},{"family":"Chapple","given":"Constance L."}],"issued":{"date-parts":[["2004",12,8]]}}},{"id":1343,"uris":["http://zotero.org/users/1165382/items/R6MABW5P"],"uri":["http://zotero.org/users/1165382/items/R6MABW5P"],"itemData":{"id":1343,"type":"article-journal","title":"The stability of self-control","container-title":"Journal of Criminal Justice","page":"457-471","volume":"30","issue":"6","source":"ScienceDirect","abstract":"Gottfredson and Hirschi's General Theory of Crime contends that low self-control interacts with opportunity to produce criminal and analogous behaviors. Although several theoretical and empirical attempts have been aimed at assessing the general theory, researchers have been slow to examine one of the central postulates of the general theory: the stability postulate. Gottfredson and Hirschi contend that once established by ages eight to ten, self-control remains relatively stable over the life-course. In the only study to address this question, Arneklev, Cochran, and Gainey found that self-control levels were relatively stable in a four month test–retest among college students. In this article, the work of Arneklev et al. is extended and examination is made of the stability postulate in childhood, adolescence, and early adulthood. Using a national probability sample, as well as behavioral and attitudinal measures of self-control, the results offer mixed support for Gottfredson and Hirschi's stability postulate. Theoretical and future research directions are advanced.","DOI":"10.1016/S0047-2352(02)00169-1","ISSN":"0047-2352","note":"00245","journalAbbreviation":"Journal of Criminal Justice","author":[{"family":"Turner","given":"Michael G"},{"family":"Piquero","given":"Alex R"}],"issued":{"date-parts":[["2002",11]]}}}],"schema":"https://github.com/citation-style-language/schema/raw/master/csl-citation.json"} </w:instrText>
      </w:r>
      <w:r w:rsidRPr="00A32EED">
        <w:rPr>
          <w:rFonts w:eastAsia="Calibri"/>
        </w:rPr>
        <w:fldChar w:fldCharType="separate"/>
      </w:r>
      <w:r w:rsidRPr="00A32EED">
        <w:rPr>
          <w:rFonts w:eastAsia="Calibri"/>
          <w:noProof/>
        </w:rPr>
        <w:t>(Chapple 2005; Hope and Chapple 2004; Turner and Piquero 2002)</w:t>
      </w:r>
      <w:r w:rsidRPr="00A32EED">
        <w:rPr>
          <w:rFonts w:eastAsia="Calibri"/>
        </w:rPr>
        <w:fldChar w:fldCharType="end"/>
      </w:r>
      <w:r w:rsidRPr="00A32EED">
        <w:rPr>
          <w:rFonts w:eastAsia="Calibri"/>
        </w:rPr>
        <w:t xml:space="preserve">. </w:t>
      </w:r>
    </w:p>
    <w:p w14:paraId="5C8408E1" w14:textId="77777777" w:rsidR="00A93294" w:rsidRDefault="004C4C39" w:rsidP="00C76ACA">
      <w:pPr>
        <w:spacing w:after="0" w:line="480" w:lineRule="auto"/>
        <w:ind w:firstLine="720"/>
        <w:rPr>
          <w:rFonts w:eastAsia="Calibri"/>
        </w:rPr>
      </w:pPr>
      <w:r w:rsidRPr="00A32EED">
        <w:rPr>
          <w:rFonts w:eastAsia="Calibri"/>
        </w:rPr>
        <w:t xml:space="preserve">Questions asked as part of the BPI can be found in Table 4.5. Bolded responses are related to self-control. Items form the BPI have the answer choices "not true," "sometimes true," and "often true." These answers were reverse coded so that higher scores indicate higher levels of self-control and a lower propensity for deviant behavior. The BPI instrument was given to the child’s caregiver at wave 2 if the child was at least 5 years old at the time of the interview. Of the 1,770 eligible children, 251(14.21%) were missing information needed from the BPI. Of those, 200 were the result of non-interviews due to the caregiver refusing to participate, being unlocatable, or being unable to be reached. The final 51 cases were due to partial interviews, item specific refusals/non-answers, and inadvertent skips. </w:t>
      </w:r>
    </w:p>
    <w:p w14:paraId="7C39D383" w14:textId="77777777" w:rsidR="00A93294" w:rsidRPr="00A32EED" w:rsidRDefault="00A93294" w:rsidP="00A93294">
      <w:pPr>
        <w:spacing w:after="0" w:line="480" w:lineRule="auto"/>
        <w:ind w:firstLine="720"/>
        <w:rPr>
          <w:rFonts w:eastAsia="Calibri"/>
          <w:i/>
          <w:iCs/>
          <w:color w:val="000000"/>
          <w:szCs w:val="18"/>
        </w:rPr>
      </w:pPr>
      <w:r w:rsidRPr="00A32EED">
        <w:rPr>
          <w:rFonts w:eastAsia="Calibri"/>
        </w:rPr>
        <w:t xml:space="preserve">To create a low self-control scale from the BPI the process originally used originally by Turner and Piquero </w:t>
      </w:r>
      <w:r w:rsidRPr="00A32EED">
        <w:rPr>
          <w:rFonts w:eastAsia="Calibri"/>
        </w:rPr>
        <w:fldChar w:fldCharType="begin"/>
      </w:r>
      <w:r w:rsidRPr="00A32EED">
        <w:rPr>
          <w:rFonts w:eastAsia="Calibri"/>
        </w:rPr>
        <w:instrText xml:space="preserve"> ADDIN ZOTERO_ITEM CSL_CITATION {"citationID":"2hvs4ofqrn","properties":{"formattedCitation":"(2002)","plainCitation":"(2002)"},"citationItems":[{"id":1343,"uris":["http://zotero.org/users/1165382/items/R6MABW5P"],"uri":["http://zotero.org/users/1165382/items/R6MABW5P"],"itemData":{"id":1343,"type":"article-journal","title":"The stability of self-control","container-title":"Journal of Criminal Justice","page":"457-471","volume":"30","issue":"6","source":"ScienceDirect","abstract":"Gottfredson and Hirschi's General Theory of Crime contends that low self-control interacts with opportunity to produce criminal and analogous behaviors. Although several theoretical and empirical attempts have been aimed at assessing the general theory, researchers have been slow to examine one of the central postulates of the general theory: the stability postulate. Gottfredson and Hirschi contend that once established by ages eight to ten, self-control remains relatively stable over the life-course. In the only study to address this question, Arneklev, Cochran, and Gainey found that self-control levels were relatively stable in a four month test–retest among college students. In this article, the work of Arneklev et al. is extended and examination is made of the stability postulate in childhood, adolescence, and early adulthood. Using a national probability sample, as well as behavioral and attitudinal measures of self-control, the results offer mixed support for Gottfredson and Hirschi's stability postulate. Theoretical and future research directions are advanced.","DOI":"10.1016/S0047-2352(02)00169-1","ISSN":"0047-2352","note":"00245","journalAbbreviation":"Journal of Criminal Justice","author":[{"family":"Turner","given":"Michael G"},{"family":"Piquero","given":"Alex R"}],"issued":{"date-parts":[["2002",11]]}},"suppress-author":true}],"schema":"https://github.com/citation-style-language/schema/raw/master/csl-citation.json"} </w:instrText>
      </w:r>
      <w:r w:rsidRPr="00A32EED">
        <w:rPr>
          <w:rFonts w:eastAsia="Calibri"/>
        </w:rPr>
        <w:fldChar w:fldCharType="separate"/>
      </w:r>
      <w:r w:rsidRPr="00A32EED">
        <w:rPr>
          <w:rFonts w:eastAsia="Calibri"/>
          <w:noProof/>
        </w:rPr>
        <w:t>(2002)</w:t>
      </w:r>
      <w:r w:rsidRPr="00A32EED">
        <w:rPr>
          <w:rFonts w:eastAsia="Calibri"/>
        </w:rPr>
        <w:fldChar w:fldCharType="end"/>
      </w:r>
      <w:r w:rsidRPr="00A32EED">
        <w:rPr>
          <w:rFonts w:eastAsia="Calibri"/>
        </w:rPr>
        <w:t xml:space="preserve"> and later by Chapple and colleagues </w:t>
      </w:r>
      <w:r w:rsidRPr="00A32EED">
        <w:rPr>
          <w:rFonts w:eastAsia="Calibri"/>
        </w:rPr>
        <w:fldChar w:fldCharType="begin"/>
      </w:r>
      <w:r w:rsidRPr="00A32EED">
        <w:rPr>
          <w:rFonts w:eastAsia="Calibri"/>
        </w:rPr>
        <w:instrText xml:space="preserve"> ADDIN ZOTERO_ITEM CSL_CITATION {"citationID":"vpxhtH2I","properties":{"formattedCitation":"(2005; 2004)","plainCitation":"(2005; 2004)"},"citationItems":[{"id":1446,"uris":["http://zotero.org/users/1165382/items/P2Z8HWP4"],"uri":["http://zotero.org/users/1165382/items/P2Z8HWP4"],"itemData":{"id":1446,"type":"article-journal","title":"Self</w:instrText>
      </w:r>
      <w:r w:rsidRPr="00A32EED">
        <w:rPr>
          <w:rFonts w:ascii="Calibri" w:eastAsia="Calibri" w:hAnsi="Calibri" w:cs="Calibri"/>
        </w:rPr>
        <w:instrText>‐</w:instrText>
      </w:r>
      <w:r w:rsidRPr="00A32EED">
        <w:rPr>
          <w:rFonts w:eastAsia="Calibri"/>
        </w:rPr>
        <w:instrText xml:space="preserve">control, peer relations, and delinquency","container-title":"Justice Quarterly","page":"89-106","volume":"22","issue":"1","source":"CrossRef","DOI":"10.1080/0741882042000333654","ISSN":"0741-8825, 1745-9109","note":"00162","language":"en","author":[{"family":"Chapple","given":"Constance L."}],"issued":{"date-parts":[["2005",3]]}},"suppress-author":true},{"id":1339,"uris":["http://zotero.org/users/1165382/items/E8CK7TTR"],"uri":["http://zotero.org/users/1165382/items/E8CK7TTR"],"itemData":{"id":1339,"type":"article-journal","title":"maternal characteristics, parenting, and adolescent sexual behavior: the role of self-control","container-title":"Deviant Behavior","page":"25-45","volume":"26","issue":"1","source":"Taylor and Francis+NEJM","abstract":"Gottfredson and Hirschi's general theory of crime has been extensively tested by researchers in the field of criminology, and measures of self-control have been shown to predict crime, delinquency, and deviance. With few exceptions, however, the theory has not been applied to the study of adolescent sexual behavior. Using data from the 1979 National Longitudinal Survey of Youth (NLSY79) and the Children of the NLSY79, this research explores the direct and indirect effects of parenting and self-control on adolescent sexual behavior. Self-control predicts engagement in sexual activity, the number of sex partners, and relationship to last sex partner. Self-control also mediates the relationship between certain parental behaviors and adolescent sexual behavior.","DOI":"10.1080/016396290500405","ISSN":"0163-9625","note":"00072","shortTitle":"maternal characteristics, parenting, and adolescent sexual behavior","author":[{"family":"Hope","given":"Trina L."},{"family":"Chapple","given":"Constance L."}],"issued":{"date-parts":[["2004",12,8]]}},"suppress-author":true}],"schema":"https://github.com/citation-style-language/schema/raw/master/csl-citation.json"} </w:instrText>
      </w:r>
      <w:r w:rsidRPr="00A32EED">
        <w:rPr>
          <w:rFonts w:eastAsia="Calibri"/>
        </w:rPr>
        <w:fldChar w:fldCharType="separate"/>
      </w:r>
      <w:r w:rsidRPr="00A32EED">
        <w:rPr>
          <w:rFonts w:eastAsia="Calibri"/>
          <w:noProof/>
        </w:rPr>
        <w:t>(2005; 2004)</w:t>
      </w:r>
      <w:r w:rsidRPr="00A32EED">
        <w:rPr>
          <w:rFonts w:eastAsia="Calibri"/>
        </w:rPr>
        <w:fldChar w:fldCharType="end"/>
      </w:r>
      <w:r w:rsidRPr="00A32EED">
        <w:rPr>
          <w:rFonts w:eastAsia="Calibri"/>
        </w:rPr>
        <w:t xml:space="preserve"> was followed. This process is believed to result in a self-control scale that captures impulsivity, simple tasks, risk seeking, physical activities, self-centeredness, and quick temper. A total of thirteen items believed to be related to self-control were entered into a principal components factor analysis with varimax rotation. Results from the analysis are found in Table 4.6. From the analyses, one factor emerged. Hair et al. </w:t>
      </w:r>
      <w:r w:rsidRPr="00A32EED">
        <w:rPr>
          <w:rFonts w:eastAsia="Calibri"/>
        </w:rPr>
        <w:fldChar w:fldCharType="begin"/>
      </w:r>
      <w:r w:rsidRPr="00A32EED">
        <w:rPr>
          <w:rFonts w:eastAsia="Calibri"/>
        </w:rPr>
        <w:instrText xml:space="preserve"> ADDIN ZOTERO_ITEM CSL_CITATION {"citationID":"182tp78d16","properties":{"formattedCitation":"(2014)","plainCitation":"(2014)"},"citationItems":[{"id":1480,"uris":["http://zotero.org/users/1165382/items/AHV64KB4"],"uri":["http://zotero.org/users/1165382/items/AHV64KB4"],"itemData":{"id":1480,"type":"book","title":"Multivariate data analysis","collection-title":"Pearson custom library","publisher":"Pearson","publisher-place":"Harlow","number-of-pages":"734","edition":"7. ed., Pearson new internat. ed","source":"Lulu","event-place":"Harlow","ISBN":"978-1-292-02190-4","note":"13657 \nOCLC: 862816368","language":"eng","editor":[{"family":"Hair","given":"Joseph F."}],"issued":{"date-parts":[["2014"]]}},"suppress-author":true}],"schema":"https://github.com/citation-style-language/schema/raw/master/csl-citation.json"} </w:instrText>
      </w:r>
      <w:r w:rsidRPr="00A32EED">
        <w:rPr>
          <w:rFonts w:eastAsia="Calibri"/>
        </w:rPr>
        <w:fldChar w:fldCharType="separate"/>
      </w:r>
      <w:r w:rsidRPr="00A32EED">
        <w:rPr>
          <w:rFonts w:eastAsia="Calibri"/>
          <w:noProof/>
        </w:rPr>
        <w:t>(2014)</w:t>
      </w:r>
      <w:r w:rsidRPr="00A32EED">
        <w:rPr>
          <w:rFonts w:eastAsia="Calibri"/>
        </w:rPr>
        <w:fldChar w:fldCharType="end"/>
      </w:r>
      <w:r w:rsidRPr="00A32EED">
        <w:rPr>
          <w:rFonts w:eastAsia="Calibri"/>
        </w:rPr>
        <w:t xml:space="preserve"> provide suggestions </w:t>
      </w:r>
      <w:r w:rsidRPr="00A32EED">
        <w:rPr>
          <w:rFonts w:eastAsia="Calibri"/>
        </w:rPr>
        <w:lastRenderedPageBreak/>
        <w:t>for factor variable cutoffs for practical significance based on sample size. They suggest that for samples with a sample of at least 350, a factor cutoff of .3 can be used. Based on these recommendations and this studies sample sizes, a total of 10 items were kept in the self-control scale. Items of being restless, having difficulty concentrating, and poor school performance we removed from the self-control measure. The alpha reliability for the scale is .89. The unweighted mean self-control score is 13.29, with a range of 0-20.</w:t>
      </w:r>
    </w:p>
    <w:p w14:paraId="5CC34628" w14:textId="50558771" w:rsidR="004C4C39" w:rsidRPr="00A32EED" w:rsidRDefault="004C4C39" w:rsidP="00C76ACA">
      <w:pPr>
        <w:spacing w:after="0" w:line="480" w:lineRule="auto"/>
        <w:ind w:firstLine="720"/>
        <w:rPr>
          <w:rFonts w:eastAsia="Calibri"/>
        </w:rPr>
      </w:pPr>
      <w:r w:rsidRPr="00A32EED">
        <w:rPr>
          <w:rFonts w:eastAsia="Calibri"/>
        </w:rPr>
        <w:br w:type="page"/>
      </w:r>
    </w:p>
    <w:p w14:paraId="4A675A27" w14:textId="77777777" w:rsidR="004C4C39" w:rsidRPr="00A32EED" w:rsidRDefault="004C4C39" w:rsidP="0023176A">
      <w:pPr>
        <w:pStyle w:val="Caption1"/>
        <w:rPr>
          <w:rFonts w:eastAsia="Calibri"/>
          <w:u w:val="single"/>
        </w:rPr>
      </w:pPr>
      <w:bookmarkStart w:id="72" w:name="_Toc479941218"/>
      <w:r w:rsidRPr="00A32EED">
        <w:rPr>
          <w:rFonts w:eastAsia="Calibri"/>
        </w:rPr>
        <w:lastRenderedPageBreak/>
        <w:t>Table 4.</w:t>
      </w:r>
      <w:r w:rsidRPr="00A32EED">
        <w:rPr>
          <w:rFonts w:eastAsia="Calibri"/>
        </w:rPr>
        <w:fldChar w:fldCharType="begin"/>
      </w:r>
      <w:r w:rsidRPr="00A32EED">
        <w:rPr>
          <w:rFonts w:eastAsia="Calibri"/>
        </w:rPr>
        <w:instrText xml:space="preserve"> SEQ Table_4. \* ARABIC </w:instrText>
      </w:r>
      <w:r w:rsidRPr="00A32EED">
        <w:rPr>
          <w:rFonts w:eastAsia="Calibri"/>
        </w:rPr>
        <w:fldChar w:fldCharType="separate"/>
      </w:r>
      <w:r w:rsidR="00FA12E2">
        <w:rPr>
          <w:rFonts w:eastAsia="Calibri"/>
          <w:noProof/>
        </w:rPr>
        <w:t>5</w:t>
      </w:r>
      <w:r w:rsidRPr="00A32EED">
        <w:rPr>
          <w:rFonts w:eastAsia="Calibri"/>
          <w:noProof/>
        </w:rPr>
        <w:fldChar w:fldCharType="end"/>
      </w:r>
      <w:r w:rsidRPr="00A32EED">
        <w:rPr>
          <w:rFonts w:eastAsia="Calibri"/>
        </w:rPr>
        <w:t>: Behavior Problem Index Questions</w:t>
      </w:r>
      <w:bookmarkEnd w:id="72"/>
    </w:p>
    <w:p w14:paraId="79FA5A0A" w14:textId="77777777" w:rsidR="004C4C39" w:rsidRPr="00A32EED" w:rsidRDefault="004C4C39" w:rsidP="003B20AE">
      <w:pPr>
        <w:numPr>
          <w:ilvl w:val="0"/>
          <w:numId w:val="7"/>
        </w:numPr>
        <w:spacing w:after="0"/>
        <w:rPr>
          <w:rFonts w:eastAsia="Calibri"/>
        </w:rPr>
      </w:pPr>
      <w:r w:rsidRPr="00A32EED">
        <w:rPr>
          <w:rFonts w:eastAsia="Calibri"/>
        </w:rPr>
        <w:t>Has sudden changes in mood or feelings.</w:t>
      </w:r>
    </w:p>
    <w:p w14:paraId="145D239A" w14:textId="77777777" w:rsidR="004C4C39" w:rsidRPr="00A32EED" w:rsidRDefault="004C4C39" w:rsidP="003B20AE">
      <w:pPr>
        <w:numPr>
          <w:ilvl w:val="0"/>
          <w:numId w:val="7"/>
        </w:numPr>
        <w:spacing w:after="0"/>
        <w:rPr>
          <w:rFonts w:eastAsia="Calibri"/>
        </w:rPr>
      </w:pPr>
      <w:r w:rsidRPr="00A32EED">
        <w:rPr>
          <w:rFonts w:eastAsia="Calibri"/>
        </w:rPr>
        <w:t>Is warm and loving.</w:t>
      </w:r>
    </w:p>
    <w:p w14:paraId="542B890F" w14:textId="77777777" w:rsidR="004C4C39" w:rsidRPr="00A32EED" w:rsidRDefault="004C4C39" w:rsidP="003B20AE">
      <w:pPr>
        <w:numPr>
          <w:ilvl w:val="0"/>
          <w:numId w:val="7"/>
        </w:numPr>
        <w:spacing w:after="0"/>
        <w:rPr>
          <w:rFonts w:eastAsia="Calibri"/>
        </w:rPr>
      </w:pPr>
      <w:r w:rsidRPr="00A32EED">
        <w:rPr>
          <w:rFonts w:eastAsia="Calibri"/>
        </w:rPr>
        <w:t>Feels or complains that no one loves [fill him/her].</w:t>
      </w:r>
    </w:p>
    <w:p w14:paraId="2535F48B" w14:textId="77777777" w:rsidR="004C4C39" w:rsidRPr="00A32EED" w:rsidRDefault="004C4C39" w:rsidP="003B20AE">
      <w:pPr>
        <w:numPr>
          <w:ilvl w:val="0"/>
          <w:numId w:val="7"/>
        </w:numPr>
        <w:spacing w:after="0"/>
        <w:rPr>
          <w:rFonts w:eastAsia="Calibri"/>
        </w:rPr>
      </w:pPr>
      <w:r w:rsidRPr="00A32EED">
        <w:rPr>
          <w:rFonts w:eastAsia="Calibri"/>
        </w:rPr>
        <w:t>Is rather high-strung, tense, or nervous.</w:t>
      </w:r>
    </w:p>
    <w:p w14:paraId="21F34826" w14:textId="77777777" w:rsidR="004C4C39" w:rsidRPr="00A32EED" w:rsidRDefault="004C4C39" w:rsidP="003B20AE">
      <w:pPr>
        <w:numPr>
          <w:ilvl w:val="0"/>
          <w:numId w:val="7"/>
        </w:numPr>
        <w:spacing w:after="0"/>
        <w:rPr>
          <w:rFonts w:eastAsia="Calibri"/>
          <w:b/>
        </w:rPr>
      </w:pPr>
      <w:r w:rsidRPr="00A32EED">
        <w:rPr>
          <w:rFonts w:eastAsia="Calibri"/>
          <w:b/>
        </w:rPr>
        <w:t>Cheats or tells lies.</w:t>
      </w:r>
    </w:p>
    <w:p w14:paraId="0D239081" w14:textId="77777777" w:rsidR="004C4C39" w:rsidRPr="00A32EED" w:rsidRDefault="004C4C39" w:rsidP="003B20AE">
      <w:pPr>
        <w:numPr>
          <w:ilvl w:val="0"/>
          <w:numId w:val="7"/>
        </w:numPr>
        <w:spacing w:after="0"/>
        <w:rPr>
          <w:rFonts w:eastAsia="Calibri"/>
        </w:rPr>
      </w:pPr>
      <w:r w:rsidRPr="00A32EED">
        <w:rPr>
          <w:rFonts w:eastAsia="Calibri"/>
        </w:rPr>
        <w:t>Is too fearful or anxious.</w:t>
      </w:r>
    </w:p>
    <w:p w14:paraId="286B6F45" w14:textId="77777777" w:rsidR="004C4C39" w:rsidRPr="00A32EED" w:rsidRDefault="004C4C39" w:rsidP="003B20AE">
      <w:pPr>
        <w:numPr>
          <w:ilvl w:val="0"/>
          <w:numId w:val="7"/>
        </w:numPr>
        <w:spacing w:after="0"/>
        <w:rPr>
          <w:rFonts w:eastAsia="Calibri"/>
        </w:rPr>
      </w:pPr>
      <w:r w:rsidRPr="00A32EED">
        <w:rPr>
          <w:rFonts w:eastAsia="Calibri"/>
        </w:rPr>
        <w:t>Gets along well with other children.</w:t>
      </w:r>
    </w:p>
    <w:p w14:paraId="3C986BB4" w14:textId="77777777" w:rsidR="004C4C39" w:rsidRPr="00A32EED" w:rsidRDefault="004C4C39" w:rsidP="003B20AE">
      <w:pPr>
        <w:numPr>
          <w:ilvl w:val="0"/>
          <w:numId w:val="7"/>
        </w:numPr>
        <w:spacing w:after="0"/>
        <w:rPr>
          <w:rFonts w:eastAsia="Calibri"/>
          <w:b/>
        </w:rPr>
      </w:pPr>
      <w:r w:rsidRPr="00A32EED">
        <w:rPr>
          <w:rFonts w:eastAsia="Calibri"/>
          <w:b/>
        </w:rPr>
        <w:t>Argues too much.</w:t>
      </w:r>
    </w:p>
    <w:p w14:paraId="3E68B6BA" w14:textId="77777777" w:rsidR="004C4C39" w:rsidRPr="00A32EED" w:rsidRDefault="004C4C39" w:rsidP="003B20AE">
      <w:pPr>
        <w:numPr>
          <w:ilvl w:val="0"/>
          <w:numId w:val="7"/>
        </w:numPr>
        <w:spacing w:after="0"/>
        <w:rPr>
          <w:rFonts w:eastAsia="Calibri"/>
          <w:b/>
        </w:rPr>
      </w:pPr>
      <w:r w:rsidRPr="00A32EED">
        <w:rPr>
          <w:rFonts w:eastAsia="Calibri"/>
          <w:b/>
        </w:rPr>
        <w:t>Has difficulty concentrating or cannot pay attention for long.</w:t>
      </w:r>
    </w:p>
    <w:p w14:paraId="5236CB58" w14:textId="77777777" w:rsidR="004C4C39" w:rsidRPr="00A32EED" w:rsidRDefault="004C4C39" w:rsidP="003B20AE">
      <w:pPr>
        <w:numPr>
          <w:ilvl w:val="0"/>
          <w:numId w:val="7"/>
        </w:numPr>
        <w:spacing w:after="0"/>
        <w:rPr>
          <w:rFonts w:eastAsia="Calibri"/>
        </w:rPr>
      </w:pPr>
      <w:r w:rsidRPr="00A32EED">
        <w:rPr>
          <w:rFonts w:eastAsia="Calibri"/>
        </w:rPr>
        <w:t>Is easily confused or seems to be in a fog.</w:t>
      </w:r>
    </w:p>
    <w:p w14:paraId="1B23DDA4" w14:textId="77777777" w:rsidR="004C4C39" w:rsidRPr="00A32EED" w:rsidRDefault="004C4C39" w:rsidP="003B20AE">
      <w:pPr>
        <w:numPr>
          <w:ilvl w:val="0"/>
          <w:numId w:val="7"/>
        </w:numPr>
        <w:spacing w:after="0"/>
        <w:rPr>
          <w:rFonts w:eastAsia="Calibri"/>
          <w:b/>
        </w:rPr>
      </w:pPr>
      <w:r w:rsidRPr="00A32EED">
        <w:rPr>
          <w:rFonts w:eastAsia="Calibri"/>
          <w:b/>
        </w:rPr>
        <w:t>Bullies, or is cruel or mean to others.</w:t>
      </w:r>
    </w:p>
    <w:p w14:paraId="49FA9AEB" w14:textId="77777777" w:rsidR="004C4C39" w:rsidRPr="00A32EED" w:rsidRDefault="004C4C39" w:rsidP="003B20AE">
      <w:pPr>
        <w:numPr>
          <w:ilvl w:val="0"/>
          <w:numId w:val="7"/>
        </w:numPr>
        <w:spacing w:after="0"/>
        <w:rPr>
          <w:rFonts w:eastAsia="Calibri"/>
        </w:rPr>
      </w:pPr>
      <w:r w:rsidRPr="00A32EED">
        <w:rPr>
          <w:rFonts w:eastAsia="Calibri"/>
        </w:rPr>
        <w:t>Is admired and well-liked by other children.</w:t>
      </w:r>
    </w:p>
    <w:p w14:paraId="2E160802" w14:textId="77777777" w:rsidR="004C4C39" w:rsidRPr="00A32EED" w:rsidRDefault="004C4C39" w:rsidP="003B20AE">
      <w:pPr>
        <w:numPr>
          <w:ilvl w:val="0"/>
          <w:numId w:val="7"/>
        </w:numPr>
        <w:spacing w:after="0"/>
        <w:rPr>
          <w:rFonts w:eastAsia="Calibri"/>
          <w:b/>
        </w:rPr>
      </w:pPr>
      <w:r w:rsidRPr="00A32EED">
        <w:rPr>
          <w:rFonts w:eastAsia="Calibri"/>
          <w:b/>
        </w:rPr>
        <w:t>Is disobedient at home.</w:t>
      </w:r>
    </w:p>
    <w:p w14:paraId="1E3DF804" w14:textId="77777777" w:rsidR="004C4C39" w:rsidRPr="00A32EED" w:rsidRDefault="004C4C39" w:rsidP="003B20AE">
      <w:pPr>
        <w:numPr>
          <w:ilvl w:val="0"/>
          <w:numId w:val="7"/>
        </w:numPr>
        <w:spacing w:after="0"/>
        <w:rPr>
          <w:rFonts w:eastAsia="Calibri"/>
          <w:b/>
        </w:rPr>
      </w:pPr>
      <w:r w:rsidRPr="00A32EED">
        <w:rPr>
          <w:rFonts w:eastAsia="Calibri"/>
          <w:b/>
        </w:rPr>
        <w:t>Does not seem to feel sorry after [fill he/she] misbehaves.</w:t>
      </w:r>
    </w:p>
    <w:p w14:paraId="4A606946" w14:textId="77777777" w:rsidR="004C4C39" w:rsidRPr="00A32EED" w:rsidRDefault="004C4C39" w:rsidP="003B20AE">
      <w:pPr>
        <w:numPr>
          <w:ilvl w:val="0"/>
          <w:numId w:val="7"/>
        </w:numPr>
        <w:spacing w:after="0"/>
        <w:rPr>
          <w:rFonts w:eastAsia="Calibri"/>
          <w:b/>
        </w:rPr>
      </w:pPr>
      <w:r w:rsidRPr="00A32EED">
        <w:rPr>
          <w:rFonts w:eastAsia="Calibri"/>
          <w:b/>
        </w:rPr>
        <w:t>Has trouble getting along with other children.</w:t>
      </w:r>
    </w:p>
    <w:p w14:paraId="6FB388A1" w14:textId="77777777" w:rsidR="004C4C39" w:rsidRPr="00A32EED" w:rsidRDefault="004C4C39" w:rsidP="003B20AE">
      <w:pPr>
        <w:numPr>
          <w:ilvl w:val="0"/>
          <w:numId w:val="7"/>
        </w:numPr>
        <w:spacing w:after="0"/>
        <w:rPr>
          <w:rFonts w:eastAsia="Calibri"/>
          <w:b/>
        </w:rPr>
      </w:pPr>
      <w:r w:rsidRPr="00A32EED">
        <w:rPr>
          <w:rFonts w:eastAsia="Calibri"/>
          <w:b/>
        </w:rPr>
        <w:t>Is impulsive, or acts without thinking.</w:t>
      </w:r>
    </w:p>
    <w:p w14:paraId="558D7F66" w14:textId="77777777" w:rsidR="004C4C39" w:rsidRPr="00A32EED" w:rsidRDefault="004C4C39" w:rsidP="003B20AE">
      <w:pPr>
        <w:numPr>
          <w:ilvl w:val="0"/>
          <w:numId w:val="7"/>
        </w:numPr>
        <w:spacing w:after="0"/>
        <w:rPr>
          <w:rFonts w:eastAsia="Calibri"/>
        </w:rPr>
      </w:pPr>
      <w:r w:rsidRPr="00A32EED">
        <w:rPr>
          <w:rFonts w:eastAsia="Calibri"/>
        </w:rPr>
        <w:t>Shows concern for other people’s feelings.</w:t>
      </w:r>
    </w:p>
    <w:p w14:paraId="305D5016" w14:textId="77777777" w:rsidR="004C4C39" w:rsidRPr="00A32EED" w:rsidRDefault="004C4C39" w:rsidP="003B20AE">
      <w:pPr>
        <w:numPr>
          <w:ilvl w:val="0"/>
          <w:numId w:val="7"/>
        </w:numPr>
        <w:spacing w:after="0"/>
        <w:rPr>
          <w:rFonts w:eastAsia="Calibri"/>
        </w:rPr>
      </w:pPr>
      <w:r w:rsidRPr="00A32EED">
        <w:rPr>
          <w:rFonts w:eastAsia="Calibri"/>
        </w:rPr>
        <w:t>Feels worthless or inferior.</w:t>
      </w:r>
    </w:p>
    <w:p w14:paraId="06D62247" w14:textId="77777777" w:rsidR="004C4C39" w:rsidRPr="00A32EED" w:rsidRDefault="004C4C39" w:rsidP="003B20AE">
      <w:pPr>
        <w:numPr>
          <w:ilvl w:val="0"/>
          <w:numId w:val="7"/>
        </w:numPr>
        <w:spacing w:after="0"/>
        <w:rPr>
          <w:rFonts w:eastAsia="Calibri"/>
        </w:rPr>
      </w:pPr>
      <w:r w:rsidRPr="00A32EED">
        <w:rPr>
          <w:rFonts w:eastAsia="Calibri"/>
        </w:rPr>
        <w:t>Is not liked by other children.</w:t>
      </w:r>
    </w:p>
    <w:p w14:paraId="5FEDBFCE" w14:textId="77777777" w:rsidR="004C4C39" w:rsidRPr="00A32EED" w:rsidRDefault="004C4C39" w:rsidP="003B20AE">
      <w:pPr>
        <w:numPr>
          <w:ilvl w:val="0"/>
          <w:numId w:val="7"/>
        </w:numPr>
        <w:spacing w:after="0"/>
        <w:rPr>
          <w:rFonts w:eastAsia="Calibri"/>
        </w:rPr>
      </w:pPr>
      <w:r w:rsidRPr="00A32EED">
        <w:rPr>
          <w:rFonts w:eastAsia="Calibri"/>
        </w:rPr>
        <w:t>Has a lot of difficulty getting [fill his/her] mind off certain thoughts or has obsessions.</w:t>
      </w:r>
    </w:p>
    <w:p w14:paraId="3EE41CA6" w14:textId="77777777" w:rsidR="004C4C39" w:rsidRPr="00A32EED" w:rsidRDefault="004C4C39" w:rsidP="003B20AE">
      <w:pPr>
        <w:numPr>
          <w:ilvl w:val="0"/>
          <w:numId w:val="7"/>
        </w:numPr>
        <w:spacing w:after="0"/>
        <w:rPr>
          <w:rFonts w:eastAsia="Calibri"/>
          <w:b/>
        </w:rPr>
      </w:pPr>
      <w:r w:rsidRPr="00A32EED">
        <w:rPr>
          <w:rFonts w:eastAsia="Calibri"/>
          <w:b/>
        </w:rPr>
        <w:t>Is restless or cannot sit still.</w:t>
      </w:r>
    </w:p>
    <w:p w14:paraId="502BEBD6" w14:textId="77777777" w:rsidR="004C4C39" w:rsidRPr="00A32EED" w:rsidRDefault="004C4C39" w:rsidP="003B20AE">
      <w:pPr>
        <w:numPr>
          <w:ilvl w:val="0"/>
          <w:numId w:val="7"/>
        </w:numPr>
        <w:spacing w:after="0"/>
        <w:rPr>
          <w:rFonts w:eastAsia="Calibri"/>
        </w:rPr>
      </w:pPr>
      <w:r w:rsidRPr="00A32EED">
        <w:rPr>
          <w:rFonts w:eastAsia="Calibri"/>
        </w:rPr>
        <w:t>Is helpful and cooperative.</w:t>
      </w:r>
    </w:p>
    <w:p w14:paraId="40036149" w14:textId="77777777" w:rsidR="004C4C39" w:rsidRPr="00A32EED" w:rsidRDefault="004C4C39" w:rsidP="003B20AE">
      <w:pPr>
        <w:numPr>
          <w:ilvl w:val="0"/>
          <w:numId w:val="7"/>
        </w:numPr>
        <w:spacing w:after="0"/>
        <w:rPr>
          <w:rFonts w:eastAsia="Calibri"/>
          <w:b/>
        </w:rPr>
      </w:pPr>
      <w:r w:rsidRPr="00A32EED">
        <w:rPr>
          <w:rFonts w:eastAsia="Calibri"/>
          <w:b/>
        </w:rPr>
        <w:t>Is stubborn, sullen, or irritable.</w:t>
      </w:r>
    </w:p>
    <w:p w14:paraId="5CB8009D" w14:textId="77777777" w:rsidR="004C4C39" w:rsidRPr="00A32EED" w:rsidRDefault="004C4C39" w:rsidP="003B20AE">
      <w:pPr>
        <w:numPr>
          <w:ilvl w:val="0"/>
          <w:numId w:val="7"/>
        </w:numPr>
        <w:spacing w:after="0"/>
        <w:rPr>
          <w:rFonts w:eastAsia="Calibri"/>
          <w:b/>
        </w:rPr>
      </w:pPr>
      <w:r w:rsidRPr="00A32EED">
        <w:rPr>
          <w:rFonts w:eastAsia="Calibri"/>
          <w:b/>
        </w:rPr>
        <w:t>Has a very strong temper and loses it easily.</w:t>
      </w:r>
    </w:p>
    <w:p w14:paraId="19FC71BC" w14:textId="77777777" w:rsidR="004C4C39" w:rsidRPr="00A32EED" w:rsidRDefault="004C4C39" w:rsidP="003B20AE">
      <w:pPr>
        <w:numPr>
          <w:ilvl w:val="0"/>
          <w:numId w:val="7"/>
        </w:numPr>
        <w:spacing w:after="0"/>
        <w:rPr>
          <w:rFonts w:eastAsia="Calibri"/>
        </w:rPr>
      </w:pPr>
      <w:r w:rsidRPr="00A32EED">
        <w:rPr>
          <w:rFonts w:eastAsia="Calibri"/>
        </w:rPr>
        <w:t>Is unhappy, sad, or depressed.</w:t>
      </w:r>
    </w:p>
    <w:p w14:paraId="04A405F4" w14:textId="77777777" w:rsidR="004C4C39" w:rsidRPr="00A32EED" w:rsidRDefault="004C4C39" w:rsidP="003B20AE">
      <w:pPr>
        <w:numPr>
          <w:ilvl w:val="0"/>
          <w:numId w:val="7"/>
        </w:numPr>
        <w:spacing w:after="0"/>
        <w:rPr>
          <w:rFonts w:eastAsia="Calibri"/>
        </w:rPr>
      </w:pPr>
      <w:r w:rsidRPr="00A32EED">
        <w:rPr>
          <w:rFonts w:eastAsia="Calibri"/>
        </w:rPr>
        <w:t>Is withdrawn or does not get involved with others</w:t>
      </w:r>
    </w:p>
    <w:p w14:paraId="23850E26" w14:textId="77777777" w:rsidR="004C4C39" w:rsidRPr="00A32EED" w:rsidRDefault="004C4C39" w:rsidP="003B20AE">
      <w:pPr>
        <w:numPr>
          <w:ilvl w:val="0"/>
          <w:numId w:val="7"/>
        </w:numPr>
        <w:spacing w:after="0"/>
        <w:rPr>
          <w:rFonts w:eastAsia="Calibri"/>
        </w:rPr>
      </w:pPr>
      <w:r w:rsidRPr="00A32EED">
        <w:rPr>
          <w:rFonts w:eastAsia="Calibri"/>
        </w:rPr>
        <w:t>Is considerate and thoughtful to other children.</w:t>
      </w:r>
    </w:p>
    <w:p w14:paraId="427C9D99" w14:textId="77777777" w:rsidR="004C4C39" w:rsidRPr="00A32EED" w:rsidRDefault="004C4C39" w:rsidP="003B20AE">
      <w:pPr>
        <w:numPr>
          <w:ilvl w:val="0"/>
          <w:numId w:val="7"/>
        </w:numPr>
        <w:spacing w:after="0"/>
        <w:rPr>
          <w:rFonts w:eastAsia="Calibri"/>
          <w:b/>
        </w:rPr>
      </w:pPr>
      <w:r w:rsidRPr="00A32EED">
        <w:rPr>
          <w:rFonts w:eastAsia="Calibri"/>
          <w:b/>
        </w:rPr>
        <w:t>Breaks things on purpose, deliberately destroys own or others’ things.</w:t>
      </w:r>
    </w:p>
    <w:p w14:paraId="41B6CF99" w14:textId="77777777" w:rsidR="004C4C39" w:rsidRPr="00A32EED" w:rsidRDefault="004C4C39" w:rsidP="003B20AE">
      <w:pPr>
        <w:numPr>
          <w:ilvl w:val="0"/>
          <w:numId w:val="7"/>
        </w:numPr>
        <w:spacing w:after="0"/>
        <w:rPr>
          <w:rFonts w:eastAsia="Calibri"/>
        </w:rPr>
      </w:pPr>
      <w:r w:rsidRPr="00A32EED">
        <w:rPr>
          <w:rFonts w:eastAsia="Calibri"/>
        </w:rPr>
        <w:t>Clings to adults.</w:t>
      </w:r>
    </w:p>
    <w:p w14:paraId="1D46F255" w14:textId="77777777" w:rsidR="004C4C39" w:rsidRPr="00A32EED" w:rsidRDefault="004C4C39" w:rsidP="003B20AE">
      <w:pPr>
        <w:numPr>
          <w:ilvl w:val="0"/>
          <w:numId w:val="7"/>
        </w:numPr>
        <w:spacing w:after="0"/>
        <w:rPr>
          <w:rFonts w:eastAsia="Calibri"/>
        </w:rPr>
      </w:pPr>
      <w:r w:rsidRPr="00A32EED">
        <w:rPr>
          <w:rFonts w:eastAsia="Calibri"/>
        </w:rPr>
        <w:t>Cries too much.</w:t>
      </w:r>
    </w:p>
    <w:p w14:paraId="45CB60E0" w14:textId="77777777" w:rsidR="004C4C39" w:rsidRPr="00A32EED" w:rsidRDefault="004C4C39" w:rsidP="003B20AE">
      <w:pPr>
        <w:numPr>
          <w:ilvl w:val="0"/>
          <w:numId w:val="7"/>
        </w:numPr>
        <w:spacing w:after="0"/>
        <w:rPr>
          <w:rFonts w:eastAsia="Calibri"/>
        </w:rPr>
      </w:pPr>
      <w:r w:rsidRPr="00A32EED">
        <w:rPr>
          <w:rFonts w:eastAsia="Calibri"/>
        </w:rPr>
        <w:t>Demands a lot of attention.</w:t>
      </w:r>
    </w:p>
    <w:p w14:paraId="26503B7B" w14:textId="77777777" w:rsidR="004C4C39" w:rsidRPr="00A32EED" w:rsidRDefault="004C4C39" w:rsidP="003B20AE">
      <w:pPr>
        <w:numPr>
          <w:ilvl w:val="0"/>
          <w:numId w:val="7"/>
        </w:numPr>
        <w:spacing w:after="0"/>
        <w:rPr>
          <w:rFonts w:eastAsia="Calibri"/>
        </w:rPr>
      </w:pPr>
      <w:r w:rsidRPr="00A32EED">
        <w:rPr>
          <w:rFonts w:eastAsia="Calibri"/>
        </w:rPr>
        <w:t>Is too dependent on others.</w:t>
      </w:r>
    </w:p>
    <w:p w14:paraId="6F06A9CF" w14:textId="77777777" w:rsidR="004C4C39" w:rsidRPr="00A32EED" w:rsidRDefault="004C4C39" w:rsidP="003B20AE">
      <w:pPr>
        <w:numPr>
          <w:ilvl w:val="0"/>
          <w:numId w:val="7"/>
        </w:numPr>
        <w:spacing w:after="0"/>
        <w:rPr>
          <w:rFonts w:eastAsia="Calibri"/>
        </w:rPr>
      </w:pPr>
      <w:r w:rsidRPr="00A32EED">
        <w:rPr>
          <w:rFonts w:eastAsia="Calibri"/>
        </w:rPr>
        <w:t>Acts too young for [fill his/her] age.</w:t>
      </w:r>
    </w:p>
    <w:p w14:paraId="6DAD5904" w14:textId="77777777" w:rsidR="004C4C39" w:rsidRPr="00A32EED" w:rsidRDefault="004C4C39" w:rsidP="003B20AE">
      <w:pPr>
        <w:numPr>
          <w:ilvl w:val="0"/>
          <w:numId w:val="7"/>
        </w:numPr>
        <w:spacing w:after="0"/>
        <w:rPr>
          <w:rFonts w:eastAsia="Calibri"/>
          <w:b/>
        </w:rPr>
      </w:pPr>
      <w:r w:rsidRPr="00A32EED">
        <w:rPr>
          <w:rFonts w:eastAsia="Calibri"/>
          <w:b/>
        </w:rPr>
        <w:t>Does poor school work.</w:t>
      </w:r>
    </w:p>
    <w:p w14:paraId="2E3CE12B" w14:textId="77777777" w:rsidR="004C4C39" w:rsidRPr="00A32EED" w:rsidRDefault="004C4C39" w:rsidP="003B20AE">
      <w:pPr>
        <w:numPr>
          <w:ilvl w:val="0"/>
          <w:numId w:val="7"/>
        </w:numPr>
        <w:spacing w:after="0"/>
        <w:rPr>
          <w:rFonts w:eastAsia="Calibri"/>
        </w:rPr>
      </w:pPr>
      <w:r w:rsidRPr="00A32EED">
        <w:rPr>
          <w:rFonts w:eastAsia="Calibri"/>
        </w:rPr>
        <w:t>Has trouble sleeping.</w:t>
      </w:r>
    </w:p>
    <w:p w14:paraId="70970C0E" w14:textId="77777777" w:rsidR="004C4C39" w:rsidRPr="00A32EED" w:rsidRDefault="004C4C39" w:rsidP="003B20AE">
      <w:pPr>
        <w:numPr>
          <w:ilvl w:val="0"/>
          <w:numId w:val="7"/>
        </w:numPr>
        <w:spacing w:after="0"/>
        <w:rPr>
          <w:rFonts w:eastAsia="Calibri"/>
        </w:rPr>
      </w:pPr>
      <w:r w:rsidRPr="00A32EED">
        <w:rPr>
          <w:rFonts w:eastAsia="Calibri"/>
        </w:rPr>
        <w:t>Wets self during the day.</w:t>
      </w:r>
    </w:p>
    <w:p w14:paraId="6DB66254" w14:textId="77777777" w:rsidR="004C4C39" w:rsidRPr="00A32EED" w:rsidRDefault="004C4C39" w:rsidP="003B20AE">
      <w:pPr>
        <w:numPr>
          <w:ilvl w:val="0"/>
          <w:numId w:val="7"/>
        </w:numPr>
        <w:spacing w:after="0"/>
        <w:rPr>
          <w:rFonts w:eastAsia="Calibri"/>
        </w:rPr>
      </w:pPr>
      <w:r w:rsidRPr="00A32EED">
        <w:rPr>
          <w:rFonts w:eastAsia="Calibri"/>
        </w:rPr>
        <w:t>Refuses to talk.</w:t>
      </w:r>
    </w:p>
    <w:p w14:paraId="08E72A6D" w14:textId="77777777" w:rsidR="004C4C39" w:rsidRPr="00A32EED" w:rsidRDefault="004C4C39" w:rsidP="003B20AE">
      <w:pPr>
        <w:numPr>
          <w:ilvl w:val="0"/>
          <w:numId w:val="7"/>
        </w:numPr>
        <w:spacing w:after="0"/>
        <w:rPr>
          <w:rFonts w:eastAsia="Calibri"/>
        </w:rPr>
      </w:pPr>
      <w:r w:rsidRPr="00A32EED">
        <w:rPr>
          <w:rFonts w:eastAsia="Calibri"/>
        </w:rPr>
        <w:t>Has a speech problem.</w:t>
      </w:r>
    </w:p>
    <w:p w14:paraId="27535F75" w14:textId="77777777" w:rsidR="004C4C39" w:rsidRPr="00A32EED" w:rsidRDefault="004C4C39" w:rsidP="003B20AE">
      <w:pPr>
        <w:numPr>
          <w:ilvl w:val="0"/>
          <w:numId w:val="7"/>
        </w:numPr>
        <w:spacing w:after="0"/>
        <w:rPr>
          <w:rFonts w:eastAsia="Calibri"/>
        </w:rPr>
      </w:pPr>
      <w:r w:rsidRPr="00A32EED">
        <w:rPr>
          <w:rFonts w:eastAsia="Calibri"/>
        </w:rPr>
        <w:t>Steals outside the home.</w:t>
      </w:r>
    </w:p>
    <w:p w14:paraId="4481C666" w14:textId="77777777" w:rsidR="004C4C39" w:rsidRPr="00A32EED" w:rsidRDefault="004C4C39" w:rsidP="003B20AE">
      <w:pPr>
        <w:numPr>
          <w:ilvl w:val="0"/>
          <w:numId w:val="7"/>
        </w:numPr>
        <w:spacing w:after="0"/>
        <w:rPr>
          <w:rFonts w:eastAsia="Calibri"/>
        </w:rPr>
      </w:pPr>
      <w:r w:rsidRPr="00A32EED">
        <w:rPr>
          <w:rFonts w:eastAsia="Calibri"/>
        </w:rPr>
        <w:t>Has bowel movements outside the toilet.</w:t>
      </w:r>
    </w:p>
    <w:p w14:paraId="41A5080D" w14:textId="77777777" w:rsidR="004C4C39" w:rsidRPr="00A32EED" w:rsidRDefault="004C4C39" w:rsidP="003B20AE">
      <w:pPr>
        <w:numPr>
          <w:ilvl w:val="0"/>
          <w:numId w:val="7"/>
        </w:numPr>
        <w:spacing w:after="0"/>
        <w:rPr>
          <w:rFonts w:eastAsia="Calibri"/>
        </w:rPr>
      </w:pPr>
      <w:r w:rsidRPr="00A32EED">
        <w:rPr>
          <w:rFonts w:eastAsia="Calibri"/>
        </w:rPr>
        <w:t>Tends to give, lend, and share.</w:t>
      </w:r>
    </w:p>
    <w:p w14:paraId="7332C21F" w14:textId="77777777" w:rsidR="004C4C39" w:rsidRPr="00A32EED" w:rsidRDefault="004C4C39" w:rsidP="004C4C39">
      <w:pPr>
        <w:spacing w:after="0" w:line="480" w:lineRule="auto"/>
        <w:rPr>
          <w:rFonts w:eastAsia="Calibri"/>
        </w:rPr>
      </w:pPr>
    </w:p>
    <w:p w14:paraId="1AE2D710" w14:textId="77777777" w:rsidR="004C4C39" w:rsidRPr="00A32EED" w:rsidRDefault="004C4C39" w:rsidP="0023176A">
      <w:pPr>
        <w:pStyle w:val="Caption1"/>
        <w:rPr>
          <w:rFonts w:eastAsia="Calibri"/>
        </w:rPr>
      </w:pPr>
      <w:bookmarkStart w:id="73" w:name="_Toc479941219"/>
      <w:r w:rsidRPr="00A32EED">
        <w:rPr>
          <w:rFonts w:eastAsia="Calibri"/>
        </w:rPr>
        <w:lastRenderedPageBreak/>
        <w:t>Table 4.</w:t>
      </w:r>
      <w:r w:rsidRPr="00A32EED">
        <w:rPr>
          <w:rFonts w:eastAsia="Calibri"/>
        </w:rPr>
        <w:fldChar w:fldCharType="begin"/>
      </w:r>
      <w:r w:rsidRPr="00A32EED">
        <w:rPr>
          <w:rFonts w:eastAsia="Calibri"/>
        </w:rPr>
        <w:instrText xml:space="preserve"> SEQ Table_4. \* ARABIC </w:instrText>
      </w:r>
      <w:r w:rsidRPr="00A32EED">
        <w:rPr>
          <w:rFonts w:eastAsia="Calibri"/>
        </w:rPr>
        <w:fldChar w:fldCharType="separate"/>
      </w:r>
      <w:r w:rsidR="00FA12E2">
        <w:rPr>
          <w:rFonts w:eastAsia="Calibri"/>
          <w:noProof/>
        </w:rPr>
        <w:t>6</w:t>
      </w:r>
      <w:r w:rsidRPr="00A32EED">
        <w:rPr>
          <w:rFonts w:eastAsia="Calibri"/>
          <w:noProof/>
        </w:rPr>
        <w:fldChar w:fldCharType="end"/>
      </w:r>
      <w:r w:rsidRPr="00A32EED">
        <w:rPr>
          <w:rFonts w:eastAsia="Calibri"/>
        </w:rPr>
        <w:t>: BPI Self-Control Item Rotated Factor Loadings</w:t>
      </w:r>
      <w:bookmarkEnd w:id="73"/>
    </w:p>
    <w:tbl>
      <w:tblPr>
        <w:tblStyle w:val="ListTable6Colorful1"/>
        <w:tblW w:w="4871" w:type="pct"/>
        <w:tblLayout w:type="fixed"/>
        <w:tblLook w:val="04A0" w:firstRow="1" w:lastRow="0" w:firstColumn="1" w:lastColumn="0" w:noHBand="0" w:noVBand="1"/>
      </w:tblPr>
      <w:tblGrid>
        <w:gridCol w:w="1612"/>
        <w:gridCol w:w="1081"/>
        <w:gridCol w:w="990"/>
        <w:gridCol w:w="1169"/>
        <w:gridCol w:w="1083"/>
        <w:gridCol w:w="990"/>
        <w:gridCol w:w="1352"/>
      </w:tblGrid>
      <w:tr w:rsidR="0057347A" w:rsidRPr="008A40F5" w14:paraId="0EED0CDE" w14:textId="77777777" w:rsidTr="0057347A">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0B6137D0" w14:textId="77777777" w:rsidR="004C4C39" w:rsidRPr="0057347A" w:rsidRDefault="004C4C39" w:rsidP="004C4C39">
            <w:pPr>
              <w:rPr>
                <w:rFonts w:eastAsia="Times New Roman" w:cs="Arial"/>
                <w:sz w:val="20"/>
              </w:rPr>
            </w:pPr>
            <w:r w:rsidRPr="0057347A">
              <w:rPr>
                <w:rFonts w:eastAsia="Times New Roman" w:cs="Arial"/>
                <w:sz w:val="20"/>
              </w:rPr>
              <w:t>Variable</w:t>
            </w:r>
          </w:p>
        </w:tc>
        <w:tc>
          <w:tcPr>
            <w:tcW w:w="653" w:type="pct"/>
            <w:noWrap/>
            <w:hideMark/>
          </w:tcPr>
          <w:p w14:paraId="2BA6E67A" w14:textId="77777777" w:rsidR="004C4C39" w:rsidRPr="0057347A"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57347A">
              <w:rPr>
                <w:rFonts w:eastAsia="Times New Roman" w:cs="Arial"/>
                <w:sz w:val="20"/>
              </w:rPr>
              <w:t>Factor 1</w:t>
            </w:r>
          </w:p>
        </w:tc>
        <w:tc>
          <w:tcPr>
            <w:tcW w:w="598" w:type="pct"/>
            <w:noWrap/>
            <w:hideMark/>
          </w:tcPr>
          <w:p w14:paraId="3CE4ADD6" w14:textId="77777777" w:rsidR="004C4C39" w:rsidRPr="0057347A"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57347A">
              <w:rPr>
                <w:rFonts w:eastAsia="Times New Roman" w:cs="Arial"/>
                <w:sz w:val="20"/>
              </w:rPr>
              <w:t>Factor 2</w:t>
            </w:r>
          </w:p>
        </w:tc>
        <w:tc>
          <w:tcPr>
            <w:tcW w:w="706" w:type="pct"/>
            <w:noWrap/>
            <w:hideMark/>
          </w:tcPr>
          <w:p w14:paraId="2BEDCA94" w14:textId="77777777" w:rsidR="004C4C39" w:rsidRPr="0057347A"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57347A">
              <w:rPr>
                <w:rFonts w:eastAsia="Times New Roman" w:cs="Arial"/>
                <w:sz w:val="20"/>
              </w:rPr>
              <w:t>Factor 3</w:t>
            </w:r>
          </w:p>
        </w:tc>
        <w:tc>
          <w:tcPr>
            <w:tcW w:w="654" w:type="pct"/>
            <w:noWrap/>
            <w:hideMark/>
          </w:tcPr>
          <w:p w14:paraId="5C814F74" w14:textId="77777777" w:rsidR="004C4C39" w:rsidRPr="0057347A"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57347A">
              <w:rPr>
                <w:rFonts w:eastAsia="Times New Roman" w:cs="Arial"/>
                <w:sz w:val="20"/>
              </w:rPr>
              <w:t>Factor 4</w:t>
            </w:r>
          </w:p>
        </w:tc>
        <w:tc>
          <w:tcPr>
            <w:tcW w:w="598" w:type="pct"/>
            <w:noWrap/>
            <w:hideMark/>
          </w:tcPr>
          <w:p w14:paraId="67D1FE1D" w14:textId="77777777" w:rsidR="004C4C39" w:rsidRPr="0057347A"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57347A">
              <w:rPr>
                <w:rFonts w:eastAsia="Times New Roman" w:cs="Arial"/>
                <w:sz w:val="20"/>
              </w:rPr>
              <w:t>Factor 5</w:t>
            </w:r>
          </w:p>
        </w:tc>
        <w:tc>
          <w:tcPr>
            <w:tcW w:w="817" w:type="pct"/>
            <w:noWrap/>
            <w:hideMark/>
          </w:tcPr>
          <w:p w14:paraId="7E0E8ABA" w14:textId="77777777" w:rsidR="004C4C39" w:rsidRPr="0057347A"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57347A">
              <w:rPr>
                <w:rFonts w:eastAsia="Times New Roman" w:cs="Arial"/>
                <w:sz w:val="20"/>
              </w:rPr>
              <w:t>Uniqueness</w:t>
            </w:r>
          </w:p>
        </w:tc>
      </w:tr>
      <w:tr w:rsidR="0057347A" w:rsidRPr="008A40F5" w14:paraId="49D35051" w14:textId="77777777" w:rsidTr="0057347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37134789" w14:textId="77777777" w:rsidR="004C4C39" w:rsidRPr="00D479A2" w:rsidRDefault="004C4C39" w:rsidP="004C4C39">
            <w:pPr>
              <w:rPr>
                <w:rFonts w:eastAsia="Times New Roman" w:cs="Arial"/>
                <w:sz w:val="21"/>
              </w:rPr>
            </w:pPr>
            <w:r w:rsidRPr="00D479A2">
              <w:rPr>
                <w:rFonts w:eastAsia="Times New Roman" w:cs="Arial"/>
                <w:sz w:val="21"/>
              </w:rPr>
              <w:t>Argues</w:t>
            </w:r>
          </w:p>
        </w:tc>
        <w:tc>
          <w:tcPr>
            <w:tcW w:w="653" w:type="pct"/>
            <w:noWrap/>
            <w:hideMark/>
          </w:tcPr>
          <w:p w14:paraId="79AC3705"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0.6232</w:t>
            </w:r>
          </w:p>
        </w:tc>
        <w:tc>
          <w:tcPr>
            <w:tcW w:w="598" w:type="pct"/>
            <w:noWrap/>
            <w:hideMark/>
          </w:tcPr>
          <w:p w14:paraId="5EC7BC5E"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0.2426</w:t>
            </w:r>
          </w:p>
        </w:tc>
        <w:tc>
          <w:tcPr>
            <w:tcW w:w="706" w:type="pct"/>
            <w:noWrap/>
            <w:hideMark/>
          </w:tcPr>
          <w:p w14:paraId="2F923E3D"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0.2091</w:t>
            </w:r>
          </w:p>
        </w:tc>
        <w:tc>
          <w:tcPr>
            <w:tcW w:w="654" w:type="pct"/>
            <w:noWrap/>
            <w:hideMark/>
          </w:tcPr>
          <w:p w14:paraId="186A66B4"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0.0732</w:t>
            </w:r>
          </w:p>
        </w:tc>
        <w:tc>
          <w:tcPr>
            <w:tcW w:w="598" w:type="pct"/>
            <w:noWrap/>
            <w:hideMark/>
          </w:tcPr>
          <w:p w14:paraId="44F2D83D"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0.0441</w:t>
            </w:r>
          </w:p>
        </w:tc>
        <w:tc>
          <w:tcPr>
            <w:tcW w:w="817" w:type="pct"/>
            <w:noWrap/>
            <w:hideMark/>
          </w:tcPr>
          <w:p w14:paraId="335E75A0"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0.5018</w:t>
            </w:r>
          </w:p>
        </w:tc>
      </w:tr>
      <w:tr w:rsidR="0057347A" w:rsidRPr="008A40F5" w14:paraId="3802F44D" w14:textId="77777777" w:rsidTr="0057347A">
        <w:trPr>
          <w:trHeight w:val="251"/>
        </w:trPr>
        <w:tc>
          <w:tcPr>
            <w:cnfStyle w:val="001000000000" w:firstRow="0" w:lastRow="0" w:firstColumn="1" w:lastColumn="0" w:oddVBand="0" w:evenVBand="0" w:oddHBand="0" w:evenHBand="0" w:firstRowFirstColumn="0" w:firstRowLastColumn="0" w:lastRowFirstColumn="0" w:lastRowLastColumn="0"/>
            <w:tcW w:w="974" w:type="pct"/>
            <w:noWrap/>
            <w:hideMark/>
          </w:tcPr>
          <w:p w14:paraId="4ABD216C" w14:textId="77777777" w:rsidR="004C4C39" w:rsidRPr="00D479A2" w:rsidRDefault="004C4C39" w:rsidP="004C4C39">
            <w:pPr>
              <w:rPr>
                <w:rFonts w:eastAsia="Times New Roman" w:cs="Arial"/>
                <w:sz w:val="21"/>
              </w:rPr>
            </w:pPr>
            <w:r w:rsidRPr="00D479A2">
              <w:rPr>
                <w:rFonts w:eastAsia="Times New Roman" w:cs="Arial"/>
                <w:sz w:val="21"/>
              </w:rPr>
              <w:t>Stubborn</w:t>
            </w:r>
          </w:p>
        </w:tc>
        <w:tc>
          <w:tcPr>
            <w:tcW w:w="653" w:type="pct"/>
            <w:noWrap/>
            <w:hideMark/>
          </w:tcPr>
          <w:p w14:paraId="54B7F896"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0.6190</w:t>
            </w:r>
          </w:p>
        </w:tc>
        <w:tc>
          <w:tcPr>
            <w:tcW w:w="598" w:type="pct"/>
            <w:noWrap/>
            <w:hideMark/>
          </w:tcPr>
          <w:p w14:paraId="30C86FDB"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0.2872</w:t>
            </w:r>
          </w:p>
        </w:tc>
        <w:tc>
          <w:tcPr>
            <w:tcW w:w="706" w:type="pct"/>
            <w:noWrap/>
            <w:hideMark/>
          </w:tcPr>
          <w:p w14:paraId="1477E47A"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0.2037</w:t>
            </w:r>
          </w:p>
        </w:tc>
        <w:tc>
          <w:tcPr>
            <w:tcW w:w="654" w:type="pct"/>
            <w:noWrap/>
            <w:hideMark/>
          </w:tcPr>
          <w:p w14:paraId="5684CD79"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0.0976</w:t>
            </w:r>
          </w:p>
        </w:tc>
        <w:tc>
          <w:tcPr>
            <w:tcW w:w="598" w:type="pct"/>
            <w:noWrap/>
            <w:hideMark/>
          </w:tcPr>
          <w:p w14:paraId="3FCB7ACA"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0.0268</w:t>
            </w:r>
          </w:p>
        </w:tc>
        <w:tc>
          <w:tcPr>
            <w:tcW w:w="817" w:type="pct"/>
            <w:noWrap/>
            <w:hideMark/>
          </w:tcPr>
          <w:p w14:paraId="7C327D6F"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0.4826</w:t>
            </w:r>
          </w:p>
        </w:tc>
      </w:tr>
      <w:tr w:rsidR="0057347A" w:rsidRPr="008A40F5" w14:paraId="4D789DC2" w14:textId="77777777" w:rsidTr="0057347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6462F3E1" w14:textId="77777777" w:rsidR="004C4C39" w:rsidRPr="00D479A2" w:rsidRDefault="004C4C39" w:rsidP="004C4C39">
            <w:pPr>
              <w:rPr>
                <w:rFonts w:eastAsia="Times New Roman" w:cs="Arial"/>
                <w:sz w:val="21"/>
              </w:rPr>
            </w:pPr>
            <w:r w:rsidRPr="00D479A2">
              <w:rPr>
                <w:rFonts w:eastAsia="Times New Roman" w:cs="Arial"/>
                <w:sz w:val="21"/>
              </w:rPr>
              <w:t>Temper</w:t>
            </w:r>
          </w:p>
        </w:tc>
        <w:tc>
          <w:tcPr>
            <w:tcW w:w="653" w:type="pct"/>
            <w:noWrap/>
            <w:hideMark/>
          </w:tcPr>
          <w:p w14:paraId="4332EAA3"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0.6179</w:t>
            </w:r>
          </w:p>
        </w:tc>
        <w:tc>
          <w:tcPr>
            <w:tcW w:w="598" w:type="pct"/>
            <w:noWrap/>
            <w:hideMark/>
          </w:tcPr>
          <w:p w14:paraId="13603846"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0.3301</w:t>
            </w:r>
          </w:p>
        </w:tc>
        <w:tc>
          <w:tcPr>
            <w:tcW w:w="706" w:type="pct"/>
            <w:noWrap/>
            <w:hideMark/>
          </w:tcPr>
          <w:p w14:paraId="6D5B8CB9"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0.2731</w:t>
            </w:r>
          </w:p>
        </w:tc>
        <w:tc>
          <w:tcPr>
            <w:tcW w:w="654" w:type="pct"/>
            <w:noWrap/>
            <w:hideMark/>
          </w:tcPr>
          <w:p w14:paraId="6C32975B"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-0.016</w:t>
            </w:r>
          </w:p>
        </w:tc>
        <w:tc>
          <w:tcPr>
            <w:tcW w:w="598" w:type="pct"/>
            <w:noWrap/>
            <w:hideMark/>
          </w:tcPr>
          <w:p w14:paraId="6BE56B87"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-0.0157</w:t>
            </w:r>
          </w:p>
        </w:tc>
        <w:tc>
          <w:tcPr>
            <w:tcW w:w="817" w:type="pct"/>
            <w:noWrap/>
            <w:hideMark/>
          </w:tcPr>
          <w:p w14:paraId="5B5B026B"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0.4342</w:t>
            </w:r>
          </w:p>
        </w:tc>
      </w:tr>
      <w:tr w:rsidR="0057347A" w:rsidRPr="008A40F5" w14:paraId="48C5C442" w14:textId="77777777" w:rsidTr="0057347A">
        <w:trPr>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572D4A6A" w14:textId="77777777" w:rsidR="00126B08" w:rsidRDefault="004C4C39" w:rsidP="004C4C39">
            <w:pPr>
              <w:rPr>
                <w:rFonts w:eastAsia="Times New Roman" w:cs="Arial"/>
                <w:sz w:val="21"/>
              </w:rPr>
            </w:pPr>
            <w:r w:rsidRPr="00D479A2">
              <w:rPr>
                <w:rFonts w:eastAsia="Times New Roman" w:cs="Arial"/>
                <w:sz w:val="21"/>
              </w:rPr>
              <w:t xml:space="preserve">Disobeys at </w:t>
            </w:r>
          </w:p>
          <w:p w14:paraId="274901FB" w14:textId="7F8CADEE" w:rsidR="004C4C39" w:rsidRPr="00D479A2" w:rsidRDefault="004C4C39" w:rsidP="004C4C39">
            <w:pPr>
              <w:rPr>
                <w:rFonts w:eastAsia="Times New Roman" w:cs="Arial"/>
                <w:sz w:val="21"/>
              </w:rPr>
            </w:pPr>
            <w:r w:rsidRPr="00D479A2">
              <w:rPr>
                <w:rFonts w:eastAsia="Times New Roman" w:cs="Arial"/>
                <w:sz w:val="21"/>
              </w:rPr>
              <w:t>Home</w:t>
            </w:r>
          </w:p>
        </w:tc>
        <w:tc>
          <w:tcPr>
            <w:tcW w:w="653" w:type="pct"/>
            <w:noWrap/>
            <w:hideMark/>
          </w:tcPr>
          <w:p w14:paraId="36DDC03E"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0.5135</w:t>
            </w:r>
          </w:p>
        </w:tc>
        <w:tc>
          <w:tcPr>
            <w:tcW w:w="598" w:type="pct"/>
            <w:noWrap/>
            <w:hideMark/>
          </w:tcPr>
          <w:p w14:paraId="7424DDFE"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0.255</w:t>
            </w:r>
          </w:p>
        </w:tc>
        <w:tc>
          <w:tcPr>
            <w:tcW w:w="706" w:type="pct"/>
            <w:noWrap/>
            <w:hideMark/>
          </w:tcPr>
          <w:p w14:paraId="45654073"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0.3106</w:t>
            </w:r>
          </w:p>
        </w:tc>
        <w:tc>
          <w:tcPr>
            <w:tcW w:w="654" w:type="pct"/>
            <w:noWrap/>
            <w:hideMark/>
          </w:tcPr>
          <w:p w14:paraId="58665A43"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0.2406</w:t>
            </w:r>
          </w:p>
        </w:tc>
        <w:tc>
          <w:tcPr>
            <w:tcW w:w="598" w:type="pct"/>
            <w:noWrap/>
            <w:hideMark/>
          </w:tcPr>
          <w:p w14:paraId="69A1980D"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-0.0351</w:t>
            </w:r>
          </w:p>
        </w:tc>
        <w:tc>
          <w:tcPr>
            <w:tcW w:w="817" w:type="pct"/>
            <w:noWrap/>
            <w:hideMark/>
          </w:tcPr>
          <w:p w14:paraId="77531126"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0.5158</w:t>
            </w:r>
          </w:p>
        </w:tc>
      </w:tr>
      <w:tr w:rsidR="0057347A" w:rsidRPr="008A40F5" w14:paraId="3F2C137E" w14:textId="77777777" w:rsidTr="0057347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6606EFB7" w14:textId="77777777" w:rsidR="004C4C39" w:rsidRPr="00D479A2" w:rsidRDefault="004C4C39" w:rsidP="004C4C39">
            <w:pPr>
              <w:rPr>
                <w:rFonts w:eastAsia="Times New Roman" w:cs="Arial"/>
                <w:sz w:val="21"/>
              </w:rPr>
            </w:pPr>
            <w:r w:rsidRPr="00D479A2">
              <w:rPr>
                <w:rFonts w:eastAsia="Times New Roman" w:cs="Arial"/>
                <w:sz w:val="21"/>
              </w:rPr>
              <w:t>Bullies</w:t>
            </w:r>
          </w:p>
        </w:tc>
        <w:tc>
          <w:tcPr>
            <w:tcW w:w="653" w:type="pct"/>
            <w:noWrap/>
            <w:hideMark/>
          </w:tcPr>
          <w:p w14:paraId="33273438"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0.4533</w:t>
            </w:r>
          </w:p>
        </w:tc>
        <w:tc>
          <w:tcPr>
            <w:tcW w:w="598" w:type="pct"/>
            <w:noWrap/>
            <w:hideMark/>
          </w:tcPr>
          <w:p w14:paraId="020B2209"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0.1995</w:t>
            </w:r>
          </w:p>
        </w:tc>
        <w:tc>
          <w:tcPr>
            <w:tcW w:w="706" w:type="pct"/>
            <w:noWrap/>
            <w:hideMark/>
          </w:tcPr>
          <w:p w14:paraId="00257702"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0.5098</w:t>
            </w:r>
          </w:p>
        </w:tc>
        <w:tc>
          <w:tcPr>
            <w:tcW w:w="654" w:type="pct"/>
            <w:noWrap/>
            <w:hideMark/>
          </w:tcPr>
          <w:p w14:paraId="385342FF"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0.0472</w:t>
            </w:r>
          </w:p>
        </w:tc>
        <w:tc>
          <w:tcPr>
            <w:tcW w:w="598" w:type="pct"/>
            <w:noWrap/>
            <w:hideMark/>
          </w:tcPr>
          <w:p w14:paraId="6D3E151C"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0.0258</w:t>
            </w:r>
          </w:p>
        </w:tc>
        <w:tc>
          <w:tcPr>
            <w:tcW w:w="817" w:type="pct"/>
            <w:noWrap/>
            <w:hideMark/>
          </w:tcPr>
          <w:p w14:paraId="01BCB302"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0.4919</w:t>
            </w:r>
          </w:p>
        </w:tc>
      </w:tr>
      <w:tr w:rsidR="0057347A" w:rsidRPr="008A40F5" w14:paraId="5B35F9F6" w14:textId="77777777" w:rsidTr="0057347A">
        <w:trPr>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18F4925C" w14:textId="77777777" w:rsidR="004C4C39" w:rsidRPr="00D479A2" w:rsidRDefault="004C4C39" w:rsidP="004C4C39">
            <w:pPr>
              <w:rPr>
                <w:rFonts w:eastAsia="Times New Roman" w:cs="Arial"/>
                <w:sz w:val="21"/>
              </w:rPr>
            </w:pPr>
            <w:r w:rsidRPr="00D479A2">
              <w:rPr>
                <w:rFonts w:eastAsia="Times New Roman" w:cs="Arial"/>
                <w:sz w:val="21"/>
              </w:rPr>
              <w:t>Impulsive</w:t>
            </w:r>
          </w:p>
        </w:tc>
        <w:tc>
          <w:tcPr>
            <w:tcW w:w="653" w:type="pct"/>
            <w:noWrap/>
            <w:hideMark/>
          </w:tcPr>
          <w:p w14:paraId="799F85C5"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0.4479</w:t>
            </w:r>
          </w:p>
        </w:tc>
        <w:tc>
          <w:tcPr>
            <w:tcW w:w="598" w:type="pct"/>
            <w:noWrap/>
            <w:hideMark/>
          </w:tcPr>
          <w:p w14:paraId="77DBD92A"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0.5162</w:t>
            </w:r>
          </w:p>
        </w:tc>
        <w:tc>
          <w:tcPr>
            <w:tcW w:w="706" w:type="pct"/>
            <w:noWrap/>
            <w:hideMark/>
          </w:tcPr>
          <w:p w14:paraId="4827112D"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0.3058</w:t>
            </w:r>
          </w:p>
        </w:tc>
        <w:tc>
          <w:tcPr>
            <w:tcW w:w="654" w:type="pct"/>
            <w:noWrap/>
            <w:hideMark/>
          </w:tcPr>
          <w:p w14:paraId="1DCABB00"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0.1308</w:t>
            </w:r>
          </w:p>
        </w:tc>
        <w:tc>
          <w:tcPr>
            <w:tcW w:w="598" w:type="pct"/>
            <w:noWrap/>
            <w:hideMark/>
          </w:tcPr>
          <w:p w14:paraId="0574A5B4"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0.0164</w:t>
            </w:r>
          </w:p>
        </w:tc>
        <w:tc>
          <w:tcPr>
            <w:tcW w:w="817" w:type="pct"/>
            <w:noWrap/>
            <w:hideMark/>
          </w:tcPr>
          <w:p w14:paraId="67058E6E"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0.422</w:t>
            </w:r>
          </w:p>
        </w:tc>
      </w:tr>
      <w:tr w:rsidR="0057347A" w:rsidRPr="008A40F5" w14:paraId="13C3B025" w14:textId="77777777" w:rsidTr="0057347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40C330B4" w14:textId="77777777" w:rsidR="004C4C39" w:rsidRPr="00D479A2" w:rsidRDefault="004C4C39" w:rsidP="004C4C39">
            <w:pPr>
              <w:rPr>
                <w:rFonts w:eastAsia="Times New Roman" w:cs="Arial"/>
                <w:sz w:val="21"/>
              </w:rPr>
            </w:pPr>
            <w:r w:rsidRPr="00D479A2">
              <w:rPr>
                <w:rFonts w:eastAsia="Times New Roman" w:cs="Arial"/>
                <w:sz w:val="21"/>
              </w:rPr>
              <w:t>Cheats</w:t>
            </w:r>
          </w:p>
        </w:tc>
        <w:tc>
          <w:tcPr>
            <w:tcW w:w="653" w:type="pct"/>
            <w:noWrap/>
            <w:hideMark/>
          </w:tcPr>
          <w:p w14:paraId="1B30372B"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0.3892</w:t>
            </w:r>
          </w:p>
        </w:tc>
        <w:tc>
          <w:tcPr>
            <w:tcW w:w="598" w:type="pct"/>
            <w:noWrap/>
            <w:hideMark/>
          </w:tcPr>
          <w:p w14:paraId="23C134EE"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0.3102</w:t>
            </w:r>
          </w:p>
        </w:tc>
        <w:tc>
          <w:tcPr>
            <w:tcW w:w="706" w:type="pct"/>
            <w:noWrap/>
            <w:hideMark/>
          </w:tcPr>
          <w:p w14:paraId="46184CCD"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0.3657</w:t>
            </w:r>
          </w:p>
        </w:tc>
        <w:tc>
          <w:tcPr>
            <w:tcW w:w="654" w:type="pct"/>
            <w:noWrap/>
            <w:hideMark/>
          </w:tcPr>
          <w:p w14:paraId="2D47331C"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0.2706</w:t>
            </w:r>
          </w:p>
        </w:tc>
        <w:tc>
          <w:tcPr>
            <w:tcW w:w="598" w:type="pct"/>
            <w:noWrap/>
            <w:hideMark/>
          </w:tcPr>
          <w:p w14:paraId="1F807C76"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0.0671</w:t>
            </w:r>
          </w:p>
        </w:tc>
        <w:tc>
          <w:tcPr>
            <w:tcW w:w="817" w:type="pct"/>
            <w:noWrap/>
            <w:hideMark/>
          </w:tcPr>
          <w:p w14:paraId="1F3372B1"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0.5408</w:t>
            </w:r>
          </w:p>
        </w:tc>
      </w:tr>
      <w:tr w:rsidR="0057347A" w:rsidRPr="008A40F5" w14:paraId="70659D18" w14:textId="77777777" w:rsidTr="0057347A">
        <w:trPr>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554925A0" w14:textId="77777777" w:rsidR="004C4C39" w:rsidRPr="00D479A2" w:rsidRDefault="004C4C39" w:rsidP="004C4C39">
            <w:pPr>
              <w:rPr>
                <w:rFonts w:eastAsia="Times New Roman" w:cs="Arial"/>
                <w:sz w:val="21"/>
              </w:rPr>
            </w:pPr>
            <w:r w:rsidRPr="00D479A2">
              <w:rPr>
                <w:rFonts w:eastAsia="Times New Roman" w:cs="Arial"/>
                <w:sz w:val="21"/>
              </w:rPr>
              <w:t>Does Not Get Along</w:t>
            </w:r>
          </w:p>
        </w:tc>
        <w:tc>
          <w:tcPr>
            <w:tcW w:w="653" w:type="pct"/>
            <w:noWrap/>
            <w:hideMark/>
          </w:tcPr>
          <w:p w14:paraId="72354F14"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0.3819</w:t>
            </w:r>
          </w:p>
        </w:tc>
        <w:tc>
          <w:tcPr>
            <w:tcW w:w="598" w:type="pct"/>
            <w:noWrap/>
            <w:hideMark/>
          </w:tcPr>
          <w:p w14:paraId="022797F3"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0.3093</w:t>
            </w:r>
          </w:p>
        </w:tc>
        <w:tc>
          <w:tcPr>
            <w:tcW w:w="706" w:type="pct"/>
            <w:noWrap/>
            <w:hideMark/>
          </w:tcPr>
          <w:p w14:paraId="43FCE51F"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0.4698</w:t>
            </w:r>
          </w:p>
        </w:tc>
        <w:tc>
          <w:tcPr>
            <w:tcW w:w="654" w:type="pct"/>
            <w:noWrap/>
            <w:hideMark/>
          </w:tcPr>
          <w:p w14:paraId="57EEB7AB"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0.0063</w:t>
            </w:r>
          </w:p>
        </w:tc>
        <w:tc>
          <w:tcPr>
            <w:tcW w:w="598" w:type="pct"/>
            <w:noWrap/>
            <w:hideMark/>
          </w:tcPr>
          <w:p w14:paraId="7C09110E"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0.0744</w:t>
            </w:r>
          </w:p>
        </w:tc>
        <w:tc>
          <w:tcPr>
            <w:tcW w:w="817" w:type="pct"/>
            <w:noWrap/>
            <w:hideMark/>
          </w:tcPr>
          <w:p w14:paraId="02E0428C"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0.5322</w:t>
            </w:r>
          </w:p>
        </w:tc>
      </w:tr>
      <w:tr w:rsidR="0057347A" w:rsidRPr="008A40F5" w14:paraId="2270BC69" w14:textId="77777777" w:rsidTr="0057347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05489052" w14:textId="77777777" w:rsidR="004C4C39" w:rsidRPr="00D479A2" w:rsidRDefault="004C4C39" w:rsidP="004C4C39">
            <w:pPr>
              <w:rPr>
                <w:rFonts w:eastAsia="Times New Roman" w:cs="Arial"/>
                <w:sz w:val="21"/>
              </w:rPr>
            </w:pPr>
            <w:r w:rsidRPr="00D479A2">
              <w:rPr>
                <w:rFonts w:eastAsia="Times New Roman" w:cs="Arial"/>
                <w:sz w:val="21"/>
              </w:rPr>
              <w:t>Not Sorry</w:t>
            </w:r>
          </w:p>
        </w:tc>
        <w:tc>
          <w:tcPr>
            <w:tcW w:w="653" w:type="pct"/>
            <w:noWrap/>
            <w:hideMark/>
          </w:tcPr>
          <w:p w14:paraId="4BD541E0"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0.3269</w:t>
            </w:r>
          </w:p>
        </w:tc>
        <w:tc>
          <w:tcPr>
            <w:tcW w:w="598" w:type="pct"/>
            <w:noWrap/>
            <w:hideMark/>
          </w:tcPr>
          <w:p w14:paraId="4F4D0F08"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0.211</w:t>
            </w:r>
          </w:p>
        </w:tc>
        <w:tc>
          <w:tcPr>
            <w:tcW w:w="706" w:type="pct"/>
            <w:noWrap/>
            <w:hideMark/>
          </w:tcPr>
          <w:p w14:paraId="5A468BE2"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0.381</w:t>
            </w:r>
          </w:p>
        </w:tc>
        <w:tc>
          <w:tcPr>
            <w:tcW w:w="654" w:type="pct"/>
            <w:noWrap/>
            <w:hideMark/>
          </w:tcPr>
          <w:p w14:paraId="5F713F1B"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0.1688</w:t>
            </w:r>
          </w:p>
        </w:tc>
        <w:tc>
          <w:tcPr>
            <w:tcW w:w="598" w:type="pct"/>
            <w:noWrap/>
            <w:hideMark/>
          </w:tcPr>
          <w:p w14:paraId="168EDF21"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0.0021</w:t>
            </w:r>
          </w:p>
        </w:tc>
        <w:tc>
          <w:tcPr>
            <w:tcW w:w="817" w:type="pct"/>
            <w:noWrap/>
            <w:hideMark/>
          </w:tcPr>
          <w:p w14:paraId="0212B32F"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0.675</w:t>
            </w:r>
          </w:p>
        </w:tc>
      </w:tr>
      <w:tr w:rsidR="0057347A" w:rsidRPr="008A40F5" w14:paraId="7C47E641" w14:textId="77777777" w:rsidTr="0057347A">
        <w:trPr>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59F8D3AC" w14:textId="77777777" w:rsidR="004C4C39" w:rsidRPr="00D479A2" w:rsidRDefault="004C4C39" w:rsidP="004C4C39">
            <w:pPr>
              <w:rPr>
                <w:rFonts w:eastAsia="Times New Roman" w:cs="Arial"/>
                <w:sz w:val="21"/>
              </w:rPr>
            </w:pPr>
            <w:r w:rsidRPr="00D479A2">
              <w:rPr>
                <w:rFonts w:eastAsia="Times New Roman" w:cs="Arial"/>
                <w:sz w:val="21"/>
              </w:rPr>
              <w:t>Breaks Things</w:t>
            </w:r>
          </w:p>
        </w:tc>
        <w:tc>
          <w:tcPr>
            <w:tcW w:w="653" w:type="pct"/>
            <w:noWrap/>
            <w:hideMark/>
          </w:tcPr>
          <w:p w14:paraId="39DD61EC"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0.3142</w:t>
            </w:r>
          </w:p>
        </w:tc>
        <w:tc>
          <w:tcPr>
            <w:tcW w:w="598" w:type="pct"/>
            <w:noWrap/>
            <w:hideMark/>
          </w:tcPr>
          <w:p w14:paraId="7D027EE9"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0.3141</w:t>
            </w:r>
          </w:p>
        </w:tc>
        <w:tc>
          <w:tcPr>
            <w:tcW w:w="706" w:type="pct"/>
            <w:noWrap/>
            <w:hideMark/>
          </w:tcPr>
          <w:p w14:paraId="63CBAB3A"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0.4647</w:t>
            </w:r>
          </w:p>
        </w:tc>
        <w:tc>
          <w:tcPr>
            <w:tcW w:w="654" w:type="pct"/>
            <w:noWrap/>
            <w:hideMark/>
          </w:tcPr>
          <w:p w14:paraId="1774B035"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0.1112</w:t>
            </w:r>
          </w:p>
        </w:tc>
        <w:tc>
          <w:tcPr>
            <w:tcW w:w="598" w:type="pct"/>
            <w:noWrap/>
            <w:hideMark/>
          </w:tcPr>
          <w:p w14:paraId="72989673"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-0.0601</w:t>
            </w:r>
          </w:p>
        </w:tc>
        <w:tc>
          <w:tcPr>
            <w:tcW w:w="817" w:type="pct"/>
            <w:noWrap/>
            <w:hideMark/>
          </w:tcPr>
          <w:p w14:paraId="62D0B8A1"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0.5707</w:t>
            </w:r>
          </w:p>
        </w:tc>
      </w:tr>
      <w:tr w:rsidR="0057347A" w:rsidRPr="008A40F5" w14:paraId="14CDF462" w14:textId="77777777" w:rsidTr="0057347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6D594FC9" w14:textId="77777777" w:rsidR="004C4C39" w:rsidRPr="00D479A2" w:rsidRDefault="004C4C39" w:rsidP="004C4C39">
            <w:pPr>
              <w:rPr>
                <w:rFonts w:eastAsia="Times New Roman" w:cs="Arial"/>
                <w:sz w:val="21"/>
              </w:rPr>
            </w:pPr>
            <w:r w:rsidRPr="00D479A2">
              <w:rPr>
                <w:rFonts w:eastAsia="Times New Roman" w:cs="Arial"/>
                <w:sz w:val="21"/>
              </w:rPr>
              <w:t>Restless</w:t>
            </w:r>
          </w:p>
        </w:tc>
        <w:tc>
          <w:tcPr>
            <w:tcW w:w="653" w:type="pct"/>
            <w:noWrap/>
            <w:hideMark/>
          </w:tcPr>
          <w:p w14:paraId="1656BBBF"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0.2942</w:t>
            </w:r>
          </w:p>
        </w:tc>
        <w:tc>
          <w:tcPr>
            <w:tcW w:w="598" w:type="pct"/>
            <w:noWrap/>
            <w:hideMark/>
          </w:tcPr>
          <w:p w14:paraId="186D4D41"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0.6019</w:t>
            </w:r>
          </w:p>
        </w:tc>
        <w:tc>
          <w:tcPr>
            <w:tcW w:w="706" w:type="pct"/>
            <w:noWrap/>
            <w:hideMark/>
          </w:tcPr>
          <w:p w14:paraId="3439794D"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0.1624</w:t>
            </w:r>
          </w:p>
        </w:tc>
        <w:tc>
          <w:tcPr>
            <w:tcW w:w="654" w:type="pct"/>
            <w:noWrap/>
            <w:hideMark/>
          </w:tcPr>
          <w:p w14:paraId="1BEF4BC7"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0.0269</w:t>
            </w:r>
          </w:p>
        </w:tc>
        <w:tc>
          <w:tcPr>
            <w:tcW w:w="598" w:type="pct"/>
            <w:noWrap/>
            <w:hideMark/>
          </w:tcPr>
          <w:p w14:paraId="463ACBBD"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-0.0736</w:t>
            </w:r>
          </w:p>
        </w:tc>
        <w:tc>
          <w:tcPr>
            <w:tcW w:w="817" w:type="pct"/>
            <w:noWrap/>
            <w:hideMark/>
          </w:tcPr>
          <w:p w14:paraId="58A6DF36"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0.5187</w:t>
            </w:r>
          </w:p>
        </w:tc>
      </w:tr>
      <w:tr w:rsidR="0057347A" w:rsidRPr="008A40F5" w14:paraId="5FC80B72" w14:textId="77777777" w:rsidTr="0057347A">
        <w:trPr>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6F47372E" w14:textId="77777777" w:rsidR="00D479A2" w:rsidRPr="00D479A2" w:rsidRDefault="004C4C39" w:rsidP="004C4C39">
            <w:pPr>
              <w:rPr>
                <w:rFonts w:eastAsia="Times New Roman" w:cs="Arial"/>
                <w:sz w:val="21"/>
              </w:rPr>
            </w:pPr>
            <w:r w:rsidRPr="00D479A2">
              <w:rPr>
                <w:rFonts w:eastAsia="Times New Roman" w:cs="Arial"/>
                <w:sz w:val="21"/>
              </w:rPr>
              <w:t xml:space="preserve">Difficulty </w:t>
            </w:r>
          </w:p>
          <w:p w14:paraId="3C251E4E" w14:textId="1A1CD294" w:rsidR="004C4C39" w:rsidRPr="00D479A2" w:rsidRDefault="004C4C39" w:rsidP="004C4C39">
            <w:pPr>
              <w:rPr>
                <w:rFonts w:eastAsia="Times New Roman" w:cs="Arial"/>
                <w:sz w:val="21"/>
              </w:rPr>
            </w:pPr>
            <w:r w:rsidRPr="00D479A2">
              <w:rPr>
                <w:rFonts w:eastAsia="Times New Roman" w:cs="Arial"/>
                <w:sz w:val="21"/>
              </w:rPr>
              <w:t>Concentrating</w:t>
            </w:r>
          </w:p>
        </w:tc>
        <w:tc>
          <w:tcPr>
            <w:tcW w:w="653" w:type="pct"/>
            <w:noWrap/>
            <w:hideMark/>
          </w:tcPr>
          <w:p w14:paraId="770873D8"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0.2531</w:t>
            </w:r>
          </w:p>
        </w:tc>
        <w:tc>
          <w:tcPr>
            <w:tcW w:w="598" w:type="pct"/>
            <w:noWrap/>
            <w:hideMark/>
          </w:tcPr>
          <w:p w14:paraId="1A5119AF"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0.6664</w:t>
            </w:r>
          </w:p>
        </w:tc>
        <w:tc>
          <w:tcPr>
            <w:tcW w:w="706" w:type="pct"/>
            <w:noWrap/>
            <w:hideMark/>
          </w:tcPr>
          <w:p w14:paraId="34531DED"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0.1804</w:t>
            </w:r>
          </w:p>
        </w:tc>
        <w:tc>
          <w:tcPr>
            <w:tcW w:w="654" w:type="pct"/>
            <w:noWrap/>
            <w:hideMark/>
          </w:tcPr>
          <w:p w14:paraId="73AFCE48"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0.0645</w:t>
            </w:r>
          </w:p>
        </w:tc>
        <w:tc>
          <w:tcPr>
            <w:tcW w:w="598" w:type="pct"/>
            <w:noWrap/>
            <w:hideMark/>
          </w:tcPr>
          <w:p w14:paraId="3A89A169"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0.0531</w:t>
            </w:r>
          </w:p>
        </w:tc>
        <w:tc>
          <w:tcPr>
            <w:tcW w:w="817" w:type="pct"/>
            <w:noWrap/>
            <w:hideMark/>
          </w:tcPr>
          <w:p w14:paraId="4D01F95C" w14:textId="77777777" w:rsidR="004C4C39" w:rsidRPr="00D479A2"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rPr>
            </w:pPr>
            <w:r w:rsidRPr="00D479A2">
              <w:rPr>
                <w:rFonts w:eastAsia="Times New Roman" w:cs="Arial"/>
                <w:sz w:val="21"/>
              </w:rPr>
              <w:t>0.4523</w:t>
            </w:r>
          </w:p>
        </w:tc>
      </w:tr>
      <w:tr w:rsidR="0057347A" w:rsidRPr="008A40F5" w14:paraId="7848A4D6" w14:textId="77777777" w:rsidTr="0057347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74" w:type="pct"/>
            <w:noWrap/>
            <w:hideMark/>
          </w:tcPr>
          <w:p w14:paraId="5CC8903C" w14:textId="77777777" w:rsidR="000B0AEA" w:rsidRDefault="004C4C39" w:rsidP="004C4C39">
            <w:pPr>
              <w:rPr>
                <w:rFonts w:eastAsia="Times New Roman" w:cs="Arial"/>
                <w:sz w:val="21"/>
              </w:rPr>
            </w:pPr>
            <w:r w:rsidRPr="00D479A2">
              <w:rPr>
                <w:rFonts w:eastAsia="Times New Roman" w:cs="Arial"/>
                <w:sz w:val="21"/>
              </w:rPr>
              <w:t xml:space="preserve">Poor School </w:t>
            </w:r>
          </w:p>
          <w:p w14:paraId="186C0A21" w14:textId="15523D38" w:rsidR="004C4C39" w:rsidRPr="00D479A2" w:rsidRDefault="004C4C39" w:rsidP="004C4C39">
            <w:pPr>
              <w:rPr>
                <w:rFonts w:eastAsia="Times New Roman" w:cs="Arial"/>
                <w:sz w:val="21"/>
              </w:rPr>
            </w:pPr>
            <w:r w:rsidRPr="00D479A2">
              <w:rPr>
                <w:rFonts w:eastAsia="Times New Roman" w:cs="Arial"/>
                <w:sz w:val="21"/>
              </w:rPr>
              <w:t>Performance</w:t>
            </w:r>
          </w:p>
        </w:tc>
        <w:tc>
          <w:tcPr>
            <w:tcW w:w="653" w:type="pct"/>
            <w:noWrap/>
            <w:hideMark/>
          </w:tcPr>
          <w:p w14:paraId="03CD552E"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0.1653</w:t>
            </w:r>
          </w:p>
        </w:tc>
        <w:tc>
          <w:tcPr>
            <w:tcW w:w="598" w:type="pct"/>
            <w:noWrap/>
            <w:hideMark/>
          </w:tcPr>
          <w:p w14:paraId="77497A3C"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0.4263</w:t>
            </w:r>
          </w:p>
        </w:tc>
        <w:tc>
          <w:tcPr>
            <w:tcW w:w="706" w:type="pct"/>
            <w:noWrap/>
            <w:hideMark/>
          </w:tcPr>
          <w:p w14:paraId="58E3364C"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0.1578</w:t>
            </w:r>
          </w:p>
        </w:tc>
        <w:tc>
          <w:tcPr>
            <w:tcW w:w="654" w:type="pct"/>
            <w:noWrap/>
            <w:hideMark/>
          </w:tcPr>
          <w:p w14:paraId="1FA6EE08"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0.1075</w:t>
            </w:r>
          </w:p>
        </w:tc>
        <w:tc>
          <w:tcPr>
            <w:tcW w:w="598" w:type="pct"/>
            <w:noWrap/>
            <w:hideMark/>
          </w:tcPr>
          <w:p w14:paraId="62067C60"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0.177</w:t>
            </w:r>
          </w:p>
        </w:tc>
        <w:tc>
          <w:tcPr>
            <w:tcW w:w="817" w:type="pct"/>
            <w:noWrap/>
            <w:hideMark/>
          </w:tcPr>
          <w:p w14:paraId="2DDE560D" w14:textId="77777777" w:rsidR="004C4C39" w:rsidRPr="00D479A2"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rPr>
            </w:pPr>
            <w:r w:rsidRPr="00D479A2">
              <w:rPr>
                <w:rFonts w:eastAsia="Times New Roman" w:cs="Arial"/>
                <w:sz w:val="21"/>
              </w:rPr>
              <w:t>0.7231</w:t>
            </w:r>
          </w:p>
        </w:tc>
      </w:tr>
    </w:tbl>
    <w:p w14:paraId="75896018" w14:textId="77777777" w:rsidR="004C4C39" w:rsidRPr="00A32EED" w:rsidRDefault="004C4C39" w:rsidP="004C4C39">
      <w:pPr>
        <w:spacing w:after="0" w:line="480" w:lineRule="auto"/>
        <w:ind w:firstLine="720"/>
        <w:rPr>
          <w:rFonts w:eastAsia="Calibri"/>
        </w:rPr>
      </w:pPr>
    </w:p>
    <w:p w14:paraId="32386345" w14:textId="77777777" w:rsidR="004C4C39" w:rsidRPr="00A32EED" w:rsidRDefault="004C4C39" w:rsidP="004C4C39">
      <w:pPr>
        <w:spacing w:after="0" w:line="480" w:lineRule="auto"/>
        <w:ind w:firstLine="720"/>
        <w:rPr>
          <w:rFonts w:eastAsia="Calibri"/>
        </w:rPr>
      </w:pPr>
      <w:r w:rsidRPr="00A32EED">
        <w:rPr>
          <w:rFonts w:eastAsia="Calibri"/>
        </w:rPr>
        <w:t xml:space="preserve">It is hypothesized that a population heterogeneity relationship between child maltreatment and adverse outcomes would also be supported if maltreatment at younger ages is significantly related to adverse outcomes. In this case, it could be argued that child maltreatment at a young age influences some propensity within the child that then remains stable throughout the life-course. As it relates to self-control, with Gottfredson and Hirschi’s </w:t>
      </w:r>
      <w:r w:rsidRPr="00A32EED">
        <w:rPr>
          <w:rFonts w:eastAsia="Calibri"/>
        </w:rPr>
        <w:fldChar w:fldCharType="begin"/>
      </w:r>
      <w:r w:rsidRPr="00A32EED">
        <w:rPr>
          <w:rFonts w:eastAsia="Calibri"/>
        </w:rPr>
        <w:instrText xml:space="preserve"> ADDIN ZOTERO_ITEM CSL_CITATION {"citationID":"vL82QxNG","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assumption that self-control is stable by the age of 10, only maltreatment that occurs prior to the age of 10 would be evidence of a population heterogeneity effect of maltreatment on adverse outcomes.  </w:t>
      </w:r>
    </w:p>
    <w:p w14:paraId="38450CEF"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74" w:name="_Toc479938163"/>
      <w:bookmarkStart w:id="75" w:name="_Toc482112692"/>
      <w:r w:rsidRPr="00A32EED">
        <w:rPr>
          <w:rFonts w:eastAsia="ＭＳ ゴシック"/>
          <w:i/>
          <w:color w:val="000000"/>
          <w:szCs w:val="26"/>
          <w:u w:val="single"/>
        </w:rPr>
        <w:t>State Dependence Variables</w:t>
      </w:r>
      <w:bookmarkEnd w:id="74"/>
      <w:bookmarkEnd w:id="75"/>
    </w:p>
    <w:p w14:paraId="4C0DEF83" w14:textId="77777777" w:rsidR="004C4C39" w:rsidRPr="00A32EED" w:rsidRDefault="004C4C39" w:rsidP="004C4C39">
      <w:pPr>
        <w:spacing w:after="0" w:line="480" w:lineRule="auto"/>
        <w:rPr>
          <w:rFonts w:eastAsia="Calibri"/>
        </w:rPr>
      </w:pPr>
      <w:r w:rsidRPr="00A32EED">
        <w:rPr>
          <w:rFonts w:eastAsia="Calibri"/>
        </w:rPr>
        <w:tab/>
        <w:t xml:space="preserve">As discussed previously, state dependence variables are those events that occur at various points in the life-course which act as a precipitator to future </w:t>
      </w:r>
      <w:r w:rsidRPr="00A32EED">
        <w:rPr>
          <w:rFonts w:eastAsia="Calibri"/>
        </w:rPr>
        <w:lastRenderedPageBreak/>
        <w:t xml:space="preserve">outcomes. In other words, these events are believed to be causally related to future outcomes. For the current study, variables for receipt of services, case substantiation, level of harm for the most severe form of maltreatment, having more than 1 form of maltreatment, previous child welfare history, previous parental arrest, type of maltreatment, and placement at baseline are all considered to be elements of state dependence. As such, significance for these variables is interpreted as evidence in support of a state dependence effect of child maltreatment and child welfare experiences on adverse outcomes throughout the life-course. </w:t>
      </w:r>
    </w:p>
    <w:p w14:paraId="4DAA4164" w14:textId="77777777" w:rsidR="004C4C39" w:rsidRPr="00A32EED" w:rsidRDefault="004C4C39" w:rsidP="004C4C39">
      <w:pPr>
        <w:keepNext/>
        <w:keepLines/>
        <w:spacing w:before="40" w:after="0" w:line="480" w:lineRule="auto"/>
        <w:outlineLvl w:val="2"/>
        <w:rPr>
          <w:rFonts w:eastAsia="ＭＳ ゴシック"/>
          <w:i/>
          <w:color w:val="000000"/>
        </w:rPr>
      </w:pPr>
      <w:bookmarkStart w:id="76" w:name="_Toc479938164"/>
      <w:bookmarkStart w:id="77" w:name="_Toc482112693"/>
      <w:r w:rsidRPr="00A32EED">
        <w:rPr>
          <w:rFonts w:eastAsia="ＭＳ ゴシック"/>
          <w:i/>
          <w:color w:val="000000"/>
        </w:rPr>
        <w:t>Baseline Service</w:t>
      </w:r>
      <w:bookmarkEnd w:id="76"/>
      <w:bookmarkEnd w:id="77"/>
    </w:p>
    <w:p w14:paraId="179B7A23" w14:textId="77777777" w:rsidR="004C4C39" w:rsidRPr="00A32EED" w:rsidRDefault="004C4C39" w:rsidP="004C4C39">
      <w:pPr>
        <w:spacing w:after="0" w:line="480" w:lineRule="auto"/>
        <w:rPr>
          <w:rFonts w:eastAsia="Calibri"/>
        </w:rPr>
      </w:pPr>
      <w:r w:rsidRPr="00A32EED">
        <w:rPr>
          <w:rFonts w:eastAsia="Calibri"/>
        </w:rPr>
        <w:tab/>
        <w:t xml:space="preserve">A variable for baseline services is included to indicate if the family received any form of service at baseline. This variable was created using an administrative variable from wave 1 indicating if any service was received by the family. There are no missing cases for this variable and 454 (25.65%) of the age-eligible sample received some service.  </w:t>
      </w:r>
    </w:p>
    <w:p w14:paraId="42A95E44" w14:textId="77777777" w:rsidR="004C4C39" w:rsidRPr="00A32EED" w:rsidRDefault="004C4C39" w:rsidP="004C4C39">
      <w:pPr>
        <w:keepNext/>
        <w:keepLines/>
        <w:spacing w:before="40" w:after="0" w:line="480" w:lineRule="auto"/>
        <w:outlineLvl w:val="2"/>
        <w:rPr>
          <w:rFonts w:eastAsia="ＭＳ ゴシック"/>
          <w:i/>
          <w:color w:val="000000"/>
        </w:rPr>
      </w:pPr>
      <w:bookmarkStart w:id="78" w:name="_Toc479938165"/>
      <w:bookmarkStart w:id="79" w:name="_Toc482112694"/>
      <w:r w:rsidRPr="00A32EED">
        <w:rPr>
          <w:rFonts w:eastAsia="ＭＳ ゴシック"/>
          <w:i/>
          <w:color w:val="000000"/>
        </w:rPr>
        <w:t>Case Substantiation</w:t>
      </w:r>
      <w:bookmarkEnd w:id="78"/>
      <w:bookmarkEnd w:id="79"/>
    </w:p>
    <w:p w14:paraId="76923077" w14:textId="77777777" w:rsidR="004C4C39" w:rsidRPr="00A32EED" w:rsidRDefault="004C4C39" w:rsidP="004C4C39">
      <w:pPr>
        <w:spacing w:after="0" w:line="480" w:lineRule="auto"/>
        <w:rPr>
          <w:rFonts w:eastAsia="Calibri"/>
        </w:rPr>
      </w:pPr>
      <w:r w:rsidRPr="00A32EED">
        <w:rPr>
          <w:rFonts w:eastAsia="Calibri"/>
        </w:rPr>
        <w:tab/>
        <w:t xml:space="preserve">A variable to indicate if the case was substantiated or not was also included. Case substantiation was included as a proxy for both severity and also to distinguish between those cases that are just investigated and those in which the child is entered into child welfare services at some level. One problem with child welfare data from multiple states is that some states have response level others than substantiated vs. not substantiated. Because not all states have these in between levels and also differ in what the call them, only </w:t>
      </w:r>
      <w:r w:rsidRPr="00A32EED">
        <w:rPr>
          <w:rFonts w:eastAsia="Calibri"/>
        </w:rPr>
        <w:lastRenderedPageBreak/>
        <w:t xml:space="preserve">cases that received a full substantiated were coded yes for substantiation as only these cases indicate a consistent level of child welfare determinations. This justification has been previously used in similar data </w:t>
      </w:r>
      <w:r w:rsidRPr="00A32EED">
        <w:rPr>
          <w:rFonts w:eastAsia="Calibri"/>
        </w:rPr>
        <w:fldChar w:fldCharType="begin"/>
      </w:r>
      <w:r w:rsidRPr="00A32EED">
        <w:rPr>
          <w:rFonts w:eastAsia="Calibri"/>
        </w:rPr>
        <w:instrText xml:space="preserve"> ADDIN ZOTERO_ITEM CSL_CITATION {"citationID":"j37etcl1d","properties":{"formattedCitation":"(Crawford and Bradley 2016)","plainCitation":"(Crawford and Bradley 2016)"},"citationItems":[{"id":240,"uris":["http://zotero.org/users/1165382/items/FTRUBTEV"],"uri":["http://zotero.org/users/1165382/items/FTRUBTEV"],"itemData":{"id":240,"type":"article-journal","title":"Parent gender and child removal in physical abuse and neglect cases","container-title":"Children and Youth Services Review","source":"Google Scholar","URL":"http://www.sciencedirect.com/science/article/pii/S0190740916301256","note":"00000","author":[{"family":"Crawford","given":"Brandon"},{"family":"Bradley","given":"Mindy S."}],"issued":{"date-parts":[["2016"]]},"accessed":{"date-parts":[["2016",4,25]]}}}],"schema":"https://github.com/citation-style-language/schema/raw/master/csl-citation.json"} </w:instrText>
      </w:r>
      <w:r w:rsidRPr="00A32EED">
        <w:rPr>
          <w:rFonts w:eastAsia="Calibri"/>
        </w:rPr>
        <w:fldChar w:fldCharType="separate"/>
      </w:r>
      <w:r w:rsidRPr="00A32EED">
        <w:rPr>
          <w:rFonts w:eastAsia="Calibri"/>
          <w:noProof/>
        </w:rPr>
        <w:t>(Crawford and Bradley 2016)</w:t>
      </w:r>
      <w:r w:rsidRPr="00A32EED">
        <w:rPr>
          <w:rFonts w:eastAsia="Calibri"/>
        </w:rPr>
        <w:fldChar w:fldCharType="end"/>
      </w:r>
      <w:r w:rsidRPr="00A32EED">
        <w:rPr>
          <w:rFonts w:eastAsia="Calibri"/>
        </w:rPr>
        <w:t xml:space="preserve">. As such, there are no missing data, and 1,087 (61.41%) of the 1,770 age-eligible cases were substantiated. </w:t>
      </w:r>
    </w:p>
    <w:p w14:paraId="615A364C" w14:textId="77777777" w:rsidR="004C4C39" w:rsidRPr="00A32EED" w:rsidRDefault="004C4C39" w:rsidP="004C4C39">
      <w:pPr>
        <w:keepNext/>
        <w:keepLines/>
        <w:spacing w:before="40" w:after="0" w:line="480" w:lineRule="auto"/>
        <w:outlineLvl w:val="2"/>
        <w:rPr>
          <w:rFonts w:eastAsia="ＭＳ ゴシック"/>
          <w:i/>
          <w:color w:val="000000"/>
        </w:rPr>
      </w:pPr>
      <w:bookmarkStart w:id="80" w:name="_Toc479938166"/>
      <w:bookmarkStart w:id="81" w:name="_Toc482112695"/>
      <w:r w:rsidRPr="00A32EED">
        <w:rPr>
          <w:rFonts w:eastAsia="ＭＳ ゴシック"/>
          <w:i/>
          <w:color w:val="000000"/>
        </w:rPr>
        <w:t>Level of Harm</w:t>
      </w:r>
      <w:bookmarkEnd w:id="80"/>
      <w:bookmarkEnd w:id="81"/>
    </w:p>
    <w:p w14:paraId="5CE1DF32" w14:textId="77777777" w:rsidR="004C4C39" w:rsidRPr="00A32EED" w:rsidRDefault="004C4C39" w:rsidP="004C4C39">
      <w:pPr>
        <w:spacing w:after="0" w:line="480" w:lineRule="auto"/>
        <w:rPr>
          <w:rFonts w:eastAsia="Calibri"/>
        </w:rPr>
      </w:pPr>
      <w:r w:rsidRPr="00A32EED">
        <w:rPr>
          <w:rFonts w:eastAsia="Calibri"/>
        </w:rPr>
        <w:tab/>
        <w:t xml:space="preserve">The level of harm is included as another proxy for case severity. Because multiple forms of maltreatment may have been alleged, the level of harm represents the perceived level of harm for the most severe form of alleged maltreatment. These data were obtained from the caseworker at wave 1. There is a total of 138 cases with missing data. Of these 138, 123 were missing due to non-interviews (caseworker not available, left agency), 14 gave the response "don't know," and 1 refused. Responses ranged from 1 (no harm) – 4 (severe) with a weighted mean response of 1.9. </w:t>
      </w:r>
    </w:p>
    <w:p w14:paraId="603C55FB" w14:textId="77777777" w:rsidR="004C4C39" w:rsidRPr="00A32EED" w:rsidRDefault="004C4C39" w:rsidP="004C4C39">
      <w:pPr>
        <w:spacing w:after="0" w:line="480" w:lineRule="auto"/>
        <w:rPr>
          <w:rFonts w:eastAsia="Calibri"/>
          <w:i/>
        </w:rPr>
      </w:pPr>
      <w:r w:rsidRPr="00A32EED">
        <w:rPr>
          <w:rFonts w:eastAsia="Calibri"/>
          <w:i/>
        </w:rPr>
        <w:t>Most Severe Alleged Maltreatment at Baseline</w:t>
      </w:r>
    </w:p>
    <w:p w14:paraId="05BB6FB4" w14:textId="77777777" w:rsidR="004C4C39" w:rsidRPr="00A32EED" w:rsidRDefault="004C4C39" w:rsidP="004C4C39">
      <w:pPr>
        <w:spacing w:after="0" w:line="480" w:lineRule="auto"/>
        <w:rPr>
          <w:rFonts w:eastAsia="Calibri"/>
        </w:rPr>
      </w:pPr>
      <w:r w:rsidRPr="00A32EED">
        <w:rPr>
          <w:rFonts w:eastAsia="Calibri"/>
          <w:i/>
        </w:rPr>
        <w:tab/>
      </w:r>
      <w:r w:rsidRPr="00A32EED">
        <w:rPr>
          <w:rFonts w:eastAsia="Calibri"/>
        </w:rPr>
        <w:t xml:space="preserve">For each report, there may be multiple forms of maltreatment alleged at baseline. However, including all types of alleged maltreatment is difficult due to problems of mutual exclusivity and reference groups when interpreting. As a result, only the most severe form of alleged maltreatment type was included in analyses. Most severe form of maltreatment was derived from two different variables. Initially, Caseworkers were asked at wave 1 to indicate which of the maltreatment types reported was the most severe. If that question was missing, a process was used to identify cases with only one form of maltreatment and for </w:t>
      </w:r>
      <w:r w:rsidRPr="00A32EED">
        <w:rPr>
          <w:rFonts w:eastAsia="Calibri"/>
        </w:rPr>
        <w:lastRenderedPageBreak/>
        <w:t xml:space="preserve">those cases with no caseworker response and only one form of maltreatment, the type alleged was then kept as the most severe form of maltreatment. Responses for both variables distinguished between 10 different maltreatment types and were then collapsed into the four common categories of neglect, physical abuse, sexual abuse, and other forms of maltreatment. Other forms of maltreatment include things such as exploitation, moral/legal maltreatment, and a category of other. After recoding the two different variables used, a total of 144 (8.14) cases were missing. Most cases reported neglect as most common (721) followed by physical abuse (414), sexual abuse (304), and other (187). As such, neglect serves as the reference category for most severe maltreatment type at baseline. </w:t>
      </w:r>
    </w:p>
    <w:p w14:paraId="02B906FD" w14:textId="77777777" w:rsidR="004C4C39" w:rsidRPr="00A32EED" w:rsidRDefault="004C4C39" w:rsidP="004C4C39">
      <w:pPr>
        <w:keepNext/>
        <w:keepLines/>
        <w:spacing w:before="40" w:after="0" w:line="480" w:lineRule="auto"/>
        <w:outlineLvl w:val="2"/>
        <w:rPr>
          <w:rFonts w:eastAsia="ＭＳ ゴシック"/>
          <w:i/>
          <w:color w:val="000000"/>
        </w:rPr>
      </w:pPr>
      <w:bookmarkStart w:id="82" w:name="_Toc479938167"/>
      <w:bookmarkStart w:id="83" w:name="_Toc482112696"/>
      <w:r w:rsidRPr="00A32EED">
        <w:rPr>
          <w:rFonts w:eastAsia="ＭＳ ゴシック"/>
          <w:i/>
          <w:color w:val="000000"/>
        </w:rPr>
        <w:t>More than 1 Maltreatment</w:t>
      </w:r>
      <w:bookmarkEnd w:id="82"/>
      <w:bookmarkEnd w:id="83"/>
    </w:p>
    <w:p w14:paraId="36BFA3CB" w14:textId="3549CDE9" w:rsidR="004C4C39" w:rsidRPr="00A32EED" w:rsidRDefault="004C4C39" w:rsidP="00A93294">
      <w:pPr>
        <w:spacing w:after="0" w:line="480" w:lineRule="auto"/>
        <w:rPr>
          <w:rFonts w:eastAsia="Calibri"/>
          <w:i/>
        </w:rPr>
      </w:pPr>
      <w:r w:rsidRPr="00A32EED">
        <w:rPr>
          <w:rFonts w:eastAsia="Calibri"/>
        </w:rPr>
        <w:tab/>
        <w:t xml:space="preserve">As previously mentioned, including all forms of alleged maltreatment is difficult due to problems of mutual exclusivity and interpretation of reference groups. As such, in addition to the level of harm and most severe form of alleged, a variable is also included in the model to indicate if more than 1 form of maltreatment was alleged at baseline. At wave 1, caseworkers were asked to provide the number of alleged maltreatments at baseline. There is a total of 125 cases (7.06%) with missing data. Of these, 123 were missing due to non-interviews, and the remaining two were indicated as legitimate skips. Of the 1,770 cases, the majority (1,094) indicated only one form of maltreatment. </w:t>
      </w:r>
    </w:p>
    <w:p w14:paraId="70FB8533" w14:textId="77777777" w:rsidR="004C4C39" w:rsidRPr="00A32EED" w:rsidRDefault="004C4C39" w:rsidP="004C4C39">
      <w:pPr>
        <w:spacing w:after="0" w:line="480" w:lineRule="auto"/>
        <w:rPr>
          <w:rFonts w:eastAsia="Calibri"/>
          <w:i/>
        </w:rPr>
      </w:pPr>
      <w:r w:rsidRPr="00A32EED">
        <w:rPr>
          <w:rFonts w:eastAsia="Calibri"/>
          <w:i/>
        </w:rPr>
        <w:t>Previous Child Welfare Involvement</w:t>
      </w:r>
    </w:p>
    <w:p w14:paraId="7C31E94A" w14:textId="77777777" w:rsidR="004C4C39" w:rsidRPr="00A32EED" w:rsidRDefault="004C4C39" w:rsidP="004C4C39">
      <w:pPr>
        <w:spacing w:after="0" w:line="480" w:lineRule="auto"/>
        <w:rPr>
          <w:rFonts w:eastAsia="Calibri"/>
        </w:rPr>
      </w:pPr>
      <w:r w:rsidRPr="00A32EED">
        <w:rPr>
          <w:rFonts w:eastAsia="Calibri"/>
          <w:i/>
        </w:rPr>
        <w:lastRenderedPageBreak/>
        <w:tab/>
      </w:r>
      <w:r w:rsidRPr="00A32EED">
        <w:rPr>
          <w:rFonts w:eastAsia="Calibri"/>
        </w:rPr>
        <w:t>To control for previous histories of child welfare involvement, a variable was created to indicate if the family had any previous history of child welfare contact. As part of a case history module at baseline administrative caseworkers were asked if the family had any previous reports of alleged maltreatment, prior maltreatment investigations, previously substantiated maltreatments, or previous child welfare service histories. If a respondent did not have any of the above incidents they were coded as no for previous history and if they had at least one of the incidents they were coded as yes. Of the 1,770 age-eligible cases, 192 (10.85%) were missing data. Of the 192 missing cases, 188 were due to non-interviews and four dude to refusals.</w:t>
      </w:r>
    </w:p>
    <w:p w14:paraId="21CFAE27" w14:textId="77777777" w:rsidR="004C4C39" w:rsidRPr="00A32EED" w:rsidRDefault="004C4C39" w:rsidP="004C4C39">
      <w:pPr>
        <w:spacing w:after="0" w:line="480" w:lineRule="auto"/>
        <w:rPr>
          <w:rFonts w:eastAsia="Calibri"/>
          <w:i/>
        </w:rPr>
      </w:pPr>
      <w:r w:rsidRPr="00A32EED">
        <w:rPr>
          <w:rFonts w:eastAsia="Calibri"/>
          <w:i/>
        </w:rPr>
        <w:t>Baseline Placement</w:t>
      </w:r>
    </w:p>
    <w:p w14:paraId="3758C1CB" w14:textId="77777777" w:rsidR="004C4C39" w:rsidRPr="00A32EED" w:rsidRDefault="004C4C39" w:rsidP="004C4C39">
      <w:pPr>
        <w:spacing w:after="0" w:line="480" w:lineRule="auto"/>
        <w:rPr>
          <w:rFonts w:eastAsia="Calibri"/>
        </w:rPr>
      </w:pPr>
      <w:r w:rsidRPr="00A32EED">
        <w:rPr>
          <w:rFonts w:eastAsia="Calibri"/>
          <w:i/>
        </w:rPr>
        <w:tab/>
      </w:r>
      <w:r w:rsidRPr="00A32EED">
        <w:rPr>
          <w:rFonts w:eastAsia="Calibri"/>
        </w:rPr>
        <w:t xml:space="preserve">To control for different types of placement at baseline, a variable was created to differentiate between remaining in the home, kinship placements, foster care placements, and group home/other placements. The category of remaining in the home is the reference group and represents those whose cases were substantiated but remained in the home or those who were not substantiated and remained in the home. Those who remained in the home after a case substantiation and those who remained in the home after unsubstantiated cases were examined for differences to see if different categories were needed. Results showed the two groups were not statistically different in elements of self-control, early sexual initiation, or criminal justice contact. Remaining in the home is the reference group for placement at baseline. Kinship placements are those where a child is removed and placed </w:t>
      </w:r>
      <w:r w:rsidRPr="00A32EED">
        <w:rPr>
          <w:rFonts w:eastAsia="Calibri"/>
        </w:rPr>
        <w:lastRenderedPageBreak/>
        <w:t xml:space="preserve">with a family member. Foster placements are placements with a foster family, typically selected by the agency and previously unknown to the families. Finally, group home/other placements are settings that are more restricted than the previous categories and less similar to a conventional family setting. These placements are typically reserved for youth with a higher level of behavioral needs. </w:t>
      </w:r>
    </w:p>
    <w:p w14:paraId="630F685A" w14:textId="77777777" w:rsidR="004C4C39" w:rsidRPr="00A32EED" w:rsidRDefault="004C4C39" w:rsidP="004C4C39">
      <w:pPr>
        <w:spacing w:after="0" w:line="480" w:lineRule="auto"/>
        <w:rPr>
          <w:rFonts w:eastAsia="Calibri"/>
        </w:rPr>
      </w:pPr>
      <w:r w:rsidRPr="00A32EED">
        <w:rPr>
          <w:rFonts w:eastAsia="Calibri"/>
        </w:rPr>
        <w:tab/>
        <w:t xml:space="preserve">The variable used to create the baseline placement variables was a baseline indicator for out of home placements (OOH). This variable contains 5 categories: not applicable (means the child remained in their own home), foster care, kinship care setting, group home/residential program, and other OOH care arrangement. The last two categories were collapsed into one category due to their low group numbers. Previous research has used a similar approach </w:t>
      </w:r>
      <w:r w:rsidRPr="00A32EED">
        <w:rPr>
          <w:rFonts w:eastAsia="Calibri"/>
        </w:rPr>
        <w:fldChar w:fldCharType="begin"/>
      </w:r>
      <w:r w:rsidRPr="00A32EED">
        <w:rPr>
          <w:rFonts w:eastAsia="Calibri"/>
        </w:rPr>
        <w:instrText xml:space="preserve"> ADDIN ZOTERO_ITEM CSL_CITATION {"citationID":"1t3jcft4i6","properties":{"formattedCitation":"(Crawford et al. 2017; Cusick et al. 2010b, 2012; DeGue and Widom 2009)","plainCitation":"(Crawford et al. 2017; Cusick et al. 2010b, 2012; DeGue and Widom 2009)"},"citationItems":[{"id":562,"uris":["http://zotero.org/users/1165382/items/XTK6EPTA"],"uri":["http://zotero.org/users/1165382/items/XTK6EPTA"],"itemData":{"id":562,"type":"article-journal","title":"Factors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id":406,"uris":["http://zotero.org/users/1165382/items/QJ9PPN5M"],"uri":["http://zotero.org/users/1165382/items/QJ9PPN5M"],"itemData":{"id":406,"type":"book","title":"Crime during the transition to adulthood: How youth fare as they leave out-of-home care","publisher":"National Institute of Justice, Office of Justice Programs, US Department of Justice","URL":"http://www.ncjrs.gov/App/abstractdb/AbstractDBDetails.aspx?id=251697","author":[{"family":"Cusick","given":"Gretchen"},{"family":"Courtney","given":"Mark"},{"family":"Havlicek","given":"Judy"},{"family":"Hess","given":"Nathan"}],"issued":{"date-parts":[["2010",1,1]]}}},{"id":115,"uris":["http://zotero.org/users/1165382/items/7PND6TWR"],"uri":["http://zotero.org/users/1165382/items/7PND6TWR"],"itemData":{"id":115,"type":"article-journal","title":"Risk for Arrest: The Role of Social Bonds in Protecting Foster Youth Making the Transition to Adulthood","container-title":"American Journal of Orthopsychiatry","page":"19-31","volume":"82","issue":"1","source":"Wiley Online Library","abstract":"This study examines a sample of foster youth at the onset of the transition to adulthood and explores how social bonds are related to the risk of arrest during adulthood. Drawing from official arrest records, event history models are used to examine the time to arrest. Because individuals may be at risk for different types of crime, competing risk regression models are used to distinguish among arrests for drug-related, nonviolent, or violent crimes. Between the ages of 17–18 and 24, 46% of former foster youth experience an arrest. Arrests were evenly distributed across drug, nonviolent, and violent crimes columns. Although findings fail to support the significance of social bonds to interpersonal domains, bonds to employment and education are associated with a lower risk for arrest. Child welfare policy and practice implications for building connections and protections around foster youth are discussed.","DOI":"10.1111/j.1939-0025.2011.01136.x","ISSN":"1939-0025","note":"00000","shortTitle":"Risk for Arrest","language":"en","author":[{"family":"Cusick","given":"Gretchen Ruth"},{"family":"Havlicek","given":"Judy R."},{"family":"Courtney","given":"Mark E."}],"issued":{"date-parts":[["2012"]]}}},{"id":173,"uris":["http://zotero.org/users/1165382/items/BA9GA7N9"],"uri":["http://zotero.org/users/1165382/items/BA9GA7N9"],"itemData":{"id":173,"type":"article-journal","title":"Does Out-of-Home Placement Mediate the Relationship Between Child Maltreatment and Adult Criminality?","container-title":"Child Maltreatment","page":"344-355","volume":"14","issue":"4","abstract":"Existing research on child welfare interventions as mediators of the criminal consequences of child maltreatment has focused on juvenile delinquency rather than adult criminality. This study uses a prospective sample of 772 maltreated youth to examine out-of-home placement as a mediator of adult criminality. Arrest data were collected from official records when the full sample was a mean age of 31.8, having ample opportunity for involvement with the criminal justice system. Overall, out-of-home placement showed a neutral or slightly positive effect on adult criminality compared to no placement, consistent with earlier findings. However, prior delinquency and placement instability were significant risk factors for adult criminality. Gender, not race, was identified as a significant moderator of the relationship between placement and adult criminality, with different patterns of response to placement for males and females. Thus, whether placement experiences influence adult criminal consequences of child maltreatment might depend on prior delinquency, placement stability, and gender.","DOI":"10.1177/1077559509332264","note":"00000","journalAbbreviation":"Child Maltreatment","author":[{"family":"DeGue","given":"Sarah"},{"family":"Widom","given":"Cathy Spatz"}],"issued":{"date-parts":[["2009",11,1]]}}}],"schema":"https://github.com/citation-style-language/schema/raw/master/csl-citation.json"} </w:instrText>
      </w:r>
      <w:r w:rsidRPr="00A32EED">
        <w:rPr>
          <w:rFonts w:eastAsia="Calibri"/>
        </w:rPr>
        <w:fldChar w:fldCharType="separate"/>
      </w:r>
      <w:r w:rsidRPr="00A32EED">
        <w:rPr>
          <w:rFonts w:eastAsia="Calibri"/>
          <w:noProof/>
        </w:rPr>
        <w:t>(Crawford et al. 2017; Cusick et al. 2010b, 2012; DeGue and Widom 2009)</w:t>
      </w:r>
      <w:r w:rsidRPr="00A32EED">
        <w:rPr>
          <w:rFonts w:eastAsia="Calibri"/>
        </w:rPr>
        <w:fldChar w:fldCharType="end"/>
      </w:r>
      <w:r w:rsidRPr="00A32EED">
        <w:rPr>
          <w:rFonts w:eastAsia="Calibri"/>
        </w:rPr>
        <w:t xml:space="preserve">. Many children remained in the home (1,317/74.41%), followed by foster homes (196/11.07%), kinship care (181/10.23%), and group home/other placements (76/4.29%). </w:t>
      </w:r>
    </w:p>
    <w:p w14:paraId="61233C34"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84" w:name="_Toc479938168"/>
      <w:bookmarkStart w:id="85" w:name="_Toc482112697"/>
      <w:r w:rsidRPr="00A32EED">
        <w:rPr>
          <w:rFonts w:eastAsia="ＭＳ ゴシック"/>
          <w:i/>
          <w:color w:val="000000"/>
          <w:szCs w:val="26"/>
          <w:u w:val="single"/>
        </w:rPr>
        <w:t>Control Variables</w:t>
      </w:r>
      <w:bookmarkEnd w:id="84"/>
      <w:bookmarkEnd w:id="85"/>
    </w:p>
    <w:p w14:paraId="1FC98C3B" w14:textId="77777777" w:rsidR="004C4C39" w:rsidRPr="00A32EED" w:rsidRDefault="004C4C39" w:rsidP="004C4C39">
      <w:pPr>
        <w:keepNext/>
        <w:keepLines/>
        <w:spacing w:before="40" w:after="0" w:line="480" w:lineRule="auto"/>
        <w:outlineLvl w:val="2"/>
        <w:rPr>
          <w:rFonts w:eastAsia="ＭＳ ゴシック"/>
          <w:i/>
          <w:color w:val="000000"/>
        </w:rPr>
      </w:pPr>
      <w:bookmarkStart w:id="86" w:name="_Toc479938169"/>
      <w:bookmarkStart w:id="87" w:name="_Toc482112698"/>
      <w:r w:rsidRPr="00A32EED">
        <w:rPr>
          <w:rFonts w:eastAsia="ＭＳ ゴシック"/>
          <w:i/>
          <w:color w:val="000000"/>
        </w:rPr>
        <w:t>Gender</w:t>
      </w:r>
      <w:bookmarkEnd w:id="86"/>
      <w:bookmarkEnd w:id="87"/>
    </w:p>
    <w:p w14:paraId="12157825" w14:textId="77777777" w:rsidR="004C4C39" w:rsidRPr="00A32EED" w:rsidRDefault="004C4C39" w:rsidP="004C4C39">
      <w:pPr>
        <w:spacing w:after="0" w:line="480" w:lineRule="auto"/>
        <w:rPr>
          <w:rFonts w:eastAsia="Calibri"/>
        </w:rPr>
      </w:pPr>
      <w:r w:rsidRPr="00A32EED">
        <w:rPr>
          <w:rFonts w:eastAsia="Calibri"/>
        </w:rPr>
        <w:tab/>
        <w:t xml:space="preserve">Given gender is a common correlate of crime, child gender is included in the model as a control variable. Of the 1,770 cases, 949 (53.62%) are female 740 (41.81%) are males. The remaining 81 (4.58%) cases were missing gender. No code was given to indicate why gender was missing. </w:t>
      </w:r>
    </w:p>
    <w:p w14:paraId="5CAEEC92" w14:textId="77777777" w:rsidR="004C4C39" w:rsidRPr="00A32EED" w:rsidRDefault="004C4C39" w:rsidP="004C4C39">
      <w:pPr>
        <w:keepNext/>
        <w:keepLines/>
        <w:spacing w:before="40" w:after="0" w:line="480" w:lineRule="auto"/>
        <w:outlineLvl w:val="2"/>
        <w:rPr>
          <w:rFonts w:eastAsia="ＭＳ ゴシック"/>
          <w:i/>
          <w:color w:val="000000"/>
        </w:rPr>
      </w:pPr>
      <w:bookmarkStart w:id="88" w:name="_Toc479938170"/>
      <w:bookmarkStart w:id="89" w:name="_Toc482112699"/>
      <w:r w:rsidRPr="00A32EED">
        <w:rPr>
          <w:rFonts w:eastAsia="ＭＳ ゴシック"/>
          <w:i/>
          <w:color w:val="000000"/>
        </w:rPr>
        <w:lastRenderedPageBreak/>
        <w:t>Race</w:t>
      </w:r>
      <w:bookmarkEnd w:id="88"/>
      <w:bookmarkEnd w:id="89"/>
    </w:p>
    <w:p w14:paraId="3DB681AB" w14:textId="77777777" w:rsidR="004C4C39" w:rsidRPr="00A32EED" w:rsidRDefault="004C4C39" w:rsidP="004C4C39">
      <w:pPr>
        <w:spacing w:after="0" w:line="480" w:lineRule="auto"/>
        <w:rPr>
          <w:rFonts w:eastAsia="Calibri"/>
        </w:rPr>
      </w:pPr>
      <w:r w:rsidRPr="00A32EED">
        <w:rPr>
          <w:rFonts w:eastAsia="Calibri"/>
        </w:rPr>
        <w:tab/>
        <w:t xml:space="preserve">Finally, race/ethnicity was also included as a control variable. The NSCAW data distinguish between white/non-Hispanic (815/46.05%), black/non-Hispanic (549/31.02%), Hispanic (279/15.76%), and other (124/7.01%). Given precedence of previous research </w:t>
      </w:r>
      <w:r w:rsidRPr="00A32EED">
        <w:rPr>
          <w:rFonts w:eastAsia="Calibri"/>
        </w:rPr>
        <w:fldChar w:fldCharType="begin"/>
      </w:r>
      <w:r w:rsidRPr="00A32EED">
        <w:rPr>
          <w:rFonts w:eastAsia="Calibri"/>
        </w:rPr>
        <w:instrText xml:space="preserve"> ADDIN ZOTERO_ITEM CSL_CITATION {"citationID":"1p4grbo2aq","properties":{"formattedCitation":"(Chapple et al. 2005; Crawford et al. 2017; Vaughn, Shook, and McMillen 2008)","plainCitation":"(Chapple et al. 2005; Crawford et al. 2017; Vaughn, Shook, and McMillen 2008)"},"citationItems":[{"id":86,"uris":["http://zotero.org/users/1165382/items/65ZNE4X4"],"uri":["http://zotero.org/users/1165382/items/65ZNE4X4"],"itemData":{"id":86,"type":"article-journal","title":"Child neglect and adolescent violence: Examining the effects of self-control and peer rejection","container-title":"Violence and victims","page":"39–53","volume":"20","issue":"1","source":"Google Scholar","note":"00083","shortTitle":"Child neglect and adolescent violence","author":[{"family":"Chapple","given":"Constance L."},{"family":"Tyler","given":"Kimberly A."},{"family":"Bersani","given":"Bianca E."}],"issued":{"date-parts":[["2005"]]}}},{"id":562,"uris":["http://zotero.org/users/1165382/items/XTK6EPTA"],"uri":["http://zotero.org/users/1165382/items/XTK6EPTA"],"itemData":{"id":562,"type":"article-journal","title":"Factors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id":255,"uris":["http://zotero.org/users/1165382/items/GMVEZ24P"],"uri":["http://zotero.org/users/1165382/items/GMVEZ24P"],"itemData":{"id":255,"type":"article-journal","title":"Aging out of foster care and legal involvement: Toward a typology of risk","container-title":"Social Service Review","page":"419–446","volume":"82","issue":"3","source":"Google Scholar","note":"00000","shortTitle":"Aging out of foster care and legal involvement","author":[{"family":"Vaughn","given":"Michael G."},{"family":"Shook","given":"Jeffrey J."},{"family":"McMillen","given":"J. Curtis"}],"issued":{"date-parts":[["2008"]]}}}],"schema":"https://github.com/citation-style-language/schema/raw/master/csl-citation.json"} </w:instrText>
      </w:r>
      <w:r w:rsidRPr="00A32EED">
        <w:rPr>
          <w:rFonts w:eastAsia="Calibri"/>
        </w:rPr>
        <w:fldChar w:fldCharType="separate"/>
      </w:r>
      <w:r w:rsidRPr="00A32EED">
        <w:rPr>
          <w:rFonts w:eastAsia="Calibri"/>
          <w:noProof/>
        </w:rPr>
        <w:t>(Chapple et al. 2005; Crawford et al. 2017; Vaughn, Shook, and McMillen 2008)</w:t>
      </w:r>
      <w:r w:rsidRPr="00A32EED">
        <w:rPr>
          <w:rFonts w:eastAsia="Calibri"/>
        </w:rPr>
        <w:fldChar w:fldCharType="end"/>
      </w:r>
      <w:r w:rsidRPr="00A32EED">
        <w:rPr>
          <w:rFonts w:eastAsia="Calibri"/>
        </w:rPr>
        <w:t xml:space="preserve"> categories of race/ethnicity were collapsed into white versus non-white. In the original variable, 3 (.17%) cases were missing. No reason for the missing cases is given.</w:t>
      </w:r>
    </w:p>
    <w:p w14:paraId="1D9954CA"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90" w:name="_Toc479938171"/>
      <w:bookmarkStart w:id="91" w:name="_Toc482112700"/>
      <w:r w:rsidRPr="00A32EED">
        <w:rPr>
          <w:rFonts w:eastAsia="ＭＳ ゴシック"/>
          <w:i/>
          <w:color w:val="000000"/>
          <w:szCs w:val="26"/>
          <w:u w:val="single"/>
        </w:rPr>
        <w:t>Analytical Approach</w:t>
      </w:r>
      <w:bookmarkEnd w:id="90"/>
      <w:bookmarkEnd w:id="91"/>
    </w:p>
    <w:p w14:paraId="1E5690CB" w14:textId="77777777" w:rsidR="004C4C39" w:rsidRPr="00A32EED" w:rsidRDefault="004C4C39" w:rsidP="004C4C39">
      <w:pPr>
        <w:spacing w:after="0" w:line="480" w:lineRule="auto"/>
        <w:rPr>
          <w:rFonts w:eastAsia="Calibri"/>
        </w:rPr>
      </w:pPr>
      <w:r w:rsidRPr="00A32EED">
        <w:rPr>
          <w:rFonts w:eastAsia="Calibri"/>
        </w:rPr>
        <w:tab/>
        <w:t xml:space="preserve">Both analytical models involve the regression of a binary dependent variables on multiple predictors, as such, binary logistic regression is used for both models </w:t>
      </w:r>
      <w:r w:rsidRPr="00A32EED">
        <w:rPr>
          <w:rFonts w:eastAsia="Calibri"/>
        </w:rPr>
        <w:fldChar w:fldCharType="begin"/>
      </w:r>
      <w:r w:rsidRPr="00A32EED">
        <w:rPr>
          <w:rFonts w:eastAsia="Calibri"/>
        </w:rPr>
        <w:instrText xml:space="preserve"> ADDIN ZOTERO_ITEM CSL_CITATION {"citationID":"24bcm4s43b","properties":{"formattedCitation":"(Long and Freese 2014)","plainCitation":"(Long and Freese 2014)"},"citationItems":[{"id":1484,"uris":["http://zotero.org/users/1165382/items/FHC2BSU6"],"uri":["http://zotero.org/users/1165382/items/FHC2BSU6"],"itemData":{"id":1484,"type":"book","title":"Regression models for categorical dependent variables using Stata","publisher":"Stata Press","publisher-place":"College Station, Tex","number-of-pages":"589","edition":"3. ed","source":"Lulu","event-place":"College Station, Tex","ISBN":"978-1-59718-111-2","note":"14605 \nOCLC: 889992241","language":"eng","author":[{"family":"Long","given":"J. Scott"},{"family":"Freese","given":"Jeremy"}],"issued":{"date-parts":[["2014"]]}}}],"schema":"https://github.com/citation-style-language/schema/raw/master/csl-citation.json"} </w:instrText>
      </w:r>
      <w:r w:rsidRPr="00A32EED">
        <w:rPr>
          <w:rFonts w:eastAsia="Calibri"/>
        </w:rPr>
        <w:fldChar w:fldCharType="separate"/>
      </w:r>
      <w:r w:rsidRPr="00A32EED">
        <w:rPr>
          <w:rFonts w:eastAsia="Calibri"/>
          <w:noProof/>
        </w:rPr>
        <w:t>(Long and Freese 2014)</w:t>
      </w:r>
      <w:r w:rsidRPr="00A32EED">
        <w:rPr>
          <w:rFonts w:eastAsia="Calibri"/>
        </w:rPr>
        <w:fldChar w:fldCharType="end"/>
      </w:r>
      <w:r w:rsidRPr="00A32EED">
        <w:rPr>
          <w:rFonts w:eastAsia="Calibri"/>
        </w:rPr>
        <w:t xml:space="preserve">. In STATA, the logit command generates coefficients that represent “…the effect of the independent variable on the log odds of the outcome…” </w:t>
      </w:r>
      <w:r w:rsidRPr="00A32EED">
        <w:rPr>
          <w:rFonts w:eastAsia="Calibri"/>
        </w:rPr>
        <w:fldChar w:fldCharType="begin"/>
      </w:r>
      <w:r w:rsidRPr="00A32EED">
        <w:rPr>
          <w:rFonts w:eastAsia="Calibri"/>
        </w:rPr>
        <w:instrText xml:space="preserve"> ADDIN ZOTERO_ITEM CSL_CITATION {"citationID":"drv7bi31u","properties":{"formattedCitation":"(Long and Freese 2014:228)","plainCitation":"(Long and Freese 2014:228)"},"citationItems":[{"id":1484,"uris":["http://zotero.org/users/1165382/items/FHC2BSU6"],"uri":["http://zotero.org/users/1165382/items/FHC2BSU6"],"itemData":{"id":1484,"type":"book","title":"Regression models for categorical dependent variables using Stata","publisher":"Stata Press","publisher-place":"College Station, Tex","number-of-pages":"589","edition":"3. ed","source":"Lulu","event-place":"College Station, Tex","ISBN":"978-1-59718-111-2","note":"14605 \nOCLC: 889992241","language":"eng","author":[{"family":"Long","given":"J. Scott"},{"family":"Freese","given":"Jeremy"}],"issued":{"date-parts":[["2014"]]}},"locator":"228"}],"schema":"https://github.com/citation-style-language/schema/raw/master/csl-citation.json"} </w:instrText>
      </w:r>
      <w:r w:rsidRPr="00A32EED">
        <w:rPr>
          <w:rFonts w:eastAsia="Calibri"/>
        </w:rPr>
        <w:fldChar w:fldCharType="separate"/>
      </w:r>
      <w:r w:rsidRPr="00A32EED">
        <w:rPr>
          <w:rFonts w:eastAsia="Calibri"/>
          <w:noProof/>
        </w:rPr>
        <w:t>(Long and Freese 2014:228)</w:t>
      </w:r>
      <w:r w:rsidRPr="00A32EED">
        <w:rPr>
          <w:rFonts w:eastAsia="Calibri"/>
        </w:rPr>
        <w:fldChar w:fldCharType="end"/>
      </w:r>
      <w:r w:rsidRPr="00A32EED">
        <w:rPr>
          <w:rFonts w:eastAsia="Calibri"/>
        </w:rPr>
        <w:t xml:space="preserve">. As Long and Freese note, logit scores or changes in the log odds are difficult to interpret. As such, all regression tables present the odds ratios as the coefficients. For odds ratios, a value greater than 1 represents an increase in the odds and values less than 1 represent a decrease in the odds. STATA provides odds ratios by using the </w:t>
      </w:r>
      <w:r w:rsidRPr="00A32EED">
        <w:rPr>
          <w:rFonts w:eastAsia="Calibri"/>
          <w:i/>
        </w:rPr>
        <w:t xml:space="preserve">logistic </w:t>
      </w:r>
      <w:r w:rsidRPr="00A32EED">
        <w:rPr>
          <w:rFonts w:eastAsia="Calibri"/>
        </w:rPr>
        <w:t xml:space="preserve">command instead of </w:t>
      </w:r>
      <w:r w:rsidRPr="00A32EED">
        <w:rPr>
          <w:rFonts w:eastAsia="Calibri"/>
          <w:i/>
        </w:rPr>
        <w:t>logit</w:t>
      </w:r>
      <w:r w:rsidRPr="00A32EED">
        <w:rPr>
          <w:rFonts w:eastAsia="Calibri"/>
        </w:rPr>
        <w:t xml:space="preserve"> or the </w:t>
      </w:r>
      <w:r w:rsidRPr="00A32EED">
        <w:rPr>
          <w:rFonts w:eastAsia="Calibri"/>
          <w:i/>
        </w:rPr>
        <w:t>or</w:t>
      </w:r>
      <w:r w:rsidRPr="00A32EED">
        <w:rPr>
          <w:rFonts w:eastAsia="Calibri"/>
        </w:rPr>
        <w:t xml:space="preserve"> option after </w:t>
      </w:r>
      <w:r w:rsidRPr="00A32EED">
        <w:rPr>
          <w:rFonts w:eastAsia="Calibri"/>
          <w:i/>
        </w:rPr>
        <w:t xml:space="preserve">logit. </w:t>
      </w:r>
      <w:r w:rsidRPr="00A32EED">
        <w:rPr>
          <w:rFonts w:eastAsia="Calibri"/>
        </w:rPr>
        <w:t xml:space="preserve">Although odds ratios are an improvement over logits regarding interpretation, they do not provide any indication of the magnitude regarding changes in probabilities </w:t>
      </w:r>
      <w:r w:rsidRPr="00A32EED">
        <w:rPr>
          <w:rFonts w:eastAsia="Calibri"/>
        </w:rPr>
        <w:fldChar w:fldCharType="begin"/>
      </w:r>
      <w:r w:rsidRPr="00A32EED">
        <w:rPr>
          <w:rFonts w:eastAsia="Calibri"/>
        </w:rPr>
        <w:instrText xml:space="preserve"> ADDIN ZOTERO_ITEM CSL_CITATION {"citationID":"1fdibpg15e","properties":{"formattedCitation":"(Long and Freese 2014)","plainCitation":"(Long and Freese 2014)"},"citationItems":[{"id":1484,"uris":["http://zotero.org/users/1165382/items/FHC2BSU6"],"uri":["http://zotero.org/users/1165382/items/FHC2BSU6"],"itemData":{"id":1484,"type":"book","title":"Regression models for categorical dependent variables using Stata","publisher":"Stata Press","publisher-place":"College Station, Tex","number-of-pages":"589","edition":"3. ed","source":"Lulu","event-place":"College Station, Tex","ISBN":"978-1-59718-111-2","note":"14605 \nOCLC: 889992241","language":"eng","author":[{"family":"Long","given":"J. Scott"},{"family":"Freese","given":"Jeremy"}],"issued":{"date-parts":[["2014"]]}}}],"schema":"https://github.com/citation-style-language/schema/raw/master/csl-citation.json"} </w:instrText>
      </w:r>
      <w:r w:rsidRPr="00A32EED">
        <w:rPr>
          <w:rFonts w:eastAsia="Calibri"/>
        </w:rPr>
        <w:fldChar w:fldCharType="separate"/>
      </w:r>
      <w:r w:rsidRPr="00A32EED">
        <w:rPr>
          <w:rFonts w:eastAsia="Calibri"/>
          <w:noProof/>
        </w:rPr>
        <w:t>(Long and Freese 2014)</w:t>
      </w:r>
      <w:r w:rsidRPr="00A32EED">
        <w:rPr>
          <w:rFonts w:eastAsia="Calibri"/>
        </w:rPr>
        <w:fldChar w:fldCharType="end"/>
      </w:r>
      <w:r w:rsidRPr="00A32EED">
        <w:rPr>
          <w:rFonts w:eastAsia="Calibri"/>
        </w:rPr>
        <w:t xml:space="preserve">. </w:t>
      </w:r>
    </w:p>
    <w:p w14:paraId="79FD7331" w14:textId="77777777" w:rsidR="004C4C39" w:rsidRPr="00A32EED" w:rsidRDefault="004C4C39" w:rsidP="004C4C39">
      <w:pPr>
        <w:spacing w:after="0" w:line="480" w:lineRule="auto"/>
        <w:rPr>
          <w:rFonts w:eastAsia="Calibri"/>
        </w:rPr>
      </w:pPr>
      <w:r w:rsidRPr="00A32EED">
        <w:rPr>
          <w:rFonts w:eastAsia="Calibri"/>
        </w:rPr>
        <w:lastRenderedPageBreak/>
        <w:tab/>
        <w:t xml:space="preserve">To further aid in interpretation, the </w:t>
      </w:r>
      <w:r w:rsidRPr="00A32EED">
        <w:rPr>
          <w:rFonts w:eastAsia="Calibri"/>
          <w:i/>
        </w:rPr>
        <w:t>margins</w:t>
      </w:r>
      <w:r w:rsidRPr="00A32EED">
        <w:rPr>
          <w:rFonts w:eastAsia="Calibri"/>
        </w:rPr>
        <w:t xml:space="preserve"> command was used to obtain various forms of marginal effects for both analytical models. Marginal effects “…most often measures the effect on the conditional mean of y of a change in one of the regressors…” </w:t>
      </w:r>
      <w:r w:rsidRPr="00A32EED">
        <w:rPr>
          <w:rFonts w:eastAsia="Calibri"/>
        </w:rPr>
        <w:fldChar w:fldCharType="begin"/>
      </w:r>
      <w:r w:rsidRPr="00A32EED">
        <w:rPr>
          <w:rFonts w:eastAsia="Calibri"/>
        </w:rPr>
        <w:instrText xml:space="preserve"> ADDIN ZOTERO_ITEM CSL_CITATION {"citationID":"a90nlhri2","properties":{"formattedCitation":"(Cameron and Trivedi 2010:333)","plainCitation":"(Cameron and Trivedi 2010:333)"},"citationItems":[{"id":1488,"uris":["http://zotero.org/users/1165382/items/KKM5FIBM"],"uri":["http://zotero.org/users/1165382/items/KKM5FIBM"],"itemData":{"id":1488,"type":"book","title":"Microeconometrics Using Stata: Revised Edition","publisher":"Stata Press","publisher-place":"College Station, Tex","number-of-pages":"706","edition":"2 edition","source":"Amazon","event-place":"College Station, Tex","abstract":"A complete and up-to-date survey of microeconometric methods available in Stata, Microeconometrics Using Stata, Revised Edition is an outstanding introduction to microeconometrics and how to execute microeconometric research using Stata. It covers topics left out of most microeconometrics textbooks and omitted from basic introductions to Stata.   This revised edition has been updated to reflect the new features available in Stata 11 that are useful to microeconomists. Instead of using mfx and the user-written margeff commands, the authors employ the new margins command, emphasizing both marginal effects at the means and average marginal effects. They also replace the xi command with factor variables, which allow you to specify indicator variables and interaction effects. Along with several new examples, this edition presents the new gmm command for generalized method of moments and nonlinear instrumental-variables estimation. In addition, the chapter on maximum likelihood estimation incorporates enhancements made to ml in Stata 11.  Throughout the book, the authors use simulation methods to illustrate features of the estimators and tests described and provide an in-depth Stata example for each topic discussed. They also show how to use Stata’s programming features to implement methods for which Stata does not have a specific command. The unique combination of topics, intuitive introductions to methods, and detailed illustrations of Stata examples make this book an invaluable, hands-on addition to the library of anyone who uses microeconometric methods.","ISBN":"978-1-59718-073-3","note":"00001","shortTitle":"Microeconometrics Using Stata","language":"English","author":[{"family":"Cameron","given":"A. Colin"},{"family":"Trivedi","given":"Pravin K."}],"issued":{"date-parts":[["2010",3,9]]}},"locator":"333"}],"schema":"https://github.com/citation-style-language/schema/raw/master/csl-citation.json"} </w:instrText>
      </w:r>
      <w:r w:rsidRPr="00A32EED">
        <w:rPr>
          <w:rFonts w:eastAsia="Calibri"/>
        </w:rPr>
        <w:fldChar w:fldCharType="separate"/>
      </w:r>
      <w:r w:rsidRPr="00A32EED">
        <w:rPr>
          <w:rFonts w:eastAsia="Calibri"/>
          <w:noProof/>
        </w:rPr>
        <w:t>(Cameron and Trivedi 2010:333)</w:t>
      </w:r>
      <w:r w:rsidRPr="00A32EED">
        <w:rPr>
          <w:rFonts w:eastAsia="Calibri"/>
        </w:rPr>
        <w:fldChar w:fldCharType="end"/>
      </w:r>
      <w:r w:rsidRPr="00A32EED">
        <w:rPr>
          <w:rFonts w:eastAsia="Calibri"/>
        </w:rPr>
        <w:t xml:space="preserve">. For models with binary outcomes, marginal effects represent the difference in adjusted predictions for two groups (categorical), or the average difference in adjusted predictions for a one unit change in a continuous variable </w:t>
      </w:r>
      <w:r w:rsidRPr="00A32EED">
        <w:rPr>
          <w:rFonts w:eastAsia="Calibri"/>
        </w:rPr>
        <w:fldChar w:fldCharType="begin"/>
      </w:r>
      <w:r w:rsidRPr="00A32EED">
        <w:rPr>
          <w:rFonts w:eastAsia="Calibri"/>
        </w:rPr>
        <w:instrText xml:space="preserve"> ADDIN ZOTERO_ITEM CSL_CITATION {"citationID":"u8aoarvmn","properties":{"formattedCitation":"(Williams 2012)","plainCitation":"(Williams 2012)"},"citationItems":[{"id":1454,"uris":["http://zotero.org/users/1165382/items/PXGMINDJ"],"uri":["http://zotero.org/users/1165382/items/PXGMINDJ"],"itemData":{"id":1454,"type":"article-journal","title":"Using the margins command to estimate and interpret adjusted predictions and marginal effects","container-title":"Stata Journal","page":"308","volume":"12","issue":"2","source":"Google Scholar","note":"00310","author":[{"family":"Williams","given":"Richard"}],"issued":{"date-parts":[["2012"]]}}}],"schema":"https://github.com/citation-style-language/schema/raw/master/csl-citation.json"} </w:instrText>
      </w:r>
      <w:r w:rsidRPr="00A32EED">
        <w:rPr>
          <w:rFonts w:eastAsia="Calibri"/>
        </w:rPr>
        <w:fldChar w:fldCharType="separate"/>
      </w:r>
      <w:r w:rsidRPr="00A32EED">
        <w:rPr>
          <w:rFonts w:eastAsia="Calibri"/>
          <w:noProof/>
        </w:rPr>
        <w:t>(Williams 2012)</w:t>
      </w:r>
      <w:r w:rsidRPr="00A32EED">
        <w:rPr>
          <w:rFonts w:eastAsia="Calibri"/>
        </w:rPr>
        <w:fldChar w:fldCharType="end"/>
      </w:r>
      <w:r w:rsidRPr="00A32EED">
        <w:rPr>
          <w:rFonts w:eastAsia="Calibri"/>
        </w:rPr>
        <w:t>. Average adjusted predictions (AAP) represent the average probability of y if every case in a dataset were treated as being one category or value. In other words, if we held all other values the same except for gender, our AAPS would represent the average probability if everyone was male and everyone was female.</w:t>
      </w:r>
    </w:p>
    <w:p w14:paraId="0B390887" w14:textId="77777777" w:rsidR="004C4C39" w:rsidRPr="00A32EED" w:rsidRDefault="004C4C39" w:rsidP="004C4C39">
      <w:pPr>
        <w:spacing w:after="0" w:line="480" w:lineRule="auto"/>
        <w:ind w:firstLine="720"/>
        <w:rPr>
          <w:rFonts w:eastAsia="Calibri"/>
        </w:rPr>
      </w:pPr>
      <w:r w:rsidRPr="00A32EED">
        <w:rPr>
          <w:rFonts w:eastAsia="Calibri"/>
        </w:rPr>
        <w:t xml:space="preserve">The average marginal effect (AME) is the difference in probabilities if you averaged the probability of everyone in a data set if they belonged to each group </w:t>
      </w:r>
      <w:r w:rsidRPr="00A32EED">
        <w:rPr>
          <w:rFonts w:eastAsia="Calibri"/>
        </w:rPr>
        <w:fldChar w:fldCharType="begin"/>
      </w:r>
      <w:r w:rsidRPr="00A32EED">
        <w:rPr>
          <w:rFonts w:eastAsia="Calibri"/>
        </w:rPr>
        <w:instrText xml:space="preserve"> ADDIN ZOTERO_ITEM CSL_CITATION {"citationID":"273qktq1uu","properties":{"formattedCitation":"(Williams 2012)","plainCitation":"(Williams 2012)"},"citationItems":[{"id":1454,"uris":["http://zotero.org/users/1165382/items/PXGMINDJ"],"uri":["http://zotero.org/users/1165382/items/PXGMINDJ"],"itemData":{"id":1454,"type":"article-journal","title":"Using the margins command to estimate and interpret adjusted predictions and marginal effects","container-title":"Stata Journal","page":"308","volume":"12","issue":"2","source":"Google Scholar","note":"00310","author":[{"family":"Williams","given":"Richard"}],"issued":{"date-parts":[["2012"]]}}}],"schema":"https://github.com/citation-style-language/schema/raw/master/csl-citation.json"} </w:instrText>
      </w:r>
      <w:r w:rsidRPr="00A32EED">
        <w:rPr>
          <w:rFonts w:eastAsia="Calibri"/>
        </w:rPr>
        <w:fldChar w:fldCharType="separate"/>
      </w:r>
      <w:r w:rsidRPr="00A32EED">
        <w:rPr>
          <w:rFonts w:eastAsia="Calibri"/>
          <w:noProof/>
        </w:rPr>
        <w:t>(Williams 2012)</w:t>
      </w:r>
      <w:r w:rsidRPr="00A32EED">
        <w:rPr>
          <w:rFonts w:eastAsia="Calibri"/>
        </w:rPr>
        <w:fldChar w:fldCharType="end"/>
      </w:r>
      <w:r w:rsidRPr="00A32EED">
        <w:rPr>
          <w:rFonts w:eastAsia="Calibri"/>
        </w:rPr>
        <w:t xml:space="preserve">. Using the example from above, the AME would be the difference between the AAP for males and females. The AME for continuous variables can also be produced, however, it is important to remember that the AME of a continuous variable averages the change in y evenly over all values of a variable. Using the example of age, AMEs assume that a change from 12 to 13 years old has the same AAP as a change from 18 to 19. Given this is not always the case, the use of the </w:t>
      </w:r>
      <w:r w:rsidRPr="00A32EED">
        <w:rPr>
          <w:rFonts w:eastAsia="Calibri"/>
          <w:i/>
        </w:rPr>
        <w:t>marginsplot</w:t>
      </w:r>
      <w:r w:rsidRPr="00A32EED">
        <w:rPr>
          <w:rFonts w:eastAsia="Calibri"/>
        </w:rPr>
        <w:t xml:space="preserve"> command is helpful as it provides a plot of AAPs across all values. The resulting graph can help to show if the AAPs vary across different values. </w:t>
      </w:r>
    </w:p>
    <w:p w14:paraId="2608E1E9" w14:textId="77777777" w:rsidR="004C4C39" w:rsidRPr="00A32EED" w:rsidRDefault="004C4C39" w:rsidP="004C4C39">
      <w:pPr>
        <w:spacing w:after="0" w:line="480" w:lineRule="auto"/>
        <w:ind w:firstLine="720"/>
        <w:rPr>
          <w:rFonts w:eastAsia="Calibri"/>
        </w:rPr>
      </w:pPr>
      <w:r w:rsidRPr="00A32EED">
        <w:rPr>
          <w:rFonts w:eastAsia="Calibri"/>
        </w:rPr>
        <w:lastRenderedPageBreak/>
        <w:t xml:space="preserve">As a result of the weighting and complex survey design of the NSCAW data, analyses used for simple random samples may provide inaccurate estimates and standard errors. Additionally, because the weights for all cases are crucial to accurate estimates, the </w:t>
      </w:r>
      <w:r w:rsidRPr="00A32EED">
        <w:rPr>
          <w:rFonts w:eastAsia="Calibri"/>
          <w:i/>
        </w:rPr>
        <w:t>subpopulation</w:t>
      </w:r>
      <w:r w:rsidRPr="00A32EED">
        <w:rPr>
          <w:rFonts w:eastAsia="Calibri"/>
        </w:rPr>
        <w:t xml:space="preserve"> command must be used as opposed to an </w:t>
      </w:r>
      <w:r w:rsidRPr="00A32EED">
        <w:rPr>
          <w:rFonts w:eastAsia="Calibri"/>
          <w:i/>
        </w:rPr>
        <w:t>if</w:t>
      </w:r>
      <w:r w:rsidRPr="00A32EED">
        <w:rPr>
          <w:rFonts w:eastAsia="Calibri"/>
        </w:rPr>
        <w:t xml:space="preserve"> statement. The use of an </w:t>
      </w:r>
      <w:r w:rsidRPr="00A32EED">
        <w:rPr>
          <w:rFonts w:eastAsia="Calibri"/>
          <w:i/>
        </w:rPr>
        <w:t xml:space="preserve">if </w:t>
      </w:r>
      <w:r w:rsidRPr="00A32EED">
        <w:rPr>
          <w:rFonts w:eastAsia="Calibri"/>
        </w:rPr>
        <w:t xml:space="preserve">statement results in those cases not meeting the criteria being dropped. This, in turn, affects the weighting of cases. The use of the </w:t>
      </w:r>
      <w:r w:rsidRPr="00A32EED">
        <w:rPr>
          <w:rFonts w:eastAsia="Calibri"/>
          <w:i/>
        </w:rPr>
        <w:t>subpopulation</w:t>
      </w:r>
      <w:r w:rsidRPr="00A32EED">
        <w:rPr>
          <w:rFonts w:eastAsia="Calibri"/>
        </w:rPr>
        <w:t xml:space="preserve"> command avoids this problem by retaining the weights of the cases not in the desired subpopulation. To ensure that estimates and standard errors are provided the </w:t>
      </w:r>
      <w:r w:rsidRPr="00A32EED">
        <w:rPr>
          <w:rFonts w:eastAsia="Calibri"/>
          <w:i/>
        </w:rPr>
        <w:t>svy</w:t>
      </w:r>
      <w:r w:rsidRPr="00A32EED">
        <w:rPr>
          <w:rFonts w:eastAsia="Calibri"/>
        </w:rPr>
        <w:t xml:space="preserve"> module in STATA is used. </w:t>
      </w:r>
    </w:p>
    <w:p w14:paraId="3DCF6A55" w14:textId="77777777" w:rsidR="004C4C39" w:rsidRPr="00A32EED" w:rsidRDefault="004C4C39" w:rsidP="004C4C39">
      <w:pPr>
        <w:spacing w:after="0" w:line="480" w:lineRule="auto"/>
        <w:ind w:firstLine="720"/>
        <w:rPr>
          <w:rFonts w:eastAsia="Calibri"/>
        </w:rPr>
      </w:pPr>
      <w:r w:rsidRPr="00A32EED">
        <w:rPr>
          <w:rFonts w:eastAsia="Calibri"/>
        </w:rPr>
        <w:t xml:space="preserve">Furthermore, the use of weighting and the complex survey designs results in inflated standard errors. As a result of the inflated standard errors, significance tests may be effected. The use of the </w:t>
      </w:r>
      <w:r w:rsidRPr="00A32EED">
        <w:rPr>
          <w:rFonts w:eastAsia="Calibri"/>
          <w:i/>
        </w:rPr>
        <w:t>svy</w:t>
      </w:r>
      <w:r w:rsidRPr="00A32EED">
        <w:rPr>
          <w:rFonts w:eastAsia="Calibri"/>
        </w:rPr>
        <w:t xml:space="preserve"> module within STATA accounts for some of these changes by converting Pearson statistics into an adjusted </w:t>
      </w:r>
      <w:r w:rsidRPr="00A32EED">
        <w:rPr>
          <w:rFonts w:eastAsia="Calibri"/>
          <w:i/>
        </w:rPr>
        <w:t>F</w:t>
      </w:r>
      <w:r w:rsidRPr="00A32EED">
        <w:rPr>
          <w:rFonts w:eastAsia="Calibri"/>
        </w:rPr>
        <w:t xml:space="preserve"> statistic </w:t>
      </w:r>
      <w:r w:rsidRPr="00A32EED">
        <w:rPr>
          <w:rFonts w:eastAsia="Calibri"/>
        </w:rPr>
        <w:fldChar w:fldCharType="begin"/>
      </w:r>
      <w:r w:rsidRPr="00A32EED">
        <w:rPr>
          <w:rFonts w:eastAsia="Calibri"/>
        </w:rPr>
        <w:instrText xml:space="preserve"> ADDIN ZOTERO_ITEM CSL_CITATION {"citationID":"22aeiakj70","properties":{"formattedCitation":"(Thomas and Rao 1987)","plainCitation":"(Thomas and Rao 1987)"},"citationItems":[{"id":1417,"uris":["http://zotero.org/users/1165382/items/UUUMKD86"],"uri":["http://zotero.org/users/1165382/items/UUUMKD86"],"itemData":{"id":1417,"type":"article-journal","title":"Small-Sample Comparisons of Level and Power for Simple Goodness-of-Fit Statistics under Cluster Sampling","container-title":"Journal of the American Statistical Association","page":"630-636","volume":"82","issue":"398","source":"Taylor and Francis+NEJM","abstract":"Monte Carlo methods were used to examine the Type I error performance of a number of goodness-of-fit statistics under cluster sampling. The study has reduced the comparison to four procedures: (a) X 2 s, the Rao-Scott Satterthwaite adjusted X 2; (b) XJ , Fay's jackknifed X 2; (c) FW , a modified Wald statistic referred to an F distribution; and (d) FX 2 c, an F-based version of the Rao-Scott -adjusted X 2, depending only on the cell “design effects” (DE) unlike the others. The statistic FX 2 c performs well provided that the coefficient of variation, a, of the eigenvalues, λ i , of the “design effects matrix” is small. In general, both X 2 s and XJ perform well even when a is not small. FW behaves reasonably well for tests of uniform probability, π = π0 = (1/k, …, 1/k)′, where k is the number of categories and π = (π1, …, πk-1)′, πk = 1 – π1 - … - πk-1, but it is sensitive to skewness in π0. The power performance of procedures (a)–(d) was also examined. Attention was focused on π0 = (1/k, …, 1/k)′, the data being generated under two basic forms of the alternative π, consisting of single cell deviations from π0 of the form π1 = 1/k + ϵ with ϵ positive or negative. The power of FW is sensitive to the form of π and is markedly less than the power of its competitors in the important case of nonconstant DE, a &gt; 0. XJ shows much better power characteristics but has somewhat less power than X 2 s when a &gt; 0. Methods for analysis of categorical data have been extensively developed under the assumption of multinomial or product-multinomial sampling. In particular, the standard Pearson chi-squared statistic, X 2, and the likelihood ratio statistic, G 2, are used to test hypotheses in multiway contingency tables, employing log-linear models. These methods are often used by researchers in subject matter areas (e.g., social and health sciences) to analyze sample survey data, even though the multinomial assumption is violated because of clustering and stratification used in the survey design. Ignoring the effect of survey design and using X 2 or G 2 could lead to unacceptably high Type I error under cluster sampling. Alternative test statistics that take account of the design have been proposed: X 2 c (or G 2 c), designed for use with published tables, require knowledge only of cell DE (or variances) and certain marginal DE, whereas other statistics, X 2 s, (or G 2 s) and XJ (or GJ) require knowledge of the full covariance matrix or access to the microdata file. Large-sample properties of these test statistics have been previously studied. Small-sample Type I error and power performances have been examined in this article, under simulated cluster sampling. The Monte Carlo study, however, has been confined to the simple goodness-of-fit test, π = π0, on the vector of cell proportions, π. The results of this study should be useful to both statisticians and researchers in subject matter areas interested in the analysis of categorical data from complex sample surveys.","DOI":"10.1080/01621459.1987.10478476","ISSN":"0162-1459","note":"00108","author":[{"family":"Thomas","given":"D. Roland"},{"family":"Rao","given":"J. N. K."}],"issued":{"date-parts":[["1987",6,1]]}}}],"schema":"https://github.com/citation-style-language/schema/raw/master/csl-citation.json"} </w:instrText>
      </w:r>
      <w:r w:rsidRPr="00A32EED">
        <w:rPr>
          <w:rFonts w:eastAsia="Calibri"/>
        </w:rPr>
        <w:fldChar w:fldCharType="separate"/>
      </w:r>
      <w:r w:rsidRPr="00A32EED">
        <w:rPr>
          <w:rFonts w:eastAsia="Calibri"/>
          <w:noProof/>
        </w:rPr>
        <w:t>(Thomas and Rao 1987)</w:t>
      </w:r>
      <w:r w:rsidRPr="00A32EED">
        <w:rPr>
          <w:rFonts w:eastAsia="Calibri"/>
        </w:rPr>
        <w:fldChar w:fldCharType="end"/>
      </w:r>
      <w:r w:rsidRPr="00A32EED">
        <w:rPr>
          <w:rFonts w:eastAsia="Calibri"/>
        </w:rPr>
        <w:t xml:space="preserve">. The p-value from this adjusted </w:t>
      </w:r>
      <w:r w:rsidRPr="00A32EED">
        <w:rPr>
          <w:rFonts w:eastAsia="Calibri"/>
          <w:i/>
        </w:rPr>
        <w:t>F</w:t>
      </w:r>
      <w:r w:rsidRPr="00A32EED">
        <w:rPr>
          <w:rFonts w:eastAsia="Calibri"/>
        </w:rPr>
        <w:t xml:space="preserve"> statistics can then be interpreted the same as the p-value for the Pearson Chi-square statistic </w:t>
      </w:r>
      <w:r w:rsidRPr="00A32EED">
        <w:rPr>
          <w:rFonts w:eastAsia="Calibri"/>
        </w:rPr>
        <w:fldChar w:fldCharType="begin"/>
      </w:r>
      <w:r w:rsidRPr="00A32EED">
        <w:rPr>
          <w:rFonts w:eastAsia="Calibri"/>
        </w:rPr>
        <w:instrText xml:space="preserve"> ADDIN ZOTERO_ITEM CSL_CITATION {"citationID":"27bikomtf2","properties":{"formattedCitation":"(Stata Corporation 2015)","plainCitation":"(Stata Corporation 2015)"},"citationItems":[{"id":1422,"uris":["http://zotero.org/users/1165382/items/F9TQ37VP"],"uri":["http://zotero.org/users/1165382/items/F9TQ37VP"],"itemData":{"id":1422,"type":"book","title":"Stata survey data: reference manual ; release 14","publisher-place":"College Station, Tex. Stata Press","number-of-pages":"205","source":"Gemeinsamer Bibliotheksverbund ISBN","event-place":"College Station, Tex. Stata Press","ISBN":"978-1-59718-167-9","note":"00000 \nOCLC: 254932636","shortTitle":"Stata survey data","language":"eng","editor":[{"literal":"Stata Corporation"}],"issued":{"date-parts":[["2015"]]}}}],"schema":"https://github.com/citation-style-language/schema/raw/master/csl-citation.json"} </w:instrText>
      </w:r>
      <w:r w:rsidRPr="00A32EED">
        <w:rPr>
          <w:rFonts w:eastAsia="Calibri"/>
        </w:rPr>
        <w:fldChar w:fldCharType="separate"/>
      </w:r>
      <w:r w:rsidRPr="00A32EED">
        <w:rPr>
          <w:rFonts w:eastAsia="Calibri"/>
          <w:noProof/>
        </w:rPr>
        <w:t>(Stata Corporation 2015)</w:t>
      </w:r>
      <w:r w:rsidRPr="00A32EED">
        <w:rPr>
          <w:rFonts w:eastAsia="Calibri"/>
        </w:rPr>
        <w:fldChar w:fldCharType="end"/>
      </w:r>
      <w:r w:rsidRPr="00A32EED">
        <w:rPr>
          <w:rFonts w:eastAsia="Calibri"/>
        </w:rPr>
        <w:t>. As a result of the complex survey design, other accommodations must be made for correlations, variance inflation factors (VIF), and goodness of fit tests. Various methods are available to account for these issues. Given that some of these problems have multiple solutions, specific details regarding the problem, solution, and justification are provided on a case by case basis in the results chapters.</w:t>
      </w:r>
    </w:p>
    <w:p w14:paraId="7CDFF304" w14:textId="77777777" w:rsidR="004C4C39" w:rsidRPr="00A32EED" w:rsidRDefault="004C4C39" w:rsidP="004C4C39">
      <w:pPr>
        <w:keepNext/>
        <w:keepLines/>
        <w:spacing w:before="40" w:after="0" w:line="480" w:lineRule="auto"/>
        <w:outlineLvl w:val="0"/>
        <w:rPr>
          <w:rFonts w:eastAsia="ＭＳ ゴシック"/>
          <w:b/>
          <w:color w:val="000000"/>
          <w:szCs w:val="26"/>
          <w:u w:val="single"/>
        </w:rPr>
      </w:pPr>
      <w:bookmarkStart w:id="92" w:name="_Toc479938172"/>
      <w:bookmarkStart w:id="93" w:name="_Toc482112701"/>
      <w:r w:rsidRPr="00A32EED">
        <w:rPr>
          <w:rFonts w:eastAsia="ＭＳ ゴシック"/>
          <w:b/>
          <w:color w:val="000000"/>
          <w:szCs w:val="26"/>
          <w:u w:val="single"/>
        </w:rPr>
        <w:lastRenderedPageBreak/>
        <w:t>Chapter 5: Early Sexual Initiation Results</w:t>
      </w:r>
      <w:bookmarkEnd w:id="92"/>
      <w:bookmarkEnd w:id="93"/>
    </w:p>
    <w:p w14:paraId="367AD45E"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94" w:name="_Toc479938173"/>
      <w:bookmarkStart w:id="95" w:name="_Toc482112702"/>
      <w:r w:rsidRPr="00A32EED">
        <w:rPr>
          <w:rFonts w:eastAsia="ＭＳ ゴシック"/>
          <w:i/>
          <w:color w:val="000000"/>
          <w:szCs w:val="26"/>
          <w:u w:val="single"/>
        </w:rPr>
        <w:t>Descriptive Statistics of Early Sexual Initiation Analytic sample</w:t>
      </w:r>
      <w:bookmarkEnd w:id="94"/>
      <w:bookmarkEnd w:id="95"/>
    </w:p>
    <w:p w14:paraId="2131F3FD" w14:textId="77777777" w:rsidR="004C4C39" w:rsidRPr="00A32EED" w:rsidRDefault="004C4C39" w:rsidP="004C4C39">
      <w:pPr>
        <w:spacing w:after="0" w:line="480" w:lineRule="auto"/>
        <w:rPr>
          <w:rFonts w:eastAsia="Calibri"/>
        </w:rPr>
      </w:pPr>
      <w:r w:rsidRPr="00A32EED">
        <w:rPr>
          <w:rFonts w:eastAsia="Calibri"/>
        </w:rPr>
        <w:tab/>
        <w:t xml:space="preserve">As previously discussed in the Data and Methods section, the sample was initially limited to children who were at least 15 years old at the time of Wave 5 sampling and were not missing sampling weights. Of these 1,172 cases, 957 cases had responses for questions regarding early sexual initiation, and only 739 cases were not missing responses for the independent variables. The 215 cases missing responses for sexual initiation represent 19.7% of the age-eligible cases. Tables 5.1 (categorical variables) and 5.2 (continuous variables) contain a comparison of the descriptive statistics for both samples. All values and percentages reported here and in the tables represent the weighted value once the survey design is taken into account. </w:t>
      </w:r>
    </w:p>
    <w:p w14:paraId="146A0296" w14:textId="77777777" w:rsidR="004C4C39" w:rsidRPr="00A32EED" w:rsidRDefault="004C4C39" w:rsidP="004C4C39">
      <w:pPr>
        <w:spacing w:after="0" w:line="480" w:lineRule="auto"/>
        <w:ind w:firstLine="720"/>
        <w:rPr>
          <w:rFonts w:eastAsia="Calibri"/>
        </w:rPr>
      </w:pPr>
      <w:r w:rsidRPr="00A32EED">
        <w:rPr>
          <w:rFonts w:eastAsia="Calibri"/>
        </w:rPr>
        <w:t xml:space="preserve">Most youth in both the age-eligible (59.48%) and analytic sample (62.89%) did not initiate sex prior to the age of 16. There was some concern that sexual abuse might predict early sexual initiation too perfectly. However, analyses suggested that sexual abuse was not too predictive of early sexual initiation. In fact, of the 295 who initiated sex early, the most severe form of maltreatment was only sexual abuse for 70. This suggests that not all victims categorized sexual abuse as sexual intercourse or there were multiple alleged maltreatments and sexual abuse was not the most severe. </w:t>
      </w:r>
    </w:p>
    <w:p w14:paraId="41F1E785" w14:textId="77777777" w:rsidR="004C4C39" w:rsidRPr="00A32EED" w:rsidRDefault="004C4C39" w:rsidP="004C4C39">
      <w:pPr>
        <w:spacing w:after="0" w:line="480" w:lineRule="auto"/>
        <w:ind w:firstLine="720"/>
        <w:rPr>
          <w:rFonts w:eastAsia="Calibri"/>
        </w:rPr>
      </w:pPr>
      <w:r w:rsidRPr="00A32EED">
        <w:rPr>
          <w:rFonts w:eastAsia="Calibri"/>
        </w:rPr>
        <w:t xml:space="preserve">A Pearson Chi-square test was used to examine if the 218 cases in the age-eligible sample with other missing data were significantly different from the cases used in the final analyses. As a result of the survey design and the need </w:t>
      </w:r>
      <w:r w:rsidRPr="00A32EED">
        <w:rPr>
          <w:rFonts w:eastAsia="Calibri"/>
        </w:rPr>
        <w:lastRenderedPageBreak/>
        <w:t xml:space="preserve">to use the </w:t>
      </w:r>
      <w:r w:rsidRPr="00A32EED">
        <w:rPr>
          <w:rFonts w:eastAsia="Calibri"/>
          <w:i/>
        </w:rPr>
        <w:t>svy</w:t>
      </w:r>
      <w:r w:rsidRPr="00A32EED">
        <w:rPr>
          <w:rFonts w:eastAsia="Calibri"/>
        </w:rPr>
        <w:t xml:space="preserve"> module in STATA, the Pearson statistic is converted to an adjusted </w:t>
      </w:r>
      <w:r w:rsidRPr="00A32EED">
        <w:rPr>
          <w:rFonts w:eastAsia="Calibri"/>
          <w:i/>
        </w:rPr>
        <w:t xml:space="preserve">F </w:t>
      </w:r>
      <w:r w:rsidRPr="00A32EED">
        <w:rPr>
          <w:rFonts w:eastAsia="Calibri"/>
        </w:rPr>
        <w:t xml:space="preserve">statistic and adjusted using second-order design corrections </w:t>
      </w:r>
      <w:r w:rsidRPr="00A32EED">
        <w:rPr>
          <w:rFonts w:eastAsia="Calibri"/>
        </w:rPr>
        <w:fldChar w:fldCharType="begin"/>
      </w:r>
      <w:r w:rsidRPr="00A32EED">
        <w:rPr>
          <w:rFonts w:eastAsia="Calibri"/>
        </w:rPr>
        <w:instrText xml:space="preserve"> ADDIN ZOTERO_ITEM CSL_CITATION {"citationID":"abs1j73jv","properties":{"formattedCitation":"(Thomas and Rao 1987)","plainCitation":"(Thomas and Rao 1987)"},"citationItems":[{"id":1417,"uris":["http://zotero.org/users/1165382/items/UUUMKD86"],"uri":["http://zotero.org/users/1165382/items/UUUMKD86"],"itemData":{"id":1417,"type":"article-journal","title":"Small-Sample Comparisons of Level and Power for Simple Goodness-of-Fit Statistics under Cluster Sampling","container-title":"Journal of the American Statistical Association","page":"630-636","volume":"82","issue":"398","source":"Taylor and Francis+NEJM","abstract":"Monte Carlo methods were used to examine the Type I error performance of a number of goodness-of-fit statistics under cluster sampling. The study has reduced the comparison to four procedures: (a) X 2 s, the Rao-Scott Satterthwaite adjusted X 2; (b) XJ , Fay's jackknifed X 2; (c) FW , a modified Wald statistic referred to an F distribution; and (d) FX 2 c, an F-based version of the Rao-Scott -adjusted X 2, depending only on the cell “design effects” (DE) unlike the others. The statistic FX 2 c performs well provided that the coefficient of variation, a, of the eigenvalues, λ i , of the “design effects matrix” is small. In general, both X 2 s and XJ perform well even when a is not small. FW behaves reasonably well for tests of uniform probability, π = π0 = (1/k, …, 1/k)′, where k is the number of categories and π = (π1, …, πk-1)′, πk = 1 – π1 - … - πk-1, but it is sensitive to skewness in π0. The power performance of procedures (a)–(d) was also examined. Attention was focused on π0 = (1/k, …, 1/k)′, the data being generated under two basic forms of the alternative π, consisting of single cell deviations from π0 of the form π1 = 1/k + ϵ with ϵ positive or negative. The power of FW is sensitive to the form of π and is markedly less than the power of its competitors in the important case of nonconstant DE, a &gt; 0. XJ shows much better power characteristics but has somewhat less power than X 2 s when a &gt; 0. Methods for analysis of categorical data have been extensively developed under the assumption of multinomial or product-multinomial sampling. In particular, the standard Pearson chi-squared statistic, X 2, and the likelihood ratio statistic, G 2, are used to test hypotheses in multiway contingency tables, employing log-linear models. These methods are often used by researchers in subject matter areas (e.g., social and health sciences) to analyze sample survey data, even though the multinomial assumption is violated because of clustering and stratification used in the survey design. Ignoring the effect of survey design and using X 2 or G 2 could lead to unacceptably high Type I error under cluster sampling. Alternative test statistics that take account of the design have been proposed: X 2 c (or G 2 c), designed for use with published tables, require knowledge only of cell DE (or variances) and certain marginal DE, whereas other statistics, X 2 s, (or G 2 s) and XJ (or GJ) require knowledge of the full covariance matrix or access to the microdata file. Large-sample properties of these test statistics have been previously studied. Small-sample Type I error and power performances have been examined in this article, under simulated cluster sampling. The Monte Carlo study, however, has been confined to the simple goodness-of-fit test, π = π0, on the vector of cell proportions, π. The results of this study should be useful to both statisticians and researchers in subject matter areas interested in the analysis of categorical data from complex sample surveys.","DOI":"10.1080/01621459.1987.10478476","ISSN":"0162-1459","note":"00108","author":[{"family":"Thomas","given":"D. Roland"},{"family":"Rao","given":"J. N. K."}],"issued":{"date-parts":[["1987",6,1]]}}}],"schema":"https://github.com/citation-style-language/schema/raw/master/csl-citation.json"} </w:instrText>
      </w:r>
      <w:r w:rsidRPr="00A32EED">
        <w:rPr>
          <w:rFonts w:eastAsia="Calibri"/>
        </w:rPr>
        <w:fldChar w:fldCharType="separate"/>
      </w:r>
      <w:r w:rsidRPr="00A32EED">
        <w:rPr>
          <w:rFonts w:eastAsia="Calibri"/>
          <w:noProof/>
        </w:rPr>
        <w:t>(Thomas and Rao 1987)</w:t>
      </w:r>
      <w:r w:rsidRPr="00A32EED">
        <w:rPr>
          <w:rFonts w:eastAsia="Calibri"/>
        </w:rPr>
        <w:fldChar w:fldCharType="end"/>
      </w:r>
      <w:r w:rsidRPr="00A32EED">
        <w:rPr>
          <w:rFonts w:eastAsia="Calibri"/>
        </w:rPr>
        <w:t xml:space="preserve">. The p-value for this corrected </w:t>
      </w:r>
      <w:r w:rsidRPr="00A32EED">
        <w:rPr>
          <w:rFonts w:eastAsia="Calibri"/>
          <w:i/>
        </w:rPr>
        <w:t>F</w:t>
      </w:r>
      <w:r w:rsidRPr="00A32EED">
        <w:rPr>
          <w:rFonts w:eastAsia="Calibri"/>
        </w:rPr>
        <w:t xml:space="preserve"> statistic can then be interpreted the same as a p-value for the Pearson Chi-square statistic </w:t>
      </w:r>
      <w:r w:rsidRPr="00A32EED">
        <w:rPr>
          <w:rFonts w:eastAsia="Calibri"/>
        </w:rPr>
        <w:fldChar w:fldCharType="begin"/>
      </w:r>
      <w:r w:rsidRPr="00A32EED">
        <w:rPr>
          <w:rFonts w:eastAsia="Calibri"/>
        </w:rPr>
        <w:instrText xml:space="preserve"> ADDIN ZOTERO_ITEM CSL_CITATION {"citationID":"1desf8e24q","properties":{"formattedCitation":"(Stata Corporation 2015)","plainCitation":"(Stata Corporation 2015)"},"citationItems":[{"id":1422,"uris":["http://zotero.org/users/1165382/items/F9TQ37VP"],"uri":["http://zotero.org/users/1165382/items/F9TQ37VP"],"itemData":{"id":1422,"type":"book","title":"Stata survey data: reference manual ; release 14","publisher-place":"College Station, Tex. Stata Press","number-of-pages":"205","source":"Gemeinsamer Bibliotheksverbund ISBN","event-place":"College Station, Tex. Stata Press","ISBN":"978-1-59718-167-9","note":"00000 \nOCLC: 254932636","shortTitle":"Stata survey data","language":"eng","editor":[{"literal":"Stata Corporation"}],"issued":{"date-parts":[["2015"]]}}}],"schema":"https://github.com/citation-style-language/schema/raw/master/csl-citation.json"} </w:instrText>
      </w:r>
      <w:r w:rsidRPr="00A32EED">
        <w:rPr>
          <w:rFonts w:eastAsia="Calibri"/>
        </w:rPr>
        <w:fldChar w:fldCharType="separate"/>
      </w:r>
      <w:r w:rsidRPr="00A32EED">
        <w:rPr>
          <w:rFonts w:eastAsia="Calibri"/>
          <w:noProof/>
        </w:rPr>
        <w:t>(STATA Corporation, 2015)</w:t>
      </w:r>
      <w:r w:rsidRPr="00A32EED">
        <w:rPr>
          <w:rFonts w:eastAsia="Calibri"/>
        </w:rPr>
        <w:fldChar w:fldCharType="end"/>
      </w:r>
      <w:r w:rsidRPr="00A32EED">
        <w:rPr>
          <w:rFonts w:eastAsia="Calibri"/>
        </w:rPr>
        <w:t>. Results from these tests and for the continuous variables can be found in Table 5.3. Results of this test reveal the two groups are significantly different (</w:t>
      </w:r>
      <w:r w:rsidRPr="00A32EED">
        <w:rPr>
          <w:rFonts w:eastAsia="Calibri"/>
          <w:i/>
        </w:rPr>
        <w:t>p&lt;</w:t>
      </w:r>
      <w:r w:rsidRPr="00A32EED">
        <w:rPr>
          <w:rFonts w:eastAsia="Calibri"/>
        </w:rPr>
        <w:t>.05), with analytic sample having a lower percentage of youth who initiated sex early (-3.41%). Any interpretation of how findings apply to the larger population will have to take this difference into consideration.</w:t>
      </w:r>
    </w:p>
    <w:p w14:paraId="784BA78A" w14:textId="77777777" w:rsidR="004C4C39" w:rsidRPr="00A32EED" w:rsidRDefault="004C4C39" w:rsidP="004C4C39">
      <w:pPr>
        <w:spacing w:after="0" w:line="480" w:lineRule="auto"/>
        <w:ind w:firstLine="720"/>
        <w:rPr>
          <w:rFonts w:eastAsia="Calibri"/>
        </w:rPr>
      </w:pPr>
      <w:r w:rsidRPr="00A32EED">
        <w:rPr>
          <w:rFonts w:eastAsia="Calibri"/>
        </w:rPr>
        <w:t>Both the age-eligible and analytic samples are predominantly female (56.09% and 55.90% respectively). Of the age-eligible sample, 27 (2.3%) cases were missing the youth’s gender. The adjusted Pearson Chi-square test reveals that the age-eligible sample is not significantly different from the analytic sample (</w:t>
      </w:r>
      <w:r w:rsidRPr="00A32EED">
        <w:rPr>
          <w:rFonts w:eastAsia="Calibri"/>
          <w:i/>
        </w:rPr>
        <w:t>p=</w:t>
      </w:r>
      <w:r w:rsidRPr="00A32EED">
        <w:rPr>
          <w:rFonts w:eastAsia="Calibri"/>
        </w:rPr>
        <w:t>.93). The adjusted Pearson Chi-Square test does reveal the two groups are significantly different in their racial/ethnic make-up (</w:t>
      </w:r>
      <w:r w:rsidRPr="00A32EED">
        <w:rPr>
          <w:rFonts w:eastAsia="Calibri"/>
          <w:i/>
        </w:rPr>
        <w:t>p&lt;</w:t>
      </w:r>
      <w:r w:rsidRPr="00A32EED">
        <w:rPr>
          <w:rFonts w:eastAsia="Calibri"/>
        </w:rPr>
        <w:t>.05). Although both the age-eligible and analytic samples are both predominantly non-white (55.45% and 50.53% respectively), the analytic sample has a significantly higher proportion of non-white youth. There were only 3 (.26%) cases missing data on race/ethnicity.</w:t>
      </w:r>
    </w:p>
    <w:p w14:paraId="09674B41" w14:textId="77777777" w:rsidR="004C4C39" w:rsidRPr="00A32EED" w:rsidRDefault="004C4C39" w:rsidP="004C4C39">
      <w:pPr>
        <w:spacing w:after="0" w:line="480" w:lineRule="auto"/>
        <w:ind w:firstLine="720"/>
        <w:rPr>
          <w:rFonts w:eastAsia="Calibri"/>
        </w:rPr>
      </w:pPr>
      <w:r w:rsidRPr="00A32EED">
        <w:rPr>
          <w:rFonts w:eastAsia="Calibri"/>
        </w:rPr>
        <w:t xml:space="preserve">The average age of the age-eligible and analytic samples is11.52 and 12.00 years old respectively. There were no missing cases for age at baseline. The </w:t>
      </w:r>
      <w:r w:rsidRPr="00A32EED">
        <w:rPr>
          <w:rFonts w:eastAsia="Calibri"/>
          <w:i/>
        </w:rPr>
        <w:t>svy</w:t>
      </w:r>
      <w:r w:rsidRPr="00A32EED">
        <w:rPr>
          <w:rFonts w:eastAsia="Calibri"/>
        </w:rPr>
        <w:t xml:space="preserve"> module in STATA does not allow for the use of the </w:t>
      </w:r>
      <w:r w:rsidRPr="00A32EED">
        <w:rPr>
          <w:rFonts w:eastAsia="Calibri"/>
          <w:i/>
        </w:rPr>
        <w:t>t-test</w:t>
      </w:r>
      <w:r w:rsidRPr="00A32EED">
        <w:rPr>
          <w:rFonts w:eastAsia="Calibri"/>
        </w:rPr>
        <w:t xml:space="preserve"> command to compare means. However, the same can be accomplished by using the </w:t>
      </w:r>
      <w:r w:rsidRPr="00A32EED">
        <w:rPr>
          <w:rFonts w:eastAsia="Calibri"/>
          <w:i/>
        </w:rPr>
        <w:t>regress</w:t>
      </w:r>
      <w:r w:rsidRPr="00A32EED">
        <w:rPr>
          <w:rFonts w:eastAsia="Calibri"/>
        </w:rPr>
        <w:t xml:space="preserve"> </w:t>
      </w:r>
      <w:r w:rsidRPr="00A32EED">
        <w:rPr>
          <w:rFonts w:eastAsia="Calibri"/>
        </w:rPr>
        <w:lastRenderedPageBreak/>
        <w:t xml:space="preserve">command with age at baseline as the dependent variable and a variable distinguishing between the age-eligible and analytic samples. Following the regression model, the </w:t>
      </w:r>
      <w:r w:rsidRPr="00A32EED">
        <w:rPr>
          <w:rFonts w:eastAsia="Calibri"/>
          <w:i/>
        </w:rPr>
        <w:t>test</w:t>
      </w:r>
      <w:r w:rsidRPr="00A32EED">
        <w:rPr>
          <w:rFonts w:eastAsia="Calibri"/>
        </w:rPr>
        <w:t xml:space="preserve"> command can be used to generate the F-ratio </w:t>
      </w:r>
      <w:r w:rsidRPr="00A32EED">
        <w:rPr>
          <w:rFonts w:eastAsia="Calibri"/>
        </w:rPr>
        <w:fldChar w:fldCharType="begin"/>
      </w:r>
      <w:r w:rsidRPr="00A32EED">
        <w:rPr>
          <w:rFonts w:eastAsia="Calibri"/>
        </w:rPr>
        <w:instrText xml:space="preserve"> ADDIN ZOTERO_ITEM CSL_CITATION {"citationID":"jbd1g8jo5","properties":{"formattedCitation":"(UCLA: Statistical Consulting Group 2012)","plainCitation":"(UCLA: Statistical Consulting Group 2012)"},"citationItems":[{"id":1427,"uris":["http://zotero.org/users/1165382/items/C23PNQTT"],"uri":["http://zotero.org/users/1165382/items/C23PNQTT"],"itemData":{"id":1427,"type":"webpage","title":"Stata FAQ: How can I do a t-test with survey data?","container-title":"STATA FAQ","URL":"http://www.ats.ucla.edu/stat/stata/faq/svyttest.htm","note":"00000","author":[{"literal":"UCLA: Statistical Consulting Group"}],"issued":{"date-parts":[["2012"]]},"accessed":{"date-parts":[["2017",2,14]]}}}],"schema":"https://github.com/citation-style-language/schema/raw/master/csl-citation.json"} </w:instrText>
      </w:r>
      <w:r w:rsidRPr="00A32EED">
        <w:rPr>
          <w:rFonts w:eastAsia="Calibri"/>
        </w:rPr>
        <w:fldChar w:fldCharType="separate"/>
      </w:r>
      <w:r w:rsidRPr="00A32EED">
        <w:rPr>
          <w:rFonts w:eastAsia="Calibri"/>
          <w:noProof/>
        </w:rPr>
        <w:t>(UCLA: Statistical Consulting Group 2012)</w:t>
      </w:r>
      <w:r w:rsidRPr="00A32EED">
        <w:rPr>
          <w:rFonts w:eastAsia="Calibri"/>
        </w:rPr>
        <w:fldChar w:fldCharType="end"/>
      </w:r>
      <w:r w:rsidRPr="00A32EED">
        <w:rPr>
          <w:rFonts w:eastAsia="Calibri"/>
        </w:rPr>
        <w:t>. This test reveals that the analytic sample is significantly older than the age eligible sample (</w:t>
      </w:r>
      <w:r w:rsidRPr="00A32EED">
        <w:rPr>
          <w:rFonts w:eastAsia="Calibri"/>
          <w:i/>
        </w:rPr>
        <w:t>p&lt;</w:t>
      </w:r>
      <w:r w:rsidRPr="00A32EED">
        <w:rPr>
          <w:rFonts w:eastAsia="Calibri"/>
        </w:rPr>
        <w:t xml:space="preserve">.001). Once again, although the two groups are significantly different and results should be interpreted as such, the mean difference between the age-eligible sample and the analytic sample is only .48 years. Furthermore, Gottfredson and Hirschi suggest that self-control is stable before the age of 11, further lessening the complications of this difference </w:t>
      </w:r>
      <w:r w:rsidRPr="00A32EED">
        <w:rPr>
          <w:rFonts w:eastAsia="Calibri"/>
        </w:rPr>
        <w:fldChar w:fldCharType="begin"/>
      </w:r>
      <w:r w:rsidRPr="00A32EED">
        <w:rPr>
          <w:rFonts w:eastAsia="Calibri"/>
        </w:rPr>
        <w:instrText xml:space="preserve"> ADDIN ZOTERO_ITEM CSL_CITATION {"citationID":"1r0amesk1g","properties":{"formattedCitation":"(Gottfredson and Hirschi 1990)","plainCitation":"(Gottfredson and Hirschi 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chema":"https://github.com/citation-style-language/schema/raw/master/csl-citation.json"} </w:instrText>
      </w:r>
      <w:r w:rsidRPr="00A32EED">
        <w:rPr>
          <w:rFonts w:eastAsia="Calibri"/>
        </w:rPr>
        <w:fldChar w:fldCharType="separate"/>
      </w:r>
      <w:r w:rsidRPr="00A32EED">
        <w:rPr>
          <w:rFonts w:eastAsia="Calibri"/>
          <w:noProof/>
        </w:rPr>
        <w:t>(Gottfredson and Hirschi 1990)</w:t>
      </w:r>
      <w:r w:rsidRPr="00A32EED">
        <w:rPr>
          <w:rFonts w:eastAsia="Calibri"/>
        </w:rPr>
        <w:fldChar w:fldCharType="end"/>
      </w:r>
      <w:r w:rsidRPr="00A32EED">
        <w:rPr>
          <w:rFonts w:eastAsia="Calibri"/>
        </w:rPr>
        <w:t>.</w:t>
      </w:r>
    </w:p>
    <w:p w14:paraId="5ABEA24D" w14:textId="77777777" w:rsidR="004C4C39" w:rsidRPr="00A32EED" w:rsidRDefault="004C4C39" w:rsidP="0023176A">
      <w:pPr>
        <w:pStyle w:val="Caption1"/>
        <w:rPr>
          <w:rFonts w:eastAsia="Calibri"/>
        </w:rPr>
      </w:pPr>
      <w:r w:rsidRPr="00A32EED">
        <w:rPr>
          <w:rFonts w:eastAsia="Calibri"/>
        </w:rPr>
        <w:br w:type="page"/>
      </w:r>
      <w:bookmarkStart w:id="96" w:name="_Toc479941220"/>
      <w:r w:rsidRPr="00A32EED">
        <w:rPr>
          <w:rFonts w:eastAsia="Calibri"/>
        </w:rPr>
        <w:lastRenderedPageBreak/>
        <w:t>Table 5.1: Frequency Statistics for Age-eligible and Early Sexual Initiation Samples</w:t>
      </w:r>
      <w:bookmarkEnd w:id="96"/>
    </w:p>
    <w:tbl>
      <w:tblPr>
        <w:tblStyle w:val="ListTable6Colorful1"/>
        <w:tblW w:w="4878" w:type="pct"/>
        <w:tblLook w:val="04A0" w:firstRow="1" w:lastRow="0" w:firstColumn="1" w:lastColumn="0" w:noHBand="0" w:noVBand="1"/>
      </w:tblPr>
      <w:tblGrid>
        <w:gridCol w:w="750"/>
        <w:gridCol w:w="2344"/>
        <w:gridCol w:w="113"/>
        <w:gridCol w:w="1416"/>
        <w:gridCol w:w="764"/>
        <w:gridCol w:w="337"/>
        <w:gridCol w:w="666"/>
        <w:gridCol w:w="836"/>
        <w:gridCol w:w="1063"/>
      </w:tblGrid>
      <w:tr w:rsidR="008A40F5" w:rsidRPr="00A32EED" w14:paraId="5090ADF1" w14:textId="77777777" w:rsidTr="008A40F5">
        <w:trPr>
          <w:cnfStyle w:val="100000000000" w:firstRow="1" w:lastRow="0" w:firstColumn="0" w:lastColumn="0" w:oddVBand="0" w:evenVBand="0" w:oddHBand="0"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452" w:type="pct"/>
          </w:tcPr>
          <w:p w14:paraId="5E654BD2" w14:textId="77777777" w:rsidR="004C4C39" w:rsidRPr="00A32EED" w:rsidRDefault="004C4C39" w:rsidP="004C4C39">
            <w:pPr>
              <w:rPr>
                <w:rFonts w:eastAsia="Calibri" w:cs="Arial"/>
                <w:sz w:val="22"/>
                <w:szCs w:val="22"/>
              </w:rPr>
            </w:pPr>
          </w:p>
        </w:tc>
        <w:tc>
          <w:tcPr>
            <w:tcW w:w="1482" w:type="pct"/>
            <w:gridSpan w:val="2"/>
          </w:tcPr>
          <w:p w14:paraId="6F1AAE0C" w14:textId="77777777" w:rsidR="004C4C39" w:rsidRPr="00A32EED" w:rsidRDefault="004C4C39" w:rsidP="004C4C39">
            <w:pPr>
              <w:cnfStyle w:val="100000000000" w:firstRow="1" w:lastRow="0" w:firstColumn="0" w:lastColumn="0" w:oddVBand="0" w:evenVBand="0" w:oddHBand="0" w:evenHBand="0" w:firstRowFirstColumn="0" w:firstRowLastColumn="0" w:lastRowFirstColumn="0" w:lastRowLastColumn="0"/>
              <w:rPr>
                <w:rFonts w:eastAsia="Calibri" w:cs="Arial"/>
                <w:sz w:val="22"/>
                <w:szCs w:val="22"/>
              </w:rPr>
            </w:pPr>
          </w:p>
        </w:tc>
        <w:tc>
          <w:tcPr>
            <w:tcW w:w="1518" w:type="pct"/>
            <w:gridSpan w:val="3"/>
          </w:tcPr>
          <w:p w14:paraId="6D93FEBD"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Full 15-Year-Old Sample</w:t>
            </w:r>
          </w:p>
          <w:p w14:paraId="61A08694"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(n=1,172)</w:t>
            </w:r>
          </w:p>
        </w:tc>
        <w:tc>
          <w:tcPr>
            <w:tcW w:w="1547" w:type="pct"/>
            <w:gridSpan w:val="3"/>
          </w:tcPr>
          <w:p w14:paraId="6657C796"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Early Initiation Model Sample (n=739)</w:t>
            </w:r>
          </w:p>
        </w:tc>
      </w:tr>
      <w:tr w:rsidR="008A40F5" w:rsidRPr="00A32EED" w14:paraId="5DBEBB75" w14:textId="77777777" w:rsidTr="008A40F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52" w:type="pct"/>
          </w:tcPr>
          <w:p w14:paraId="596DD855" w14:textId="77777777" w:rsidR="004C4C39" w:rsidRPr="00A32EED" w:rsidRDefault="004C4C39" w:rsidP="004C4C39">
            <w:pPr>
              <w:rPr>
                <w:rFonts w:eastAsia="Calibri" w:cs="Arial"/>
                <w:sz w:val="22"/>
                <w:szCs w:val="22"/>
              </w:rPr>
            </w:pPr>
          </w:p>
        </w:tc>
        <w:tc>
          <w:tcPr>
            <w:tcW w:w="1414" w:type="pct"/>
          </w:tcPr>
          <w:p w14:paraId="6611104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922" w:type="pct"/>
            <w:gridSpan w:val="2"/>
          </w:tcPr>
          <w:p w14:paraId="37AAD7C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 xml:space="preserve"> Missing (%)</w:t>
            </w:r>
          </w:p>
        </w:tc>
        <w:tc>
          <w:tcPr>
            <w:tcW w:w="461" w:type="pct"/>
          </w:tcPr>
          <w:p w14:paraId="3025A30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
                <w:sz w:val="22"/>
                <w:szCs w:val="22"/>
              </w:rPr>
            </w:pPr>
            <w:r w:rsidRPr="00A32EED">
              <w:rPr>
                <w:rFonts w:eastAsia="Calibri" w:cs="Arial"/>
                <w:i/>
                <w:sz w:val="22"/>
                <w:szCs w:val="22"/>
              </w:rPr>
              <w:t>n</w:t>
            </w:r>
          </w:p>
        </w:tc>
        <w:tc>
          <w:tcPr>
            <w:tcW w:w="605" w:type="pct"/>
            <w:gridSpan w:val="2"/>
          </w:tcPr>
          <w:p w14:paraId="2EECD97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w:t>
            </w:r>
          </w:p>
        </w:tc>
        <w:tc>
          <w:tcPr>
            <w:tcW w:w="504" w:type="pct"/>
          </w:tcPr>
          <w:p w14:paraId="4F5F05A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
                <w:sz w:val="22"/>
                <w:szCs w:val="22"/>
              </w:rPr>
            </w:pPr>
            <w:r w:rsidRPr="00A32EED">
              <w:rPr>
                <w:rFonts w:eastAsia="Calibri" w:cs="Arial"/>
                <w:i/>
                <w:sz w:val="22"/>
                <w:szCs w:val="22"/>
              </w:rPr>
              <w:t>n</w:t>
            </w:r>
          </w:p>
        </w:tc>
        <w:tc>
          <w:tcPr>
            <w:tcW w:w="641" w:type="pct"/>
          </w:tcPr>
          <w:p w14:paraId="0B69326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w:t>
            </w:r>
          </w:p>
        </w:tc>
      </w:tr>
      <w:tr w:rsidR="008A40F5" w:rsidRPr="00A32EED" w14:paraId="15020B73" w14:textId="77777777" w:rsidTr="008A40F5">
        <w:trPr>
          <w:trHeight w:val="509"/>
        </w:trPr>
        <w:tc>
          <w:tcPr>
            <w:cnfStyle w:val="001000000000" w:firstRow="0" w:lastRow="0" w:firstColumn="1" w:lastColumn="0" w:oddVBand="0" w:evenVBand="0" w:oddHBand="0" w:evenHBand="0" w:firstRowFirstColumn="0" w:firstRowLastColumn="0" w:lastRowFirstColumn="0" w:lastRowLastColumn="0"/>
            <w:tcW w:w="1866" w:type="pct"/>
            <w:gridSpan w:val="2"/>
          </w:tcPr>
          <w:p w14:paraId="792A59E2" w14:textId="77777777" w:rsidR="004C4C39" w:rsidRPr="00A32EED" w:rsidRDefault="004C4C39" w:rsidP="004C4C39">
            <w:pPr>
              <w:rPr>
                <w:rFonts w:eastAsia="Calibri" w:cs="Arial"/>
                <w:sz w:val="22"/>
                <w:szCs w:val="22"/>
              </w:rPr>
            </w:pPr>
            <w:r w:rsidRPr="00A32EED">
              <w:rPr>
                <w:rFonts w:eastAsia="Calibri" w:cs="Arial"/>
                <w:sz w:val="22"/>
                <w:szCs w:val="22"/>
              </w:rPr>
              <w:t>Early Sexual Initiation (n=957)</w:t>
            </w:r>
          </w:p>
        </w:tc>
        <w:tc>
          <w:tcPr>
            <w:tcW w:w="922" w:type="pct"/>
            <w:gridSpan w:val="2"/>
          </w:tcPr>
          <w:p w14:paraId="68C71FE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215(19.70)</w:t>
            </w:r>
          </w:p>
        </w:tc>
        <w:tc>
          <w:tcPr>
            <w:tcW w:w="461" w:type="pct"/>
          </w:tcPr>
          <w:p w14:paraId="3A1F8A8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05" w:type="pct"/>
            <w:gridSpan w:val="2"/>
          </w:tcPr>
          <w:p w14:paraId="6711496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504" w:type="pct"/>
          </w:tcPr>
          <w:p w14:paraId="1D3B079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41" w:type="pct"/>
          </w:tcPr>
          <w:p w14:paraId="7C9FAEC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8A40F5" w:rsidRPr="00A32EED" w14:paraId="09314D85" w14:textId="77777777" w:rsidTr="008A40F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52" w:type="pct"/>
          </w:tcPr>
          <w:p w14:paraId="0A7E02F0" w14:textId="77777777" w:rsidR="004C4C39" w:rsidRPr="00A32EED" w:rsidRDefault="004C4C39" w:rsidP="004C4C39">
            <w:pPr>
              <w:rPr>
                <w:rFonts w:eastAsia="Calibri" w:cs="Arial"/>
                <w:sz w:val="22"/>
                <w:szCs w:val="22"/>
              </w:rPr>
            </w:pPr>
          </w:p>
        </w:tc>
        <w:tc>
          <w:tcPr>
            <w:tcW w:w="1414" w:type="pct"/>
          </w:tcPr>
          <w:p w14:paraId="1F43619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No</w:t>
            </w:r>
          </w:p>
        </w:tc>
        <w:tc>
          <w:tcPr>
            <w:tcW w:w="922" w:type="pct"/>
            <w:gridSpan w:val="2"/>
          </w:tcPr>
          <w:p w14:paraId="7703C4B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669F22D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Times New Roman" w:cs="Arial"/>
                <w:sz w:val="22"/>
                <w:szCs w:val="22"/>
              </w:rPr>
              <w:t>576</w:t>
            </w:r>
          </w:p>
        </w:tc>
        <w:tc>
          <w:tcPr>
            <w:tcW w:w="605" w:type="pct"/>
            <w:gridSpan w:val="2"/>
          </w:tcPr>
          <w:p w14:paraId="02082A9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r w:rsidRPr="00A32EED">
              <w:rPr>
                <w:rFonts w:eastAsia="Times New Roman" w:cs="Arial"/>
                <w:b/>
                <w:bCs/>
                <w:sz w:val="22"/>
                <w:szCs w:val="22"/>
              </w:rPr>
              <w:t>59.48</w:t>
            </w:r>
          </w:p>
        </w:tc>
        <w:tc>
          <w:tcPr>
            <w:tcW w:w="504" w:type="pct"/>
          </w:tcPr>
          <w:p w14:paraId="0E57655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444</w:t>
            </w:r>
          </w:p>
        </w:tc>
        <w:tc>
          <w:tcPr>
            <w:tcW w:w="641" w:type="pct"/>
          </w:tcPr>
          <w:p w14:paraId="49D8473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62.89</w:t>
            </w:r>
          </w:p>
        </w:tc>
      </w:tr>
      <w:tr w:rsidR="008A40F5" w:rsidRPr="00A32EED" w14:paraId="42EDBA79" w14:textId="77777777" w:rsidTr="008A40F5">
        <w:trPr>
          <w:trHeight w:val="244"/>
        </w:trPr>
        <w:tc>
          <w:tcPr>
            <w:cnfStyle w:val="001000000000" w:firstRow="0" w:lastRow="0" w:firstColumn="1" w:lastColumn="0" w:oddVBand="0" w:evenVBand="0" w:oddHBand="0" w:evenHBand="0" w:firstRowFirstColumn="0" w:firstRowLastColumn="0" w:lastRowFirstColumn="0" w:lastRowLastColumn="0"/>
            <w:tcW w:w="452" w:type="pct"/>
          </w:tcPr>
          <w:p w14:paraId="4377ABCD" w14:textId="77777777" w:rsidR="004C4C39" w:rsidRPr="00A32EED" w:rsidRDefault="004C4C39" w:rsidP="004C4C39">
            <w:pPr>
              <w:rPr>
                <w:rFonts w:eastAsia="Calibri" w:cs="Arial"/>
                <w:sz w:val="22"/>
                <w:szCs w:val="22"/>
              </w:rPr>
            </w:pPr>
          </w:p>
        </w:tc>
        <w:tc>
          <w:tcPr>
            <w:tcW w:w="1414" w:type="pct"/>
          </w:tcPr>
          <w:p w14:paraId="6106B20F"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Yes</w:t>
            </w:r>
          </w:p>
        </w:tc>
        <w:tc>
          <w:tcPr>
            <w:tcW w:w="922" w:type="pct"/>
            <w:gridSpan w:val="2"/>
          </w:tcPr>
          <w:p w14:paraId="58E9DA7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1E6DF79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Times New Roman" w:cs="Arial"/>
                <w:sz w:val="22"/>
                <w:szCs w:val="22"/>
              </w:rPr>
              <w:t>381</w:t>
            </w:r>
          </w:p>
        </w:tc>
        <w:tc>
          <w:tcPr>
            <w:tcW w:w="605" w:type="pct"/>
            <w:gridSpan w:val="2"/>
          </w:tcPr>
          <w:p w14:paraId="7BC0543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A32EED">
              <w:rPr>
                <w:rFonts w:eastAsia="Times New Roman" w:cs="Arial"/>
                <w:b/>
                <w:bCs/>
                <w:sz w:val="22"/>
                <w:szCs w:val="22"/>
              </w:rPr>
              <w:t>40.52</w:t>
            </w:r>
          </w:p>
        </w:tc>
        <w:tc>
          <w:tcPr>
            <w:tcW w:w="504" w:type="pct"/>
          </w:tcPr>
          <w:p w14:paraId="1C6AAAB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295</w:t>
            </w:r>
          </w:p>
        </w:tc>
        <w:tc>
          <w:tcPr>
            <w:tcW w:w="641" w:type="pct"/>
          </w:tcPr>
          <w:p w14:paraId="4323793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37.11</w:t>
            </w:r>
          </w:p>
        </w:tc>
      </w:tr>
      <w:tr w:rsidR="008A40F5" w:rsidRPr="00A32EED" w14:paraId="1C20AE25"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866" w:type="pct"/>
            <w:gridSpan w:val="2"/>
          </w:tcPr>
          <w:p w14:paraId="35179417" w14:textId="77777777" w:rsidR="004C4C39" w:rsidRPr="00A32EED" w:rsidRDefault="004C4C39" w:rsidP="004C4C39">
            <w:pPr>
              <w:rPr>
                <w:rFonts w:eastAsia="Times New Roman" w:cs="Arial"/>
                <w:sz w:val="22"/>
                <w:szCs w:val="22"/>
              </w:rPr>
            </w:pPr>
            <w:r w:rsidRPr="00A32EED">
              <w:rPr>
                <w:rFonts w:eastAsia="Times New Roman" w:cs="Arial"/>
                <w:sz w:val="22"/>
                <w:szCs w:val="22"/>
              </w:rPr>
              <w:t>Child Gender (n=1,145)</w:t>
            </w:r>
          </w:p>
        </w:tc>
        <w:tc>
          <w:tcPr>
            <w:tcW w:w="922" w:type="pct"/>
            <w:gridSpan w:val="2"/>
          </w:tcPr>
          <w:p w14:paraId="649911E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27(1.89)</w:t>
            </w:r>
          </w:p>
        </w:tc>
        <w:tc>
          <w:tcPr>
            <w:tcW w:w="461" w:type="pct"/>
          </w:tcPr>
          <w:p w14:paraId="5F513CD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605" w:type="pct"/>
            <w:gridSpan w:val="2"/>
          </w:tcPr>
          <w:p w14:paraId="4A98B19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p>
        </w:tc>
        <w:tc>
          <w:tcPr>
            <w:tcW w:w="504" w:type="pct"/>
          </w:tcPr>
          <w:p w14:paraId="5EE2D13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641" w:type="pct"/>
          </w:tcPr>
          <w:p w14:paraId="3E81FF0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p>
        </w:tc>
      </w:tr>
      <w:tr w:rsidR="008A40F5" w:rsidRPr="00A32EED" w14:paraId="1654569D" w14:textId="77777777" w:rsidTr="008A40F5">
        <w:trPr>
          <w:trHeight w:val="263"/>
        </w:trPr>
        <w:tc>
          <w:tcPr>
            <w:cnfStyle w:val="001000000000" w:firstRow="0" w:lastRow="0" w:firstColumn="1" w:lastColumn="0" w:oddVBand="0" w:evenVBand="0" w:oddHBand="0" w:evenHBand="0" w:firstRowFirstColumn="0" w:firstRowLastColumn="0" w:lastRowFirstColumn="0" w:lastRowLastColumn="0"/>
            <w:tcW w:w="452" w:type="pct"/>
          </w:tcPr>
          <w:p w14:paraId="2CC580AF" w14:textId="77777777" w:rsidR="004C4C39" w:rsidRPr="00A32EED" w:rsidRDefault="004C4C39" w:rsidP="004C4C39">
            <w:pPr>
              <w:rPr>
                <w:rFonts w:eastAsia="Calibri" w:cs="Arial"/>
                <w:sz w:val="22"/>
                <w:szCs w:val="22"/>
              </w:rPr>
            </w:pPr>
          </w:p>
        </w:tc>
        <w:tc>
          <w:tcPr>
            <w:tcW w:w="1414" w:type="pct"/>
          </w:tcPr>
          <w:p w14:paraId="2FE678BD"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 xml:space="preserve">Female </w:t>
            </w:r>
          </w:p>
        </w:tc>
        <w:tc>
          <w:tcPr>
            <w:tcW w:w="922" w:type="pct"/>
            <w:gridSpan w:val="2"/>
          </w:tcPr>
          <w:p w14:paraId="37B2C93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60DE4C0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Times New Roman" w:cs="Arial"/>
                <w:sz w:val="22"/>
                <w:szCs w:val="22"/>
              </w:rPr>
              <w:t>678</w:t>
            </w:r>
          </w:p>
        </w:tc>
        <w:tc>
          <w:tcPr>
            <w:tcW w:w="605" w:type="pct"/>
            <w:gridSpan w:val="2"/>
          </w:tcPr>
          <w:p w14:paraId="4B17647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A32EED">
              <w:rPr>
                <w:rFonts w:eastAsia="Times New Roman" w:cs="Arial"/>
                <w:b/>
                <w:bCs/>
                <w:sz w:val="22"/>
                <w:szCs w:val="22"/>
              </w:rPr>
              <w:t>56.09</w:t>
            </w:r>
          </w:p>
        </w:tc>
        <w:tc>
          <w:tcPr>
            <w:tcW w:w="504" w:type="pct"/>
          </w:tcPr>
          <w:p w14:paraId="5B76CEE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454</w:t>
            </w:r>
          </w:p>
        </w:tc>
        <w:tc>
          <w:tcPr>
            <w:tcW w:w="641" w:type="pct"/>
          </w:tcPr>
          <w:p w14:paraId="77EB3B7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55.90</w:t>
            </w:r>
          </w:p>
        </w:tc>
      </w:tr>
      <w:tr w:rsidR="008A40F5" w:rsidRPr="00A32EED" w14:paraId="624600D9"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52" w:type="pct"/>
          </w:tcPr>
          <w:p w14:paraId="3C8B828D" w14:textId="77777777" w:rsidR="004C4C39" w:rsidRPr="00A32EED" w:rsidRDefault="004C4C39" w:rsidP="004C4C39">
            <w:pPr>
              <w:rPr>
                <w:rFonts w:eastAsia="Calibri" w:cs="Arial"/>
                <w:sz w:val="22"/>
                <w:szCs w:val="22"/>
              </w:rPr>
            </w:pPr>
          </w:p>
        </w:tc>
        <w:tc>
          <w:tcPr>
            <w:tcW w:w="1414" w:type="pct"/>
          </w:tcPr>
          <w:p w14:paraId="4F1C39EE"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Male</w:t>
            </w:r>
          </w:p>
        </w:tc>
        <w:tc>
          <w:tcPr>
            <w:tcW w:w="922" w:type="pct"/>
            <w:gridSpan w:val="2"/>
          </w:tcPr>
          <w:p w14:paraId="08E7501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2CF7E95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Times New Roman" w:cs="Arial"/>
                <w:sz w:val="22"/>
                <w:szCs w:val="22"/>
              </w:rPr>
              <w:t>467</w:t>
            </w:r>
          </w:p>
        </w:tc>
        <w:tc>
          <w:tcPr>
            <w:tcW w:w="605" w:type="pct"/>
            <w:gridSpan w:val="2"/>
          </w:tcPr>
          <w:p w14:paraId="3DBF221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r w:rsidRPr="00A32EED">
              <w:rPr>
                <w:rFonts w:eastAsia="Times New Roman" w:cs="Arial"/>
                <w:b/>
                <w:bCs/>
                <w:sz w:val="22"/>
                <w:szCs w:val="22"/>
              </w:rPr>
              <w:t>43.91</w:t>
            </w:r>
          </w:p>
        </w:tc>
        <w:tc>
          <w:tcPr>
            <w:tcW w:w="504" w:type="pct"/>
          </w:tcPr>
          <w:p w14:paraId="688BBFB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285</w:t>
            </w:r>
          </w:p>
        </w:tc>
        <w:tc>
          <w:tcPr>
            <w:tcW w:w="641" w:type="pct"/>
          </w:tcPr>
          <w:p w14:paraId="5447D1B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44.10</w:t>
            </w:r>
          </w:p>
        </w:tc>
      </w:tr>
      <w:tr w:rsidR="008A40F5" w:rsidRPr="00A32EED" w14:paraId="546C6913" w14:textId="77777777" w:rsidTr="008A40F5">
        <w:trPr>
          <w:trHeight w:val="509"/>
        </w:trPr>
        <w:tc>
          <w:tcPr>
            <w:cnfStyle w:val="001000000000" w:firstRow="0" w:lastRow="0" w:firstColumn="1" w:lastColumn="0" w:oddVBand="0" w:evenVBand="0" w:oddHBand="0" w:evenHBand="0" w:firstRowFirstColumn="0" w:firstRowLastColumn="0" w:lastRowFirstColumn="0" w:lastRowLastColumn="0"/>
            <w:tcW w:w="1866" w:type="pct"/>
            <w:gridSpan w:val="2"/>
          </w:tcPr>
          <w:p w14:paraId="329B5FB9" w14:textId="77777777" w:rsidR="004C4C39" w:rsidRPr="00A32EED" w:rsidRDefault="004C4C39" w:rsidP="004C4C39">
            <w:pPr>
              <w:rPr>
                <w:rFonts w:eastAsia="Calibri" w:cs="Arial"/>
                <w:sz w:val="22"/>
                <w:szCs w:val="22"/>
              </w:rPr>
            </w:pPr>
            <w:r w:rsidRPr="00A32EED">
              <w:rPr>
                <w:rFonts w:eastAsia="Calibri" w:cs="Arial"/>
                <w:sz w:val="22"/>
                <w:szCs w:val="22"/>
              </w:rPr>
              <w:t>Child Race/Ethnicity (n=1,169)</w:t>
            </w:r>
          </w:p>
        </w:tc>
        <w:tc>
          <w:tcPr>
            <w:tcW w:w="922" w:type="pct"/>
            <w:gridSpan w:val="2"/>
          </w:tcPr>
          <w:p w14:paraId="0DB3FC5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3(.03)</w:t>
            </w:r>
          </w:p>
        </w:tc>
        <w:tc>
          <w:tcPr>
            <w:tcW w:w="461" w:type="pct"/>
          </w:tcPr>
          <w:p w14:paraId="4CE4A86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05" w:type="pct"/>
            <w:gridSpan w:val="2"/>
          </w:tcPr>
          <w:p w14:paraId="7B1CD7C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c>
          <w:tcPr>
            <w:tcW w:w="504" w:type="pct"/>
          </w:tcPr>
          <w:p w14:paraId="1C8F944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41" w:type="pct"/>
          </w:tcPr>
          <w:p w14:paraId="4B38930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r>
      <w:tr w:rsidR="008A40F5" w:rsidRPr="00A32EED" w14:paraId="155F24B9"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52" w:type="pct"/>
          </w:tcPr>
          <w:p w14:paraId="5E07E454" w14:textId="77777777" w:rsidR="004C4C39" w:rsidRPr="00A32EED" w:rsidRDefault="004C4C39" w:rsidP="004C4C39">
            <w:pPr>
              <w:rPr>
                <w:rFonts w:eastAsia="Calibri" w:cs="Arial"/>
                <w:sz w:val="22"/>
                <w:szCs w:val="22"/>
              </w:rPr>
            </w:pPr>
          </w:p>
        </w:tc>
        <w:tc>
          <w:tcPr>
            <w:tcW w:w="1414" w:type="pct"/>
          </w:tcPr>
          <w:p w14:paraId="6FCF4FF7"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White</w:t>
            </w:r>
          </w:p>
        </w:tc>
        <w:tc>
          <w:tcPr>
            <w:tcW w:w="922" w:type="pct"/>
            <w:gridSpan w:val="2"/>
          </w:tcPr>
          <w:p w14:paraId="7F3BB4A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308F847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Times New Roman" w:cs="Arial"/>
                <w:sz w:val="22"/>
                <w:szCs w:val="22"/>
              </w:rPr>
              <w:t>531</w:t>
            </w:r>
          </w:p>
        </w:tc>
        <w:tc>
          <w:tcPr>
            <w:tcW w:w="605" w:type="pct"/>
            <w:gridSpan w:val="2"/>
          </w:tcPr>
          <w:p w14:paraId="0CD918C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r w:rsidRPr="00A32EED">
              <w:rPr>
                <w:rFonts w:eastAsia="Times New Roman" w:cs="Arial"/>
                <w:b/>
                <w:bCs/>
                <w:sz w:val="22"/>
                <w:szCs w:val="22"/>
              </w:rPr>
              <w:t>44.55</w:t>
            </w:r>
          </w:p>
        </w:tc>
        <w:tc>
          <w:tcPr>
            <w:tcW w:w="504" w:type="pct"/>
          </w:tcPr>
          <w:p w14:paraId="7F9769F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375</w:t>
            </w:r>
          </w:p>
        </w:tc>
        <w:tc>
          <w:tcPr>
            <w:tcW w:w="641" w:type="pct"/>
          </w:tcPr>
          <w:p w14:paraId="6EC84DD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49.47</w:t>
            </w:r>
          </w:p>
        </w:tc>
      </w:tr>
      <w:tr w:rsidR="008A40F5" w:rsidRPr="00A32EED" w14:paraId="44DFDF46" w14:textId="77777777" w:rsidTr="008A40F5">
        <w:trPr>
          <w:trHeight w:val="244"/>
        </w:trPr>
        <w:tc>
          <w:tcPr>
            <w:cnfStyle w:val="001000000000" w:firstRow="0" w:lastRow="0" w:firstColumn="1" w:lastColumn="0" w:oddVBand="0" w:evenVBand="0" w:oddHBand="0" w:evenHBand="0" w:firstRowFirstColumn="0" w:firstRowLastColumn="0" w:lastRowFirstColumn="0" w:lastRowLastColumn="0"/>
            <w:tcW w:w="452" w:type="pct"/>
          </w:tcPr>
          <w:p w14:paraId="7E108B2B" w14:textId="77777777" w:rsidR="004C4C39" w:rsidRPr="00A32EED" w:rsidRDefault="004C4C39" w:rsidP="004C4C39">
            <w:pPr>
              <w:rPr>
                <w:rFonts w:eastAsia="Calibri" w:cs="Arial"/>
                <w:sz w:val="22"/>
                <w:szCs w:val="22"/>
              </w:rPr>
            </w:pPr>
          </w:p>
        </w:tc>
        <w:tc>
          <w:tcPr>
            <w:tcW w:w="1414" w:type="pct"/>
          </w:tcPr>
          <w:p w14:paraId="5BB7F924"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Non-White</w:t>
            </w:r>
          </w:p>
        </w:tc>
        <w:tc>
          <w:tcPr>
            <w:tcW w:w="922" w:type="pct"/>
            <w:gridSpan w:val="2"/>
          </w:tcPr>
          <w:p w14:paraId="3BDDB21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4307132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Times New Roman" w:cs="Arial"/>
                <w:sz w:val="22"/>
                <w:szCs w:val="22"/>
              </w:rPr>
              <w:t>638</w:t>
            </w:r>
          </w:p>
        </w:tc>
        <w:tc>
          <w:tcPr>
            <w:tcW w:w="605" w:type="pct"/>
            <w:gridSpan w:val="2"/>
          </w:tcPr>
          <w:p w14:paraId="0176620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A32EED">
              <w:rPr>
                <w:rFonts w:eastAsia="Times New Roman" w:cs="Arial"/>
                <w:b/>
                <w:bCs/>
                <w:sz w:val="22"/>
                <w:szCs w:val="22"/>
              </w:rPr>
              <w:t>55.45</w:t>
            </w:r>
          </w:p>
        </w:tc>
        <w:tc>
          <w:tcPr>
            <w:tcW w:w="504" w:type="pct"/>
          </w:tcPr>
          <w:p w14:paraId="359AD25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364</w:t>
            </w:r>
          </w:p>
        </w:tc>
        <w:tc>
          <w:tcPr>
            <w:tcW w:w="641" w:type="pct"/>
          </w:tcPr>
          <w:p w14:paraId="0F838DB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50.53</w:t>
            </w:r>
          </w:p>
        </w:tc>
      </w:tr>
      <w:tr w:rsidR="008A40F5" w:rsidRPr="00A32EED" w14:paraId="47DA1962" w14:textId="77777777" w:rsidTr="008A40F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866" w:type="pct"/>
            <w:gridSpan w:val="2"/>
          </w:tcPr>
          <w:p w14:paraId="5B8552B3" w14:textId="77777777" w:rsidR="004C4C39" w:rsidRPr="00A32EED" w:rsidRDefault="004C4C39" w:rsidP="004C4C39">
            <w:pPr>
              <w:rPr>
                <w:rFonts w:eastAsia="Calibri" w:cs="Arial"/>
                <w:sz w:val="22"/>
                <w:szCs w:val="22"/>
              </w:rPr>
            </w:pPr>
            <w:r w:rsidRPr="00A32EED">
              <w:rPr>
                <w:rFonts w:eastAsia="Calibri" w:cs="Arial"/>
                <w:sz w:val="22"/>
                <w:szCs w:val="22"/>
              </w:rPr>
              <w:t>Baseline Services (n=1,172)</w:t>
            </w:r>
          </w:p>
        </w:tc>
        <w:tc>
          <w:tcPr>
            <w:tcW w:w="922" w:type="pct"/>
            <w:gridSpan w:val="2"/>
          </w:tcPr>
          <w:p w14:paraId="24C287C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0.00</w:t>
            </w:r>
          </w:p>
        </w:tc>
        <w:tc>
          <w:tcPr>
            <w:tcW w:w="461" w:type="pct"/>
          </w:tcPr>
          <w:p w14:paraId="55E0971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605" w:type="pct"/>
            <w:gridSpan w:val="2"/>
          </w:tcPr>
          <w:p w14:paraId="2411427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p>
        </w:tc>
        <w:tc>
          <w:tcPr>
            <w:tcW w:w="504" w:type="pct"/>
          </w:tcPr>
          <w:p w14:paraId="452FCBC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641" w:type="pct"/>
          </w:tcPr>
          <w:p w14:paraId="55A8CD5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p>
        </w:tc>
      </w:tr>
      <w:tr w:rsidR="008A40F5" w:rsidRPr="00A32EED" w14:paraId="0F801CF5" w14:textId="77777777" w:rsidTr="008A40F5">
        <w:trPr>
          <w:trHeight w:val="244"/>
        </w:trPr>
        <w:tc>
          <w:tcPr>
            <w:cnfStyle w:val="001000000000" w:firstRow="0" w:lastRow="0" w:firstColumn="1" w:lastColumn="0" w:oddVBand="0" w:evenVBand="0" w:oddHBand="0" w:evenHBand="0" w:firstRowFirstColumn="0" w:firstRowLastColumn="0" w:lastRowFirstColumn="0" w:lastRowLastColumn="0"/>
            <w:tcW w:w="452" w:type="pct"/>
          </w:tcPr>
          <w:p w14:paraId="150CA6D6" w14:textId="77777777" w:rsidR="004C4C39" w:rsidRPr="00A32EED" w:rsidRDefault="004C4C39" w:rsidP="004C4C39">
            <w:pPr>
              <w:rPr>
                <w:rFonts w:eastAsia="Calibri" w:cs="Arial"/>
                <w:sz w:val="22"/>
                <w:szCs w:val="22"/>
              </w:rPr>
            </w:pPr>
          </w:p>
        </w:tc>
        <w:tc>
          <w:tcPr>
            <w:tcW w:w="1414" w:type="pct"/>
          </w:tcPr>
          <w:p w14:paraId="2169183E"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No</w:t>
            </w:r>
          </w:p>
        </w:tc>
        <w:tc>
          <w:tcPr>
            <w:tcW w:w="922" w:type="pct"/>
            <w:gridSpan w:val="2"/>
          </w:tcPr>
          <w:p w14:paraId="57D3B45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6FBAB28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297</w:t>
            </w:r>
          </w:p>
        </w:tc>
        <w:tc>
          <w:tcPr>
            <w:tcW w:w="605" w:type="pct"/>
            <w:gridSpan w:val="2"/>
          </w:tcPr>
          <w:p w14:paraId="685F594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70.43</w:t>
            </w:r>
          </w:p>
        </w:tc>
        <w:tc>
          <w:tcPr>
            <w:tcW w:w="504" w:type="pct"/>
          </w:tcPr>
          <w:p w14:paraId="2CF0E53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203</w:t>
            </w:r>
          </w:p>
        </w:tc>
        <w:tc>
          <w:tcPr>
            <w:tcW w:w="641" w:type="pct"/>
          </w:tcPr>
          <w:p w14:paraId="3096427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69.67</w:t>
            </w:r>
          </w:p>
        </w:tc>
      </w:tr>
      <w:tr w:rsidR="008A40F5" w:rsidRPr="00A32EED" w14:paraId="25163154"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52" w:type="pct"/>
          </w:tcPr>
          <w:p w14:paraId="40E39B0D" w14:textId="77777777" w:rsidR="004C4C39" w:rsidRPr="00A32EED" w:rsidRDefault="004C4C39" w:rsidP="004C4C39">
            <w:pPr>
              <w:rPr>
                <w:rFonts w:eastAsia="Calibri" w:cs="Arial"/>
                <w:sz w:val="22"/>
                <w:szCs w:val="22"/>
              </w:rPr>
            </w:pPr>
          </w:p>
        </w:tc>
        <w:tc>
          <w:tcPr>
            <w:tcW w:w="1414" w:type="pct"/>
          </w:tcPr>
          <w:p w14:paraId="76C01677"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Yes</w:t>
            </w:r>
          </w:p>
        </w:tc>
        <w:tc>
          <w:tcPr>
            <w:tcW w:w="922" w:type="pct"/>
            <w:gridSpan w:val="2"/>
          </w:tcPr>
          <w:p w14:paraId="422ABDC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7CBF608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875</w:t>
            </w:r>
          </w:p>
        </w:tc>
        <w:tc>
          <w:tcPr>
            <w:tcW w:w="605" w:type="pct"/>
            <w:gridSpan w:val="2"/>
          </w:tcPr>
          <w:p w14:paraId="54E6B75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29.57</w:t>
            </w:r>
          </w:p>
        </w:tc>
        <w:tc>
          <w:tcPr>
            <w:tcW w:w="504" w:type="pct"/>
          </w:tcPr>
          <w:p w14:paraId="32155E1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536</w:t>
            </w:r>
          </w:p>
        </w:tc>
        <w:tc>
          <w:tcPr>
            <w:tcW w:w="641" w:type="pct"/>
          </w:tcPr>
          <w:p w14:paraId="78C7D3D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30.33</w:t>
            </w:r>
          </w:p>
        </w:tc>
      </w:tr>
      <w:tr w:rsidR="008A40F5" w:rsidRPr="00A32EED" w14:paraId="69230877" w14:textId="77777777" w:rsidTr="008A40F5">
        <w:trPr>
          <w:trHeight w:val="509"/>
        </w:trPr>
        <w:tc>
          <w:tcPr>
            <w:cnfStyle w:val="001000000000" w:firstRow="0" w:lastRow="0" w:firstColumn="1" w:lastColumn="0" w:oddVBand="0" w:evenVBand="0" w:oddHBand="0" w:evenHBand="0" w:firstRowFirstColumn="0" w:firstRowLastColumn="0" w:lastRowFirstColumn="0" w:lastRowLastColumn="0"/>
            <w:tcW w:w="1866" w:type="pct"/>
            <w:gridSpan w:val="2"/>
          </w:tcPr>
          <w:p w14:paraId="5F6F17BD" w14:textId="77777777" w:rsidR="004C4C39" w:rsidRPr="00A32EED" w:rsidRDefault="004C4C39" w:rsidP="004C4C39">
            <w:pPr>
              <w:rPr>
                <w:rFonts w:eastAsia="Calibri" w:cs="Arial"/>
                <w:sz w:val="22"/>
                <w:szCs w:val="22"/>
              </w:rPr>
            </w:pPr>
            <w:r w:rsidRPr="00A32EED">
              <w:rPr>
                <w:rFonts w:eastAsia="Calibri" w:cs="Arial"/>
                <w:sz w:val="22"/>
                <w:szCs w:val="22"/>
              </w:rPr>
              <w:t>Case Substantiated (n=1,172)</w:t>
            </w:r>
          </w:p>
        </w:tc>
        <w:tc>
          <w:tcPr>
            <w:tcW w:w="922" w:type="pct"/>
            <w:gridSpan w:val="2"/>
          </w:tcPr>
          <w:p w14:paraId="43EE9EA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0.00</w:t>
            </w:r>
          </w:p>
        </w:tc>
        <w:tc>
          <w:tcPr>
            <w:tcW w:w="461" w:type="pct"/>
          </w:tcPr>
          <w:p w14:paraId="3449433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05" w:type="pct"/>
            <w:gridSpan w:val="2"/>
          </w:tcPr>
          <w:p w14:paraId="79A4409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c>
          <w:tcPr>
            <w:tcW w:w="504" w:type="pct"/>
          </w:tcPr>
          <w:p w14:paraId="2D4EAFC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41" w:type="pct"/>
          </w:tcPr>
          <w:p w14:paraId="3EB9634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r>
      <w:tr w:rsidR="008A40F5" w:rsidRPr="00A32EED" w14:paraId="38A004E1"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52" w:type="pct"/>
          </w:tcPr>
          <w:p w14:paraId="00089D5E" w14:textId="77777777" w:rsidR="004C4C39" w:rsidRPr="00A32EED" w:rsidRDefault="004C4C39" w:rsidP="004C4C39">
            <w:pPr>
              <w:rPr>
                <w:rFonts w:eastAsia="Calibri" w:cs="Arial"/>
                <w:sz w:val="22"/>
                <w:szCs w:val="22"/>
              </w:rPr>
            </w:pPr>
          </w:p>
        </w:tc>
        <w:tc>
          <w:tcPr>
            <w:tcW w:w="1414" w:type="pct"/>
          </w:tcPr>
          <w:p w14:paraId="6589D45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No</w:t>
            </w:r>
          </w:p>
        </w:tc>
        <w:tc>
          <w:tcPr>
            <w:tcW w:w="922" w:type="pct"/>
            <w:gridSpan w:val="2"/>
          </w:tcPr>
          <w:p w14:paraId="73A432D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7D3E9D9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452</w:t>
            </w:r>
          </w:p>
        </w:tc>
        <w:tc>
          <w:tcPr>
            <w:tcW w:w="605" w:type="pct"/>
            <w:gridSpan w:val="2"/>
          </w:tcPr>
          <w:p w14:paraId="6631B60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69.90</w:t>
            </w:r>
          </w:p>
        </w:tc>
        <w:tc>
          <w:tcPr>
            <w:tcW w:w="504" w:type="pct"/>
          </w:tcPr>
          <w:p w14:paraId="1C2004B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296</w:t>
            </w:r>
          </w:p>
        </w:tc>
        <w:tc>
          <w:tcPr>
            <w:tcW w:w="641" w:type="pct"/>
          </w:tcPr>
          <w:p w14:paraId="13622E8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69.06</w:t>
            </w:r>
          </w:p>
        </w:tc>
      </w:tr>
      <w:tr w:rsidR="008A40F5" w:rsidRPr="00A32EED" w14:paraId="3C2FEE5A" w14:textId="77777777" w:rsidTr="008A40F5">
        <w:trPr>
          <w:trHeight w:val="263"/>
        </w:trPr>
        <w:tc>
          <w:tcPr>
            <w:cnfStyle w:val="001000000000" w:firstRow="0" w:lastRow="0" w:firstColumn="1" w:lastColumn="0" w:oddVBand="0" w:evenVBand="0" w:oddHBand="0" w:evenHBand="0" w:firstRowFirstColumn="0" w:firstRowLastColumn="0" w:lastRowFirstColumn="0" w:lastRowLastColumn="0"/>
            <w:tcW w:w="452" w:type="pct"/>
          </w:tcPr>
          <w:p w14:paraId="6DE7EDAC" w14:textId="77777777" w:rsidR="004C4C39" w:rsidRPr="00A32EED" w:rsidRDefault="004C4C39" w:rsidP="004C4C39">
            <w:pPr>
              <w:rPr>
                <w:rFonts w:eastAsia="Calibri" w:cs="Arial"/>
                <w:sz w:val="22"/>
                <w:szCs w:val="22"/>
              </w:rPr>
            </w:pPr>
          </w:p>
        </w:tc>
        <w:tc>
          <w:tcPr>
            <w:tcW w:w="1414" w:type="pct"/>
          </w:tcPr>
          <w:p w14:paraId="7595D9B1"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Yes</w:t>
            </w:r>
          </w:p>
        </w:tc>
        <w:tc>
          <w:tcPr>
            <w:tcW w:w="922" w:type="pct"/>
            <w:gridSpan w:val="2"/>
          </w:tcPr>
          <w:p w14:paraId="10CD3F0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2CF7E6C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720</w:t>
            </w:r>
          </w:p>
        </w:tc>
        <w:tc>
          <w:tcPr>
            <w:tcW w:w="605" w:type="pct"/>
            <w:gridSpan w:val="2"/>
          </w:tcPr>
          <w:p w14:paraId="3D5C539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30.10</w:t>
            </w:r>
          </w:p>
        </w:tc>
        <w:tc>
          <w:tcPr>
            <w:tcW w:w="504" w:type="pct"/>
          </w:tcPr>
          <w:p w14:paraId="19FF29F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443</w:t>
            </w:r>
          </w:p>
        </w:tc>
        <w:tc>
          <w:tcPr>
            <w:tcW w:w="641" w:type="pct"/>
          </w:tcPr>
          <w:p w14:paraId="6CF989F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30.94</w:t>
            </w:r>
          </w:p>
        </w:tc>
      </w:tr>
      <w:tr w:rsidR="008A40F5" w:rsidRPr="00A32EED" w14:paraId="272938E9" w14:textId="77777777" w:rsidTr="008A40F5">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866" w:type="pct"/>
            <w:gridSpan w:val="2"/>
          </w:tcPr>
          <w:p w14:paraId="15D7D022" w14:textId="77777777" w:rsidR="004C4C39" w:rsidRPr="00A32EED" w:rsidRDefault="004C4C39" w:rsidP="004C4C39">
            <w:pPr>
              <w:rPr>
                <w:rFonts w:eastAsia="Calibri" w:cs="Arial"/>
                <w:sz w:val="22"/>
                <w:szCs w:val="22"/>
              </w:rPr>
            </w:pPr>
            <w:r w:rsidRPr="00A32EED">
              <w:rPr>
                <w:rFonts w:eastAsia="Calibri" w:cs="Arial"/>
                <w:sz w:val="22"/>
                <w:szCs w:val="22"/>
              </w:rPr>
              <w:t>At least 2 Maltreatments at Baseline (n=1,087)</w:t>
            </w:r>
          </w:p>
        </w:tc>
        <w:tc>
          <w:tcPr>
            <w:tcW w:w="922" w:type="pct"/>
            <w:gridSpan w:val="2"/>
          </w:tcPr>
          <w:p w14:paraId="13586F3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85(6.40)</w:t>
            </w:r>
          </w:p>
        </w:tc>
        <w:tc>
          <w:tcPr>
            <w:tcW w:w="461" w:type="pct"/>
          </w:tcPr>
          <w:p w14:paraId="42B0243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605" w:type="pct"/>
            <w:gridSpan w:val="2"/>
          </w:tcPr>
          <w:p w14:paraId="7A694C0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p>
        </w:tc>
        <w:tc>
          <w:tcPr>
            <w:tcW w:w="504" w:type="pct"/>
          </w:tcPr>
          <w:p w14:paraId="3495CB4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641" w:type="pct"/>
          </w:tcPr>
          <w:p w14:paraId="71A3776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p>
        </w:tc>
      </w:tr>
      <w:tr w:rsidR="008A40F5" w:rsidRPr="00A32EED" w14:paraId="50E3BC3B" w14:textId="77777777" w:rsidTr="008A40F5">
        <w:trPr>
          <w:trHeight w:val="263"/>
        </w:trPr>
        <w:tc>
          <w:tcPr>
            <w:cnfStyle w:val="001000000000" w:firstRow="0" w:lastRow="0" w:firstColumn="1" w:lastColumn="0" w:oddVBand="0" w:evenVBand="0" w:oddHBand="0" w:evenHBand="0" w:firstRowFirstColumn="0" w:firstRowLastColumn="0" w:lastRowFirstColumn="0" w:lastRowLastColumn="0"/>
            <w:tcW w:w="452" w:type="pct"/>
          </w:tcPr>
          <w:p w14:paraId="737911FE" w14:textId="77777777" w:rsidR="004C4C39" w:rsidRPr="00A32EED" w:rsidRDefault="004C4C39" w:rsidP="004C4C39">
            <w:pPr>
              <w:rPr>
                <w:rFonts w:eastAsia="Calibri" w:cs="Arial"/>
                <w:sz w:val="22"/>
                <w:szCs w:val="22"/>
              </w:rPr>
            </w:pPr>
          </w:p>
        </w:tc>
        <w:tc>
          <w:tcPr>
            <w:tcW w:w="1414" w:type="pct"/>
          </w:tcPr>
          <w:p w14:paraId="06B424D4"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No</w:t>
            </w:r>
          </w:p>
        </w:tc>
        <w:tc>
          <w:tcPr>
            <w:tcW w:w="922" w:type="pct"/>
            <w:gridSpan w:val="2"/>
          </w:tcPr>
          <w:p w14:paraId="47F58DB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32498D6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719</w:t>
            </w:r>
          </w:p>
        </w:tc>
        <w:tc>
          <w:tcPr>
            <w:tcW w:w="605" w:type="pct"/>
            <w:gridSpan w:val="2"/>
          </w:tcPr>
          <w:p w14:paraId="4AC1800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73.18</w:t>
            </w:r>
          </w:p>
        </w:tc>
        <w:tc>
          <w:tcPr>
            <w:tcW w:w="504" w:type="pct"/>
          </w:tcPr>
          <w:p w14:paraId="7C5A6D4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488</w:t>
            </w:r>
          </w:p>
        </w:tc>
        <w:tc>
          <w:tcPr>
            <w:tcW w:w="641" w:type="pct"/>
          </w:tcPr>
          <w:p w14:paraId="3420297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72.16</w:t>
            </w:r>
          </w:p>
        </w:tc>
      </w:tr>
      <w:tr w:rsidR="008A40F5" w:rsidRPr="00A32EED" w14:paraId="64F280BA"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52" w:type="pct"/>
          </w:tcPr>
          <w:p w14:paraId="4BB902E4" w14:textId="77777777" w:rsidR="004C4C39" w:rsidRPr="00A32EED" w:rsidRDefault="004C4C39" w:rsidP="004C4C39">
            <w:pPr>
              <w:rPr>
                <w:rFonts w:eastAsia="Calibri" w:cs="Arial"/>
                <w:sz w:val="22"/>
                <w:szCs w:val="22"/>
              </w:rPr>
            </w:pPr>
          </w:p>
        </w:tc>
        <w:tc>
          <w:tcPr>
            <w:tcW w:w="1414" w:type="pct"/>
          </w:tcPr>
          <w:p w14:paraId="13B0CE6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Yes</w:t>
            </w:r>
          </w:p>
        </w:tc>
        <w:tc>
          <w:tcPr>
            <w:tcW w:w="922" w:type="pct"/>
            <w:gridSpan w:val="2"/>
          </w:tcPr>
          <w:p w14:paraId="00EB1CA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56B65D2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368</w:t>
            </w:r>
          </w:p>
        </w:tc>
        <w:tc>
          <w:tcPr>
            <w:tcW w:w="605" w:type="pct"/>
            <w:gridSpan w:val="2"/>
          </w:tcPr>
          <w:p w14:paraId="2D21578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26.82</w:t>
            </w:r>
          </w:p>
        </w:tc>
        <w:tc>
          <w:tcPr>
            <w:tcW w:w="504" w:type="pct"/>
          </w:tcPr>
          <w:p w14:paraId="73277C4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251</w:t>
            </w:r>
          </w:p>
        </w:tc>
        <w:tc>
          <w:tcPr>
            <w:tcW w:w="641" w:type="pct"/>
          </w:tcPr>
          <w:p w14:paraId="4CD6BBE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27.84</w:t>
            </w:r>
          </w:p>
        </w:tc>
      </w:tr>
      <w:tr w:rsidR="008A40F5" w:rsidRPr="00A32EED" w14:paraId="0BA1BF79" w14:textId="77777777" w:rsidTr="008A40F5">
        <w:trPr>
          <w:trHeight w:val="509"/>
        </w:trPr>
        <w:tc>
          <w:tcPr>
            <w:cnfStyle w:val="001000000000" w:firstRow="0" w:lastRow="0" w:firstColumn="1" w:lastColumn="0" w:oddVBand="0" w:evenVBand="0" w:oddHBand="0" w:evenHBand="0" w:firstRowFirstColumn="0" w:firstRowLastColumn="0" w:lastRowFirstColumn="0" w:lastRowLastColumn="0"/>
            <w:tcW w:w="1866" w:type="pct"/>
            <w:gridSpan w:val="2"/>
          </w:tcPr>
          <w:p w14:paraId="46413F2E" w14:textId="77777777" w:rsidR="004C4C39" w:rsidRPr="00A32EED" w:rsidRDefault="004C4C39" w:rsidP="004C4C39">
            <w:pPr>
              <w:rPr>
                <w:rFonts w:eastAsia="Calibri" w:cs="Arial"/>
                <w:sz w:val="22"/>
                <w:szCs w:val="22"/>
              </w:rPr>
            </w:pPr>
            <w:r w:rsidRPr="00A32EED">
              <w:rPr>
                <w:rFonts w:eastAsia="Calibri" w:cs="Arial"/>
                <w:sz w:val="22"/>
                <w:szCs w:val="22"/>
              </w:rPr>
              <w:t>Previous Child Welfare Involvement (n=1,078)</w:t>
            </w:r>
          </w:p>
        </w:tc>
        <w:tc>
          <w:tcPr>
            <w:tcW w:w="922" w:type="pct"/>
            <w:gridSpan w:val="2"/>
          </w:tcPr>
          <w:p w14:paraId="502198D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94(7.2)</w:t>
            </w:r>
          </w:p>
        </w:tc>
        <w:tc>
          <w:tcPr>
            <w:tcW w:w="461" w:type="pct"/>
          </w:tcPr>
          <w:p w14:paraId="33F1FEE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05" w:type="pct"/>
            <w:gridSpan w:val="2"/>
          </w:tcPr>
          <w:p w14:paraId="65CC824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c>
          <w:tcPr>
            <w:tcW w:w="504" w:type="pct"/>
          </w:tcPr>
          <w:p w14:paraId="71AE33D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41" w:type="pct"/>
          </w:tcPr>
          <w:p w14:paraId="4307570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r>
      <w:tr w:rsidR="008A40F5" w:rsidRPr="00A32EED" w14:paraId="6A57B646"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52" w:type="pct"/>
          </w:tcPr>
          <w:p w14:paraId="573B2CF8" w14:textId="77777777" w:rsidR="004C4C39" w:rsidRPr="00A32EED" w:rsidRDefault="004C4C39" w:rsidP="004C4C39">
            <w:pPr>
              <w:rPr>
                <w:rFonts w:eastAsia="Calibri" w:cs="Arial"/>
                <w:sz w:val="22"/>
                <w:szCs w:val="22"/>
              </w:rPr>
            </w:pPr>
          </w:p>
        </w:tc>
        <w:tc>
          <w:tcPr>
            <w:tcW w:w="1414" w:type="pct"/>
          </w:tcPr>
          <w:p w14:paraId="1438FFC9"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No</w:t>
            </w:r>
          </w:p>
        </w:tc>
        <w:tc>
          <w:tcPr>
            <w:tcW w:w="922" w:type="pct"/>
            <w:gridSpan w:val="2"/>
          </w:tcPr>
          <w:p w14:paraId="69B985C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0D4D1EC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358</w:t>
            </w:r>
          </w:p>
        </w:tc>
        <w:tc>
          <w:tcPr>
            <w:tcW w:w="605" w:type="pct"/>
            <w:gridSpan w:val="2"/>
          </w:tcPr>
          <w:p w14:paraId="62A152D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38.93</w:t>
            </w:r>
          </w:p>
        </w:tc>
        <w:tc>
          <w:tcPr>
            <w:tcW w:w="504" w:type="pct"/>
          </w:tcPr>
          <w:p w14:paraId="61F4BB1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252</w:t>
            </w:r>
          </w:p>
        </w:tc>
        <w:tc>
          <w:tcPr>
            <w:tcW w:w="641" w:type="pct"/>
          </w:tcPr>
          <w:p w14:paraId="04B9E37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38.79</w:t>
            </w:r>
          </w:p>
        </w:tc>
      </w:tr>
      <w:tr w:rsidR="008A40F5" w:rsidRPr="00A32EED" w14:paraId="1C709B63" w14:textId="77777777" w:rsidTr="008A40F5">
        <w:trPr>
          <w:trHeight w:val="263"/>
        </w:trPr>
        <w:tc>
          <w:tcPr>
            <w:cnfStyle w:val="001000000000" w:firstRow="0" w:lastRow="0" w:firstColumn="1" w:lastColumn="0" w:oddVBand="0" w:evenVBand="0" w:oddHBand="0" w:evenHBand="0" w:firstRowFirstColumn="0" w:firstRowLastColumn="0" w:lastRowFirstColumn="0" w:lastRowLastColumn="0"/>
            <w:tcW w:w="452" w:type="pct"/>
          </w:tcPr>
          <w:p w14:paraId="41F8932A" w14:textId="77777777" w:rsidR="004C4C39" w:rsidRPr="00A32EED" w:rsidRDefault="004C4C39" w:rsidP="004C4C39">
            <w:pPr>
              <w:rPr>
                <w:rFonts w:eastAsia="Calibri" w:cs="Arial"/>
                <w:sz w:val="22"/>
                <w:szCs w:val="22"/>
              </w:rPr>
            </w:pPr>
          </w:p>
        </w:tc>
        <w:tc>
          <w:tcPr>
            <w:tcW w:w="1414" w:type="pct"/>
          </w:tcPr>
          <w:p w14:paraId="78329622"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Yes</w:t>
            </w:r>
          </w:p>
        </w:tc>
        <w:tc>
          <w:tcPr>
            <w:tcW w:w="922" w:type="pct"/>
            <w:gridSpan w:val="2"/>
          </w:tcPr>
          <w:p w14:paraId="47B69B6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43756ED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720</w:t>
            </w:r>
          </w:p>
        </w:tc>
        <w:tc>
          <w:tcPr>
            <w:tcW w:w="605" w:type="pct"/>
            <w:gridSpan w:val="2"/>
          </w:tcPr>
          <w:p w14:paraId="0B2A7B4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61.07</w:t>
            </w:r>
          </w:p>
        </w:tc>
        <w:tc>
          <w:tcPr>
            <w:tcW w:w="504" w:type="pct"/>
          </w:tcPr>
          <w:p w14:paraId="77C7798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487</w:t>
            </w:r>
          </w:p>
        </w:tc>
        <w:tc>
          <w:tcPr>
            <w:tcW w:w="641" w:type="pct"/>
          </w:tcPr>
          <w:p w14:paraId="3A8F099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szCs w:val="22"/>
              </w:rPr>
              <w:t>61.21</w:t>
            </w:r>
          </w:p>
        </w:tc>
      </w:tr>
      <w:tr w:rsidR="008A40F5" w:rsidRPr="00A32EED" w14:paraId="35CB579F" w14:textId="77777777" w:rsidTr="008A40F5">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866" w:type="pct"/>
            <w:gridSpan w:val="2"/>
          </w:tcPr>
          <w:p w14:paraId="2705E628" w14:textId="77777777" w:rsidR="004C4C39" w:rsidRPr="00A32EED" w:rsidRDefault="004C4C39" w:rsidP="004C4C39">
            <w:pPr>
              <w:rPr>
                <w:rFonts w:eastAsia="Calibri" w:cs="Arial"/>
                <w:sz w:val="22"/>
                <w:szCs w:val="22"/>
              </w:rPr>
            </w:pPr>
            <w:r w:rsidRPr="00A32EED">
              <w:rPr>
                <w:rFonts w:eastAsia="Calibri" w:cs="Arial"/>
                <w:sz w:val="22"/>
                <w:szCs w:val="22"/>
              </w:rPr>
              <w:t>Baseline Placement (n=1,172)</w:t>
            </w:r>
          </w:p>
        </w:tc>
        <w:tc>
          <w:tcPr>
            <w:tcW w:w="922" w:type="pct"/>
            <w:gridSpan w:val="2"/>
          </w:tcPr>
          <w:p w14:paraId="285B410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0.00</w:t>
            </w:r>
          </w:p>
        </w:tc>
        <w:tc>
          <w:tcPr>
            <w:tcW w:w="461" w:type="pct"/>
          </w:tcPr>
          <w:p w14:paraId="4FDB9C9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605" w:type="pct"/>
            <w:gridSpan w:val="2"/>
          </w:tcPr>
          <w:p w14:paraId="371312E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p>
        </w:tc>
        <w:tc>
          <w:tcPr>
            <w:tcW w:w="504" w:type="pct"/>
          </w:tcPr>
          <w:p w14:paraId="71C96E7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641" w:type="pct"/>
          </w:tcPr>
          <w:p w14:paraId="57A0257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p>
        </w:tc>
      </w:tr>
      <w:tr w:rsidR="008A40F5" w:rsidRPr="00A32EED" w14:paraId="56568B1D" w14:textId="77777777" w:rsidTr="008A40F5">
        <w:trPr>
          <w:trHeight w:val="263"/>
        </w:trPr>
        <w:tc>
          <w:tcPr>
            <w:cnfStyle w:val="001000000000" w:firstRow="0" w:lastRow="0" w:firstColumn="1" w:lastColumn="0" w:oddVBand="0" w:evenVBand="0" w:oddHBand="0" w:evenHBand="0" w:firstRowFirstColumn="0" w:firstRowLastColumn="0" w:lastRowFirstColumn="0" w:lastRowLastColumn="0"/>
            <w:tcW w:w="452" w:type="pct"/>
          </w:tcPr>
          <w:p w14:paraId="54ED4A79" w14:textId="77777777" w:rsidR="004C4C39" w:rsidRPr="00A32EED" w:rsidRDefault="004C4C39" w:rsidP="004C4C39">
            <w:pPr>
              <w:rPr>
                <w:rFonts w:eastAsia="Calibri" w:cs="Arial"/>
                <w:sz w:val="22"/>
                <w:szCs w:val="22"/>
              </w:rPr>
            </w:pPr>
          </w:p>
        </w:tc>
        <w:tc>
          <w:tcPr>
            <w:tcW w:w="1414" w:type="pct"/>
          </w:tcPr>
          <w:p w14:paraId="2E4EEA63"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 xml:space="preserve">In Home </w:t>
            </w:r>
          </w:p>
        </w:tc>
        <w:tc>
          <w:tcPr>
            <w:tcW w:w="922" w:type="pct"/>
            <w:gridSpan w:val="2"/>
          </w:tcPr>
          <w:p w14:paraId="2482970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40E9CBA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rPr>
              <w:t>864</w:t>
            </w:r>
          </w:p>
        </w:tc>
        <w:tc>
          <w:tcPr>
            <w:tcW w:w="605" w:type="pct"/>
            <w:gridSpan w:val="2"/>
          </w:tcPr>
          <w:p w14:paraId="643792A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rPr>
              <w:t>87.37</w:t>
            </w:r>
          </w:p>
        </w:tc>
        <w:tc>
          <w:tcPr>
            <w:tcW w:w="504" w:type="pct"/>
          </w:tcPr>
          <w:p w14:paraId="4301CC3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rPr>
              <w:t>546</w:t>
            </w:r>
          </w:p>
        </w:tc>
        <w:tc>
          <w:tcPr>
            <w:tcW w:w="641" w:type="pct"/>
          </w:tcPr>
          <w:p w14:paraId="3705032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rPr>
              <w:t>87.04</w:t>
            </w:r>
          </w:p>
        </w:tc>
      </w:tr>
      <w:tr w:rsidR="008A40F5" w:rsidRPr="00A32EED" w14:paraId="69C023C5"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52" w:type="pct"/>
          </w:tcPr>
          <w:p w14:paraId="5123CE39" w14:textId="77777777" w:rsidR="004C4C39" w:rsidRPr="00A32EED" w:rsidRDefault="004C4C39" w:rsidP="004C4C39">
            <w:pPr>
              <w:rPr>
                <w:rFonts w:eastAsia="Calibri" w:cs="Arial"/>
                <w:sz w:val="22"/>
                <w:szCs w:val="22"/>
              </w:rPr>
            </w:pPr>
          </w:p>
        </w:tc>
        <w:tc>
          <w:tcPr>
            <w:tcW w:w="1414" w:type="pct"/>
          </w:tcPr>
          <w:p w14:paraId="65AB2FC1"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 xml:space="preserve">Kinship Care </w:t>
            </w:r>
          </w:p>
        </w:tc>
        <w:tc>
          <w:tcPr>
            <w:tcW w:w="922" w:type="pct"/>
            <w:gridSpan w:val="2"/>
          </w:tcPr>
          <w:p w14:paraId="7353F12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7657508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rPr>
              <w:t>118</w:t>
            </w:r>
          </w:p>
        </w:tc>
        <w:tc>
          <w:tcPr>
            <w:tcW w:w="605" w:type="pct"/>
            <w:gridSpan w:val="2"/>
          </w:tcPr>
          <w:p w14:paraId="0EB9A33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rPr>
              <w:t>4.93</w:t>
            </w:r>
          </w:p>
        </w:tc>
        <w:tc>
          <w:tcPr>
            <w:tcW w:w="504" w:type="pct"/>
          </w:tcPr>
          <w:p w14:paraId="02B729C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rPr>
              <w:t>71</w:t>
            </w:r>
          </w:p>
        </w:tc>
        <w:tc>
          <w:tcPr>
            <w:tcW w:w="641" w:type="pct"/>
          </w:tcPr>
          <w:p w14:paraId="47CB9FD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rPr>
              <w:t>5.16</w:t>
            </w:r>
          </w:p>
        </w:tc>
      </w:tr>
      <w:tr w:rsidR="008A40F5" w:rsidRPr="00A32EED" w14:paraId="49A333CF" w14:textId="77777777" w:rsidTr="008A40F5">
        <w:trPr>
          <w:trHeight w:val="244"/>
        </w:trPr>
        <w:tc>
          <w:tcPr>
            <w:cnfStyle w:val="001000000000" w:firstRow="0" w:lastRow="0" w:firstColumn="1" w:lastColumn="0" w:oddVBand="0" w:evenVBand="0" w:oddHBand="0" w:evenHBand="0" w:firstRowFirstColumn="0" w:firstRowLastColumn="0" w:lastRowFirstColumn="0" w:lastRowLastColumn="0"/>
            <w:tcW w:w="452" w:type="pct"/>
          </w:tcPr>
          <w:p w14:paraId="0B29288B" w14:textId="77777777" w:rsidR="004C4C39" w:rsidRPr="00A32EED" w:rsidRDefault="004C4C39" w:rsidP="004C4C39">
            <w:pPr>
              <w:rPr>
                <w:rFonts w:eastAsia="Calibri" w:cs="Arial"/>
                <w:sz w:val="22"/>
                <w:szCs w:val="22"/>
              </w:rPr>
            </w:pPr>
          </w:p>
        </w:tc>
        <w:tc>
          <w:tcPr>
            <w:tcW w:w="1414" w:type="pct"/>
          </w:tcPr>
          <w:p w14:paraId="45050628"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Foster Home</w:t>
            </w:r>
          </w:p>
        </w:tc>
        <w:tc>
          <w:tcPr>
            <w:tcW w:w="922" w:type="pct"/>
            <w:gridSpan w:val="2"/>
          </w:tcPr>
          <w:p w14:paraId="6CCA061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1D57BCB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rPr>
              <w:t>124</w:t>
            </w:r>
          </w:p>
        </w:tc>
        <w:tc>
          <w:tcPr>
            <w:tcW w:w="605" w:type="pct"/>
            <w:gridSpan w:val="2"/>
          </w:tcPr>
          <w:p w14:paraId="49EF090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rPr>
              <w:t>3.83</w:t>
            </w:r>
          </w:p>
        </w:tc>
        <w:tc>
          <w:tcPr>
            <w:tcW w:w="504" w:type="pct"/>
          </w:tcPr>
          <w:p w14:paraId="723B126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rPr>
              <w:t>81</w:t>
            </w:r>
          </w:p>
        </w:tc>
        <w:tc>
          <w:tcPr>
            <w:tcW w:w="641" w:type="pct"/>
          </w:tcPr>
          <w:p w14:paraId="5F3D318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bCs/>
                <w:sz w:val="22"/>
              </w:rPr>
              <w:t>4.10</w:t>
            </w:r>
          </w:p>
        </w:tc>
      </w:tr>
      <w:tr w:rsidR="008A40F5" w:rsidRPr="00A32EED" w14:paraId="710D600F" w14:textId="77777777" w:rsidTr="008A40F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52" w:type="pct"/>
          </w:tcPr>
          <w:p w14:paraId="15076584" w14:textId="77777777" w:rsidR="004C4C39" w:rsidRPr="00A32EED" w:rsidRDefault="004C4C39" w:rsidP="004C4C39">
            <w:pPr>
              <w:rPr>
                <w:rFonts w:eastAsia="Calibri" w:cs="Arial"/>
                <w:sz w:val="22"/>
                <w:szCs w:val="22"/>
              </w:rPr>
            </w:pPr>
          </w:p>
        </w:tc>
        <w:tc>
          <w:tcPr>
            <w:tcW w:w="1414" w:type="pct"/>
          </w:tcPr>
          <w:p w14:paraId="57CE4035"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Group Home/ Other</w:t>
            </w:r>
          </w:p>
        </w:tc>
        <w:tc>
          <w:tcPr>
            <w:tcW w:w="922" w:type="pct"/>
            <w:gridSpan w:val="2"/>
          </w:tcPr>
          <w:p w14:paraId="1E82277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0231D86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rPr>
              <w:t>66</w:t>
            </w:r>
          </w:p>
        </w:tc>
        <w:tc>
          <w:tcPr>
            <w:tcW w:w="605" w:type="pct"/>
            <w:gridSpan w:val="2"/>
          </w:tcPr>
          <w:p w14:paraId="4D46BF4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rPr>
              <w:t>3.87</w:t>
            </w:r>
          </w:p>
        </w:tc>
        <w:tc>
          <w:tcPr>
            <w:tcW w:w="504" w:type="pct"/>
          </w:tcPr>
          <w:p w14:paraId="2E24EFE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rPr>
              <w:t>41</w:t>
            </w:r>
          </w:p>
        </w:tc>
        <w:tc>
          <w:tcPr>
            <w:tcW w:w="641" w:type="pct"/>
          </w:tcPr>
          <w:p w14:paraId="5A14F52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bCs/>
                <w:sz w:val="22"/>
              </w:rPr>
              <w:t>3.69</w:t>
            </w:r>
          </w:p>
        </w:tc>
      </w:tr>
      <w:tr w:rsidR="008A40F5" w:rsidRPr="00A32EED" w14:paraId="67839C01" w14:textId="77777777" w:rsidTr="008A40F5">
        <w:trPr>
          <w:trHeight w:val="490"/>
        </w:trPr>
        <w:tc>
          <w:tcPr>
            <w:cnfStyle w:val="001000000000" w:firstRow="0" w:lastRow="0" w:firstColumn="1" w:lastColumn="0" w:oddVBand="0" w:evenVBand="0" w:oddHBand="0" w:evenHBand="0" w:firstRowFirstColumn="0" w:firstRowLastColumn="0" w:lastRowFirstColumn="0" w:lastRowLastColumn="0"/>
            <w:tcW w:w="1866" w:type="pct"/>
            <w:gridSpan w:val="2"/>
          </w:tcPr>
          <w:p w14:paraId="292B1490" w14:textId="77777777" w:rsidR="004C4C39" w:rsidRPr="00A32EED" w:rsidRDefault="004C4C39" w:rsidP="004C4C39">
            <w:pPr>
              <w:rPr>
                <w:rFonts w:eastAsia="Calibri" w:cs="Arial"/>
                <w:sz w:val="22"/>
                <w:szCs w:val="22"/>
              </w:rPr>
            </w:pPr>
            <w:r w:rsidRPr="00A32EED">
              <w:rPr>
                <w:rFonts w:eastAsia="Calibri" w:cs="Arial"/>
                <w:sz w:val="22"/>
                <w:szCs w:val="22"/>
              </w:rPr>
              <w:t>Most Severe Maltreatment (n=1,084)</w:t>
            </w:r>
          </w:p>
        </w:tc>
        <w:tc>
          <w:tcPr>
            <w:tcW w:w="922" w:type="pct"/>
            <w:gridSpan w:val="2"/>
          </w:tcPr>
          <w:p w14:paraId="74C0AE8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88(6.48)</w:t>
            </w:r>
          </w:p>
        </w:tc>
        <w:tc>
          <w:tcPr>
            <w:tcW w:w="461" w:type="pct"/>
          </w:tcPr>
          <w:p w14:paraId="1EF55A0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05" w:type="pct"/>
            <w:gridSpan w:val="2"/>
          </w:tcPr>
          <w:p w14:paraId="458C5DE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c>
          <w:tcPr>
            <w:tcW w:w="504" w:type="pct"/>
          </w:tcPr>
          <w:p w14:paraId="34FAE45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641" w:type="pct"/>
          </w:tcPr>
          <w:p w14:paraId="1817E39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r>
      <w:tr w:rsidR="008A40F5" w:rsidRPr="00A32EED" w14:paraId="574FB9B9" w14:textId="77777777" w:rsidTr="008A40F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52" w:type="pct"/>
          </w:tcPr>
          <w:p w14:paraId="3F04C561" w14:textId="77777777" w:rsidR="004C4C39" w:rsidRPr="00A32EED" w:rsidRDefault="004C4C39" w:rsidP="004C4C39">
            <w:pPr>
              <w:rPr>
                <w:rFonts w:eastAsia="Calibri" w:cs="Arial"/>
                <w:sz w:val="22"/>
                <w:szCs w:val="22"/>
              </w:rPr>
            </w:pPr>
          </w:p>
        </w:tc>
        <w:tc>
          <w:tcPr>
            <w:tcW w:w="1414" w:type="pct"/>
          </w:tcPr>
          <w:p w14:paraId="3514ED1C"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Physical Abuse</w:t>
            </w:r>
          </w:p>
        </w:tc>
        <w:tc>
          <w:tcPr>
            <w:tcW w:w="922" w:type="pct"/>
            <w:gridSpan w:val="2"/>
          </w:tcPr>
          <w:p w14:paraId="7ED920F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6AD27CB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294</w:t>
            </w:r>
          </w:p>
        </w:tc>
        <w:tc>
          <w:tcPr>
            <w:tcW w:w="605" w:type="pct"/>
            <w:gridSpan w:val="2"/>
          </w:tcPr>
          <w:p w14:paraId="28087D2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sz w:val="22"/>
                <w:szCs w:val="22"/>
              </w:rPr>
              <w:t>31.75</w:t>
            </w:r>
          </w:p>
        </w:tc>
        <w:tc>
          <w:tcPr>
            <w:tcW w:w="504" w:type="pct"/>
          </w:tcPr>
          <w:p w14:paraId="68B561C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200</w:t>
            </w:r>
          </w:p>
        </w:tc>
        <w:tc>
          <w:tcPr>
            <w:tcW w:w="641" w:type="pct"/>
          </w:tcPr>
          <w:p w14:paraId="11752D1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sz w:val="22"/>
                <w:szCs w:val="22"/>
              </w:rPr>
              <w:t>30.55</w:t>
            </w:r>
          </w:p>
        </w:tc>
      </w:tr>
      <w:tr w:rsidR="008A40F5" w:rsidRPr="00A32EED" w14:paraId="04224FFF" w14:textId="77777777" w:rsidTr="008A40F5">
        <w:trPr>
          <w:trHeight w:val="244"/>
        </w:trPr>
        <w:tc>
          <w:tcPr>
            <w:cnfStyle w:val="001000000000" w:firstRow="0" w:lastRow="0" w:firstColumn="1" w:lastColumn="0" w:oddVBand="0" w:evenVBand="0" w:oddHBand="0" w:evenHBand="0" w:firstRowFirstColumn="0" w:firstRowLastColumn="0" w:lastRowFirstColumn="0" w:lastRowLastColumn="0"/>
            <w:tcW w:w="452" w:type="pct"/>
          </w:tcPr>
          <w:p w14:paraId="2894DD67" w14:textId="77777777" w:rsidR="004C4C39" w:rsidRPr="00A32EED" w:rsidRDefault="004C4C39" w:rsidP="004C4C39">
            <w:pPr>
              <w:rPr>
                <w:rFonts w:eastAsia="Calibri" w:cs="Arial"/>
                <w:sz w:val="22"/>
                <w:szCs w:val="22"/>
              </w:rPr>
            </w:pPr>
          </w:p>
        </w:tc>
        <w:tc>
          <w:tcPr>
            <w:tcW w:w="1414" w:type="pct"/>
          </w:tcPr>
          <w:p w14:paraId="71FE812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Neglect</w:t>
            </w:r>
          </w:p>
        </w:tc>
        <w:tc>
          <w:tcPr>
            <w:tcW w:w="922" w:type="pct"/>
            <w:gridSpan w:val="2"/>
          </w:tcPr>
          <w:p w14:paraId="4BAE5D2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7B37CDC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453</w:t>
            </w:r>
          </w:p>
        </w:tc>
        <w:tc>
          <w:tcPr>
            <w:tcW w:w="605" w:type="pct"/>
            <w:gridSpan w:val="2"/>
          </w:tcPr>
          <w:p w14:paraId="26DDF86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sz w:val="22"/>
                <w:szCs w:val="22"/>
              </w:rPr>
              <w:t>44.49</w:t>
            </w:r>
          </w:p>
        </w:tc>
        <w:tc>
          <w:tcPr>
            <w:tcW w:w="504" w:type="pct"/>
          </w:tcPr>
          <w:p w14:paraId="2C8F486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298</w:t>
            </w:r>
          </w:p>
        </w:tc>
        <w:tc>
          <w:tcPr>
            <w:tcW w:w="641" w:type="pct"/>
          </w:tcPr>
          <w:p w14:paraId="0FD89D9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sz w:val="22"/>
                <w:szCs w:val="22"/>
              </w:rPr>
              <w:t>43.02</w:t>
            </w:r>
          </w:p>
        </w:tc>
      </w:tr>
      <w:tr w:rsidR="008A40F5" w:rsidRPr="00A32EED" w14:paraId="535C66DE" w14:textId="77777777" w:rsidTr="008A40F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52" w:type="pct"/>
          </w:tcPr>
          <w:p w14:paraId="3363AE92" w14:textId="77777777" w:rsidR="004C4C39" w:rsidRPr="00A32EED" w:rsidRDefault="004C4C39" w:rsidP="004C4C39">
            <w:pPr>
              <w:rPr>
                <w:rFonts w:eastAsia="Calibri" w:cs="Arial"/>
                <w:sz w:val="22"/>
                <w:szCs w:val="22"/>
              </w:rPr>
            </w:pPr>
          </w:p>
        </w:tc>
        <w:tc>
          <w:tcPr>
            <w:tcW w:w="1414" w:type="pct"/>
          </w:tcPr>
          <w:p w14:paraId="122CF514"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Sexual Abuse</w:t>
            </w:r>
          </w:p>
        </w:tc>
        <w:tc>
          <w:tcPr>
            <w:tcW w:w="922" w:type="pct"/>
            <w:gridSpan w:val="2"/>
          </w:tcPr>
          <w:p w14:paraId="61C2B22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461" w:type="pct"/>
          </w:tcPr>
          <w:p w14:paraId="0539F46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214</w:t>
            </w:r>
          </w:p>
        </w:tc>
        <w:tc>
          <w:tcPr>
            <w:tcW w:w="605" w:type="pct"/>
            <w:gridSpan w:val="2"/>
          </w:tcPr>
          <w:p w14:paraId="1B62435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sz w:val="22"/>
                <w:szCs w:val="22"/>
              </w:rPr>
              <w:t>12.19</w:t>
            </w:r>
          </w:p>
        </w:tc>
        <w:tc>
          <w:tcPr>
            <w:tcW w:w="504" w:type="pct"/>
          </w:tcPr>
          <w:p w14:paraId="23BE9A0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149</w:t>
            </w:r>
          </w:p>
        </w:tc>
        <w:tc>
          <w:tcPr>
            <w:tcW w:w="641" w:type="pct"/>
          </w:tcPr>
          <w:p w14:paraId="6228D41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A32EED">
              <w:rPr>
                <w:rFonts w:eastAsia="Times New Roman" w:cs="Arial"/>
                <w:b/>
                <w:sz w:val="22"/>
                <w:szCs w:val="22"/>
              </w:rPr>
              <w:t>12.43</w:t>
            </w:r>
          </w:p>
        </w:tc>
      </w:tr>
      <w:tr w:rsidR="008A40F5" w:rsidRPr="00A32EED" w14:paraId="2CC31D95" w14:textId="77777777" w:rsidTr="008A40F5">
        <w:trPr>
          <w:trHeight w:val="244"/>
        </w:trPr>
        <w:tc>
          <w:tcPr>
            <w:cnfStyle w:val="001000000000" w:firstRow="0" w:lastRow="0" w:firstColumn="1" w:lastColumn="0" w:oddVBand="0" w:evenVBand="0" w:oddHBand="0" w:evenHBand="0" w:firstRowFirstColumn="0" w:firstRowLastColumn="0" w:lastRowFirstColumn="0" w:lastRowLastColumn="0"/>
            <w:tcW w:w="452" w:type="pct"/>
          </w:tcPr>
          <w:p w14:paraId="1AE3328F" w14:textId="77777777" w:rsidR="004C4C39" w:rsidRPr="00A32EED" w:rsidRDefault="004C4C39" w:rsidP="004C4C39">
            <w:pPr>
              <w:rPr>
                <w:rFonts w:eastAsia="Calibri" w:cs="Arial"/>
                <w:sz w:val="22"/>
                <w:szCs w:val="22"/>
              </w:rPr>
            </w:pPr>
          </w:p>
        </w:tc>
        <w:tc>
          <w:tcPr>
            <w:tcW w:w="1414" w:type="pct"/>
          </w:tcPr>
          <w:p w14:paraId="19175E9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Other</w:t>
            </w:r>
          </w:p>
        </w:tc>
        <w:tc>
          <w:tcPr>
            <w:tcW w:w="922" w:type="pct"/>
            <w:gridSpan w:val="2"/>
          </w:tcPr>
          <w:p w14:paraId="3095452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461" w:type="pct"/>
          </w:tcPr>
          <w:p w14:paraId="698B227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123</w:t>
            </w:r>
          </w:p>
        </w:tc>
        <w:tc>
          <w:tcPr>
            <w:tcW w:w="605" w:type="pct"/>
            <w:gridSpan w:val="2"/>
          </w:tcPr>
          <w:p w14:paraId="19B610A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sz w:val="22"/>
                <w:szCs w:val="22"/>
              </w:rPr>
              <w:t>11.57</w:t>
            </w:r>
          </w:p>
        </w:tc>
        <w:tc>
          <w:tcPr>
            <w:tcW w:w="504" w:type="pct"/>
          </w:tcPr>
          <w:p w14:paraId="78A91C2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92</w:t>
            </w:r>
          </w:p>
        </w:tc>
        <w:tc>
          <w:tcPr>
            <w:tcW w:w="641" w:type="pct"/>
          </w:tcPr>
          <w:p w14:paraId="0AA9BCF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szCs w:val="22"/>
              </w:rPr>
            </w:pPr>
            <w:r w:rsidRPr="00A32EED">
              <w:rPr>
                <w:rFonts w:eastAsia="Times New Roman" w:cs="Arial"/>
                <w:b/>
                <w:sz w:val="22"/>
                <w:szCs w:val="22"/>
              </w:rPr>
              <w:t>14.00</w:t>
            </w:r>
          </w:p>
        </w:tc>
      </w:tr>
    </w:tbl>
    <w:p w14:paraId="5452AC67" w14:textId="77777777" w:rsidR="004C4C39" w:rsidRPr="00A32EED" w:rsidRDefault="004C4C39" w:rsidP="004C4C39">
      <w:pPr>
        <w:spacing w:after="0"/>
        <w:rPr>
          <w:rFonts w:eastAsia="Calibri"/>
          <w:color w:val="000000"/>
          <w:sz w:val="21"/>
        </w:rPr>
      </w:pPr>
      <w:r w:rsidRPr="00A32EED">
        <w:rPr>
          <w:rFonts w:eastAsia="Calibri"/>
          <w:color w:val="000000"/>
          <w:sz w:val="21"/>
        </w:rPr>
        <w:t>*Significant differences are bolded.</w:t>
      </w:r>
    </w:p>
    <w:p w14:paraId="02ACCC01" w14:textId="77777777" w:rsidR="004C4C39" w:rsidRPr="00A32EED" w:rsidRDefault="004C4C39" w:rsidP="004C4C39">
      <w:pPr>
        <w:spacing w:after="0"/>
        <w:rPr>
          <w:rFonts w:eastAsia="Calibri"/>
          <w:i/>
          <w:iCs/>
          <w:color w:val="000000"/>
          <w:szCs w:val="18"/>
        </w:rPr>
      </w:pPr>
      <w:r w:rsidRPr="00A32EED">
        <w:rPr>
          <w:rFonts w:eastAsia="Calibri"/>
        </w:rPr>
        <w:br w:type="page"/>
      </w:r>
    </w:p>
    <w:p w14:paraId="3A1AFB02" w14:textId="77777777" w:rsidR="004C4C39" w:rsidRPr="00A32EED" w:rsidRDefault="004C4C39" w:rsidP="0023176A">
      <w:pPr>
        <w:pStyle w:val="Caption1"/>
        <w:rPr>
          <w:rFonts w:eastAsia="Calibri"/>
        </w:rPr>
      </w:pPr>
      <w:bookmarkStart w:id="97" w:name="_Toc479941221"/>
      <w:r w:rsidRPr="00A32EED">
        <w:rPr>
          <w:rFonts w:eastAsia="Calibri"/>
        </w:rPr>
        <w:lastRenderedPageBreak/>
        <w:t>Table 5.2: Descriptive Statistics for 15-Year-Old and Early Sexual Initiation Samples</w:t>
      </w:r>
      <w:bookmarkEnd w:id="97"/>
    </w:p>
    <w:tbl>
      <w:tblPr>
        <w:tblStyle w:val="ListTable6Colorful1"/>
        <w:tblW w:w="8373" w:type="dxa"/>
        <w:tblLook w:val="04A0" w:firstRow="1" w:lastRow="0" w:firstColumn="1" w:lastColumn="0" w:noHBand="0" w:noVBand="1"/>
      </w:tblPr>
      <w:tblGrid>
        <w:gridCol w:w="1204"/>
        <w:gridCol w:w="1281"/>
        <w:gridCol w:w="817"/>
        <w:gridCol w:w="1004"/>
        <w:gridCol w:w="1123"/>
        <w:gridCol w:w="817"/>
        <w:gridCol w:w="1004"/>
        <w:gridCol w:w="1123"/>
      </w:tblGrid>
      <w:tr w:rsidR="004C4C39" w:rsidRPr="00A32EED" w14:paraId="3F6B8D1F" w14:textId="77777777" w:rsidTr="00866623">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204" w:type="dxa"/>
          </w:tcPr>
          <w:p w14:paraId="381C61DB" w14:textId="77777777" w:rsidR="004C4C39" w:rsidRPr="00A32EED" w:rsidRDefault="004C4C39" w:rsidP="004C4C39">
            <w:pPr>
              <w:rPr>
                <w:rFonts w:eastAsia="Calibri" w:cs="Arial"/>
              </w:rPr>
            </w:pPr>
          </w:p>
        </w:tc>
        <w:tc>
          <w:tcPr>
            <w:tcW w:w="4225" w:type="dxa"/>
            <w:gridSpan w:val="4"/>
          </w:tcPr>
          <w:p w14:paraId="33E2EF24"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15-Year-Old Sample (n=1,172)</w:t>
            </w:r>
          </w:p>
        </w:tc>
        <w:tc>
          <w:tcPr>
            <w:tcW w:w="2944" w:type="dxa"/>
            <w:gridSpan w:val="3"/>
          </w:tcPr>
          <w:p w14:paraId="23FD1717"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Early Initiation Model Sample (n=742)</w:t>
            </w:r>
          </w:p>
        </w:tc>
      </w:tr>
      <w:tr w:rsidR="00866623" w:rsidRPr="00A32EED" w14:paraId="08D0B2A7" w14:textId="77777777" w:rsidTr="00866623">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204" w:type="dxa"/>
          </w:tcPr>
          <w:p w14:paraId="1C11A7D8" w14:textId="77777777" w:rsidR="004C4C39" w:rsidRPr="00A32EED" w:rsidRDefault="004C4C39" w:rsidP="004C4C39">
            <w:pPr>
              <w:jc w:val="center"/>
              <w:rPr>
                <w:rFonts w:eastAsia="Calibri" w:cs="Arial"/>
              </w:rPr>
            </w:pPr>
          </w:p>
        </w:tc>
        <w:tc>
          <w:tcPr>
            <w:tcW w:w="1281" w:type="dxa"/>
          </w:tcPr>
          <w:p w14:paraId="6C60CB2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Missing (%)</w:t>
            </w:r>
          </w:p>
        </w:tc>
        <w:tc>
          <w:tcPr>
            <w:tcW w:w="817" w:type="dxa"/>
          </w:tcPr>
          <w:p w14:paraId="585F890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Mean</w:t>
            </w:r>
          </w:p>
        </w:tc>
        <w:tc>
          <w:tcPr>
            <w:tcW w:w="0" w:type="auto"/>
          </w:tcPr>
          <w:p w14:paraId="6418281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Median</w:t>
            </w:r>
          </w:p>
        </w:tc>
        <w:tc>
          <w:tcPr>
            <w:tcW w:w="1123" w:type="dxa"/>
          </w:tcPr>
          <w:p w14:paraId="0DC782D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Min/Max</w:t>
            </w:r>
          </w:p>
        </w:tc>
        <w:tc>
          <w:tcPr>
            <w:tcW w:w="817" w:type="dxa"/>
          </w:tcPr>
          <w:p w14:paraId="39F3C66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Mean</w:t>
            </w:r>
          </w:p>
        </w:tc>
        <w:tc>
          <w:tcPr>
            <w:tcW w:w="1004" w:type="dxa"/>
          </w:tcPr>
          <w:p w14:paraId="580E414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Median</w:t>
            </w:r>
          </w:p>
        </w:tc>
        <w:tc>
          <w:tcPr>
            <w:tcW w:w="1123" w:type="dxa"/>
          </w:tcPr>
          <w:p w14:paraId="35EAB93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Min/Max</w:t>
            </w:r>
          </w:p>
        </w:tc>
      </w:tr>
      <w:tr w:rsidR="00866623" w:rsidRPr="00A32EED" w14:paraId="31CBE12B" w14:textId="77777777" w:rsidTr="00866623">
        <w:trPr>
          <w:trHeight w:val="541"/>
        </w:trPr>
        <w:tc>
          <w:tcPr>
            <w:cnfStyle w:val="001000000000" w:firstRow="0" w:lastRow="0" w:firstColumn="1" w:lastColumn="0" w:oddVBand="0" w:evenVBand="0" w:oddHBand="0" w:evenHBand="0" w:firstRowFirstColumn="0" w:firstRowLastColumn="0" w:lastRowFirstColumn="0" w:lastRowLastColumn="0"/>
            <w:tcW w:w="1204" w:type="dxa"/>
          </w:tcPr>
          <w:p w14:paraId="49625635" w14:textId="77777777" w:rsidR="004C4C39" w:rsidRPr="00A32EED" w:rsidRDefault="004C4C39" w:rsidP="004C4C39">
            <w:pPr>
              <w:rPr>
                <w:rFonts w:eastAsia="Calibri" w:cs="Arial"/>
              </w:rPr>
            </w:pPr>
            <w:r w:rsidRPr="00A32EED">
              <w:rPr>
                <w:rFonts w:eastAsia="Calibri" w:cs="Arial"/>
              </w:rPr>
              <w:t>Age at Baseline</w:t>
            </w:r>
          </w:p>
        </w:tc>
        <w:tc>
          <w:tcPr>
            <w:tcW w:w="1281" w:type="dxa"/>
          </w:tcPr>
          <w:p w14:paraId="5C92092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0</w:t>
            </w:r>
          </w:p>
        </w:tc>
        <w:tc>
          <w:tcPr>
            <w:tcW w:w="817" w:type="dxa"/>
          </w:tcPr>
          <w:p w14:paraId="69768F4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11.52</w:t>
            </w:r>
          </w:p>
        </w:tc>
        <w:tc>
          <w:tcPr>
            <w:tcW w:w="0" w:type="auto"/>
          </w:tcPr>
          <w:p w14:paraId="0462D29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11</w:t>
            </w:r>
          </w:p>
        </w:tc>
        <w:tc>
          <w:tcPr>
            <w:tcW w:w="1123" w:type="dxa"/>
          </w:tcPr>
          <w:p w14:paraId="5E36794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9/16</w:t>
            </w:r>
          </w:p>
        </w:tc>
        <w:tc>
          <w:tcPr>
            <w:tcW w:w="817" w:type="dxa"/>
          </w:tcPr>
          <w:p w14:paraId="6AD73AA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12.00</w:t>
            </w:r>
          </w:p>
        </w:tc>
        <w:tc>
          <w:tcPr>
            <w:tcW w:w="1004" w:type="dxa"/>
          </w:tcPr>
          <w:p w14:paraId="5DF2432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12</w:t>
            </w:r>
          </w:p>
        </w:tc>
        <w:tc>
          <w:tcPr>
            <w:tcW w:w="1123" w:type="dxa"/>
          </w:tcPr>
          <w:p w14:paraId="32062BD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9/15</w:t>
            </w:r>
          </w:p>
        </w:tc>
      </w:tr>
      <w:tr w:rsidR="00866623" w:rsidRPr="00A32EED" w14:paraId="4E288887" w14:textId="77777777" w:rsidTr="00866623">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204" w:type="dxa"/>
          </w:tcPr>
          <w:p w14:paraId="758A0C34" w14:textId="77777777" w:rsidR="004C4C39" w:rsidRPr="00A32EED" w:rsidRDefault="004C4C39" w:rsidP="004C4C39">
            <w:pPr>
              <w:rPr>
                <w:rFonts w:eastAsia="Calibri" w:cs="Arial"/>
              </w:rPr>
            </w:pPr>
            <w:r w:rsidRPr="00A32EED">
              <w:rPr>
                <w:rFonts w:eastAsia="Calibri" w:cs="Arial"/>
              </w:rPr>
              <w:t>Level of Harm</w:t>
            </w:r>
          </w:p>
        </w:tc>
        <w:tc>
          <w:tcPr>
            <w:tcW w:w="1281" w:type="dxa"/>
          </w:tcPr>
          <w:p w14:paraId="4C03221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A32EED">
              <w:rPr>
                <w:rFonts w:eastAsia="Times New Roman" w:cs="Arial"/>
                <w:sz w:val="22"/>
              </w:rPr>
              <w:t>93 (7.94)</w:t>
            </w:r>
          </w:p>
        </w:tc>
        <w:tc>
          <w:tcPr>
            <w:tcW w:w="817" w:type="dxa"/>
          </w:tcPr>
          <w:p w14:paraId="2F3EFE0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Times New Roman" w:cs="Arial"/>
                <w:sz w:val="22"/>
              </w:rPr>
              <w:t>1.88</w:t>
            </w:r>
          </w:p>
        </w:tc>
        <w:tc>
          <w:tcPr>
            <w:tcW w:w="0" w:type="auto"/>
          </w:tcPr>
          <w:p w14:paraId="1EA5400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Times New Roman" w:cs="Arial"/>
                <w:sz w:val="22"/>
              </w:rPr>
              <w:t>2</w:t>
            </w:r>
          </w:p>
        </w:tc>
        <w:tc>
          <w:tcPr>
            <w:tcW w:w="1123" w:type="dxa"/>
          </w:tcPr>
          <w:p w14:paraId="4496C17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1/4</w:t>
            </w:r>
          </w:p>
        </w:tc>
        <w:tc>
          <w:tcPr>
            <w:tcW w:w="817" w:type="dxa"/>
          </w:tcPr>
          <w:p w14:paraId="6689839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Times New Roman" w:cs="Arial"/>
                <w:sz w:val="22"/>
              </w:rPr>
              <w:t>1.88</w:t>
            </w:r>
          </w:p>
        </w:tc>
        <w:tc>
          <w:tcPr>
            <w:tcW w:w="1004" w:type="dxa"/>
          </w:tcPr>
          <w:p w14:paraId="4489437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Times New Roman" w:cs="Arial"/>
                <w:sz w:val="22"/>
              </w:rPr>
              <w:t>2</w:t>
            </w:r>
          </w:p>
        </w:tc>
        <w:tc>
          <w:tcPr>
            <w:tcW w:w="1123" w:type="dxa"/>
          </w:tcPr>
          <w:p w14:paraId="60EF0F3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1/4</w:t>
            </w:r>
          </w:p>
        </w:tc>
      </w:tr>
      <w:tr w:rsidR="00866623" w:rsidRPr="00A32EED" w14:paraId="718E4EF4" w14:textId="77777777" w:rsidTr="00866623">
        <w:trPr>
          <w:trHeight w:val="255"/>
        </w:trPr>
        <w:tc>
          <w:tcPr>
            <w:cnfStyle w:val="001000000000" w:firstRow="0" w:lastRow="0" w:firstColumn="1" w:lastColumn="0" w:oddVBand="0" w:evenVBand="0" w:oddHBand="0" w:evenHBand="0" w:firstRowFirstColumn="0" w:firstRowLastColumn="0" w:lastRowFirstColumn="0" w:lastRowLastColumn="0"/>
            <w:tcW w:w="1204" w:type="dxa"/>
          </w:tcPr>
          <w:p w14:paraId="040A7611" w14:textId="77777777" w:rsidR="004C4C39" w:rsidRPr="00A32EED" w:rsidRDefault="004C4C39" w:rsidP="004C4C39">
            <w:pPr>
              <w:rPr>
                <w:rFonts w:eastAsia="Calibri" w:cs="Arial"/>
              </w:rPr>
            </w:pPr>
            <w:r w:rsidRPr="00A32EED">
              <w:rPr>
                <w:rFonts w:eastAsia="Calibri" w:cs="Arial"/>
              </w:rPr>
              <w:t>Self-Control</w:t>
            </w:r>
          </w:p>
        </w:tc>
        <w:tc>
          <w:tcPr>
            <w:tcW w:w="1281" w:type="dxa"/>
          </w:tcPr>
          <w:p w14:paraId="2060278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168(14.33)</w:t>
            </w:r>
          </w:p>
        </w:tc>
        <w:tc>
          <w:tcPr>
            <w:tcW w:w="817" w:type="dxa"/>
          </w:tcPr>
          <w:p w14:paraId="23D9D04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13.67</w:t>
            </w:r>
          </w:p>
        </w:tc>
        <w:tc>
          <w:tcPr>
            <w:tcW w:w="0" w:type="auto"/>
          </w:tcPr>
          <w:p w14:paraId="7617B98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15</w:t>
            </w:r>
          </w:p>
        </w:tc>
        <w:tc>
          <w:tcPr>
            <w:tcW w:w="1123" w:type="dxa"/>
          </w:tcPr>
          <w:p w14:paraId="0736A2A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0/20</w:t>
            </w:r>
          </w:p>
        </w:tc>
        <w:tc>
          <w:tcPr>
            <w:tcW w:w="817" w:type="dxa"/>
          </w:tcPr>
          <w:p w14:paraId="5609C1B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13.56</w:t>
            </w:r>
          </w:p>
        </w:tc>
        <w:tc>
          <w:tcPr>
            <w:tcW w:w="1004" w:type="dxa"/>
          </w:tcPr>
          <w:p w14:paraId="4F5A8C4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sz w:val="22"/>
              </w:rPr>
              <w:t>14</w:t>
            </w:r>
          </w:p>
        </w:tc>
        <w:tc>
          <w:tcPr>
            <w:tcW w:w="1123" w:type="dxa"/>
          </w:tcPr>
          <w:p w14:paraId="5FC3B1F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0/20</w:t>
            </w:r>
          </w:p>
        </w:tc>
      </w:tr>
    </w:tbl>
    <w:p w14:paraId="7B77CFC3" w14:textId="77777777" w:rsidR="004C4C39" w:rsidRPr="00A32EED" w:rsidRDefault="004C4C39" w:rsidP="004C4C39">
      <w:pPr>
        <w:spacing w:after="0"/>
        <w:rPr>
          <w:rFonts w:eastAsia="Calibri"/>
          <w:color w:val="000000"/>
        </w:rPr>
      </w:pPr>
    </w:p>
    <w:p w14:paraId="3E6A660C" w14:textId="77777777" w:rsidR="004C4C39" w:rsidRPr="00A32EED" w:rsidRDefault="004C4C39" w:rsidP="004C4C39">
      <w:pPr>
        <w:spacing w:after="0"/>
        <w:rPr>
          <w:rFonts w:eastAsia="Calibri"/>
          <w:color w:val="000000"/>
        </w:rPr>
      </w:pPr>
    </w:p>
    <w:p w14:paraId="12D9BE18" w14:textId="77777777" w:rsidR="004C4C39" w:rsidRPr="00A32EED" w:rsidRDefault="004C4C39" w:rsidP="0023176A">
      <w:pPr>
        <w:pStyle w:val="Caption1"/>
        <w:rPr>
          <w:rFonts w:eastAsia="Calibri"/>
        </w:rPr>
      </w:pPr>
      <w:bookmarkStart w:id="98" w:name="_Toc479941222"/>
      <w:r w:rsidRPr="00A32EED">
        <w:rPr>
          <w:rFonts w:eastAsia="Calibri"/>
        </w:rPr>
        <w:t>Table 5.3: Comparison of 12-Year-Old and Criminal Justice Contact Analytical Sample</w:t>
      </w:r>
      <w:bookmarkEnd w:id="98"/>
    </w:p>
    <w:tbl>
      <w:tblPr>
        <w:tblStyle w:val="ListTable6Colorful1"/>
        <w:tblW w:w="4798" w:type="pct"/>
        <w:tblLook w:val="04A0" w:firstRow="1" w:lastRow="0" w:firstColumn="1" w:lastColumn="0" w:noHBand="0" w:noVBand="1"/>
      </w:tblPr>
      <w:tblGrid>
        <w:gridCol w:w="3299"/>
        <w:gridCol w:w="2236"/>
        <w:gridCol w:w="1164"/>
        <w:gridCol w:w="1454"/>
      </w:tblGrid>
      <w:tr w:rsidR="004C4C39" w:rsidRPr="00A32EED" w14:paraId="73A1BBDE" w14:textId="77777777" w:rsidTr="00866623">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023" w:type="pct"/>
          </w:tcPr>
          <w:p w14:paraId="465E4921" w14:textId="77777777" w:rsidR="004C4C39" w:rsidRPr="00A32EED" w:rsidRDefault="004C4C39" w:rsidP="004C4C39">
            <w:pPr>
              <w:rPr>
                <w:rFonts w:eastAsia="Calibri" w:cs="Arial"/>
                <w:sz w:val="22"/>
                <w:szCs w:val="22"/>
              </w:rPr>
            </w:pPr>
          </w:p>
        </w:tc>
        <w:tc>
          <w:tcPr>
            <w:tcW w:w="1371" w:type="pct"/>
          </w:tcPr>
          <w:p w14:paraId="2A28497C"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sz w:val="21"/>
                <w:szCs w:val="22"/>
              </w:rPr>
            </w:pPr>
            <w:r w:rsidRPr="00A32EED">
              <w:rPr>
                <w:rFonts w:eastAsia="Calibri" w:cs="Arial"/>
                <w:sz w:val="21"/>
                <w:szCs w:val="22"/>
              </w:rPr>
              <w:t>Mean/Percentage Difference</w:t>
            </w:r>
          </w:p>
        </w:tc>
        <w:tc>
          <w:tcPr>
            <w:tcW w:w="714" w:type="pct"/>
          </w:tcPr>
          <w:p w14:paraId="6697F35C"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i/>
                <w:sz w:val="21"/>
                <w:szCs w:val="22"/>
              </w:rPr>
            </w:pPr>
            <w:r w:rsidRPr="00A32EED">
              <w:rPr>
                <w:rFonts w:eastAsia="Calibri" w:cs="Arial"/>
                <w:i/>
                <w:sz w:val="21"/>
                <w:szCs w:val="22"/>
              </w:rPr>
              <w:t>f-statistic</w:t>
            </w:r>
          </w:p>
        </w:tc>
        <w:tc>
          <w:tcPr>
            <w:tcW w:w="892" w:type="pct"/>
          </w:tcPr>
          <w:p w14:paraId="6E5FFE0A"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i/>
                <w:sz w:val="21"/>
                <w:szCs w:val="22"/>
              </w:rPr>
            </w:pPr>
            <w:r w:rsidRPr="00A32EED">
              <w:rPr>
                <w:rFonts w:eastAsia="Calibri" w:cs="Arial"/>
                <w:i/>
                <w:sz w:val="21"/>
                <w:szCs w:val="22"/>
              </w:rPr>
              <w:t>Significance</w:t>
            </w:r>
          </w:p>
        </w:tc>
      </w:tr>
      <w:tr w:rsidR="004C4C39" w:rsidRPr="00A32EED" w14:paraId="784A8081" w14:textId="77777777" w:rsidTr="0086662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23" w:type="pct"/>
          </w:tcPr>
          <w:p w14:paraId="1EB125C4" w14:textId="77777777" w:rsidR="004C4C39" w:rsidRPr="00A32EED" w:rsidRDefault="004C4C39" w:rsidP="004C4C39">
            <w:pPr>
              <w:rPr>
                <w:rFonts w:eastAsia="Calibri" w:cs="Arial"/>
                <w:sz w:val="22"/>
                <w:szCs w:val="22"/>
              </w:rPr>
            </w:pPr>
            <w:r w:rsidRPr="00A32EED">
              <w:rPr>
                <w:rFonts w:eastAsia="Calibri" w:cs="Arial"/>
                <w:sz w:val="22"/>
                <w:szCs w:val="22"/>
              </w:rPr>
              <w:t xml:space="preserve">Early Sexual Initiation </w:t>
            </w:r>
          </w:p>
        </w:tc>
        <w:tc>
          <w:tcPr>
            <w:tcW w:w="1371" w:type="pct"/>
          </w:tcPr>
          <w:p w14:paraId="0D029C4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r w:rsidRPr="00A32EED">
              <w:rPr>
                <w:rFonts w:eastAsia="Times New Roman" w:cs="Arial"/>
                <w:b/>
                <w:sz w:val="22"/>
                <w:szCs w:val="22"/>
              </w:rPr>
              <w:t>-3.41</w:t>
            </w:r>
          </w:p>
        </w:tc>
        <w:tc>
          <w:tcPr>
            <w:tcW w:w="714" w:type="pct"/>
          </w:tcPr>
          <w:p w14:paraId="3831517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r w:rsidRPr="00A32EED">
              <w:rPr>
                <w:rFonts w:eastAsia="Times New Roman" w:cs="Arial"/>
                <w:b/>
                <w:bCs/>
                <w:sz w:val="22"/>
                <w:szCs w:val="22"/>
              </w:rPr>
              <w:t>4.13</w:t>
            </w:r>
          </w:p>
        </w:tc>
        <w:tc>
          <w:tcPr>
            <w:tcW w:w="892" w:type="pct"/>
          </w:tcPr>
          <w:p w14:paraId="570F12A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r w:rsidRPr="00A32EED">
              <w:rPr>
                <w:rFonts w:eastAsia="Calibri" w:cs="Arial"/>
                <w:b/>
                <w:sz w:val="22"/>
                <w:szCs w:val="22"/>
              </w:rPr>
              <w:t>*</w:t>
            </w:r>
          </w:p>
        </w:tc>
      </w:tr>
      <w:tr w:rsidR="004C4C39" w:rsidRPr="00A32EED" w14:paraId="4F8B22BE" w14:textId="77777777" w:rsidTr="00866623">
        <w:trPr>
          <w:trHeight w:val="240"/>
        </w:trPr>
        <w:tc>
          <w:tcPr>
            <w:cnfStyle w:val="001000000000" w:firstRow="0" w:lastRow="0" w:firstColumn="1" w:lastColumn="0" w:oddVBand="0" w:evenVBand="0" w:oddHBand="0" w:evenHBand="0" w:firstRowFirstColumn="0" w:firstRowLastColumn="0" w:lastRowFirstColumn="0" w:lastRowLastColumn="0"/>
            <w:tcW w:w="2023" w:type="pct"/>
          </w:tcPr>
          <w:p w14:paraId="5D30C2C8" w14:textId="77777777" w:rsidR="004C4C39" w:rsidRPr="00A32EED" w:rsidRDefault="004C4C39" w:rsidP="004C4C39">
            <w:pPr>
              <w:rPr>
                <w:rFonts w:eastAsia="Times New Roman" w:cs="Arial"/>
                <w:sz w:val="22"/>
                <w:szCs w:val="22"/>
              </w:rPr>
            </w:pPr>
            <w:r w:rsidRPr="00A32EED">
              <w:rPr>
                <w:rFonts w:eastAsia="Times New Roman" w:cs="Arial"/>
                <w:sz w:val="22"/>
                <w:szCs w:val="22"/>
              </w:rPr>
              <w:t xml:space="preserve">Male Child </w:t>
            </w:r>
          </w:p>
        </w:tc>
        <w:tc>
          <w:tcPr>
            <w:tcW w:w="1371" w:type="pct"/>
          </w:tcPr>
          <w:p w14:paraId="32AD5E7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Times New Roman" w:cs="Arial"/>
                <w:sz w:val="22"/>
                <w:szCs w:val="22"/>
              </w:rPr>
              <w:t>.19</w:t>
            </w:r>
          </w:p>
        </w:tc>
        <w:tc>
          <w:tcPr>
            <w:tcW w:w="714" w:type="pct"/>
          </w:tcPr>
          <w:p w14:paraId="400E56C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Times New Roman" w:cs="Arial"/>
                <w:sz w:val="22"/>
                <w:szCs w:val="22"/>
              </w:rPr>
              <w:t>.01</w:t>
            </w:r>
          </w:p>
        </w:tc>
        <w:tc>
          <w:tcPr>
            <w:tcW w:w="892" w:type="pct"/>
          </w:tcPr>
          <w:p w14:paraId="0123A55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4C4C39" w:rsidRPr="00A32EED" w14:paraId="4E6D66CC" w14:textId="77777777" w:rsidTr="008666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23" w:type="pct"/>
          </w:tcPr>
          <w:p w14:paraId="27C0C3F1" w14:textId="77777777" w:rsidR="004C4C39" w:rsidRPr="00A32EED" w:rsidRDefault="004C4C39" w:rsidP="004C4C39">
            <w:pPr>
              <w:rPr>
                <w:rFonts w:eastAsia="Calibri" w:cs="Arial"/>
                <w:sz w:val="22"/>
                <w:szCs w:val="22"/>
              </w:rPr>
            </w:pPr>
            <w:r w:rsidRPr="00A32EED">
              <w:rPr>
                <w:rFonts w:eastAsia="Calibri" w:cs="Arial"/>
                <w:sz w:val="22"/>
                <w:szCs w:val="22"/>
              </w:rPr>
              <w:t xml:space="preserve">Non-white Child </w:t>
            </w:r>
          </w:p>
        </w:tc>
        <w:tc>
          <w:tcPr>
            <w:tcW w:w="1371" w:type="pct"/>
          </w:tcPr>
          <w:p w14:paraId="2929CF9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Times New Roman" w:cs="Arial"/>
                <w:b/>
                <w:sz w:val="22"/>
                <w:szCs w:val="22"/>
              </w:rPr>
              <w:t>4.92</w:t>
            </w:r>
          </w:p>
        </w:tc>
        <w:tc>
          <w:tcPr>
            <w:tcW w:w="714" w:type="pct"/>
          </w:tcPr>
          <w:p w14:paraId="440DA1E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r w:rsidRPr="00A32EED">
              <w:rPr>
                <w:rFonts w:eastAsia="Times New Roman" w:cs="Arial"/>
                <w:b/>
                <w:sz w:val="22"/>
                <w:szCs w:val="22"/>
              </w:rPr>
              <w:t>4.19</w:t>
            </w:r>
          </w:p>
        </w:tc>
        <w:tc>
          <w:tcPr>
            <w:tcW w:w="892" w:type="pct"/>
          </w:tcPr>
          <w:p w14:paraId="5A0A0BA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b/>
                <w:sz w:val="22"/>
                <w:szCs w:val="22"/>
              </w:rPr>
            </w:pPr>
            <w:r w:rsidRPr="00A32EED">
              <w:rPr>
                <w:rFonts w:eastAsia="Calibri" w:cs="Arial"/>
                <w:b/>
                <w:sz w:val="22"/>
                <w:szCs w:val="22"/>
              </w:rPr>
              <w:t>*</w:t>
            </w:r>
          </w:p>
        </w:tc>
      </w:tr>
      <w:tr w:rsidR="004C4C39" w:rsidRPr="00A32EED" w14:paraId="7A0C4E14" w14:textId="77777777" w:rsidTr="00866623">
        <w:trPr>
          <w:trHeight w:val="240"/>
        </w:trPr>
        <w:tc>
          <w:tcPr>
            <w:cnfStyle w:val="001000000000" w:firstRow="0" w:lastRow="0" w:firstColumn="1" w:lastColumn="0" w:oddVBand="0" w:evenVBand="0" w:oddHBand="0" w:evenHBand="0" w:firstRowFirstColumn="0" w:firstRowLastColumn="0" w:lastRowFirstColumn="0" w:lastRowLastColumn="0"/>
            <w:tcW w:w="2023" w:type="pct"/>
          </w:tcPr>
          <w:p w14:paraId="560D803E" w14:textId="77777777" w:rsidR="004C4C39" w:rsidRPr="00A32EED" w:rsidRDefault="004C4C39" w:rsidP="004C4C39">
            <w:pPr>
              <w:rPr>
                <w:rFonts w:eastAsia="Calibri" w:cs="Arial"/>
                <w:sz w:val="22"/>
                <w:szCs w:val="22"/>
              </w:rPr>
            </w:pPr>
            <w:r w:rsidRPr="00A32EED">
              <w:rPr>
                <w:rFonts w:eastAsia="Calibri" w:cs="Arial"/>
                <w:sz w:val="22"/>
                <w:szCs w:val="22"/>
              </w:rPr>
              <w:t>Child Age</w:t>
            </w:r>
          </w:p>
        </w:tc>
        <w:tc>
          <w:tcPr>
            <w:tcW w:w="1371" w:type="pct"/>
          </w:tcPr>
          <w:p w14:paraId="5EFDA61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A32EED">
              <w:rPr>
                <w:rFonts w:eastAsia="Calibri" w:cs="Arial"/>
                <w:b/>
                <w:sz w:val="22"/>
                <w:szCs w:val="22"/>
              </w:rPr>
              <w:t>.48</w:t>
            </w:r>
          </w:p>
        </w:tc>
        <w:tc>
          <w:tcPr>
            <w:tcW w:w="714" w:type="pct"/>
          </w:tcPr>
          <w:p w14:paraId="43D9727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A32EED">
              <w:rPr>
                <w:rFonts w:eastAsia="Calibri" w:cs="Arial"/>
                <w:b/>
                <w:sz w:val="22"/>
                <w:szCs w:val="22"/>
              </w:rPr>
              <w:t>40.05</w:t>
            </w:r>
          </w:p>
        </w:tc>
        <w:tc>
          <w:tcPr>
            <w:tcW w:w="892" w:type="pct"/>
          </w:tcPr>
          <w:p w14:paraId="0809C66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A32EED">
              <w:rPr>
                <w:rFonts w:eastAsia="Calibri" w:cs="Arial"/>
                <w:b/>
                <w:sz w:val="22"/>
                <w:szCs w:val="22"/>
              </w:rPr>
              <w:t>***</w:t>
            </w:r>
          </w:p>
        </w:tc>
      </w:tr>
      <w:tr w:rsidR="004C4C39" w:rsidRPr="00A32EED" w14:paraId="4C83E0AB" w14:textId="77777777" w:rsidTr="0086662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23" w:type="pct"/>
          </w:tcPr>
          <w:p w14:paraId="451C431C" w14:textId="77777777" w:rsidR="004C4C39" w:rsidRPr="00A32EED" w:rsidRDefault="004C4C39" w:rsidP="004C4C39">
            <w:pPr>
              <w:rPr>
                <w:rFonts w:eastAsia="Calibri" w:cs="Arial"/>
                <w:sz w:val="22"/>
                <w:szCs w:val="22"/>
              </w:rPr>
            </w:pPr>
            <w:r w:rsidRPr="00A32EED">
              <w:rPr>
                <w:rFonts w:eastAsia="Calibri" w:cs="Arial"/>
                <w:sz w:val="22"/>
                <w:szCs w:val="22"/>
              </w:rPr>
              <w:t>Child Self-Control</w:t>
            </w:r>
          </w:p>
        </w:tc>
        <w:tc>
          <w:tcPr>
            <w:tcW w:w="1371" w:type="pct"/>
          </w:tcPr>
          <w:p w14:paraId="68476E1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-.11</w:t>
            </w:r>
          </w:p>
        </w:tc>
        <w:tc>
          <w:tcPr>
            <w:tcW w:w="714" w:type="pct"/>
          </w:tcPr>
          <w:p w14:paraId="1757A8A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.52</w:t>
            </w:r>
          </w:p>
        </w:tc>
        <w:tc>
          <w:tcPr>
            <w:tcW w:w="892" w:type="pct"/>
          </w:tcPr>
          <w:p w14:paraId="18ECB90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r>
      <w:tr w:rsidR="004C4C39" w:rsidRPr="00A32EED" w14:paraId="79C73F2B" w14:textId="77777777" w:rsidTr="00866623">
        <w:trPr>
          <w:trHeight w:val="259"/>
        </w:trPr>
        <w:tc>
          <w:tcPr>
            <w:cnfStyle w:val="001000000000" w:firstRow="0" w:lastRow="0" w:firstColumn="1" w:lastColumn="0" w:oddVBand="0" w:evenVBand="0" w:oddHBand="0" w:evenHBand="0" w:firstRowFirstColumn="0" w:firstRowLastColumn="0" w:lastRowFirstColumn="0" w:lastRowLastColumn="0"/>
            <w:tcW w:w="2023" w:type="pct"/>
          </w:tcPr>
          <w:p w14:paraId="7A4EDBC1" w14:textId="77777777" w:rsidR="004C4C39" w:rsidRPr="00A32EED" w:rsidRDefault="004C4C39" w:rsidP="004C4C39">
            <w:pPr>
              <w:rPr>
                <w:rFonts w:eastAsia="Calibri" w:cs="Arial"/>
                <w:sz w:val="22"/>
                <w:szCs w:val="22"/>
              </w:rPr>
            </w:pPr>
            <w:r w:rsidRPr="00A32EED">
              <w:rPr>
                <w:rFonts w:eastAsia="Calibri" w:cs="Arial"/>
                <w:sz w:val="22"/>
                <w:szCs w:val="22"/>
              </w:rPr>
              <w:t xml:space="preserve">Received Baseline Services </w:t>
            </w:r>
          </w:p>
        </w:tc>
        <w:tc>
          <w:tcPr>
            <w:tcW w:w="1371" w:type="pct"/>
          </w:tcPr>
          <w:p w14:paraId="3E5180F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Times New Roman" w:cs="Arial"/>
                <w:sz w:val="22"/>
                <w:szCs w:val="22"/>
              </w:rPr>
              <w:t>.76</w:t>
            </w:r>
          </w:p>
        </w:tc>
        <w:tc>
          <w:tcPr>
            <w:tcW w:w="714" w:type="pct"/>
          </w:tcPr>
          <w:p w14:paraId="57CC3A8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.15</w:t>
            </w:r>
          </w:p>
        </w:tc>
        <w:tc>
          <w:tcPr>
            <w:tcW w:w="892" w:type="pct"/>
          </w:tcPr>
          <w:p w14:paraId="50EEF20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4C4C39" w:rsidRPr="00A32EED" w14:paraId="351BC0F1" w14:textId="77777777" w:rsidTr="0086662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23" w:type="pct"/>
          </w:tcPr>
          <w:p w14:paraId="6BCF4BE8" w14:textId="77777777" w:rsidR="004C4C39" w:rsidRPr="00A32EED" w:rsidRDefault="004C4C39" w:rsidP="004C4C39">
            <w:pPr>
              <w:rPr>
                <w:rFonts w:eastAsia="Calibri" w:cs="Arial"/>
                <w:sz w:val="22"/>
                <w:szCs w:val="22"/>
              </w:rPr>
            </w:pPr>
            <w:r w:rsidRPr="00A32EED">
              <w:rPr>
                <w:rFonts w:eastAsia="Calibri" w:cs="Arial"/>
                <w:sz w:val="22"/>
                <w:szCs w:val="22"/>
              </w:rPr>
              <w:t xml:space="preserve">Case Substantiated </w:t>
            </w:r>
          </w:p>
        </w:tc>
        <w:tc>
          <w:tcPr>
            <w:tcW w:w="1371" w:type="pct"/>
          </w:tcPr>
          <w:p w14:paraId="0A9FE3B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Times New Roman" w:cs="Arial"/>
                <w:sz w:val="22"/>
                <w:szCs w:val="22"/>
              </w:rPr>
              <w:t>.84</w:t>
            </w:r>
          </w:p>
        </w:tc>
        <w:tc>
          <w:tcPr>
            <w:tcW w:w="714" w:type="pct"/>
          </w:tcPr>
          <w:p w14:paraId="32EFB4A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.17</w:t>
            </w:r>
          </w:p>
        </w:tc>
        <w:tc>
          <w:tcPr>
            <w:tcW w:w="892" w:type="pct"/>
          </w:tcPr>
          <w:p w14:paraId="30F1537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r>
      <w:tr w:rsidR="004C4C39" w:rsidRPr="00A32EED" w14:paraId="4AECA80D" w14:textId="77777777" w:rsidTr="00866623">
        <w:trPr>
          <w:trHeight w:val="240"/>
        </w:trPr>
        <w:tc>
          <w:tcPr>
            <w:cnfStyle w:val="001000000000" w:firstRow="0" w:lastRow="0" w:firstColumn="1" w:lastColumn="0" w:oddVBand="0" w:evenVBand="0" w:oddHBand="0" w:evenHBand="0" w:firstRowFirstColumn="0" w:firstRowLastColumn="0" w:lastRowFirstColumn="0" w:lastRowLastColumn="0"/>
            <w:tcW w:w="2023" w:type="pct"/>
          </w:tcPr>
          <w:p w14:paraId="04C5A6AF" w14:textId="77777777" w:rsidR="004C4C39" w:rsidRPr="00A32EED" w:rsidRDefault="004C4C39" w:rsidP="004C4C39">
            <w:pPr>
              <w:rPr>
                <w:rFonts w:eastAsia="Calibri" w:cs="Arial"/>
                <w:sz w:val="22"/>
                <w:szCs w:val="22"/>
              </w:rPr>
            </w:pPr>
            <w:r w:rsidRPr="00A32EED">
              <w:rPr>
                <w:rFonts w:eastAsia="Calibri" w:cs="Arial"/>
                <w:sz w:val="22"/>
                <w:szCs w:val="22"/>
              </w:rPr>
              <w:t>Level of Harm</w:t>
            </w:r>
          </w:p>
        </w:tc>
        <w:tc>
          <w:tcPr>
            <w:tcW w:w="1371" w:type="pct"/>
          </w:tcPr>
          <w:p w14:paraId="2D9845D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.00</w:t>
            </w:r>
          </w:p>
        </w:tc>
        <w:tc>
          <w:tcPr>
            <w:tcW w:w="714" w:type="pct"/>
          </w:tcPr>
          <w:p w14:paraId="45BC20C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.06</w:t>
            </w:r>
          </w:p>
        </w:tc>
        <w:tc>
          <w:tcPr>
            <w:tcW w:w="892" w:type="pct"/>
          </w:tcPr>
          <w:p w14:paraId="5D42135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4C4C39" w:rsidRPr="00A32EED" w14:paraId="37EDF645" w14:textId="77777777" w:rsidTr="00866623">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023" w:type="pct"/>
          </w:tcPr>
          <w:p w14:paraId="73F7E472" w14:textId="77777777" w:rsidR="004C4C39" w:rsidRPr="00A32EED" w:rsidRDefault="004C4C39" w:rsidP="004C4C39">
            <w:pPr>
              <w:rPr>
                <w:rFonts w:eastAsia="Calibri" w:cs="Arial"/>
                <w:sz w:val="22"/>
                <w:szCs w:val="22"/>
              </w:rPr>
            </w:pPr>
            <w:r w:rsidRPr="00A32EED">
              <w:rPr>
                <w:rFonts w:eastAsia="Calibri" w:cs="Arial"/>
                <w:sz w:val="22"/>
                <w:szCs w:val="22"/>
              </w:rPr>
              <w:t xml:space="preserve">At least 2 Maltreatments at Baseline </w:t>
            </w:r>
          </w:p>
        </w:tc>
        <w:tc>
          <w:tcPr>
            <w:tcW w:w="1371" w:type="pct"/>
          </w:tcPr>
          <w:p w14:paraId="0803CE9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Times New Roman" w:cs="Arial"/>
                <w:sz w:val="22"/>
                <w:szCs w:val="22"/>
              </w:rPr>
              <w:t>1.02</w:t>
            </w:r>
          </w:p>
        </w:tc>
        <w:tc>
          <w:tcPr>
            <w:tcW w:w="714" w:type="pct"/>
          </w:tcPr>
          <w:p w14:paraId="151872E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r w:rsidRPr="00A32EED">
              <w:rPr>
                <w:rFonts w:eastAsia="Calibri" w:cs="Arial"/>
                <w:sz w:val="22"/>
                <w:szCs w:val="22"/>
              </w:rPr>
              <w:t>.24</w:t>
            </w:r>
          </w:p>
        </w:tc>
        <w:tc>
          <w:tcPr>
            <w:tcW w:w="892" w:type="pct"/>
          </w:tcPr>
          <w:p w14:paraId="65FD0D2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r>
      <w:tr w:rsidR="004C4C39" w:rsidRPr="00A32EED" w14:paraId="5AAB4D9F" w14:textId="77777777" w:rsidTr="00866623">
        <w:trPr>
          <w:trHeight w:val="501"/>
        </w:trPr>
        <w:tc>
          <w:tcPr>
            <w:cnfStyle w:val="001000000000" w:firstRow="0" w:lastRow="0" w:firstColumn="1" w:lastColumn="0" w:oddVBand="0" w:evenVBand="0" w:oddHBand="0" w:evenHBand="0" w:firstRowFirstColumn="0" w:firstRowLastColumn="0" w:lastRowFirstColumn="0" w:lastRowLastColumn="0"/>
            <w:tcW w:w="2023" w:type="pct"/>
          </w:tcPr>
          <w:p w14:paraId="3F0D86E3" w14:textId="77777777" w:rsidR="004C4C39" w:rsidRPr="00A32EED" w:rsidRDefault="004C4C39" w:rsidP="004C4C39">
            <w:pPr>
              <w:rPr>
                <w:rFonts w:eastAsia="Calibri" w:cs="Arial"/>
                <w:sz w:val="22"/>
                <w:szCs w:val="22"/>
              </w:rPr>
            </w:pPr>
            <w:r w:rsidRPr="00A32EED">
              <w:rPr>
                <w:rFonts w:eastAsia="Calibri" w:cs="Arial"/>
                <w:sz w:val="22"/>
                <w:szCs w:val="22"/>
              </w:rPr>
              <w:t xml:space="preserve">Previous Child Welfare Involvement </w:t>
            </w:r>
          </w:p>
        </w:tc>
        <w:tc>
          <w:tcPr>
            <w:tcW w:w="1371" w:type="pct"/>
          </w:tcPr>
          <w:p w14:paraId="04FC99C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Times New Roman" w:cs="Arial"/>
                <w:sz w:val="22"/>
                <w:szCs w:val="22"/>
              </w:rPr>
              <w:t>.14</w:t>
            </w:r>
          </w:p>
        </w:tc>
        <w:tc>
          <w:tcPr>
            <w:tcW w:w="714" w:type="pct"/>
          </w:tcPr>
          <w:p w14:paraId="69A4C6B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A32EED">
              <w:rPr>
                <w:rFonts w:eastAsia="Calibri" w:cs="Arial"/>
                <w:sz w:val="22"/>
                <w:szCs w:val="22"/>
              </w:rPr>
              <w:t>.01</w:t>
            </w:r>
          </w:p>
        </w:tc>
        <w:tc>
          <w:tcPr>
            <w:tcW w:w="892" w:type="pct"/>
          </w:tcPr>
          <w:p w14:paraId="7168C06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4C4C39" w:rsidRPr="00A32EED" w14:paraId="5E3D3905" w14:textId="77777777" w:rsidTr="0086662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23" w:type="pct"/>
          </w:tcPr>
          <w:p w14:paraId="78CDAACB" w14:textId="77777777" w:rsidR="004C4C39" w:rsidRPr="00A32EED" w:rsidRDefault="004C4C39" w:rsidP="004C4C39">
            <w:pPr>
              <w:rPr>
                <w:rFonts w:eastAsia="Calibri" w:cs="Arial"/>
                <w:sz w:val="22"/>
                <w:szCs w:val="22"/>
              </w:rPr>
            </w:pPr>
            <w:r w:rsidRPr="00A32EED">
              <w:rPr>
                <w:rFonts w:eastAsia="Calibri" w:cs="Arial"/>
                <w:sz w:val="22"/>
                <w:szCs w:val="22"/>
              </w:rPr>
              <w:t xml:space="preserve">Baseline Placement </w:t>
            </w:r>
          </w:p>
        </w:tc>
        <w:tc>
          <w:tcPr>
            <w:tcW w:w="1371" w:type="pct"/>
          </w:tcPr>
          <w:p w14:paraId="051E2C6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714" w:type="pct"/>
          </w:tcPr>
          <w:p w14:paraId="719937D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c>
          <w:tcPr>
            <w:tcW w:w="892" w:type="pct"/>
          </w:tcPr>
          <w:p w14:paraId="1DFF17B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szCs w:val="22"/>
              </w:rPr>
            </w:pPr>
          </w:p>
        </w:tc>
      </w:tr>
      <w:tr w:rsidR="004C4C39" w:rsidRPr="00A32EED" w14:paraId="18D9220C" w14:textId="77777777" w:rsidTr="00866623">
        <w:trPr>
          <w:trHeight w:val="240"/>
        </w:trPr>
        <w:tc>
          <w:tcPr>
            <w:cnfStyle w:val="001000000000" w:firstRow="0" w:lastRow="0" w:firstColumn="1" w:lastColumn="0" w:oddVBand="0" w:evenVBand="0" w:oddHBand="0" w:evenHBand="0" w:firstRowFirstColumn="0" w:firstRowLastColumn="0" w:lastRowFirstColumn="0" w:lastRowLastColumn="0"/>
            <w:tcW w:w="2023" w:type="pct"/>
          </w:tcPr>
          <w:p w14:paraId="6DC14C7B" w14:textId="77777777" w:rsidR="004C4C39" w:rsidRPr="00A32EED" w:rsidRDefault="004C4C39" w:rsidP="004C4C39">
            <w:pPr>
              <w:rPr>
                <w:rFonts w:eastAsia="Times New Roman" w:cs="Arial"/>
                <w:sz w:val="22"/>
                <w:szCs w:val="22"/>
              </w:rPr>
            </w:pPr>
            <w:r w:rsidRPr="00A32EED">
              <w:rPr>
                <w:rFonts w:eastAsia="Times New Roman" w:cs="Arial"/>
                <w:sz w:val="22"/>
                <w:szCs w:val="22"/>
              </w:rPr>
              <w:t>In Home</w:t>
            </w:r>
          </w:p>
        </w:tc>
        <w:tc>
          <w:tcPr>
            <w:tcW w:w="1371" w:type="pct"/>
          </w:tcPr>
          <w:p w14:paraId="2B9FF87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i/>
                <w:sz w:val="22"/>
                <w:szCs w:val="22"/>
              </w:rPr>
            </w:pPr>
            <w:r w:rsidRPr="00A32EED">
              <w:rPr>
                <w:rFonts w:eastAsia="Times New Roman" w:cs="Arial"/>
                <w:sz w:val="22"/>
                <w:szCs w:val="22"/>
              </w:rPr>
              <w:t>-.33</w:t>
            </w:r>
          </w:p>
        </w:tc>
        <w:tc>
          <w:tcPr>
            <w:tcW w:w="714" w:type="pct"/>
          </w:tcPr>
          <w:p w14:paraId="330B580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i/>
                <w:sz w:val="22"/>
                <w:szCs w:val="22"/>
              </w:rPr>
            </w:pPr>
            <w:r w:rsidRPr="00A32EED">
              <w:rPr>
                <w:rFonts w:eastAsia="Times New Roman" w:cs="Arial"/>
                <w:i/>
                <w:sz w:val="22"/>
                <w:szCs w:val="22"/>
              </w:rPr>
              <w:t>.06</w:t>
            </w:r>
          </w:p>
        </w:tc>
        <w:tc>
          <w:tcPr>
            <w:tcW w:w="892" w:type="pct"/>
          </w:tcPr>
          <w:p w14:paraId="553CCED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i/>
                <w:sz w:val="22"/>
                <w:szCs w:val="22"/>
              </w:rPr>
            </w:pPr>
          </w:p>
        </w:tc>
      </w:tr>
      <w:tr w:rsidR="004C4C39" w:rsidRPr="00A32EED" w14:paraId="0E96FFD9" w14:textId="77777777" w:rsidTr="008666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23" w:type="pct"/>
          </w:tcPr>
          <w:p w14:paraId="5CFBE273" w14:textId="77777777" w:rsidR="004C4C39" w:rsidRPr="00A32EED" w:rsidRDefault="004C4C39" w:rsidP="004C4C39">
            <w:pPr>
              <w:rPr>
                <w:rFonts w:eastAsia="Times New Roman" w:cs="Arial"/>
                <w:sz w:val="22"/>
                <w:szCs w:val="22"/>
              </w:rPr>
            </w:pPr>
            <w:r w:rsidRPr="00A32EED">
              <w:rPr>
                <w:rFonts w:eastAsia="Times New Roman" w:cs="Arial"/>
                <w:sz w:val="22"/>
                <w:szCs w:val="22"/>
              </w:rPr>
              <w:t>Kinship Care</w:t>
            </w:r>
          </w:p>
        </w:tc>
        <w:tc>
          <w:tcPr>
            <w:tcW w:w="1371" w:type="pct"/>
          </w:tcPr>
          <w:p w14:paraId="462B498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i/>
                <w:sz w:val="22"/>
                <w:szCs w:val="22"/>
              </w:rPr>
            </w:pPr>
            <w:r w:rsidRPr="00A32EED">
              <w:rPr>
                <w:rFonts w:eastAsia="Times New Roman" w:cs="Arial"/>
                <w:sz w:val="22"/>
                <w:szCs w:val="22"/>
              </w:rPr>
              <w:t>.23</w:t>
            </w:r>
          </w:p>
        </w:tc>
        <w:tc>
          <w:tcPr>
            <w:tcW w:w="714" w:type="pct"/>
          </w:tcPr>
          <w:p w14:paraId="05B1255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i/>
                <w:sz w:val="22"/>
                <w:szCs w:val="22"/>
              </w:rPr>
            </w:pPr>
            <w:r w:rsidRPr="00A32EED">
              <w:rPr>
                <w:rFonts w:eastAsia="Times New Roman" w:cs="Arial"/>
                <w:i/>
                <w:sz w:val="22"/>
                <w:szCs w:val="22"/>
              </w:rPr>
              <w:t>.08</w:t>
            </w:r>
          </w:p>
        </w:tc>
        <w:tc>
          <w:tcPr>
            <w:tcW w:w="892" w:type="pct"/>
          </w:tcPr>
          <w:p w14:paraId="77F1B41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i/>
                <w:sz w:val="22"/>
                <w:szCs w:val="22"/>
              </w:rPr>
            </w:pPr>
          </w:p>
        </w:tc>
      </w:tr>
      <w:tr w:rsidR="004C4C39" w:rsidRPr="00A32EED" w14:paraId="2A1F4B94" w14:textId="77777777" w:rsidTr="00866623">
        <w:trPr>
          <w:trHeight w:val="240"/>
        </w:trPr>
        <w:tc>
          <w:tcPr>
            <w:cnfStyle w:val="001000000000" w:firstRow="0" w:lastRow="0" w:firstColumn="1" w:lastColumn="0" w:oddVBand="0" w:evenVBand="0" w:oddHBand="0" w:evenHBand="0" w:firstRowFirstColumn="0" w:firstRowLastColumn="0" w:lastRowFirstColumn="0" w:lastRowLastColumn="0"/>
            <w:tcW w:w="2023" w:type="pct"/>
          </w:tcPr>
          <w:p w14:paraId="51E1D683" w14:textId="77777777" w:rsidR="004C4C39" w:rsidRPr="00A32EED" w:rsidRDefault="004C4C39" w:rsidP="004C4C39">
            <w:pPr>
              <w:rPr>
                <w:rFonts w:eastAsia="Times New Roman" w:cs="Arial"/>
                <w:sz w:val="22"/>
                <w:szCs w:val="22"/>
              </w:rPr>
            </w:pPr>
            <w:r w:rsidRPr="00A32EED">
              <w:rPr>
                <w:rFonts w:eastAsia="Times New Roman" w:cs="Arial"/>
                <w:sz w:val="22"/>
                <w:szCs w:val="22"/>
              </w:rPr>
              <w:t>Foster Home</w:t>
            </w:r>
          </w:p>
        </w:tc>
        <w:tc>
          <w:tcPr>
            <w:tcW w:w="1371" w:type="pct"/>
          </w:tcPr>
          <w:p w14:paraId="5FEF3FA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.27</w:t>
            </w:r>
          </w:p>
        </w:tc>
        <w:tc>
          <w:tcPr>
            <w:tcW w:w="714" w:type="pct"/>
          </w:tcPr>
          <w:p w14:paraId="786997E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.21</w:t>
            </w:r>
          </w:p>
        </w:tc>
        <w:tc>
          <w:tcPr>
            <w:tcW w:w="892" w:type="pct"/>
          </w:tcPr>
          <w:p w14:paraId="05F52F2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r>
      <w:tr w:rsidR="004C4C39" w:rsidRPr="00A32EED" w14:paraId="4B4F33D3" w14:textId="77777777" w:rsidTr="008666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23" w:type="pct"/>
          </w:tcPr>
          <w:p w14:paraId="0DA34722" w14:textId="77777777" w:rsidR="004C4C39" w:rsidRPr="00A32EED" w:rsidRDefault="004C4C39" w:rsidP="004C4C39">
            <w:pPr>
              <w:rPr>
                <w:rFonts w:eastAsia="Times New Roman" w:cs="Arial"/>
                <w:sz w:val="22"/>
                <w:szCs w:val="22"/>
              </w:rPr>
            </w:pPr>
            <w:r w:rsidRPr="00A32EED">
              <w:rPr>
                <w:rFonts w:eastAsia="Times New Roman" w:cs="Arial"/>
                <w:sz w:val="22"/>
                <w:szCs w:val="22"/>
              </w:rPr>
              <w:t>Group Home/ Other</w:t>
            </w:r>
          </w:p>
        </w:tc>
        <w:tc>
          <w:tcPr>
            <w:tcW w:w="1371" w:type="pct"/>
          </w:tcPr>
          <w:p w14:paraId="4BEC991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-.18</w:t>
            </w:r>
          </w:p>
        </w:tc>
        <w:tc>
          <w:tcPr>
            <w:tcW w:w="714" w:type="pct"/>
          </w:tcPr>
          <w:p w14:paraId="4EB950C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.04</w:t>
            </w:r>
          </w:p>
        </w:tc>
        <w:tc>
          <w:tcPr>
            <w:tcW w:w="892" w:type="pct"/>
          </w:tcPr>
          <w:p w14:paraId="365DE60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4C4C39" w:rsidRPr="00A32EED" w14:paraId="43AF6DB0" w14:textId="77777777" w:rsidTr="00866623">
        <w:trPr>
          <w:trHeight w:val="240"/>
        </w:trPr>
        <w:tc>
          <w:tcPr>
            <w:cnfStyle w:val="001000000000" w:firstRow="0" w:lastRow="0" w:firstColumn="1" w:lastColumn="0" w:oddVBand="0" w:evenVBand="0" w:oddHBand="0" w:evenHBand="0" w:firstRowFirstColumn="0" w:firstRowLastColumn="0" w:lastRowFirstColumn="0" w:lastRowLastColumn="0"/>
            <w:tcW w:w="2023" w:type="pct"/>
          </w:tcPr>
          <w:p w14:paraId="3883FAD9" w14:textId="77777777" w:rsidR="004C4C39" w:rsidRPr="00A32EED" w:rsidRDefault="004C4C39" w:rsidP="004C4C39">
            <w:pPr>
              <w:rPr>
                <w:rFonts w:eastAsia="Calibri" w:cs="Arial"/>
                <w:sz w:val="22"/>
                <w:szCs w:val="22"/>
              </w:rPr>
            </w:pPr>
            <w:r w:rsidRPr="00A32EED">
              <w:rPr>
                <w:rFonts w:eastAsia="Calibri" w:cs="Arial"/>
                <w:sz w:val="22"/>
                <w:szCs w:val="22"/>
              </w:rPr>
              <w:t xml:space="preserve">Most Severe Maltreatment </w:t>
            </w:r>
          </w:p>
        </w:tc>
        <w:tc>
          <w:tcPr>
            <w:tcW w:w="1371" w:type="pct"/>
          </w:tcPr>
          <w:p w14:paraId="3A3B1E7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714" w:type="pct"/>
          </w:tcPr>
          <w:p w14:paraId="090C879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892" w:type="pct"/>
          </w:tcPr>
          <w:p w14:paraId="40BA3C7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4C4C39" w:rsidRPr="00A32EED" w14:paraId="1DF35FCD" w14:textId="77777777" w:rsidTr="0086662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23" w:type="pct"/>
          </w:tcPr>
          <w:p w14:paraId="3C0FD074" w14:textId="77777777" w:rsidR="004C4C39" w:rsidRPr="00A32EED" w:rsidRDefault="004C4C39" w:rsidP="004C4C39">
            <w:pPr>
              <w:rPr>
                <w:rFonts w:eastAsia="Calibri" w:cs="Arial"/>
                <w:sz w:val="22"/>
                <w:szCs w:val="22"/>
              </w:rPr>
            </w:pPr>
            <w:r w:rsidRPr="00A32EED">
              <w:rPr>
                <w:rFonts w:eastAsia="Calibri" w:cs="Arial"/>
                <w:sz w:val="22"/>
                <w:szCs w:val="22"/>
              </w:rPr>
              <w:t>Neglect</w:t>
            </w:r>
          </w:p>
        </w:tc>
        <w:tc>
          <w:tcPr>
            <w:tcW w:w="1371" w:type="pct"/>
          </w:tcPr>
          <w:p w14:paraId="45BCD1F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-1.47</w:t>
            </w:r>
          </w:p>
        </w:tc>
        <w:tc>
          <w:tcPr>
            <w:tcW w:w="714" w:type="pct"/>
          </w:tcPr>
          <w:p w14:paraId="77D0238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.44</w:t>
            </w:r>
          </w:p>
        </w:tc>
        <w:tc>
          <w:tcPr>
            <w:tcW w:w="892" w:type="pct"/>
          </w:tcPr>
          <w:p w14:paraId="06EF1B3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4C4C39" w:rsidRPr="00A32EED" w14:paraId="4A93F37A" w14:textId="77777777" w:rsidTr="00866623">
        <w:trPr>
          <w:trHeight w:val="259"/>
        </w:trPr>
        <w:tc>
          <w:tcPr>
            <w:cnfStyle w:val="001000000000" w:firstRow="0" w:lastRow="0" w:firstColumn="1" w:lastColumn="0" w:oddVBand="0" w:evenVBand="0" w:oddHBand="0" w:evenHBand="0" w:firstRowFirstColumn="0" w:firstRowLastColumn="0" w:lastRowFirstColumn="0" w:lastRowLastColumn="0"/>
            <w:tcW w:w="2023" w:type="pct"/>
          </w:tcPr>
          <w:p w14:paraId="1CAF0102" w14:textId="77777777" w:rsidR="004C4C39" w:rsidRPr="00A32EED" w:rsidRDefault="004C4C39" w:rsidP="004C4C39">
            <w:pPr>
              <w:rPr>
                <w:rFonts w:eastAsia="Calibri" w:cs="Arial"/>
                <w:sz w:val="22"/>
                <w:szCs w:val="22"/>
              </w:rPr>
            </w:pPr>
            <w:r w:rsidRPr="00A32EED">
              <w:rPr>
                <w:rFonts w:eastAsia="Calibri" w:cs="Arial"/>
                <w:sz w:val="22"/>
                <w:szCs w:val="22"/>
              </w:rPr>
              <w:t>Physical Abuse</w:t>
            </w:r>
          </w:p>
        </w:tc>
        <w:tc>
          <w:tcPr>
            <w:tcW w:w="1371" w:type="pct"/>
          </w:tcPr>
          <w:p w14:paraId="00C672C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-1.2</w:t>
            </w:r>
          </w:p>
        </w:tc>
        <w:tc>
          <w:tcPr>
            <w:tcW w:w="714" w:type="pct"/>
          </w:tcPr>
          <w:p w14:paraId="582E405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.33</w:t>
            </w:r>
          </w:p>
        </w:tc>
        <w:tc>
          <w:tcPr>
            <w:tcW w:w="892" w:type="pct"/>
          </w:tcPr>
          <w:p w14:paraId="01663F3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r>
      <w:tr w:rsidR="004C4C39" w:rsidRPr="00A32EED" w14:paraId="22BFB39D" w14:textId="77777777" w:rsidTr="0086662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23" w:type="pct"/>
          </w:tcPr>
          <w:p w14:paraId="28F068A3" w14:textId="77777777" w:rsidR="004C4C39" w:rsidRPr="00A32EED" w:rsidRDefault="004C4C39" w:rsidP="004C4C39">
            <w:pPr>
              <w:rPr>
                <w:rFonts w:eastAsia="Calibri" w:cs="Arial"/>
                <w:sz w:val="22"/>
                <w:szCs w:val="22"/>
              </w:rPr>
            </w:pPr>
            <w:r w:rsidRPr="00A32EED">
              <w:rPr>
                <w:rFonts w:eastAsia="Calibri" w:cs="Arial"/>
                <w:sz w:val="22"/>
                <w:szCs w:val="22"/>
              </w:rPr>
              <w:t>Sexual Abuse</w:t>
            </w:r>
          </w:p>
        </w:tc>
        <w:tc>
          <w:tcPr>
            <w:tcW w:w="1371" w:type="pct"/>
          </w:tcPr>
          <w:p w14:paraId="29EB07F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.24</w:t>
            </w:r>
          </w:p>
        </w:tc>
        <w:tc>
          <w:tcPr>
            <w:tcW w:w="714" w:type="pct"/>
          </w:tcPr>
          <w:p w14:paraId="389C4A0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.03</w:t>
            </w:r>
          </w:p>
        </w:tc>
        <w:tc>
          <w:tcPr>
            <w:tcW w:w="892" w:type="pct"/>
          </w:tcPr>
          <w:p w14:paraId="5ED1694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4C4C39" w:rsidRPr="00A32EED" w14:paraId="02F7C570" w14:textId="77777777" w:rsidTr="00866623">
        <w:trPr>
          <w:trHeight w:val="240"/>
        </w:trPr>
        <w:tc>
          <w:tcPr>
            <w:cnfStyle w:val="001000000000" w:firstRow="0" w:lastRow="0" w:firstColumn="1" w:lastColumn="0" w:oddVBand="0" w:evenVBand="0" w:oddHBand="0" w:evenHBand="0" w:firstRowFirstColumn="0" w:firstRowLastColumn="0" w:lastRowFirstColumn="0" w:lastRowLastColumn="0"/>
            <w:tcW w:w="2023" w:type="pct"/>
          </w:tcPr>
          <w:p w14:paraId="2F5A4F13" w14:textId="77777777" w:rsidR="004C4C39" w:rsidRPr="00A32EED" w:rsidRDefault="004C4C39" w:rsidP="004C4C39">
            <w:pPr>
              <w:rPr>
                <w:rFonts w:eastAsia="Calibri" w:cs="Arial"/>
                <w:sz w:val="22"/>
                <w:szCs w:val="22"/>
              </w:rPr>
            </w:pPr>
            <w:r w:rsidRPr="00A32EED">
              <w:rPr>
                <w:rFonts w:eastAsia="Calibri" w:cs="Arial"/>
                <w:sz w:val="22"/>
                <w:szCs w:val="22"/>
              </w:rPr>
              <w:t>Other</w:t>
            </w:r>
          </w:p>
        </w:tc>
        <w:tc>
          <w:tcPr>
            <w:tcW w:w="1371" w:type="pct"/>
          </w:tcPr>
          <w:p w14:paraId="369858D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b/>
                <w:sz w:val="22"/>
                <w:szCs w:val="22"/>
              </w:rPr>
              <w:t>2.43</w:t>
            </w:r>
          </w:p>
        </w:tc>
        <w:tc>
          <w:tcPr>
            <w:tcW w:w="714" w:type="pct"/>
          </w:tcPr>
          <w:p w14:paraId="0D9591F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2.47</w:t>
            </w:r>
          </w:p>
        </w:tc>
        <w:tc>
          <w:tcPr>
            <w:tcW w:w="892" w:type="pct"/>
          </w:tcPr>
          <w:p w14:paraId="3E0C8FD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r>
    </w:tbl>
    <w:p w14:paraId="765E1D58" w14:textId="77777777" w:rsidR="004C4C39" w:rsidRPr="00A32EED" w:rsidRDefault="004C4C39" w:rsidP="004C4C39">
      <w:pPr>
        <w:spacing w:after="0" w:line="480" w:lineRule="auto"/>
        <w:rPr>
          <w:rFonts w:eastAsia="Calibri"/>
          <w:sz w:val="21"/>
        </w:rPr>
      </w:pPr>
      <w:r w:rsidRPr="00A32EED">
        <w:rPr>
          <w:rFonts w:eastAsia="Calibri"/>
          <w:sz w:val="21"/>
        </w:rPr>
        <w:t>† p&lt;.10 * p&lt;.05  **p&lt;.01  ***p&lt;.00</w:t>
      </w:r>
    </w:p>
    <w:p w14:paraId="1398BA00" w14:textId="77777777" w:rsidR="004C4C39" w:rsidRPr="00A32EED" w:rsidRDefault="004C4C39" w:rsidP="004C4C39">
      <w:pPr>
        <w:spacing w:after="0" w:line="480" w:lineRule="auto"/>
        <w:ind w:firstLine="720"/>
        <w:rPr>
          <w:rFonts w:eastAsia="Calibri"/>
        </w:rPr>
      </w:pPr>
      <w:r w:rsidRPr="00A32EED">
        <w:rPr>
          <w:rFonts w:eastAsia="Calibri"/>
        </w:rPr>
        <w:t xml:space="preserve">The mean scores for self-control were 13.67 for the age-eligible sample and 13.56 for the analytic sample. A total of 168 (14.33%) cases were missing </w:t>
      </w:r>
      <w:r w:rsidRPr="00A32EED">
        <w:rPr>
          <w:rFonts w:eastAsia="Calibri"/>
        </w:rPr>
        <w:lastRenderedPageBreak/>
        <w:t>responses for the questions used to create the self-control scale. The process used to examine differences in the means of the two samples for age was once again performed for self-control. The results indicate that there are no significant differences in the mean level of self-control for the two samples (</w:t>
      </w:r>
      <w:r w:rsidRPr="00A32EED">
        <w:rPr>
          <w:rFonts w:eastAsia="Calibri"/>
          <w:i/>
        </w:rPr>
        <w:t>p=</w:t>
      </w:r>
      <w:r w:rsidRPr="00A32EED">
        <w:rPr>
          <w:rFonts w:eastAsia="Calibri"/>
        </w:rPr>
        <w:t xml:space="preserve">.47). Given the importance of self-control in the theoretical underpinnings of this project, this is an ideal finding. </w:t>
      </w:r>
    </w:p>
    <w:p w14:paraId="6524544F" w14:textId="77777777" w:rsidR="004C4C39" w:rsidRPr="00A32EED" w:rsidRDefault="004C4C39" w:rsidP="004C4C39">
      <w:pPr>
        <w:spacing w:after="0" w:line="480" w:lineRule="auto"/>
        <w:ind w:firstLine="720"/>
        <w:rPr>
          <w:rFonts w:eastAsia="Calibri"/>
        </w:rPr>
      </w:pPr>
      <w:r w:rsidRPr="00A32EED">
        <w:rPr>
          <w:rFonts w:eastAsia="Calibri"/>
        </w:rPr>
        <w:t>Regarding case characteristics, most cases in the age-eligible and analytic sample were not substantiated (69.90% and 69.06% respectively). There were no cases with missing data for this variable. The adjusted Pearson Chi-Square test shows that the two groups are not statistically different in regards to case substantiation (</w:t>
      </w:r>
      <w:r w:rsidRPr="00A32EED">
        <w:rPr>
          <w:rFonts w:eastAsia="Calibri"/>
          <w:i/>
        </w:rPr>
        <w:t>p=</w:t>
      </w:r>
      <w:r w:rsidRPr="00A32EED">
        <w:rPr>
          <w:rFonts w:eastAsia="Calibri"/>
        </w:rPr>
        <w:t>.68). A large number of cases in both samples also had some form of previous child welfare involvement (61.07% and 61.21% respectively). A total of 94 cases (7.2%) were missing data related to previous child welfare involvement. The adjusted Pearson Chi-Square test reveals no significant differences between the two groups (</w:t>
      </w:r>
      <w:r w:rsidRPr="00A32EED">
        <w:rPr>
          <w:rFonts w:eastAsia="Calibri"/>
          <w:i/>
        </w:rPr>
        <w:t>p=</w:t>
      </w:r>
      <w:r w:rsidRPr="00A32EED">
        <w:rPr>
          <w:rFonts w:eastAsia="Calibri"/>
        </w:rPr>
        <w:t>.94). Many cases in both samples did not receive any form of service (70.43% and 69.97% respectively). There were no cases with missing data related to receipt of services. Regarding services received, the adjusted Pearson Chi-Square test reveals no significant difference between the two samples (</w:t>
      </w:r>
      <w:r w:rsidRPr="00A32EED">
        <w:rPr>
          <w:rFonts w:eastAsia="Calibri"/>
          <w:i/>
        </w:rPr>
        <w:t>p=</w:t>
      </w:r>
      <w:r w:rsidRPr="00A32EED">
        <w:rPr>
          <w:rFonts w:eastAsia="Calibri"/>
        </w:rPr>
        <w:t xml:space="preserve">.70). </w:t>
      </w:r>
    </w:p>
    <w:p w14:paraId="3DC35163" w14:textId="77777777" w:rsidR="004C4C39" w:rsidRPr="00A32EED" w:rsidRDefault="004C4C39" w:rsidP="004C4C39">
      <w:pPr>
        <w:spacing w:after="0" w:line="480" w:lineRule="auto"/>
        <w:ind w:firstLine="720"/>
        <w:rPr>
          <w:rFonts w:eastAsia="Calibri"/>
        </w:rPr>
      </w:pPr>
      <w:r w:rsidRPr="00A32EED">
        <w:rPr>
          <w:rFonts w:eastAsia="Calibri"/>
        </w:rPr>
        <w:t xml:space="preserve">Most cases in both the age-eligible and analytic sample identified neglect as the most severe form of maltreatment (44.49% and 43.02% respectively), followed by physical abuse (31.75% and 30.55%), sexual abuse (12.19% and 12.43%), and other forms of maltreatment (11.57% and 14.00%). A total of 88 </w:t>
      </w:r>
      <w:r w:rsidRPr="00A32EED">
        <w:rPr>
          <w:rFonts w:eastAsia="Calibri"/>
        </w:rPr>
        <w:lastRenderedPageBreak/>
        <w:t>(6.48%) cases were missing data related to the most severe form of maltreatment. The adjusted Pearson Chi-Square test reveals no significant differences between the two samples regarding the most severe form of maltreatment (</w:t>
      </w:r>
      <w:r w:rsidRPr="00A32EED">
        <w:rPr>
          <w:rFonts w:eastAsia="Calibri"/>
          <w:i/>
        </w:rPr>
        <w:t>p=</w:t>
      </w:r>
      <w:r w:rsidRPr="00A32EED">
        <w:rPr>
          <w:rFonts w:eastAsia="Calibri"/>
        </w:rPr>
        <w:t xml:space="preserve">.39). An adjusted Pearson Chi-Square test was also used for dummy variables regarding most severe maltreatment type at baseline and found no significant differences. </w:t>
      </w:r>
    </w:p>
    <w:p w14:paraId="09161205" w14:textId="77777777" w:rsidR="004C4C39" w:rsidRPr="00A32EED" w:rsidRDefault="004C4C39" w:rsidP="004C4C39">
      <w:pPr>
        <w:spacing w:after="0" w:line="480" w:lineRule="auto"/>
        <w:ind w:firstLine="720"/>
        <w:rPr>
          <w:rFonts w:eastAsia="Calibri"/>
        </w:rPr>
      </w:pPr>
      <w:r w:rsidRPr="00A32EED">
        <w:rPr>
          <w:rFonts w:eastAsia="Calibri"/>
        </w:rPr>
        <w:t>A large portion of cases in both the age-eligible and analytic samples were comprised of only one alleged maltreatment type (73.18% and 72.16% respectively). A total of 85 (6.40%) cases were missing information related to the more than two maltreatment type variables. The adjusted Pearson Chi-Square test reveals there is no significant difference between the two samples regarding the number of cases with at least two types of alleged maltreatment at baseline (</w:t>
      </w:r>
      <w:r w:rsidRPr="00A32EED">
        <w:rPr>
          <w:rFonts w:eastAsia="Calibri"/>
          <w:i/>
        </w:rPr>
        <w:t>p=</w:t>
      </w:r>
      <w:r w:rsidRPr="00A32EED">
        <w:rPr>
          <w:rFonts w:eastAsia="Calibri"/>
        </w:rPr>
        <w:t>.62). The mean levels of harm for both the entire age and full analyses sample were both 1.88. To examine differences between the two groups, both the adjusted Pearson Chi-Square test and regression methods were used. Both tests yielded results showing no significant difference between the two samples (</w:t>
      </w:r>
      <w:r w:rsidRPr="00A32EED">
        <w:rPr>
          <w:rFonts w:eastAsia="Calibri"/>
          <w:i/>
        </w:rPr>
        <w:t>p=</w:t>
      </w:r>
      <w:r w:rsidRPr="00A32EED">
        <w:rPr>
          <w:rFonts w:eastAsia="Calibri"/>
        </w:rPr>
        <w:t xml:space="preserve">.33 and </w:t>
      </w:r>
      <w:r w:rsidRPr="00A32EED">
        <w:rPr>
          <w:rFonts w:eastAsia="Calibri"/>
          <w:i/>
        </w:rPr>
        <w:t>p=</w:t>
      </w:r>
      <w:r w:rsidRPr="00A32EED">
        <w:rPr>
          <w:rFonts w:eastAsia="Calibri"/>
        </w:rPr>
        <w:t xml:space="preserve">.81) respectively. </w:t>
      </w:r>
    </w:p>
    <w:p w14:paraId="2EBDEF22" w14:textId="77777777" w:rsidR="004C4C39" w:rsidRPr="00A32EED" w:rsidRDefault="004C4C39" w:rsidP="004C4C39">
      <w:pPr>
        <w:spacing w:after="0" w:line="480" w:lineRule="auto"/>
        <w:ind w:firstLine="720"/>
        <w:rPr>
          <w:rFonts w:eastAsia="Calibri"/>
          <w:i/>
          <w:highlight w:val="cyan"/>
        </w:rPr>
      </w:pPr>
      <w:r w:rsidRPr="00A32EED">
        <w:rPr>
          <w:rFonts w:eastAsia="Calibri"/>
        </w:rPr>
        <w:t xml:space="preserve">Regarding placement at baseline, many cases in both the entire age and analytic samples utilized an in-home placement (87.37% and 87.04% respectively), followed by foster care placements (3.83% and 4.10%), kinship placements (4.93% and 5.16%), and group homes or other placements (3.87% and 3.69%). There were no cases with missing data for a type of placement at baseline. The adjusted Pearson Chi-Square test reveals there are no significant </w:t>
      </w:r>
      <w:r w:rsidRPr="00A32EED">
        <w:rPr>
          <w:rFonts w:eastAsia="Calibri"/>
        </w:rPr>
        <w:lastRenderedPageBreak/>
        <w:t>differences between the two samples regarding placement type (</w:t>
      </w:r>
      <w:r w:rsidRPr="00A32EED">
        <w:rPr>
          <w:rFonts w:eastAsia="Calibri"/>
          <w:i/>
        </w:rPr>
        <w:t>p=</w:t>
      </w:r>
      <w:r w:rsidRPr="00A32EED">
        <w:rPr>
          <w:rFonts w:eastAsia="Calibri"/>
        </w:rPr>
        <w:t xml:space="preserve">.96). Adjusted Pearson Chi-Square tests were also examined for each placement dummy variable and returned no significant differences. </w:t>
      </w:r>
    </w:p>
    <w:p w14:paraId="478BB05C"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99" w:name="_Toc479938174"/>
      <w:bookmarkStart w:id="100" w:name="_Toc482112703"/>
      <w:r w:rsidRPr="00A32EED">
        <w:rPr>
          <w:rFonts w:eastAsia="ＭＳ ゴシック"/>
          <w:i/>
          <w:color w:val="000000"/>
          <w:szCs w:val="26"/>
          <w:u w:val="single"/>
        </w:rPr>
        <w:t>Bivariate Relationships of Early Sexual Initiation Analytic sample</w:t>
      </w:r>
      <w:bookmarkEnd w:id="99"/>
      <w:bookmarkEnd w:id="100"/>
      <w:r w:rsidRPr="00A32EED">
        <w:rPr>
          <w:rFonts w:eastAsia="ＭＳ ゴシック"/>
          <w:i/>
          <w:color w:val="000000"/>
          <w:szCs w:val="26"/>
          <w:u w:val="single"/>
        </w:rPr>
        <w:t xml:space="preserve"> </w:t>
      </w:r>
    </w:p>
    <w:p w14:paraId="2C7A4531" w14:textId="7D49CDE8" w:rsidR="004C4C39" w:rsidRPr="00A32EED" w:rsidRDefault="004C4C39" w:rsidP="004C4C39">
      <w:pPr>
        <w:spacing w:after="0" w:line="480" w:lineRule="auto"/>
        <w:rPr>
          <w:rFonts w:eastAsia="Calibri"/>
        </w:rPr>
      </w:pPr>
      <w:r w:rsidRPr="00A32EED">
        <w:rPr>
          <w:rFonts w:eastAsia="Calibri"/>
        </w:rPr>
        <w:t xml:space="preserve"> </w:t>
      </w:r>
      <w:r w:rsidRPr="00A32EED">
        <w:rPr>
          <w:rFonts w:eastAsia="Calibri"/>
        </w:rPr>
        <w:tab/>
      </w:r>
      <w:r w:rsidR="003545F6">
        <w:rPr>
          <w:rFonts w:eastAsia="Calibri"/>
        </w:rPr>
        <w:t>V</w:t>
      </w:r>
      <w:r w:rsidRPr="00A32EED">
        <w:rPr>
          <w:rFonts w:eastAsia="Calibri"/>
        </w:rPr>
        <w:t xml:space="preserve">ariance inflation factors (VIF) and tolerance were calculated to assess issues of collinearity among the independent variables in the final model. There are no special programs designed to examine the VIF and tolerance of complex survey data. However, there is some support from some statisticians for evaluating VIF and tolerance with the traditional commands in STATA despite their failure to account for the complex sampling designs of survey data </w:t>
      </w:r>
      <w:r w:rsidRPr="00A32EED">
        <w:rPr>
          <w:rFonts w:eastAsia="Calibri"/>
        </w:rPr>
        <w:fldChar w:fldCharType="begin"/>
      </w:r>
      <w:r w:rsidRPr="00A32EED">
        <w:rPr>
          <w:rFonts w:eastAsia="Calibri"/>
        </w:rPr>
        <w:instrText xml:space="preserve"> ADDIN ZOTERO_ITEM CSL_CITATION {"citationID":"6i3poumm","properties":{"formattedCitation":"(McIntosh 2009; Samuels 2011a, 2011a)","plainCitation":"(McIntosh 2009; Samuels 2011a, 2011a)"},"citationItems":[{"id":1449,"uris":["http://zotero.org/users/1165382/items/BDCR7FJJ"],"uri":["http://zotero.org/users/1165382/items/BDCR7FJJ"],"itemData":{"id":1449,"type":"post","title":"RE: st: VIFs under SVY command and -collin- command","URL":"http://www.stata.com/statalist/archive/2009-08/msg00640.html","note":"00000","author":[{"family":"McIntosh","given":""}],"issued":{"date-parts":[["2009"]]},"accessed":{"date-parts":[["2017",3,1]]}}},{"id":1447,"uris":["http://zotero.org/users/1165382/items/HGSZGVEI"],"uri":["http://zotero.org/users/1165382/items/HGSZGVEI"],"itemData":{"id":1447,"type":"post","title":"Re: st: multicollinearity with survey data","URL":"http://www.stata.com/statalist/archive/2011-02/msg01254.html","note":"00000","author":[{"family":"Samuels","given":"Steven"}],"issued":{"date-parts":[["2011"]]},"accessed":{"date-parts":[["2017",3,1]]}}},{"id":1447,"uris":["http://zotero.org/users/1165382/items/HGSZGVEI"],"uri":["http://zotero.org/users/1165382/items/HGSZGVEI"],"itemData":{"id":1447,"type":"post","title":"Re: st: multicollinearity with survey data","URL":"http://www.stata.com/statalist/archive/2011-02/msg01254.html","note":"00000","author":[{"family":"Samuels","given":"Steven"}],"issued":{"date-parts":[["2011"]]},"accessed":{"date-parts":[["2017",3,1]]}}}],"schema":"https://github.com/citation-style-language/schema/raw/master/csl-citation.json"} </w:instrText>
      </w:r>
      <w:r w:rsidRPr="00A32EED">
        <w:rPr>
          <w:rFonts w:eastAsia="Calibri"/>
        </w:rPr>
        <w:fldChar w:fldCharType="separate"/>
      </w:r>
      <w:r w:rsidRPr="00A32EED">
        <w:rPr>
          <w:rFonts w:eastAsia="Calibri"/>
          <w:noProof/>
        </w:rPr>
        <w:t>(McIntosh 2009; Samuels 2011a, 2011a)</w:t>
      </w:r>
      <w:r w:rsidRPr="00A32EED">
        <w:rPr>
          <w:rFonts w:eastAsia="Calibri"/>
        </w:rPr>
        <w:fldChar w:fldCharType="end"/>
      </w:r>
      <w:r w:rsidRPr="00A32EED">
        <w:rPr>
          <w:rFonts w:eastAsia="Calibri"/>
        </w:rPr>
        <w:t xml:space="preserve">. Furthermore, in a </w:t>
      </w:r>
      <w:r w:rsidRPr="00A32EED">
        <w:rPr>
          <w:rFonts w:eastAsia="Calibri"/>
        </w:rPr>
        <w:fldChar w:fldCharType="begin"/>
      </w:r>
      <w:r w:rsidRPr="00A32EED">
        <w:rPr>
          <w:rFonts w:eastAsia="Calibri"/>
        </w:rPr>
        <w:instrText xml:space="preserve"> ADDIN ZOTERO_ITEM CSL_CITATION {"citationID":"1cnsv8093h","properties":{"formattedCitation":"(2010)","plainCitation":"(2010)"},"citationItems":[{"id":1451,"uris":["http://zotero.org/users/1165382/items/F9U77JGP"],"uri":["http://zotero.org/users/1165382/items/F9U77JGP"],"itemData":{"id":1451,"type":"thesis","title":"Collinearity diagnostics for complex survey data","source":"Google Scholar","URL":"http://drum.lib.umd.edu/handle/1903/10881","note":"00013","author":[{"family":"Liao","given":"Dan"}],"issued":{"date-parts":[["2010"]]},"accessed":{"date-parts":[["2017",3,1]]}},"suppress-author":true}],"schema":"https://github.com/citation-style-language/schema/raw/master/csl-citation.json"} </w:instrText>
      </w:r>
      <w:r w:rsidRPr="00A32EED">
        <w:rPr>
          <w:rFonts w:eastAsia="Calibri"/>
        </w:rPr>
        <w:fldChar w:fldCharType="end"/>
      </w:r>
      <w:r w:rsidRPr="00A32EED">
        <w:rPr>
          <w:rFonts w:eastAsia="Calibri"/>
        </w:rPr>
        <w:t xml:space="preserve">study evaluating the effectiveness of two methods for calculating VIF and tolerance for logistic regressions of complex survey data, the traditional method only differed significantly for one variable </w:t>
      </w:r>
      <w:r w:rsidRPr="00A32EED">
        <w:rPr>
          <w:rFonts w:eastAsia="Calibri"/>
        </w:rPr>
        <w:fldChar w:fldCharType="begin"/>
      </w:r>
      <w:r w:rsidRPr="00A32EED">
        <w:rPr>
          <w:rFonts w:eastAsia="Calibri"/>
        </w:rPr>
        <w:instrText xml:space="preserve"> ADDIN ZOTERO_ITEM CSL_CITATION {"citationID":"23fqnpp84g","properties":{"formattedCitation":"(Liao 2010)","plainCitation":"(Liao 2010)"},"citationItems":[{"id":1451,"uris":["http://zotero.org/users/1165382/items/F9U77JGP"],"uri":["http://zotero.org/users/1165382/items/F9U77JGP"],"itemData":{"id":1451,"type":"thesis","title":"Collinearity diagnostics for complex survey data","source":"Google Scholar","URL":"http://drum.lib.umd.edu/handle/1903/10881","note":"00013","author":[{"family":"Liao","given":"Dan"}],"issued":{"date-parts":[["2010"]]},"accessed":{"date-parts":[["2017",3,1]]}}}],"schema":"https://github.com/citation-style-language/schema/raw/master/csl-citation.json"} </w:instrText>
      </w:r>
      <w:r w:rsidRPr="00A32EED">
        <w:rPr>
          <w:rFonts w:eastAsia="Calibri"/>
        </w:rPr>
        <w:fldChar w:fldCharType="separate"/>
      </w:r>
      <w:r w:rsidRPr="00A32EED">
        <w:rPr>
          <w:rFonts w:eastAsia="Calibri"/>
          <w:noProof/>
        </w:rPr>
        <w:t>(Liao 2010)</w:t>
      </w:r>
      <w:r w:rsidRPr="00A32EED">
        <w:rPr>
          <w:rFonts w:eastAsia="Calibri"/>
        </w:rPr>
        <w:fldChar w:fldCharType="end"/>
      </w:r>
      <w:r w:rsidRPr="00A32EED">
        <w:rPr>
          <w:rFonts w:eastAsia="Calibri"/>
        </w:rPr>
        <w:t>. Specifically, when using a traditional cutoff of VIFs of 10 or higher indicating possible issues of collinearity, the traditional method not accounting for complex sampling designs yielded a VIF of 9.13 compared to values of 11.4 and 11.0 for the complex survey methods. It should be noted that while the results of this study do suggest that complex survey designs can affect traditional VIF calculations, the one failure in this study involved a variable extremely close to the cutoff of 10. Therefore, it can be argued that if traditional VIF calculations do not yield any results that are close to the cutoff of 10, concerns of collinearity can be somewhat alleviated.</w:t>
      </w:r>
    </w:p>
    <w:p w14:paraId="69BD221E" w14:textId="634AC822" w:rsidR="004C4C39" w:rsidRPr="00A32EED" w:rsidRDefault="004C4C39" w:rsidP="004C4C39">
      <w:pPr>
        <w:spacing w:after="0" w:line="480" w:lineRule="auto"/>
        <w:rPr>
          <w:rFonts w:eastAsia="Calibri"/>
        </w:rPr>
      </w:pPr>
      <w:r w:rsidRPr="00A32EED">
        <w:rPr>
          <w:rFonts w:eastAsia="Calibri"/>
        </w:rPr>
        <w:lastRenderedPageBreak/>
        <w:t xml:space="preserve"> </w:t>
      </w:r>
      <w:r w:rsidRPr="00A32EED">
        <w:rPr>
          <w:rFonts w:eastAsia="Calibri"/>
        </w:rPr>
        <w:tab/>
        <w:t xml:space="preserve">Under the guidance of the above findings, analyses of VIF values were calculated using both the </w:t>
      </w:r>
      <w:r w:rsidRPr="00A32EED">
        <w:rPr>
          <w:rFonts w:eastAsia="Calibri"/>
          <w:i/>
        </w:rPr>
        <w:t>collin</w:t>
      </w:r>
      <w:r w:rsidRPr="00A32EED">
        <w:rPr>
          <w:rFonts w:eastAsia="Calibri"/>
        </w:rPr>
        <w:t xml:space="preserve"> and </w:t>
      </w:r>
      <w:r w:rsidRPr="00A32EED">
        <w:rPr>
          <w:rFonts w:eastAsia="Calibri"/>
          <w:i/>
        </w:rPr>
        <w:t>estat vif</w:t>
      </w:r>
      <w:r w:rsidRPr="00A32EED">
        <w:rPr>
          <w:rFonts w:eastAsia="Calibri"/>
        </w:rPr>
        <w:t xml:space="preserve"> commands in STATA. It should be noted that the </w:t>
      </w:r>
      <w:r w:rsidRPr="00A32EED">
        <w:rPr>
          <w:rFonts w:eastAsia="Calibri"/>
          <w:i/>
        </w:rPr>
        <w:t>estat vif</w:t>
      </w:r>
      <w:r w:rsidRPr="00A32EED">
        <w:rPr>
          <w:rFonts w:eastAsia="Calibri"/>
        </w:rPr>
        <w:t xml:space="preserve"> command can only be used after the </w:t>
      </w:r>
      <w:r w:rsidRPr="00A32EED">
        <w:rPr>
          <w:rFonts w:eastAsia="Calibri"/>
          <w:i/>
        </w:rPr>
        <w:t xml:space="preserve">regress </w:t>
      </w:r>
      <w:r w:rsidRPr="00A32EED">
        <w:rPr>
          <w:rFonts w:eastAsia="Calibri"/>
        </w:rPr>
        <w:t>command, which is not the appropriate form of regression for a binary outcome. However, because the VIF is a measure of association between the independent variables the regress command is an appropriate step in the process of obtaining the VIF values for logistic regression models. Neither method returns any values approaching the traditional cutoff of 10 with the highest value for each method being 3.15 and 2.62. Full results from the V</w:t>
      </w:r>
      <w:r w:rsidR="00B65150">
        <w:rPr>
          <w:rFonts w:eastAsia="Calibri"/>
        </w:rPr>
        <w:t>IF calculations are in Table 5.4</w:t>
      </w:r>
      <w:r w:rsidRPr="00A32EED">
        <w:rPr>
          <w:rFonts w:eastAsia="Calibri"/>
        </w:rPr>
        <w:t>.</w:t>
      </w:r>
    </w:p>
    <w:p w14:paraId="17D2D761" w14:textId="7A87ED8B" w:rsidR="004C4C39" w:rsidRPr="00A32EED" w:rsidRDefault="004C4C39" w:rsidP="004C4C39">
      <w:pPr>
        <w:spacing w:after="0" w:line="480" w:lineRule="auto"/>
        <w:rPr>
          <w:rFonts w:eastAsia="Calibri"/>
        </w:rPr>
      </w:pPr>
      <w:r w:rsidRPr="00A32EED">
        <w:rPr>
          <w:rFonts w:eastAsia="Calibri"/>
        </w:rPr>
        <w:tab/>
        <w:t>To examine significant bivariate relationships between early sexual initiation and the categorical independent variables, the same adjusted Pearson Chi-Square test utilized for differences between the age eligible and analytic sample was used. Frequencies of early sexual initiation broken down by the categorical independent var</w:t>
      </w:r>
      <w:r w:rsidR="00B65150">
        <w:rPr>
          <w:rFonts w:eastAsia="Calibri"/>
        </w:rPr>
        <w:t>iables can be found in Table 5.5</w:t>
      </w:r>
      <w:r w:rsidRPr="00A32EED">
        <w:rPr>
          <w:rFonts w:eastAsia="Calibri"/>
        </w:rPr>
        <w:t xml:space="preserve">. Variables with a significant bivariate relationship are denoted by an asterisk. Additionally, the percentages presented in Table 5.5 and discussed here are the weighted percentages that account for the complex survey design. There are no significant bivariate relationships between gender, race/ethnicity, case substantiation, or most severe maltreatment type at baseline. </w:t>
      </w:r>
    </w:p>
    <w:p w14:paraId="0E9D6F18" w14:textId="77777777" w:rsidR="004C4C39" w:rsidRPr="00A32EED" w:rsidRDefault="004C4C39" w:rsidP="004C4C39">
      <w:pPr>
        <w:spacing w:after="0" w:line="480" w:lineRule="auto"/>
        <w:ind w:firstLine="720"/>
        <w:rPr>
          <w:rFonts w:eastAsia="Calibri"/>
        </w:rPr>
      </w:pPr>
      <w:r w:rsidRPr="00A32EED">
        <w:rPr>
          <w:rFonts w:eastAsia="Calibri"/>
        </w:rPr>
        <w:t xml:space="preserve">Having previous involvement with the child welfare system is significantly related to early sexual initiation. Of the 295 youth who experienced sexual initiation prior to the age of 16, 205 (69.98%) had previous contact with the child </w:t>
      </w:r>
      <w:r w:rsidRPr="00A32EED">
        <w:rPr>
          <w:rFonts w:eastAsia="Calibri"/>
        </w:rPr>
        <w:lastRenderedPageBreak/>
        <w:t>welfare system. Of the 487 (61.21%) youth who had a previous history with child welfare services, 205 (42.42%) also initiated sex early. In sum, while many youth who initiated sex early had previous contact with child welfare services, most of those with previous child welfare history did not initiate sex early. Of the 295 early initiators, 82 (68.74%) did not receive any services and of the 536 (30.33%) youth who did receive services, 213 (38.24%) were early initiators. So, most early initiators did not receive services and most of those who received services were not early initiators.</w:t>
      </w:r>
    </w:p>
    <w:p w14:paraId="48BBB0CD" w14:textId="77777777" w:rsidR="004C4C39" w:rsidRPr="00A32EED" w:rsidRDefault="004C4C39" w:rsidP="004C4C39">
      <w:pPr>
        <w:spacing w:after="0" w:line="480" w:lineRule="auto"/>
        <w:ind w:firstLine="720"/>
        <w:rPr>
          <w:rFonts w:eastAsia="Calibri"/>
        </w:rPr>
      </w:pPr>
      <w:r w:rsidRPr="00A32EED">
        <w:rPr>
          <w:rFonts w:eastAsia="Calibri"/>
        </w:rPr>
        <w:t xml:space="preserve">The remaining two significant bivariate relationships for early sexual initiation are related to initial placement at baseline. The first significant association between baseline placement and early sexual initiation is for those who remain in their home at baseline. Of the 295 early initiators, 212 (81.82%) remained in their home at baseline and 212 (34.88%) of the 546 who remained in their home at baseline were early sexual initiators. Therefore, while most early initiators remained in their home at baseline, many of those who remained in their home at baseline were not early sexual initiators. </w:t>
      </w:r>
    </w:p>
    <w:p w14:paraId="6E003919" w14:textId="77777777" w:rsidR="00866623" w:rsidRDefault="00866623">
      <w:pPr>
        <w:rPr>
          <w:rFonts w:eastAsia="Calibri" w:cs="Times New Roman"/>
          <w:i/>
          <w:iCs/>
          <w:color w:val="000000"/>
          <w:szCs w:val="18"/>
        </w:rPr>
      </w:pPr>
      <w:bookmarkStart w:id="101" w:name="_Toc479941223"/>
      <w:r>
        <w:rPr>
          <w:rFonts w:eastAsia="Calibri"/>
        </w:rPr>
        <w:br w:type="page"/>
      </w:r>
    </w:p>
    <w:p w14:paraId="637A9471" w14:textId="089F9ABF" w:rsidR="004C4C39" w:rsidRPr="00A32EED" w:rsidRDefault="004C4C39" w:rsidP="0023176A">
      <w:pPr>
        <w:pStyle w:val="Caption1"/>
        <w:rPr>
          <w:rFonts w:eastAsia="Calibri"/>
        </w:rPr>
      </w:pPr>
      <w:r w:rsidRPr="00A32EED">
        <w:rPr>
          <w:rFonts w:eastAsia="Calibri"/>
        </w:rPr>
        <w:lastRenderedPageBreak/>
        <w:t>Table 5.</w:t>
      </w:r>
      <w:r w:rsidR="00B65150">
        <w:rPr>
          <w:rFonts w:eastAsia="Calibri"/>
        </w:rPr>
        <w:t>4</w:t>
      </w:r>
      <w:r w:rsidRPr="00A32EED">
        <w:rPr>
          <w:rFonts w:eastAsia="Calibri"/>
        </w:rPr>
        <w:t xml:space="preserve"> Variance Inflation Factors for Final Logistic Regression Model</w:t>
      </w:r>
      <w:bookmarkEnd w:id="101"/>
    </w:p>
    <w:tbl>
      <w:tblPr>
        <w:tblStyle w:val="ListTable6Colorful1"/>
        <w:tblW w:w="4815" w:type="pct"/>
        <w:tblLook w:val="04A0" w:firstRow="1" w:lastRow="0" w:firstColumn="1" w:lastColumn="0" w:noHBand="0" w:noVBand="1"/>
      </w:tblPr>
      <w:tblGrid>
        <w:gridCol w:w="3878"/>
        <w:gridCol w:w="2311"/>
        <w:gridCol w:w="1993"/>
      </w:tblGrid>
      <w:tr w:rsidR="004C4C39" w:rsidRPr="00A32EED" w14:paraId="57D55940" w14:textId="77777777" w:rsidTr="0086662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709DA96F" w14:textId="77777777" w:rsidR="004C4C39" w:rsidRPr="00A32EED" w:rsidRDefault="004C4C39" w:rsidP="004C4C39">
            <w:pPr>
              <w:contextualSpacing/>
              <w:rPr>
                <w:rFonts w:eastAsia="Times New Roman" w:cs="Arial"/>
              </w:rPr>
            </w:pPr>
            <w:r w:rsidRPr="00A32EED">
              <w:rPr>
                <w:rFonts w:eastAsia="Times New Roman" w:cs="Arial"/>
              </w:rPr>
              <w:t>Variable</w:t>
            </w:r>
          </w:p>
        </w:tc>
        <w:tc>
          <w:tcPr>
            <w:tcW w:w="1412" w:type="pct"/>
            <w:noWrap/>
            <w:hideMark/>
          </w:tcPr>
          <w:p w14:paraId="6B7A0739" w14:textId="77777777" w:rsidR="004C4C39" w:rsidRPr="00A32EED" w:rsidRDefault="004C4C39" w:rsidP="004C4C39">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i/>
              </w:rPr>
              <w:t>Collin</w:t>
            </w:r>
            <w:r w:rsidRPr="00A32EED">
              <w:rPr>
                <w:rFonts w:eastAsia="Times New Roman" w:cs="Arial"/>
              </w:rPr>
              <w:t xml:space="preserve"> VIF</w:t>
            </w:r>
          </w:p>
        </w:tc>
        <w:tc>
          <w:tcPr>
            <w:tcW w:w="1218" w:type="pct"/>
            <w:noWrap/>
            <w:hideMark/>
          </w:tcPr>
          <w:p w14:paraId="4374184F" w14:textId="77777777" w:rsidR="004C4C39" w:rsidRPr="00A32EED" w:rsidRDefault="004C4C39" w:rsidP="004C4C39">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i/>
              </w:rPr>
              <w:t>Estat</w:t>
            </w:r>
            <w:r w:rsidRPr="00A32EED">
              <w:rPr>
                <w:rFonts w:eastAsia="Times New Roman" w:cs="Arial"/>
              </w:rPr>
              <w:t xml:space="preserve"> VIF</w:t>
            </w:r>
          </w:p>
        </w:tc>
      </w:tr>
      <w:tr w:rsidR="004C4C39" w:rsidRPr="00A32EED" w14:paraId="30B28E17" w14:textId="77777777" w:rsidTr="00866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2ECDE230" w14:textId="77777777" w:rsidR="004C4C39" w:rsidRPr="00A32EED" w:rsidRDefault="004C4C39" w:rsidP="004C4C39">
            <w:pPr>
              <w:contextualSpacing/>
              <w:rPr>
                <w:rFonts w:eastAsia="Times New Roman" w:cs="Arial"/>
              </w:rPr>
            </w:pPr>
            <w:r w:rsidRPr="00A32EED">
              <w:rPr>
                <w:rFonts w:eastAsia="Times New Roman" w:cs="Arial"/>
              </w:rPr>
              <w:t>Baseline Age</w:t>
            </w:r>
          </w:p>
        </w:tc>
        <w:tc>
          <w:tcPr>
            <w:tcW w:w="1412" w:type="pct"/>
            <w:noWrap/>
            <w:hideMark/>
          </w:tcPr>
          <w:p w14:paraId="2B6B2188"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1.04</w:t>
            </w:r>
          </w:p>
        </w:tc>
        <w:tc>
          <w:tcPr>
            <w:tcW w:w="1218" w:type="pct"/>
            <w:noWrap/>
            <w:hideMark/>
          </w:tcPr>
          <w:p w14:paraId="47F22CEE"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1.08</w:t>
            </w:r>
          </w:p>
        </w:tc>
      </w:tr>
      <w:tr w:rsidR="004C4C39" w:rsidRPr="00A32EED" w14:paraId="5F68D474" w14:textId="77777777" w:rsidTr="00866623">
        <w:trPr>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4D01C3D9" w14:textId="77777777" w:rsidR="004C4C39" w:rsidRPr="00A32EED" w:rsidRDefault="004C4C39" w:rsidP="004C4C39">
            <w:pPr>
              <w:contextualSpacing/>
              <w:rPr>
                <w:rFonts w:eastAsia="Times New Roman" w:cs="Arial"/>
              </w:rPr>
            </w:pPr>
            <w:r w:rsidRPr="00A32EED">
              <w:rPr>
                <w:rFonts w:eastAsia="Times New Roman" w:cs="Arial"/>
              </w:rPr>
              <w:t>Non-white</w:t>
            </w:r>
          </w:p>
        </w:tc>
        <w:tc>
          <w:tcPr>
            <w:tcW w:w="1412" w:type="pct"/>
            <w:noWrap/>
            <w:hideMark/>
          </w:tcPr>
          <w:p w14:paraId="57C33E36"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2.53</w:t>
            </w:r>
          </w:p>
        </w:tc>
        <w:tc>
          <w:tcPr>
            <w:tcW w:w="1218" w:type="pct"/>
            <w:noWrap/>
            <w:hideMark/>
          </w:tcPr>
          <w:p w14:paraId="78368A69"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1.58</w:t>
            </w:r>
          </w:p>
        </w:tc>
      </w:tr>
      <w:tr w:rsidR="004C4C39" w:rsidRPr="00A32EED" w14:paraId="1E64E7EE" w14:textId="77777777" w:rsidTr="00866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53AB5F26" w14:textId="77777777" w:rsidR="004C4C39" w:rsidRPr="00A32EED" w:rsidRDefault="004C4C39" w:rsidP="004C4C39">
            <w:pPr>
              <w:contextualSpacing/>
              <w:rPr>
                <w:rFonts w:eastAsia="Times New Roman" w:cs="Arial"/>
              </w:rPr>
            </w:pPr>
            <w:r w:rsidRPr="00A32EED">
              <w:rPr>
                <w:rFonts w:eastAsia="Times New Roman" w:cs="Arial"/>
              </w:rPr>
              <w:t>Male</w:t>
            </w:r>
          </w:p>
        </w:tc>
        <w:tc>
          <w:tcPr>
            <w:tcW w:w="1412" w:type="pct"/>
            <w:noWrap/>
            <w:hideMark/>
          </w:tcPr>
          <w:p w14:paraId="706E1C0E"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1.05</w:t>
            </w:r>
          </w:p>
        </w:tc>
        <w:tc>
          <w:tcPr>
            <w:tcW w:w="1218" w:type="pct"/>
            <w:noWrap/>
            <w:hideMark/>
          </w:tcPr>
          <w:p w14:paraId="4B372A77"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1.07</w:t>
            </w:r>
          </w:p>
        </w:tc>
      </w:tr>
      <w:tr w:rsidR="004C4C39" w:rsidRPr="00A32EED" w14:paraId="4054B960" w14:textId="77777777" w:rsidTr="00866623">
        <w:trPr>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202260FE" w14:textId="77777777" w:rsidR="004C4C39" w:rsidRPr="00A32EED" w:rsidRDefault="004C4C39" w:rsidP="004C4C39">
            <w:pPr>
              <w:contextualSpacing/>
              <w:rPr>
                <w:rFonts w:eastAsia="Times New Roman" w:cs="Arial"/>
              </w:rPr>
            </w:pPr>
            <w:r w:rsidRPr="00A32EED">
              <w:rPr>
                <w:rFonts w:eastAsia="Times New Roman" w:cs="Arial"/>
              </w:rPr>
              <w:t>Baseline Service</w:t>
            </w:r>
          </w:p>
        </w:tc>
        <w:tc>
          <w:tcPr>
            <w:tcW w:w="1412" w:type="pct"/>
            <w:noWrap/>
            <w:hideMark/>
          </w:tcPr>
          <w:p w14:paraId="61EFA758"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2.22</w:t>
            </w:r>
          </w:p>
        </w:tc>
        <w:tc>
          <w:tcPr>
            <w:tcW w:w="1218" w:type="pct"/>
            <w:noWrap/>
            <w:hideMark/>
          </w:tcPr>
          <w:p w14:paraId="41F3C837"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2.62</w:t>
            </w:r>
          </w:p>
        </w:tc>
      </w:tr>
      <w:tr w:rsidR="004C4C39" w:rsidRPr="00A32EED" w14:paraId="17EA0D6A" w14:textId="77777777" w:rsidTr="00866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0D587816" w14:textId="77777777" w:rsidR="004C4C39" w:rsidRPr="00A32EED" w:rsidRDefault="004C4C39" w:rsidP="004C4C39">
            <w:pPr>
              <w:contextualSpacing/>
              <w:rPr>
                <w:rFonts w:eastAsia="Times New Roman" w:cs="Arial"/>
              </w:rPr>
            </w:pPr>
            <w:r w:rsidRPr="00A32EED">
              <w:rPr>
                <w:rFonts w:eastAsia="Times New Roman" w:cs="Arial"/>
              </w:rPr>
              <w:t xml:space="preserve">Subst. </w:t>
            </w:r>
          </w:p>
        </w:tc>
        <w:tc>
          <w:tcPr>
            <w:tcW w:w="1412" w:type="pct"/>
            <w:noWrap/>
            <w:hideMark/>
          </w:tcPr>
          <w:p w14:paraId="1603A02A"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1.63</w:t>
            </w:r>
          </w:p>
        </w:tc>
        <w:tc>
          <w:tcPr>
            <w:tcW w:w="1218" w:type="pct"/>
            <w:noWrap/>
            <w:hideMark/>
          </w:tcPr>
          <w:p w14:paraId="24241944"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1.74</w:t>
            </w:r>
          </w:p>
        </w:tc>
      </w:tr>
      <w:tr w:rsidR="004C4C39" w:rsidRPr="00A32EED" w14:paraId="53FD6508" w14:textId="77777777" w:rsidTr="00866623">
        <w:trPr>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09114878" w14:textId="77777777" w:rsidR="004C4C39" w:rsidRPr="00A32EED" w:rsidRDefault="004C4C39" w:rsidP="004C4C39">
            <w:pPr>
              <w:contextualSpacing/>
              <w:rPr>
                <w:rFonts w:eastAsia="Times New Roman" w:cs="Arial"/>
              </w:rPr>
            </w:pPr>
            <w:r w:rsidRPr="00A32EED">
              <w:rPr>
                <w:rFonts w:eastAsia="Times New Roman" w:cs="Arial"/>
              </w:rPr>
              <w:t>Level of Harm</w:t>
            </w:r>
          </w:p>
        </w:tc>
        <w:tc>
          <w:tcPr>
            <w:tcW w:w="1412" w:type="pct"/>
            <w:noWrap/>
            <w:hideMark/>
          </w:tcPr>
          <w:p w14:paraId="7715D678"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1.26</w:t>
            </w:r>
          </w:p>
        </w:tc>
        <w:tc>
          <w:tcPr>
            <w:tcW w:w="1218" w:type="pct"/>
            <w:noWrap/>
            <w:hideMark/>
          </w:tcPr>
          <w:p w14:paraId="1BD1A040"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1.28</w:t>
            </w:r>
          </w:p>
        </w:tc>
      </w:tr>
      <w:tr w:rsidR="004C4C39" w:rsidRPr="00A32EED" w14:paraId="54A95681" w14:textId="77777777" w:rsidTr="00866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3B19BD12" w14:textId="77777777" w:rsidR="004C4C39" w:rsidRPr="00A32EED" w:rsidRDefault="004C4C39" w:rsidP="004C4C39">
            <w:pPr>
              <w:contextualSpacing/>
              <w:rPr>
                <w:rFonts w:eastAsia="Times New Roman" w:cs="Arial"/>
              </w:rPr>
            </w:pPr>
            <w:r w:rsidRPr="00A32EED">
              <w:rPr>
                <w:rFonts w:eastAsia="Times New Roman" w:cs="Arial"/>
              </w:rPr>
              <w:t>2 or More Mal.</w:t>
            </w:r>
          </w:p>
        </w:tc>
        <w:tc>
          <w:tcPr>
            <w:tcW w:w="1412" w:type="pct"/>
            <w:noWrap/>
            <w:hideMark/>
          </w:tcPr>
          <w:p w14:paraId="65773B38"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1.16</w:t>
            </w:r>
          </w:p>
        </w:tc>
        <w:tc>
          <w:tcPr>
            <w:tcW w:w="1218" w:type="pct"/>
            <w:noWrap/>
            <w:hideMark/>
          </w:tcPr>
          <w:p w14:paraId="2A27D1D3"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1.18</w:t>
            </w:r>
          </w:p>
        </w:tc>
      </w:tr>
      <w:tr w:rsidR="004C4C39" w:rsidRPr="00A32EED" w14:paraId="77907AA2" w14:textId="77777777" w:rsidTr="00866623">
        <w:trPr>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7F687E4F" w14:textId="77777777" w:rsidR="004C4C39" w:rsidRPr="00A32EED" w:rsidRDefault="004C4C39" w:rsidP="004C4C39">
            <w:pPr>
              <w:contextualSpacing/>
              <w:rPr>
                <w:rFonts w:eastAsia="Times New Roman" w:cs="Arial"/>
              </w:rPr>
            </w:pPr>
            <w:r w:rsidRPr="00A32EED">
              <w:rPr>
                <w:rFonts w:eastAsia="Times New Roman" w:cs="Arial"/>
              </w:rPr>
              <w:t>Physical Abuse</w:t>
            </w:r>
          </w:p>
        </w:tc>
        <w:tc>
          <w:tcPr>
            <w:tcW w:w="1412" w:type="pct"/>
            <w:noWrap/>
            <w:hideMark/>
          </w:tcPr>
          <w:p w14:paraId="66C288AB"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1.09</w:t>
            </w:r>
          </w:p>
        </w:tc>
        <w:tc>
          <w:tcPr>
            <w:tcW w:w="1218" w:type="pct"/>
            <w:noWrap/>
            <w:hideMark/>
          </w:tcPr>
          <w:p w14:paraId="5001FE95"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1.13</w:t>
            </w:r>
          </w:p>
        </w:tc>
      </w:tr>
      <w:tr w:rsidR="004C4C39" w:rsidRPr="00A32EED" w14:paraId="531FEDC5" w14:textId="77777777" w:rsidTr="00866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7CBD9741" w14:textId="77777777" w:rsidR="004C4C39" w:rsidRPr="00A32EED" w:rsidRDefault="004C4C39" w:rsidP="004C4C39">
            <w:pPr>
              <w:contextualSpacing/>
              <w:rPr>
                <w:rFonts w:eastAsia="Times New Roman" w:cs="Arial"/>
              </w:rPr>
            </w:pPr>
            <w:r w:rsidRPr="00A32EED">
              <w:rPr>
                <w:rFonts w:eastAsia="Times New Roman" w:cs="Arial"/>
              </w:rPr>
              <w:t>Sexual Abuse</w:t>
            </w:r>
          </w:p>
        </w:tc>
        <w:tc>
          <w:tcPr>
            <w:tcW w:w="1412" w:type="pct"/>
            <w:noWrap/>
            <w:hideMark/>
          </w:tcPr>
          <w:p w14:paraId="106082F1"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1.27</w:t>
            </w:r>
          </w:p>
        </w:tc>
        <w:tc>
          <w:tcPr>
            <w:tcW w:w="1218" w:type="pct"/>
            <w:noWrap/>
            <w:hideMark/>
          </w:tcPr>
          <w:p w14:paraId="618C016F"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1.23</w:t>
            </w:r>
          </w:p>
        </w:tc>
      </w:tr>
      <w:tr w:rsidR="004C4C39" w:rsidRPr="00A32EED" w14:paraId="16BBDA8A" w14:textId="77777777" w:rsidTr="00866623">
        <w:trPr>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0AF16E5E" w14:textId="77777777" w:rsidR="004C4C39" w:rsidRPr="00A32EED" w:rsidRDefault="004C4C39" w:rsidP="004C4C39">
            <w:pPr>
              <w:contextualSpacing/>
              <w:rPr>
                <w:rFonts w:eastAsia="Times New Roman" w:cs="Arial"/>
              </w:rPr>
            </w:pPr>
            <w:r w:rsidRPr="00A32EED">
              <w:rPr>
                <w:rFonts w:eastAsia="Times New Roman" w:cs="Arial"/>
              </w:rPr>
              <w:t>Other Mal.</w:t>
            </w:r>
          </w:p>
        </w:tc>
        <w:tc>
          <w:tcPr>
            <w:tcW w:w="1412" w:type="pct"/>
            <w:noWrap/>
            <w:hideMark/>
          </w:tcPr>
          <w:p w14:paraId="6B23D0C8"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1.38</w:t>
            </w:r>
          </w:p>
        </w:tc>
        <w:tc>
          <w:tcPr>
            <w:tcW w:w="1218" w:type="pct"/>
            <w:noWrap/>
            <w:hideMark/>
          </w:tcPr>
          <w:p w14:paraId="580D712E"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1.35</w:t>
            </w:r>
          </w:p>
        </w:tc>
      </w:tr>
      <w:tr w:rsidR="004C4C39" w:rsidRPr="00A32EED" w14:paraId="5C53799C" w14:textId="77777777" w:rsidTr="00866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3FBB9808" w14:textId="77777777" w:rsidR="004C4C39" w:rsidRPr="00A32EED" w:rsidRDefault="004C4C39" w:rsidP="004C4C39">
            <w:pPr>
              <w:contextualSpacing/>
              <w:rPr>
                <w:rFonts w:eastAsia="Times New Roman" w:cs="Arial"/>
              </w:rPr>
            </w:pPr>
            <w:r w:rsidRPr="00A32EED">
              <w:rPr>
                <w:rFonts w:eastAsia="Times New Roman" w:cs="Arial"/>
              </w:rPr>
              <w:t xml:space="preserve">Kinship Plmt. </w:t>
            </w:r>
          </w:p>
        </w:tc>
        <w:tc>
          <w:tcPr>
            <w:tcW w:w="1412" w:type="pct"/>
            <w:noWrap/>
            <w:hideMark/>
          </w:tcPr>
          <w:p w14:paraId="1AC431B7"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1.21</w:t>
            </w:r>
          </w:p>
        </w:tc>
        <w:tc>
          <w:tcPr>
            <w:tcW w:w="1218" w:type="pct"/>
            <w:noWrap/>
            <w:hideMark/>
          </w:tcPr>
          <w:p w14:paraId="73B405E8"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1.32</w:t>
            </w:r>
          </w:p>
        </w:tc>
      </w:tr>
      <w:tr w:rsidR="004C4C39" w:rsidRPr="00A32EED" w14:paraId="10C997DF" w14:textId="77777777" w:rsidTr="00866623">
        <w:trPr>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096D37E8" w14:textId="77777777" w:rsidR="004C4C39" w:rsidRPr="00A32EED" w:rsidRDefault="004C4C39" w:rsidP="004C4C39">
            <w:pPr>
              <w:contextualSpacing/>
              <w:rPr>
                <w:rFonts w:eastAsia="Times New Roman" w:cs="Arial"/>
              </w:rPr>
            </w:pPr>
            <w:r w:rsidRPr="00A32EED">
              <w:rPr>
                <w:rFonts w:eastAsia="Times New Roman" w:cs="Arial"/>
              </w:rPr>
              <w:t xml:space="preserve">Foster Plmt. </w:t>
            </w:r>
          </w:p>
        </w:tc>
        <w:tc>
          <w:tcPr>
            <w:tcW w:w="1412" w:type="pct"/>
            <w:noWrap/>
            <w:hideMark/>
          </w:tcPr>
          <w:p w14:paraId="3E0677C7"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1.13</w:t>
            </w:r>
          </w:p>
        </w:tc>
        <w:tc>
          <w:tcPr>
            <w:tcW w:w="1218" w:type="pct"/>
            <w:noWrap/>
            <w:hideMark/>
          </w:tcPr>
          <w:p w14:paraId="192DE57C"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1.09</w:t>
            </w:r>
          </w:p>
        </w:tc>
      </w:tr>
      <w:tr w:rsidR="004C4C39" w:rsidRPr="00A32EED" w14:paraId="64EA278A" w14:textId="77777777" w:rsidTr="00866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20D406FA" w14:textId="77777777" w:rsidR="004C4C39" w:rsidRPr="00A32EED" w:rsidRDefault="004C4C39" w:rsidP="004C4C39">
            <w:pPr>
              <w:contextualSpacing/>
              <w:rPr>
                <w:rFonts w:eastAsia="Times New Roman" w:cs="Arial"/>
              </w:rPr>
            </w:pPr>
            <w:r w:rsidRPr="00A32EED">
              <w:rPr>
                <w:rFonts w:eastAsia="Times New Roman" w:cs="Arial"/>
              </w:rPr>
              <w:t>Group Home/ Other</w:t>
            </w:r>
          </w:p>
        </w:tc>
        <w:tc>
          <w:tcPr>
            <w:tcW w:w="1412" w:type="pct"/>
            <w:noWrap/>
            <w:hideMark/>
          </w:tcPr>
          <w:p w14:paraId="011C6ACF"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1.18</w:t>
            </w:r>
          </w:p>
        </w:tc>
        <w:tc>
          <w:tcPr>
            <w:tcW w:w="1218" w:type="pct"/>
            <w:noWrap/>
            <w:hideMark/>
          </w:tcPr>
          <w:p w14:paraId="3A3A2D57"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1.14</w:t>
            </w:r>
          </w:p>
        </w:tc>
      </w:tr>
      <w:tr w:rsidR="004C4C39" w:rsidRPr="00A32EED" w14:paraId="7872BCD7" w14:textId="77777777" w:rsidTr="00866623">
        <w:trPr>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05FBC2A3" w14:textId="77777777" w:rsidR="004C4C39" w:rsidRPr="00A32EED" w:rsidRDefault="004C4C39" w:rsidP="004C4C39">
            <w:pPr>
              <w:contextualSpacing/>
              <w:rPr>
                <w:rFonts w:eastAsia="Times New Roman" w:cs="Arial"/>
              </w:rPr>
            </w:pPr>
            <w:r w:rsidRPr="00A32EED">
              <w:rPr>
                <w:rFonts w:eastAsia="Times New Roman" w:cs="Arial"/>
              </w:rPr>
              <w:t>CW History</w:t>
            </w:r>
          </w:p>
        </w:tc>
        <w:tc>
          <w:tcPr>
            <w:tcW w:w="1412" w:type="pct"/>
            <w:noWrap/>
            <w:hideMark/>
          </w:tcPr>
          <w:p w14:paraId="2666911A"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1.07</w:t>
            </w:r>
          </w:p>
        </w:tc>
        <w:tc>
          <w:tcPr>
            <w:tcW w:w="1218" w:type="pct"/>
            <w:noWrap/>
            <w:hideMark/>
          </w:tcPr>
          <w:p w14:paraId="47D95A87"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1.1</w:t>
            </w:r>
          </w:p>
        </w:tc>
      </w:tr>
      <w:tr w:rsidR="004C4C39" w:rsidRPr="00A32EED" w14:paraId="291CDFC3" w14:textId="77777777" w:rsidTr="00866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64C36F1A" w14:textId="77777777" w:rsidR="004C4C39" w:rsidRPr="00A32EED" w:rsidRDefault="004C4C39" w:rsidP="004C4C39">
            <w:pPr>
              <w:contextualSpacing/>
              <w:rPr>
                <w:rFonts w:eastAsia="Times New Roman" w:cs="Arial"/>
              </w:rPr>
            </w:pPr>
            <w:r w:rsidRPr="00A32EED">
              <w:rPr>
                <w:rFonts w:eastAsia="Times New Roman" w:cs="Arial"/>
              </w:rPr>
              <w:t>Self-Control</w:t>
            </w:r>
          </w:p>
        </w:tc>
        <w:tc>
          <w:tcPr>
            <w:tcW w:w="1412" w:type="pct"/>
            <w:noWrap/>
            <w:hideMark/>
          </w:tcPr>
          <w:p w14:paraId="388A20F9"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1.04</w:t>
            </w:r>
          </w:p>
        </w:tc>
        <w:tc>
          <w:tcPr>
            <w:tcW w:w="1218" w:type="pct"/>
            <w:noWrap/>
            <w:hideMark/>
          </w:tcPr>
          <w:p w14:paraId="261FB2D8" w14:textId="77777777" w:rsidR="004C4C39" w:rsidRPr="00A32EED" w:rsidRDefault="004C4C39" w:rsidP="004C4C39">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1.06</w:t>
            </w:r>
          </w:p>
        </w:tc>
      </w:tr>
      <w:tr w:rsidR="004C4C39" w:rsidRPr="00A32EED" w14:paraId="47FA3FA6" w14:textId="77777777" w:rsidTr="00866623">
        <w:trPr>
          <w:trHeight w:val="320"/>
        </w:trPr>
        <w:tc>
          <w:tcPr>
            <w:cnfStyle w:val="001000000000" w:firstRow="0" w:lastRow="0" w:firstColumn="1" w:lastColumn="0" w:oddVBand="0" w:evenVBand="0" w:oddHBand="0" w:evenHBand="0" w:firstRowFirstColumn="0" w:firstRowLastColumn="0" w:lastRowFirstColumn="0" w:lastRowLastColumn="0"/>
            <w:tcW w:w="2370" w:type="pct"/>
            <w:noWrap/>
            <w:hideMark/>
          </w:tcPr>
          <w:p w14:paraId="53C106C4" w14:textId="77777777" w:rsidR="004C4C39" w:rsidRPr="00A32EED" w:rsidRDefault="004C4C39" w:rsidP="004C4C39">
            <w:pPr>
              <w:contextualSpacing/>
              <w:rPr>
                <w:rFonts w:eastAsia="Times New Roman" w:cs="Arial"/>
              </w:rPr>
            </w:pPr>
            <w:r w:rsidRPr="00A32EED">
              <w:rPr>
                <w:rFonts w:eastAsia="Times New Roman" w:cs="Arial"/>
              </w:rPr>
              <w:t>Male*Substantiated</w:t>
            </w:r>
          </w:p>
        </w:tc>
        <w:tc>
          <w:tcPr>
            <w:tcW w:w="1412" w:type="pct"/>
            <w:noWrap/>
            <w:hideMark/>
          </w:tcPr>
          <w:p w14:paraId="2F2D7F9F"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3.15</w:t>
            </w:r>
          </w:p>
        </w:tc>
        <w:tc>
          <w:tcPr>
            <w:tcW w:w="1218" w:type="pct"/>
            <w:noWrap/>
            <w:hideMark/>
          </w:tcPr>
          <w:p w14:paraId="7F85B83F" w14:textId="77777777" w:rsidR="004C4C39" w:rsidRPr="00A32EED" w:rsidRDefault="004C4C39" w:rsidP="004C4C39">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2.45</w:t>
            </w:r>
          </w:p>
        </w:tc>
      </w:tr>
    </w:tbl>
    <w:p w14:paraId="66689965" w14:textId="77777777" w:rsidR="004C4C39" w:rsidRPr="00A32EED" w:rsidRDefault="004C4C39" w:rsidP="004C4C39">
      <w:pPr>
        <w:spacing w:after="0"/>
        <w:contextualSpacing/>
        <w:rPr>
          <w:rFonts w:eastAsia="Calibri"/>
          <w:i/>
          <w:iCs/>
          <w:color w:val="000000"/>
          <w:szCs w:val="18"/>
        </w:rPr>
      </w:pPr>
    </w:p>
    <w:p w14:paraId="6ADCD05F" w14:textId="5CC1479A" w:rsidR="004C4C39" w:rsidRPr="00A32EED" w:rsidRDefault="004C4C39" w:rsidP="0023176A">
      <w:pPr>
        <w:pStyle w:val="Caption1"/>
        <w:rPr>
          <w:rFonts w:eastAsia="Calibri"/>
        </w:rPr>
      </w:pPr>
      <w:bookmarkStart w:id="102" w:name="_Toc479941225"/>
      <w:r w:rsidRPr="00A32EED">
        <w:rPr>
          <w:rFonts w:eastAsia="Calibri"/>
        </w:rPr>
        <w:t>Table 5.</w:t>
      </w:r>
      <w:r w:rsidR="00B65150">
        <w:rPr>
          <w:rFonts w:eastAsia="Calibri"/>
        </w:rPr>
        <w:t>5</w:t>
      </w:r>
      <w:r w:rsidRPr="00A32EED">
        <w:rPr>
          <w:rFonts w:eastAsia="Calibri"/>
        </w:rPr>
        <w:t>: Bivariate Relationships between Independent Variables and Early Sexual Initiation</w:t>
      </w:r>
      <w:bookmarkEnd w:id="102"/>
    </w:p>
    <w:tbl>
      <w:tblPr>
        <w:tblStyle w:val="ListTable6Colorful1"/>
        <w:tblW w:w="4730" w:type="pct"/>
        <w:tblLook w:val="04A0" w:firstRow="1" w:lastRow="0" w:firstColumn="1" w:lastColumn="0" w:noHBand="0" w:noVBand="1"/>
      </w:tblPr>
      <w:tblGrid>
        <w:gridCol w:w="4295"/>
        <w:gridCol w:w="3742"/>
      </w:tblGrid>
      <w:tr w:rsidR="004C4C39" w:rsidRPr="00A32EED" w14:paraId="4A076EF7" w14:textId="77777777" w:rsidTr="00866623">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3432C359" w14:textId="77777777" w:rsidR="004C4C39" w:rsidRPr="00A32EED" w:rsidRDefault="004C4C39" w:rsidP="004C4C39">
            <w:pPr>
              <w:rPr>
                <w:rFonts w:eastAsia="Calibri" w:cs="Arial"/>
                <w:sz w:val="20"/>
                <w:szCs w:val="20"/>
              </w:rPr>
            </w:pPr>
          </w:p>
        </w:tc>
        <w:tc>
          <w:tcPr>
            <w:tcW w:w="2328" w:type="pct"/>
            <w:noWrap/>
            <w:hideMark/>
          </w:tcPr>
          <w:p w14:paraId="1A7D0A78" w14:textId="77777777" w:rsidR="004C4C39" w:rsidRPr="00A32EED" w:rsidRDefault="004C4C39" w:rsidP="004C4C39">
            <w:pP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Early Sexual Initiation</w:t>
            </w:r>
          </w:p>
        </w:tc>
      </w:tr>
      <w:tr w:rsidR="004C4C39" w:rsidRPr="00A32EED" w14:paraId="4D6EE1DB" w14:textId="77777777" w:rsidTr="0086662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1A38DD9D" w14:textId="77777777" w:rsidR="004C4C39" w:rsidRPr="00A32EED" w:rsidRDefault="004C4C39" w:rsidP="004C4C39">
            <w:pPr>
              <w:rPr>
                <w:rFonts w:eastAsia="Times New Roman" w:cs="Arial"/>
              </w:rPr>
            </w:pPr>
            <w:r w:rsidRPr="00A32EED">
              <w:rPr>
                <w:rFonts w:eastAsia="Times New Roman" w:cs="Arial"/>
              </w:rPr>
              <w:t>Male</w:t>
            </w:r>
          </w:p>
        </w:tc>
        <w:tc>
          <w:tcPr>
            <w:tcW w:w="2328" w:type="pct"/>
            <w:noWrap/>
            <w:hideMark/>
          </w:tcPr>
          <w:p w14:paraId="129A8862"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97 (41.63%)</w:t>
            </w:r>
          </w:p>
        </w:tc>
      </w:tr>
      <w:tr w:rsidR="004C4C39" w:rsidRPr="00A32EED" w14:paraId="241A10A2" w14:textId="77777777" w:rsidTr="00866623">
        <w:trPr>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31DB68A0" w14:textId="77777777" w:rsidR="004C4C39" w:rsidRPr="00A32EED" w:rsidRDefault="004C4C39" w:rsidP="004C4C39">
            <w:pPr>
              <w:rPr>
                <w:rFonts w:eastAsia="Times New Roman" w:cs="Arial"/>
              </w:rPr>
            </w:pPr>
            <w:r w:rsidRPr="00A32EED">
              <w:rPr>
                <w:rFonts w:eastAsia="Times New Roman" w:cs="Arial"/>
              </w:rPr>
              <w:t>Non-White</w:t>
            </w:r>
          </w:p>
        </w:tc>
        <w:tc>
          <w:tcPr>
            <w:tcW w:w="2328" w:type="pct"/>
            <w:noWrap/>
            <w:hideMark/>
          </w:tcPr>
          <w:p w14:paraId="49498257"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145 (52.61%)</w:t>
            </w:r>
          </w:p>
        </w:tc>
      </w:tr>
      <w:tr w:rsidR="004C4C39" w:rsidRPr="00A32EED" w14:paraId="5AAD4C27" w14:textId="77777777" w:rsidTr="0086662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16FCE634" w14:textId="77777777" w:rsidR="004C4C39" w:rsidRPr="00A32EED" w:rsidRDefault="004C4C39" w:rsidP="004C4C39">
            <w:pPr>
              <w:rPr>
                <w:rFonts w:eastAsia="Times New Roman" w:cs="Arial"/>
              </w:rPr>
            </w:pPr>
            <w:r w:rsidRPr="00A32EED">
              <w:rPr>
                <w:rFonts w:eastAsia="Times New Roman" w:cs="Arial"/>
              </w:rPr>
              <w:t>Substantiated</w:t>
            </w:r>
          </w:p>
        </w:tc>
        <w:tc>
          <w:tcPr>
            <w:tcW w:w="2328" w:type="pct"/>
            <w:noWrap/>
            <w:hideMark/>
          </w:tcPr>
          <w:p w14:paraId="7F181A13"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182 (33.61%)</w:t>
            </w:r>
          </w:p>
        </w:tc>
      </w:tr>
      <w:tr w:rsidR="004C4C39" w:rsidRPr="00A32EED" w14:paraId="45F097DB" w14:textId="77777777" w:rsidTr="00866623">
        <w:trPr>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454F5ABF" w14:textId="77777777" w:rsidR="004C4C39" w:rsidRPr="00A32EED" w:rsidRDefault="004C4C39" w:rsidP="004C4C39">
            <w:pPr>
              <w:rPr>
                <w:rFonts w:eastAsia="Times New Roman" w:cs="Arial"/>
              </w:rPr>
            </w:pPr>
            <w:r w:rsidRPr="00A32EED">
              <w:rPr>
                <w:rFonts w:eastAsia="Times New Roman" w:cs="Arial"/>
              </w:rPr>
              <w:t>CW History</w:t>
            </w:r>
          </w:p>
        </w:tc>
        <w:tc>
          <w:tcPr>
            <w:tcW w:w="2328" w:type="pct"/>
            <w:noWrap/>
            <w:hideMark/>
          </w:tcPr>
          <w:p w14:paraId="10591E6B"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205 (69.98%)*</w:t>
            </w:r>
          </w:p>
        </w:tc>
      </w:tr>
      <w:tr w:rsidR="004C4C39" w:rsidRPr="00A32EED" w14:paraId="605512F3" w14:textId="77777777" w:rsidTr="0086662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39FE941C" w14:textId="77777777" w:rsidR="004C4C39" w:rsidRPr="00A32EED" w:rsidRDefault="004C4C39" w:rsidP="004C4C39">
            <w:pPr>
              <w:rPr>
                <w:rFonts w:eastAsia="Times New Roman" w:cs="Arial"/>
              </w:rPr>
            </w:pPr>
            <w:r w:rsidRPr="00A32EED">
              <w:rPr>
                <w:rFonts w:eastAsia="Times New Roman" w:cs="Arial"/>
              </w:rPr>
              <w:t>Baseline Service</w:t>
            </w:r>
          </w:p>
        </w:tc>
        <w:tc>
          <w:tcPr>
            <w:tcW w:w="2328" w:type="pct"/>
            <w:noWrap/>
            <w:hideMark/>
          </w:tcPr>
          <w:p w14:paraId="7684D10F"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213 (31.26%)*</w:t>
            </w:r>
          </w:p>
        </w:tc>
      </w:tr>
      <w:tr w:rsidR="004C4C39" w:rsidRPr="00A32EED" w14:paraId="2DED0680" w14:textId="77777777" w:rsidTr="00866623">
        <w:trPr>
          <w:trHeight w:val="304"/>
        </w:trPr>
        <w:tc>
          <w:tcPr>
            <w:cnfStyle w:val="001000000000" w:firstRow="0" w:lastRow="0" w:firstColumn="1" w:lastColumn="0" w:oddVBand="0" w:evenVBand="0" w:oddHBand="0" w:evenHBand="0" w:firstRowFirstColumn="0" w:firstRowLastColumn="0" w:lastRowFirstColumn="0" w:lastRowLastColumn="0"/>
            <w:tcW w:w="5000" w:type="pct"/>
            <w:gridSpan w:val="2"/>
            <w:noWrap/>
            <w:hideMark/>
          </w:tcPr>
          <w:p w14:paraId="3AC4E0B3" w14:textId="77777777" w:rsidR="004C4C39" w:rsidRPr="00A32EED" w:rsidRDefault="004C4C39" w:rsidP="004C4C39">
            <w:pPr>
              <w:rPr>
                <w:rFonts w:eastAsia="Times New Roman" w:cs="Arial"/>
              </w:rPr>
            </w:pPr>
            <w:r w:rsidRPr="00A32EED">
              <w:rPr>
                <w:rFonts w:eastAsia="Times New Roman" w:cs="Arial"/>
              </w:rPr>
              <w:t>Maltreatment Type</w:t>
            </w:r>
          </w:p>
        </w:tc>
      </w:tr>
      <w:tr w:rsidR="004C4C39" w:rsidRPr="00A32EED" w14:paraId="587F4AB3" w14:textId="77777777" w:rsidTr="0086662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791F1D4F" w14:textId="77777777" w:rsidR="004C4C39" w:rsidRPr="00A32EED" w:rsidRDefault="004C4C39" w:rsidP="004C4C39">
            <w:pPr>
              <w:rPr>
                <w:rFonts w:eastAsia="Times New Roman" w:cs="Arial"/>
              </w:rPr>
            </w:pPr>
            <w:r w:rsidRPr="00A32EED">
              <w:rPr>
                <w:rFonts w:eastAsia="Times New Roman" w:cs="Arial"/>
              </w:rPr>
              <w:t>Neglect</w:t>
            </w:r>
          </w:p>
        </w:tc>
        <w:tc>
          <w:tcPr>
            <w:tcW w:w="2328" w:type="pct"/>
            <w:noWrap/>
            <w:hideMark/>
          </w:tcPr>
          <w:p w14:paraId="39B46479"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115 (41.07%)</w:t>
            </w:r>
          </w:p>
        </w:tc>
      </w:tr>
      <w:tr w:rsidR="004C4C39" w:rsidRPr="00A32EED" w14:paraId="7BDFDCCB" w14:textId="77777777" w:rsidTr="00866623">
        <w:trPr>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26619F94" w14:textId="77777777" w:rsidR="004C4C39" w:rsidRPr="00A32EED" w:rsidRDefault="004C4C39" w:rsidP="004C4C39">
            <w:pPr>
              <w:rPr>
                <w:rFonts w:eastAsia="Times New Roman" w:cs="Arial"/>
              </w:rPr>
            </w:pPr>
            <w:r w:rsidRPr="00A32EED">
              <w:rPr>
                <w:rFonts w:eastAsia="Times New Roman" w:cs="Arial"/>
              </w:rPr>
              <w:t>Physical Abuse</w:t>
            </w:r>
          </w:p>
        </w:tc>
        <w:tc>
          <w:tcPr>
            <w:tcW w:w="2328" w:type="pct"/>
            <w:noWrap/>
            <w:hideMark/>
          </w:tcPr>
          <w:p w14:paraId="0A33AF7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77 (30.74%)</w:t>
            </w:r>
          </w:p>
        </w:tc>
      </w:tr>
      <w:tr w:rsidR="004C4C39" w:rsidRPr="00A32EED" w14:paraId="1493688A" w14:textId="77777777" w:rsidTr="0086662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56265327" w14:textId="77777777" w:rsidR="004C4C39" w:rsidRPr="00A32EED" w:rsidRDefault="004C4C39" w:rsidP="004C4C39">
            <w:pPr>
              <w:rPr>
                <w:rFonts w:eastAsia="Times New Roman" w:cs="Arial"/>
              </w:rPr>
            </w:pPr>
            <w:r w:rsidRPr="00A32EED">
              <w:rPr>
                <w:rFonts w:eastAsia="Times New Roman" w:cs="Arial"/>
              </w:rPr>
              <w:t>Sexual Abuse</w:t>
            </w:r>
          </w:p>
        </w:tc>
        <w:tc>
          <w:tcPr>
            <w:tcW w:w="2328" w:type="pct"/>
            <w:noWrap/>
            <w:hideMark/>
          </w:tcPr>
          <w:p w14:paraId="1750DF4E"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70 (19.39%</w:t>
            </w:r>
          </w:p>
        </w:tc>
      </w:tr>
      <w:tr w:rsidR="004C4C39" w:rsidRPr="00A32EED" w14:paraId="2EABF254" w14:textId="77777777" w:rsidTr="00866623">
        <w:trPr>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761E2842" w14:textId="77777777" w:rsidR="004C4C39" w:rsidRPr="00A32EED" w:rsidRDefault="004C4C39" w:rsidP="004C4C39">
            <w:pPr>
              <w:rPr>
                <w:rFonts w:eastAsia="Times New Roman" w:cs="Arial"/>
              </w:rPr>
            </w:pPr>
            <w:r w:rsidRPr="00A32EED">
              <w:rPr>
                <w:rFonts w:eastAsia="Times New Roman" w:cs="Arial"/>
              </w:rPr>
              <w:t>Other</w:t>
            </w:r>
          </w:p>
        </w:tc>
        <w:tc>
          <w:tcPr>
            <w:tcW w:w="2328" w:type="pct"/>
            <w:noWrap/>
            <w:hideMark/>
          </w:tcPr>
          <w:p w14:paraId="7DFB59AB"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33 (9.80%)</w:t>
            </w:r>
          </w:p>
        </w:tc>
      </w:tr>
      <w:tr w:rsidR="004C4C39" w:rsidRPr="00A32EED" w14:paraId="18F4C001" w14:textId="77777777" w:rsidTr="0086662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157C4813" w14:textId="77777777" w:rsidR="004C4C39" w:rsidRPr="00A32EED" w:rsidRDefault="004C4C39" w:rsidP="004C4C39">
            <w:pPr>
              <w:rPr>
                <w:rFonts w:eastAsia="Times New Roman" w:cs="Arial"/>
              </w:rPr>
            </w:pPr>
            <w:r w:rsidRPr="00A32EED">
              <w:rPr>
                <w:rFonts w:eastAsia="Times New Roman" w:cs="Arial"/>
              </w:rPr>
              <w:t>More than 1 Mal</w:t>
            </w:r>
          </w:p>
        </w:tc>
        <w:tc>
          <w:tcPr>
            <w:tcW w:w="2328" w:type="pct"/>
            <w:noWrap/>
            <w:hideMark/>
          </w:tcPr>
          <w:p w14:paraId="5BE5C649"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92 (23.59%)</w:t>
            </w:r>
          </w:p>
        </w:tc>
      </w:tr>
      <w:tr w:rsidR="004C4C39" w:rsidRPr="00A32EED" w14:paraId="1738AA15" w14:textId="77777777" w:rsidTr="00866623">
        <w:trPr>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0076A5E8" w14:textId="77777777" w:rsidR="004C4C39" w:rsidRPr="00A32EED" w:rsidRDefault="004C4C39" w:rsidP="004C4C39">
            <w:pPr>
              <w:rPr>
                <w:rFonts w:eastAsia="Times New Roman" w:cs="Arial"/>
              </w:rPr>
            </w:pPr>
            <w:r w:rsidRPr="00A32EED">
              <w:rPr>
                <w:rFonts w:eastAsia="Times New Roman" w:cs="Arial"/>
              </w:rPr>
              <w:t>Placement Type</w:t>
            </w:r>
          </w:p>
        </w:tc>
        <w:tc>
          <w:tcPr>
            <w:tcW w:w="2328" w:type="pct"/>
            <w:noWrap/>
            <w:hideMark/>
          </w:tcPr>
          <w:p w14:paraId="62C769F4"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7BA9A254" w14:textId="77777777" w:rsidTr="0086662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73E1B0E8" w14:textId="77777777" w:rsidR="004C4C39" w:rsidRPr="00A32EED" w:rsidRDefault="004C4C39" w:rsidP="004C4C39">
            <w:pPr>
              <w:rPr>
                <w:rFonts w:eastAsia="Times New Roman" w:cs="Arial"/>
              </w:rPr>
            </w:pPr>
            <w:r w:rsidRPr="00A32EED">
              <w:rPr>
                <w:rFonts w:eastAsia="Times New Roman" w:cs="Arial"/>
              </w:rPr>
              <w:t>In Home</w:t>
            </w:r>
          </w:p>
        </w:tc>
        <w:tc>
          <w:tcPr>
            <w:tcW w:w="2328" w:type="pct"/>
            <w:noWrap/>
            <w:hideMark/>
          </w:tcPr>
          <w:p w14:paraId="344CA6D9"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212 (81.82%)*</w:t>
            </w:r>
          </w:p>
        </w:tc>
      </w:tr>
      <w:tr w:rsidR="004C4C39" w:rsidRPr="00A32EED" w14:paraId="6A04BEFA" w14:textId="77777777" w:rsidTr="00866623">
        <w:trPr>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35C56601" w14:textId="77777777" w:rsidR="004C4C39" w:rsidRPr="00A32EED" w:rsidRDefault="004C4C39" w:rsidP="004C4C39">
            <w:pPr>
              <w:rPr>
                <w:rFonts w:eastAsia="Times New Roman" w:cs="Arial"/>
              </w:rPr>
            </w:pPr>
            <w:r w:rsidRPr="00A32EED">
              <w:rPr>
                <w:rFonts w:eastAsia="Times New Roman" w:cs="Arial"/>
              </w:rPr>
              <w:t>Kinship</w:t>
            </w:r>
          </w:p>
        </w:tc>
        <w:tc>
          <w:tcPr>
            <w:tcW w:w="2328" w:type="pct"/>
            <w:noWrap/>
            <w:hideMark/>
          </w:tcPr>
          <w:p w14:paraId="70E70702"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27 (5.22%)</w:t>
            </w:r>
          </w:p>
        </w:tc>
      </w:tr>
      <w:tr w:rsidR="004C4C39" w:rsidRPr="00A32EED" w14:paraId="6469E382" w14:textId="77777777" w:rsidTr="0086662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531F6259" w14:textId="77777777" w:rsidR="004C4C39" w:rsidRPr="00A32EED" w:rsidRDefault="004C4C39" w:rsidP="004C4C39">
            <w:pPr>
              <w:rPr>
                <w:rFonts w:eastAsia="Times New Roman" w:cs="Arial"/>
              </w:rPr>
            </w:pPr>
            <w:r w:rsidRPr="00A32EED">
              <w:rPr>
                <w:rFonts w:eastAsia="Times New Roman" w:cs="Arial"/>
              </w:rPr>
              <w:t>Foster Care</w:t>
            </w:r>
          </w:p>
        </w:tc>
        <w:tc>
          <w:tcPr>
            <w:tcW w:w="2328" w:type="pct"/>
            <w:noWrap/>
            <w:hideMark/>
          </w:tcPr>
          <w:p w14:paraId="760CCEE3"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28 (4.06%)</w:t>
            </w:r>
          </w:p>
        </w:tc>
      </w:tr>
      <w:tr w:rsidR="004C4C39" w:rsidRPr="00A32EED" w14:paraId="31787AC2" w14:textId="77777777" w:rsidTr="00866623">
        <w:trPr>
          <w:trHeight w:val="304"/>
        </w:trPr>
        <w:tc>
          <w:tcPr>
            <w:cnfStyle w:val="001000000000" w:firstRow="0" w:lastRow="0" w:firstColumn="1" w:lastColumn="0" w:oddVBand="0" w:evenVBand="0" w:oddHBand="0" w:evenHBand="0" w:firstRowFirstColumn="0" w:firstRowLastColumn="0" w:lastRowFirstColumn="0" w:lastRowLastColumn="0"/>
            <w:tcW w:w="2672" w:type="pct"/>
            <w:noWrap/>
            <w:hideMark/>
          </w:tcPr>
          <w:p w14:paraId="4D49D49B" w14:textId="77777777" w:rsidR="004C4C39" w:rsidRPr="00A32EED" w:rsidRDefault="004C4C39" w:rsidP="004C4C39">
            <w:pPr>
              <w:rPr>
                <w:rFonts w:eastAsia="Times New Roman" w:cs="Arial"/>
              </w:rPr>
            </w:pPr>
            <w:r w:rsidRPr="00A32EED">
              <w:rPr>
                <w:rFonts w:eastAsia="Times New Roman" w:cs="Arial"/>
              </w:rPr>
              <w:t>Group Home/Other</w:t>
            </w:r>
          </w:p>
        </w:tc>
        <w:tc>
          <w:tcPr>
            <w:tcW w:w="2328" w:type="pct"/>
            <w:noWrap/>
            <w:hideMark/>
          </w:tcPr>
          <w:p w14:paraId="246E2B1B"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28 (8.90%)***</w:t>
            </w:r>
          </w:p>
        </w:tc>
      </w:tr>
    </w:tbl>
    <w:p w14:paraId="760A370B" w14:textId="77777777" w:rsidR="004C4C39" w:rsidRPr="00A32EED" w:rsidRDefault="004C4C39" w:rsidP="004C4C39">
      <w:pPr>
        <w:spacing w:after="0"/>
        <w:rPr>
          <w:rFonts w:eastAsia="Calibri"/>
          <w:color w:val="000000"/>
          <w:sz w:val="20"/>
        </w:rPr>
      </w:pPr>
      <w:r w:rsidRPr="00A32EED">
        <w:rPr>
          <w:rFonts w:eastAsia="Calibri"/>
          <w:color w:val="000000"/>
          <w:sz w:val="20"/>
        </w:rPr>
        <w:t>Percentages presented are the weighted percentages</w:t>
      </w:r>
    </w:p>
    <w:p w14:paraId="00EEA7A5" w14:textId="77777777" w:rsidR="004C4C39" w:rsidRPr="00A32EED" w:rsidRDefault="004C4C39" w:rsidP="004C4C39">
      <w:pPr>
        <w:spacing w:after="0" w:line="480" w:lineRule="auto"/>
        <w:rPr>
          <w:rFonts w:eastAsia="Calibri"/>
        </w:rPr>
      </w:pPr>
      <w:r w:rsidRPr="00A32EED">
        <w:rPr>
          <w:rFonts w:eastAsia="Calibri"/>
        </w:rPr>
        <w:lastRenderedPageBreak/>
        <w:t xml:space="preserve"> </w:t>
      </w:r>
      <w:r w:rsidRPr="00A32EED">
        <w:rPr>
          <w:rFonts w:eastAsia="Calibri"/>
        </w:rPr>
        <w:tab/>
      </w:r>
    </w:p>
    <w:p w14:paraId="5EA22827" w14:textId="77777777" w:rsidR="004C4C39" w:rsidRPr="00A32EED" w:rsidRDefault="004C4C39" w:rsidP="004C4C39">
      <w:pPr>
        <w:spacing w:after="0" w:line="480" w:lineRule="auto"/>
        <w:ind w:firstLine="720"/>
        <w:rPr>
          <w:rFonts w:eastAsia="Calibri"/>
        </w:rPr>
      </w:pPr>
      <w:r w:rsidRPr="00A32EED">
        <w:rPr>
          <w:rFonts w:eastAsia="Calibri"/>
        </w:rPr>
        <w:t xml:space="preserve">The second significant relationship between baseline placement and early sexual initiation is for those placed in a group home, residential treatment facility, or other non-traditional placement. Specifically, while 267 (91.1%) of the 295 early initiators were not placed in a group home/other placement, 28 (89.57%) of the 41 youth placed in a group home/other placements were early sexual initiators. Thus, most early initiators were not in a group home/other placement, however, many of those placed in a group home/other placement at baseline were early initiators. Taken together these bivariate relationships suggest that those who remain in their home at baseline are less likely to be early initiators and those who are placed in a group home/other placements at baseline are more likely to be early initiators. </w:t>
      </w:r>
    </w:p>
    <w:p w14:paraId="0DEB3764" w14:textId="295A90CB" w:rsidR="004C4C39" w:rsidRPr="00A32EED" w:rsidRDefault="004C4C39" w:rsidP="004C4C39">
      <w:pPr>
        <w:spacing w:after="0" w:line="480" w:lineRule="auto"/>
        <w:ind w:firstLine="720"/>
        <w:rPr>
          <w:rFonts w:eastAsia="Calibri"/>
          <w:b/>
          <w:i/>
          <w:iCs/>
          <w:color w:val="000000"/>
          <w:szCs w:val="18"/>
        </w:rPr>
      </w:pPr>
      <w:r w:rsidRPr="00A32EED">
        <w:rPr>
          <w:rFonts w:eastAsia="Calibri"/>
        </w:rPr>
        <w:t xml:space="preserve">Examining bivariate relationships between early initiation and continuous variables is a two-step process in STATA. The current study used the process outlined by Heeringa et. al </w:t>
      </w:r>
      <w:r w:rsidRPr="00A32EED">
        <w:rPr>
          <w:rFonts w:eastAsia="Calibri"/>
        </w:rPr>
        <w:fldChar w:fldCharType="begin"/>
      </w:r>
      <w:r w:rsidRPr="00A32EED">
        <w:rPr>
          <w:rFonts w:eastAsia="Calibri"/>
        </w:rPr>
        <w:instrText xml:space="preserve"> ADDIN ZOTERO_ITEM CSL_CITATION {"citationID":"1idv11p5rh","properties":{"formattedCitation":"(2010)","plainCitation":"(2010)"},"citationItems":[{"id":1416,"uris":["http://zotero.org/users/1165382/items/ARS6WQME"],"uri":["http://zotero.org/users/1165382/items/ARS6WQME"],"itemData":{"id":1416,"type":"book","title":"Applied survey data analysis","collection-title":"Chapman &amp; Hall/CRC statistics in the social and behavioral sciences series","publisher":"Chapman &amp; Hall/CRC","publisher-place":"Boca Raton, FL","number-of-pages":"467","source":"Library of Congress ISBN","event-place":"Boca Raton, FL","ISBN":"978-1-4200-8066-7","call-number":"HA29 .H428 2010","note":"00443 \nOCLC: ocn226357307","author":[{"family":"Heeringa","given":"Steven"},{"family":"West","given":"Brady T."},{"family":"Berglund","given":"Patricia A."}],"issued":{"date-parts":[["2010"]]}},"suppress-author":true}],"schema":"https://github.com/citation-style-language/schema/raw/master/csl-citation.json"} </w:instrText>
      </w:r>
      <w:r w:rsidRPr="00A32EED">
        <w:rPr>
          <w:rFonts w:eastAsia="Calibri"/>
        </w:rPr>
        <w:fldChar w:fldCharType="separate"/>
      </w:r>
      <w:r w:rsidRPr="00A32EED">
        <w:rPr>
          <w:rFonts w:eastAsia="Calibri"/>
          <w:noProof/>
        </w:rPr>
        <w:t>(2010)</w:t>
      </w:r>
      <w:r w:rsidRPr="00A32EED">
        <w:rPr>
          <w:rFonts w:eastAsia="Calibri"/>
        </w:rPr>
        <w:fldChar w:fldCharType="end"/>
      </w:r>
      <w:r w:rsidRPr="00A32EED">
        <w:rPr>
          <w:rFonts w:eastAsia="Calibri"/>
        </w:rPr>
        <w:t xml:space="preserve">. The first step in this process is to produce means for early initiators and non-early initiators for the subpopulation of the analytic sample. Next, the </w:t>
      </w:r>
      <w:r w:rsidRPr="00A32EED">
        <w:rPr>
          <w:rFonts w:eastAsia="Calibri"/>
          <w:i/>
        </w:rPr>
        <w:t>lincom</w:t>
      </w:r>
      <w:r w:rsidRPr="00A32EED">
        <w:rPr>
          <w:rFonts w:eastAsia="Calibri"/>
        </w:rPr>
        <w:t xml:space="preserve"> command is used to estimate the difference in means between the early and non-early initiators. In addition to estimating the difference in means, the </w:t>
      </w:r>
      <w:r w:rsidRPr="00A32EED">
        <w:rPr>
          <w:rFonts w:eastAsia="Calibri"/>
          <w:i/>
        </w:rPr>
        <w:t>lincom</w:t>
      </w:r>
      <w:r w:rsidRPr="00A32EED">
        <w:rPr>
          <w:rFonts w:eastAsia="Calibri"/>
        </w:rPr>
        <w:t xml:space="preserve"> command also produces a t-statistic to determine if the difference is significant. This process was used to examine mean differences in age at baseline, self-control, and level of harm among those who did and did not initiate sex early. Results from the an</w:t>
      </w:r>
      <w:r w:rsidR="003131B5">
        <w:rPr>
          <w:rFonts w:eastAsia="Calibri"/>
        </w:rPr>
        <w:t>alyses can be found in Table 5.6</w:t>
      </w:r>
      <w:r w:rsidRPr="00A32EED">
        <w:rPr>
          <w:rFonts w:eastAsia="Calibri"/>
        </w:rPr>
        <w:t xml:space="preserve">. </w:t>
      </w:r>
    </w:p>
    <w:p w14:paraId="13B8A064" w14:textId="297ED8EF" w:rsidR="004C4C39" w:rsidRPr="00A32EED" w:rsidRDefault="004C4C39" w:rsidP="0023176A">
      <w:pPr>
        <w:pStyle w:val="Caption1"/>
        <w:rPr>
          <w:rFonts w:eastAsia="Calibri"/>
        </w:rPr>
      </w:pPr>
      <w:bookmarkStart w:id="103" w:name="_Toc479941226"/>
      <w:r w:rsidRPr="00A32EED">
        <w:rPr>
          <w:rFonts w:eastAsia="Calibri"/>
        </w:rPr>
        <w:lastRenderedPageBreak/>
        <w:t>Table 5.</w:t>
      </w:r>
      <w:r w:rsidR="003131B5">
        <w:rPr>
          <w:rFonts w:eastAsia="Calibri"/>
        </w:rPr>
        <w:t>6</w:t>
      </w:r>
      <w:r w:rsidRPr="00A32EED">
        <w:rPr>
          <w:rFonts w:eastAsia="Calibri"/>
        </w:rPr>
        <w:t>: Comparison of Means Between Early and Non-Early Initiators</w:t>
      </w:r>
      <w:bookmarkEnd w:id="103"/>
    </w:p>
    <w:tbl>
      <w:tblPr>
        <w:tblStyle w:val="ListTable6Colorful1"/>
        <w:tblW w:w="4712" w:type="pct"/>
        <w:tblLayout w:type="fixed"/>
        <w:tblLook w:val="04A0" w:firstRow="1" w:lastRow="0" w:firstColumn="1" w:lastColumn="0" w:noHBand="0" w:noVBand="1"/>
      </w:tblPr>
      <w:tblGrid>
        <w:gridCol w:w="1550"/>
        <w:gridCol w:w="1051"/>
        <w:gridCol w:w="900"/>
        <w:gridCol w:w="1262"/>
        <w:gridCol w:w="1103"/>
        <w:gridCol w:w="789"/>
        <w:gridCol w:w="1352"/>
      </w:tblGrid>
      <w:tr w:rsidR="00943D43" w:rsidRPr="00A32EED" w14:paraId="184BBDDE" w14:textId="77777777" w:rsidTr="00943D4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2CEDE47C" w14:textId="77777777" w:rsidR="004C4C39" w:rsidRPr="00A32EED" w:rsidRDefault="004C4C39" w:rsidP="004C4C39">
            <w:pPr>
              <w:rPr>
                <w:rFonts w:eastAsia="Calibri" w:cs="Arial"/>
                <w:sz w:val="22"/>
                <w:szCs w:val="22"/>
              </w:rPr>
            </w:pPr>
          </w:p>
        </w:tc>
        <w:tc>
          <w:tcPr>
            <w:tcW w:w="656" w:type="pct"/>
            <w:noWrap/>
            <w:hideMark/>
          </w:tcPr>
          <w:p w14:paraId="3D633FD0" w14:textId="77777777" w:rsidR="004C4C39" w:rsidRPr="00A32EED" w:rsidRDefault="004C4C39" w:rsidP="004C4C39">
            <w:pPr>
              <w:cnfStyle w:val="100000000000" w:firstRow="1" w:lastRow="0" w:firstColumn="0" w:lastColumn="0" w:oddVBand="0" w:evenVBand="0" w:oddHBand="0" w:evenHBand="0" w:firstRowFirstColumn="0" w:firstRowLastColumn="0" w:lastRowFirstColumn="0" w:lastRowLastColumn="0"/>
              <w:rPr>
                <w:rFonts w:eastAsia="Times New Roman" w:cs="Arial"/>
                <w:sz w:val="21"/>
                <w:szCs w:val="22"/>
              </w:rPr>
            </w:pPr>
            <w:r w:rsidRPr="00A32EED">
              <w:rPr>
                <w:rFonts w:eastAsia="Times New Roman" w:cs="Arial"/>
                <w:sz w:val="21"/>
                <w:szCs w:val="22"/>
              </w:rPr>
              <w:t>Early Initiator</w:t>
            </w:r>
          </w:p>
        </w:tc>
        <w:tc>
          <w:tcPr>
            <w:tcW w:w="562" w:type="pct"/>
            <w:noWrap/>
            <w:hideMark/>
          </w:tcPr>
          <w:p w14:paraId="2393F571" w14:textId="77777777" w:rsidR="004C4C39" w:rsidRPr="00A32EED" w:rsidRDefault="004C4C39" w:rsidP="004C4C39">
            <w:pPr>
              <w:cnfStyle w:val="100000000000" w:firstRow="1" w:lastRow="0" w:firstColumn="0" w:lastColumn="0" w:oddVBand="0" w:evenVBand="0" w:oddHBand="0" w:evenHBand="0" w:firstRowFirstColumn="0" w:firstRowLastColumn="0" w:lastRowFirstColumn="0" w:lastRowLastColumn="0"/>
              <w:rPr>
                <w:rFonts w:eastAsia="Times New Roman" w:cs="Arial"/>
                <w:sz w:val="21"/>
                <w:szCs w:val="22"/>
              </w:rPr>
            </w:pPr>
            <w:r w:rsidRPr="00A32EED">
              <w:rPr>
                <w:rFonts w:eastAsia="Times New Roman" w:cs="Arial"/>
                <w:sz w:val="21"/>
                <w:szCs w:val="22"/>
              </w:rPr>
              <w:t>Mean</w:t>
            </w:r>
          </w:p>
        </w:tc>
        <w:tc>
          <w:tcPr>
            <w:tcW w:w="788" w:type="pct"/>
            <w:noWrap/>
            <w:hideMark/>
          </w:tcPr>
          <w:p w14:paraId="7E3BB295" w14:textId="77777777" w:rsidR="004C4C39" w:rsidRPr="00A32EED" w:rsidRDefault="004C4C39" w:rsidP="004C4C39">
            <w:pPr>
              <w:cnfStyle w:val="100000000000" w:firstRow="1" w:lastRow="0" w:firstColumn="0" w:lastColumn="0" w:oddVBand="0" w:evenVBand="0" w:oddHBand="0" w:evenHBand="0" w:firstRowFirstColumn="0" w:firstRowLastColumn="0" w:lastRowFirstColumn="0" w:lastRowLastColumn="0"/>
              <w:rPr>
                <w:rFonts w:eastAsia="Times New Roman" w:cs="Arial"/>
                <w:sz w:val="21"/>
                <w:szCs w:val="22"/>
              </w:rPr>
            </w:pPr>
            <w:r w:rsidRPr="00A32EED">
              <w:rPr>
                <w:rFonts w:eastAsia="Times New Roman" w:cs="Arial"/>
                <w:sz w:val="21"/>
                <w:szCs w:val="22"/>
              </w:rPr>
              <w:t>Std. Error</w:t>
            </w:r>
          </w:p>
        </w:tc>
        <w:tc>
          <w:tcPr>
            <w:tcW w:w="1182" w:type="pct"/>
            <w:gridSpan w:val="2"/>
            <w:noWrap/>
            <w:hideMark/>
          </w:tcPr>
          <w:p w14:paraId="533F09B8" w14:textId="77777777" w:rsidR="004C4C39" w:rsidRPr="00A32EED" w:rsidRDefault="004C4C39" w:rsidP="004C4C39">
            <w:pPr>
              <w:cnfStyle w:val="100000000000" w:firstRow="1" w:lastRow="0" w:firstColumn="0" w:lastColumn="0" w:oddVBand="0" w:evenVBand="0" w:oddHBand="0" w:evenHBand="0" w:firstRowFirstColumn="0" w:firstRowLastColumn="0" w:lastRowFirstColumn="0" w:lastRowLastColumn="0"/>
              <w:rPr>
                <w:rFonts w:eastAsia="Times New Roman" w:cs="Arial"/>
                <w:sz w:val="21"/>
                <w:szCs w:val="22"/>
              </w:rPr>
            </w:pPr>
            <w:r w:rsidRPr="00A32EED">
              <w:rPr>
                <w:rFonts w:eastAsia="Times New Roman" w:cs="Arial"/>
                <w:sz w:val="21"/>
                <w:szCs w:val="22"/>
              </w:rPr>
              <w:t>95% Confidence Intervals</w:t>
            </w:r>
          </w:p>
        </w:tc>
        <w:tc>
          <w:tcPr>
            <w:tcW w:w="844" w:type="pct"/>
            <w:noWrap/>
            <w:hideMark/>
          </w:tcPr>
          <w:p w14:paraId="3464C0F8" w14:textId="77777777" w:rsidR="004C4C39" w:rsidRPr="00A32EED" w:rsidRDefault="004C4C39" w:rsidP="004C4C39">
            <w:pPr>
              <w:cnfStyle w:val="100000000000" w:firstRow="1" w:lastRow="0" w:firstColumn="0" w:lastColumn="0" w:oddVBand="0" w:evenVBand="0" w:oddHBand="0" w:evenHBand="0" w:firstRowFirstColumn="0" w:firstRowLastColumn="0" w:lastRowFirstColumn="0" w:lastRowLastColumn="0"/>
              <w:rPr>
                <w:rFonts w:eastAsia="Times New Roman" w:cs="Arial"/>
                <w:sz w:val="21"/>
                <w:szCs w:val="22"/>
              </w:rPr>
            </w:pPr>
            <w:r w:rsidRPr="00A32EED">
              <w:rPr>
                <w:rFonts w:eastAsia="Times New Roman" w:cs="Arial"/>
                <w:sz w:val="21"/>
                <w:szCs w:val="22"/>
              </w:rPr>
              <w:t>Difference</w:t>
            </w:r>
          </w:p>
        </w:tc>
      </w:tr>
      <w:tr w:rsidR="00943D43" w:rsidRPr="00A32EED" w14:paraId="7CB4F01B" w14:textId="77777777" w:rsidTr="00943D4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2CBFA3F9" w14:textId="77777777" w:rsidR="004C4C39" w:rsidRPr="00A32EED" w:rsidRDefault="004C4C39" w:rsidP="004C4C39">
            <w:pPr>
              <w:rPr>
                <w:rFonts w:eastAsia="Times New Roman" w:cs="Arial"/>
                <w:sz w:val="22"/>
                <w:szCs w:val="22"/>
              </w:rPr>
            </w:pPr>
            <w:r w:rsidRPr="00A32EED">
              <w:rPr>
                <w:rFonts w:eastAsia="Times New Roman" w:cs="Arial"/>
                <w:sz w:val="22"/>
                <w:szCs w:val="22"/>
              </w:rPr>
              <w:t>Age</w:t>
            </w:r>
          </w:p>
        </w:tc>
        <w:tc>
          <w:tcPr>
            <w:tcW w:w="656" w:type="pct"/>
            <w:noWrap/>
            <w:hideMark/>
          </w:tcPr>
          <w:p w14:paraId="4F025562"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562" w:type="pct"/>
            <w:noWrap/>
            <w:hideMark/>
          </w:tcPr>
          <w:p w14:paraId="279266D9"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788" w:type="pct"/>
            <w:noWrap/>
            <w:hideMark/>
          </w:tcPr>
          <w:p w14:paraId="368048EE"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689" w:type="pct"/>
            <w:noWrap/>
            <w:hideMark/>
          </w:tcPr>
          <w:p w14:paraId="727AB1D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493" w:type="pct"/>
            <w:noWrap/>
            <w:hideMark/>
          </w:tcPr>
          <w:p w14:paraId="68058E12"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844" w:type="pct"/>
            <w:noWrap/>
            <w:hideMark/>
          </w:tcPr>
          <w:p w14:paraId="38284A3E"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943D43" w:rsidRPr="00A32EED" w14:paraId="4D31B350" w14:textId="77777777" w:rsidTr="00943D43">
        <w:trPr>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446C35DE" w14:textId="77777777" w:rsidR="004C4C39" w:rsidRPr="00A32EED" w:rsidRDefault="004C4C39" w:rsidP="004C4C39">
            <w:pPr>
              <w:rPr>
                <w:rFonts w:eastAsia="Times New Roman" w:cs="Arial"/>
                <w:sz w:val="22"/>
                <w:szCs w:val="22"/>
              </w:rPr>
            </w:pPr>
          </w:p>
        </w:tc>
        <w:tc>
          <w:tcPr>
            <w:tcW w:w="656" w:type="pct"/>
            <w:noWrap/>
            <w:hideMark/>
          </w:tcPr>
          <w:p w14:paraId="065B5B72"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No</w:t>
            </w:r>
          </w:p>
        </w:tc>
        <w:tc>
          <w:tcPr>
            <w:tcW w:w="562" w:type="pct"/>
            <w:noWrap/>
            <w:hideMark/>
          </w:tcPr>
          <w:p w14:paraId="79CFD710"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11.51</w:t>
            </w:r>
          </w:p>
        </w:tc>
        <w:tc>
          <w:tcPr>
            <w:tcW w:w="788" w:type="pct"/>
            <w:noWrap/>
            <w:hideMark/>
          </w:tcPr>
          <w:p w14:paraId="357A78E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0.15</w:t>
            </w:r>
          </w:p>
        </w:tc>
        <w:tc>
          <w:tcPr>
            <w:tcW w:w="689" w:type="pct"/>
            <w:noWrap/>
            <w:hideMark/>
          </w:tcPr>
          <w:p w14:paraId="367DD62B"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11.21</w:t>
            </w:r>
          </w:p>
        </w:tc>
        <w:tc>
          <w:tcPr>
            <w:tcW w:w="493" w:type="pct"/>
            <w:noWrap/>
            <w:hideMark/>
          </w:tcPr>
          <w:p w14:paraId="148E00B2"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11.81</w:t>
            </w:r>
          </w:p>
        </w:tc>
        <w:tc>
          <w:tcPr>
            <w:tcW w:w="844" w:type="pct"/>
            <w:noWrap/>
            <w:hideMark/>
          </w:tcPr>
          <w:p w14:paraId="26BD74A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r>
      <w:tr w:rsidR="00943D43" w:rsidRPr="00A32EED" w14:paraId="046A7003" w14:textId="77777777" w:rsidTr="00943D4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06B8F32F" w14:textId="77777777" w:rsidR="004C4C39" w:rsidRPr="00A32EED" w:rsidRDefault="004C4C39" w:rsidP="004C4C39">
            <w:pPr>
              <w:rPr>
                <w:rFonts w:eastAsia="Times New Roman" w:cs="Arial"/>
                <w:sz w:val="22"/>
                <w:szCs w:val="22"/>
              </w:rPr>
            </w:pPr>
          </w:p>
        </w:tc>
        <w:tc>
          <w:tcPr>
            <w:tcW w:w="656" w:type="pct"/>
            <w:noWrap/>
            <w:hideMark/>
          </w:tcPr>
          <w:p w14:paraId="005613DE"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Yes</w:t>
            </w:r>
          </w:p>
        </w:tc>
        <w:tc>
          <w:tcPr>
            <w:tcW w:w="562" w:type="pct"/>
            <w:noWrap/>
            <w:hideMark/>
          </w:tcPr>
          <w:p w14:paraId="0144CB33"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12.82</w:t>
            </w:r>
          </w:p>
        </w:tc>
        <w:tc>
          <w:tcPr>
            <w:tcW w:w="788" w:type="pct"/>
            <w:noWrap/>
            <w:hideMark/>
          </w:tcPr>
          <w:p w14:paraId="473402B3"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0.14</w:t>
            </w:r>
          </w:p>
        </w:tc>
        <w:tc>
          <w:tcPr>
            <w:tcW w:w="689" w:type="pct"/>
            <w:noWrap/>
            <w:hideMark/>
          </w:tcPr>
          <w:p w14:paraId="31586475"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12.54</w:t>
            </w:r>
          </w:p>
        </w:tc>
        <w:tc>
          <w:tcPr>
            <w:tcW w:w="493" w:type="pct"/>
            <w:noWrap/>
            <w:hideMark/>
          </w:tcPr>
          <w:p w14:paraId="2712A9FB"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13.10</w:t>
            </w:r>
          </w:p>
        </w:tc>
        <w:tc>
          <w:tcPr>
            <w:tcW w:w="844" w:type="pct"/>
            <w:noWrap/>
            <w:hideMark/>
          </w:tcPr>
          <w:p w14:paraId="120FD4FC"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1.31***</w:t>
            </w:r>
          </w:p>
        </w:tc>
      </w:tr>
      <w:tr w:rsidR="00943D43" w:rsidRPr="00A32EED" w14:paraId="016F8534" w14:textId="77777777" w:rsidTr="00943D43">
        <w:trPr>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0257D9DE" w14:textId="77777777" w:rsidR="004C4C39" w:rsidRPr="00A32EED" w:rsidRDefault="004C4C39" w:rsidP="004C4C39">
            <w:pPr>
              <w:rPr>
                <w:rFonts w:eastAsia="Times New Roman" w:cs="Arial"/>
                <w:sz w:val="22"/>
                <w:szCs w:val="22"/>
              </w:rPr>
            </w:pPr>
            <w:r w:rsidRPr="00A32EED">
              <w:rPr>
                <w:rFonts w:eastAsia="Times New Roman" w:cs="Arial"/>
                <w:sz w:val="22"/>
                <w:szCs w:val="22"/>
              </w:rPr>
              <w:t>Self-Control</w:t>
            </w:r>
          </w:p>
        </w:tc>
        <w:tc>
          <w:tcPr>
            <w:tcW w:w="656" w:type="pct"/>
            <w:noWrap/>
            <w:hideMark/>
          </w:tcPr>
          <w:p w14:paraId="7F4DC4A7"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c>
          <w:tcPr>
            <w:tcW w:w="562" w:type="pct"/>
            <w:noWrap/>
            <w:hideMark/>
          </w:tcPr>
          <w:p w14:paraId="657E44E9"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c>
          <w:tcPr>
            <w:tcW w:w="788" w:type="pct"/>
            <w:noWrap/>
            <w:hideMark/>
          </w:tcPr>
          <w:p w14:paraId="3826945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c>
          <w:tcPr>
            <w:tcW w:w="689" w:type="pct"/>
            <w:noWrap/>
            <w:hideMark/>
          </w:tcPr>
          <w:p w14:paraId="3B164E9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c>
          <w:tcPr>
            <w:tcW w:w="493" w:type="pct"/>
            <w:noWrap/>
            <w:hideMark/>
          </w:tcPr>
          <w:p w14:paraId="61D2918F"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c>
          <w:tcPr>
            <w:tcW w:w="844" w:type="pct"/>
            <w:noWrap/>
            <w:hideMark/>
          </w:tcPr>
          <w:p w14:paraId="66270173"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r>
      <w:tr w:rsidR="00943D43" w:rsidRPr="00A32EED" w14:paraId="74687369" w14:textId="77777777" w:rsidTr="00943D4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2E55C900" w14:textId="77777777" w:rsidR="004C4C39" w:rsidRPr="00A32EED" w:rsidRDefault="004C4C39" w:rsidP="004C4C39">
            <w:pPr>
              <w:rPr>
                <w:rFonts w:eastAsia="Times New Roman" w:cs="Arial"/>
                <w:sz w:val="22"/>
                <w:szCs w:val="22"/>
              </w:rPr>
            </w:pPr>
          </w:p>
        </w:tc>
        <w:tc>
          <w:tcPr>
            <w:tcW w:w="656" w:type="pct"/>
            <w:noWrap/>
            <w:hideMark/>
          </w:tcPr>
          <w:p w14:paraId="2C0CC5D1"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No</w:t>
            </w:r>
          </w:p>
        </w:tc>
        <w:tc>
          <w:tcPr>
            <w:tcW w:w="562" w:type="pct"/>
            <w:noWrap/>
            <w:hideMark/>
          </w:tcPr>
          <w:p w14:paraId="010DA67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14.03</w:t>
            </w:r>
          </w:p>
        </w:tc>
        <w:tc>
          <w:tcPr>
            <w:tcW w:w="788" w:type="pct"/>
            <w:noWrap/>
            <w:hideMark/>
          </w:tcPr>
          <w:p w14:paraId="03B8535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0.35</w:t>
            </w:r>
          </w:p>
        </w:tc>
        <w:tc>
          <w:tcPr>
            <w:tcW w:w="689" w:type="pct"/>
            <w:noWrap/>
            <w:hideMark/>
          </w:tcPr>
          <w:p w14:paraId="5162684B"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13.33</w:t>
            </w:r>
          </w:p>
        </w:tc>
        <w:tc>
          <w:tcPr>
            <w:tcW w:w="493" w:type="pct"/>
            <w:noWrap/>
            <w:hideMark/>
          </w:tcPr>
          <w:p w14:paraId="4747E29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14.73</w:t>
            </w:r>
          </w:p>
        </w:tc>
        <w:tc>
          <w:tcPr>
            <w:tcW w:w="844" w:type="pct"/>
            <w:noWrap/>
            <w:hideMark/>
          </w:tcPr>
          <w:p w14:paraId="2BCD0C95"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943D43" w:rsidRPr="00A32EED" w14:paraId="2D455867" w14:textId="77777777" w:rsidTr="00943D43">
        <w:trPr>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662087B1" w14:textId="77777777" w:rsidR="004C4C39" w:rsidRPr="00A32EED" w:rsidRDefault="004C4C39" w:rsidP="004C4C39">
            <w:pPr>
              <w:rPr>
                <w:rFonts w:eastAsia="Times New Roman" w:cs="Arial"/>
                <w:sz w:val="22"/>
                <w:szCs w:val="22"/>
              </w:rPr>
            </w:pPr>
          </w:p>
        </w:tc>
        <w:tc>
          <w:tcPr>
            <w:tcW w:w="656" w:type="pct"/>
            <w:noWrap/>
            <w:hideMark/>
          </w:tcPr>
          <w:p w14:paraId="09027795"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Yes</w:t>
            </w:r>
          </w:p>
        </w:tc>
        <w:tc>
          <w:tcPr>
            <w:tcW w:w="562" w:type="pct"/>
            <w:noWrap/>
            <w:hideMark/>
          </w:tcPr>
          <w:p w14:paraId="3EB24048"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12.77</w:t>
            </w:r>
          </w:p>
        </w:tc>
        <w:tc>
          <w:tcPr>
            <w:tcW w:w="788" w:type="pct"/>
            <w:noWrap/>
            <w:hideMark/>
          </w:tcPr>
          <w:p w14:paraId="5758E9FD"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0.47</w:t>
            </w:r>
          </w:p>
        </w:tc>
        <w:tc>
          <w:tcPr>
            <w:tcW w:w="689" w:type="pct"/>
            <w:noWrap/>
            <w:hideMark/>
          </w:tcPr>
          <w:p w14:paraId="091574F7"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11.84</w:t>
            </w:r>
          </w:p>
        </w:tc>
        <w:tc>
          <w:tcPr>
            <w:tcW w:w="493" w:type="pct"/>
            <w:noWrap/>
            <w:hideMark/>
          </w:tcPr>
          <w:p w14:paraId="1734EA58"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13.70</w:t>
            </w:r>
          </w:p>
        </w:tc>
        <w:tc>
          <w:tcPr>
            <w:tcW w:w="844" w:type="pct"/>
            <w:noWrap/>
            <w:hideMark/>
          </w:tcPr>
          <w:p w14:paraId="640EF7CD"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-1.26*</w:t>
            </w:r>
          </w:p>
        </w:tc>
      </w:tr>
      <w:tr w:rsidR="00943D43" w:rsidRPr="00A32EED" w14:paraId="0660BDD2" w14:textId="77777777" w:rsidTr="00943D4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585D3498" w14:textId="77777777" w:rsidR="004C4C39" w:rsidRPr="00A32EED" w:rsidRDefault="004C4C39" w:rsidP="004C4C39">
            <w:pPr>
              <w:rPr>
                <w:rFonts w:eastAsia="Times New Roman" w:cs="Arial"/>
                <w:sz w:val="22"/>
                <w:szCs w:val="22"/>
              </w:rPr>
            </w:pPr>
            <w:r w:rsidRPr="00A32EED">
              <w:rPr>
                <w:rFonts w:eastAsia="Times New Roman" w:cs="Arial"/>
                <w:sz w:val="22"/>
                <w:szCs w:val="22"/>
              </w:rPr>
              <w:t>Level of Harm</w:t>
            </w:r>
          </w:p>
        </w:tc>
        <w:tc>
          <w:tcPr>
            <w:tcW w:w="656" w:type="pct"/>
            <w:noWrap/>
            <w:hideMark/>
          </w:tcPr>
          <w:p w14:paraId="0AB78882"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562" w:type="pct"/>
            <w:noWrap/>
            <w:hideMark/>
          </w:tcPr>
          <w:p w14:paraId="3DFC9C2C"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788" w:type="pct"/>
            <w:noWrap/>
            <w:hideMark/>
          </w:tcPr>
          <w:p w14:paraId="1F001FA0"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689" w:type="pct"/>
            <w:noWrap/>
            <w:hideMark/>
          </w:tcPr>
          <w:p w14:paraId="62C9F63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493" w:type="pct"/>
            <w:noWrap/>
            <w:hideMark/>
          </w:tcPr>
          <w:p w14:paraId="78F7ABEA"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c>
          <w:tcPr>
            <w:tcW w:w="844" w:type="pct"/>
            <w:noWrap/>
            <w:hideMark/>
          </w:tcPr>
          <w:p w14:paraId="508B2D96"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943D43" w:rsidRPr="00A32EED" w14:paraId="0079FA68" w14:textId="77777777" w:rsidTr="00943D43">
        <w:trPr>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485ECB19" w14:textId="77777777" w:rsidR="004C4C39" w:rsidRPr="00A32EED" w:rsidRDefault="004C4C39" w:rsidP="004C4C39">
            <w:pPr>
              <w:rPr>
                <w:rFonts w:eastAsia="Times New Roman" w:cs="Arial"/>
                <w:sz w:val="22"/>
                <w:szCs w:val="22"/>
              </w:rPr>
            </w:pPr>
          </w:p>
        </w:tc>
        <w:tc>
          <w:tcPr>
            <w:tcW w:w="656" w:type="pct"/>
            <w:noWrap/>
            <w:hideMark/>
          </w:tcPr>
          <w:p w14:paraId="77A2658E"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No</w:t>
            </w:r>
          </w:p>
        </w:tc>
        <w:tc>
          <w:tcPr>
            <w:tcW w:w="562" w:type="pct"/>
            <w:noWrap/>
            <w:hideMark/>
          </w:tcPr>
          <w:p w14:paraId="2C1EF2DF"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1.89</w:t>
            </w:r>
          </w:p>
        </w:tc>
        <w:tc>
          <w:tcPr>
            <w:tcW w:w="788" w:type="pct"/>
            <w:noWrap/>
            <w:hideMark/>
          </w:tcPr>
          <w:p w14:paraId="3A581946"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0.07</w:t>
            </w:r>
          </w:p>
        </w:tc>
        <w:tc>
          <w:tcPr>
            <w:tcW w:w="689" w:type="pct"/>
            <w:noWrap/>
            <w:hideMark/>
          </w:tcPr>
          <w:p w14:paraId="60CE581C"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1.75</w:t>
            </w:r>
          </w:p>
        </w:tc>
        <w:tc>
          <w:tcPr>
            <w:tcW w:w="493" w:type="pct"/>
            <w:noWrap/>
            <w:hideMark/>
          </w:tcPr>
          <w:p w14:paraId="67172786"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r w:rsidRPr="00A32EED">
              <w:rPr>
                <w:rFonts w:eastAsia="Times New Roman" w:cs="Arial"/>
                <w:sz w:val="22"/>
                <w:szCs w:val="22"/>
              </w:rPr>
              <w:t>2.03</w:t>
            </w:r>
          </w:p>
        </w:tc>
        <w:tc>
          <w:tcPr>
            <w:tcW w:w="844" w:type="pct"/>
            <w:noWrap/>
            <w:hideMark/>
          </w:tcPr>
          <w:p w14:paraId="7E543B75" w14:textId="77777777" w:rsidR="004C4C39" w:rsidRPr="00A32EED"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rPr>
            </w:pPr>
          </w:p>
        </w:tc>
      </w:tr>
      <w:tr w:rsidR="00943D43" w:rsidRPr="00A32EED" w14:paraId="29EB3F97" w14:textId="77777777" w:rsidTr="00943D4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8" w:type="pct"/>
            <w:noWrap/>
            <w:hideMark/>
          </w:tcPr>
          <w:p w14:paraId="628827D8" w14:textId="77777777" w:rsidR="004C4C39" w:rsidRPr="00A32EED" w:rsidRDefault="004C4C39" w:rsidP="004C4C39">
            <w:pPr>
              <w:rPr>
                <w:rFonts w:eastAsia="Times New Roman" w:cs="Arial"/>
                <w:sz w:val="22"/>
                <w:szCs w:val="22"/>
              </w:rPr>
            </w:pPr>
          </w:p>
        </w:tc>
        <w:tc>
          <w:tcPr>
            <w:tcW w:w="656" w:type="pct"/>
            <w:noWrap/>
            <w:hideMark/>
          </w:tcPr>
          <w:p w14:paraId="1C6D6EED"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Yes</w:t>
            </w:r>
          </w:p>
        </w:tc>
        <w:tc>
          <w:tcPr>
            <w:tcW w:w="562" w:type="pct"/>
            <w:noWrap/>
            <w:hideMark/>
          </w:tcPr>
          <w:p w14:paraId="2D4536CB"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1.88</w:t>
            </w:r>
          </w:p>
        </w:tc>
        <w:tc>
          <w:tcPr>
            <w:tcW w:w="788" w:type="pct"/>
            <w:noWrap/>
            <w:hideMark/>
          </w:tcPr>
          <w:p w14:paraId="5353C22B"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0.10</w:t>
            </w:r>
          </w:p>
        </w:tc>
        <w:tc>
          <w:tcPr>
            <w:tcW w:w="689" w:type="pct"/>
            <w:noWrap/>
            <w:hideMark/>
          </w:tcPr>
          <w:p w14:paraId="4F4CBCD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1.69</w:t>
            </w:r>
          </w:p>
        </w:tc>
        <w:tc>
          <w:tcPr>
            <w:tcW w:w="493" w:type="pct"/>
            <w:noWrap/>
            <w:hideMark/>
          </w:tcPr>
          <w:p w14:paraId="4DF58069"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2.08</w:t>
            </w:r>
          </w:p>
        </w:tc>
        <w:tc>
          <w:tcPr>
            <w:tcW w:w="844" w:type="pct"/>
            <w:noWrap/>
            <w:hideMark/>
          </w:tcPr>
          <w:p w14:paraId="5E4C2318"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A32EED">
              <w:rPr>
                <w:rFonts w:eastAsia="Times New Roman" w:cs="Arial"/>
                <w:sz w:val="22"/>
                <w:szCs w:val="22"/>
              </w:rPr>
              <w:t>-0.01</w:t>
            </w:r>
          </w:p>
        </w:tc>
      </w:tr>
    </w:tbl>
    <w:p w14:paraId="40F33E99" w14:textId="77777777" w:rsidR="004C4C39" w:rsidRPr="00A32EED" w:rsidRDefault="004C4C39" w:rsidP="004C4C39">
      <w:pPr>
        <w:spacing w:after="0" w:line="480" w:lineRule="auto"/>
        <w:rPr>
          <w:rFonts w:eastAsia="Calibri"/>
          <w:sz w:val="21"/>
        </w:rPr>
      </w:pPr>
      <w:r w:rsidRPr="00A32EED">
        <w:rPr>
          <w:rFonts w:eastAsia="Calibri"/>
          <w:sz w:val="21"/>
        </w:rPr>
        <w:t>* p&lt;.05  **p&lt;.01  ***p&lt;.001</w:t>
      </w:r>
    </w:p>
    <w:p w14:paraId="4EB55D01" w14:textId="26D10969" w:rsidR="004C4C39" w:rsidRPr="00A32EED" w:rsidRDefault="004C4C39" w:rsidP="004C4C39">
      <w:pPr>
        <w:spacing w:after="0" w:line="480" w:lineRule="auto"/>
        <w:ind w:firstLine="720"/>
        <w:rPr>
          <w:rFonts w:eastAsia="Calibri"/>
        </w:rPr>
      </w:pPr>
      <w:r w:rsidRPr="00A32EED">
        <w:rPr>
          <w:rFonts w:eastAsia="Calibri"/>
        </w:rPr>
        <w:t>The analyses reveal that those who initiate sex prior to the age of 16 were on average,1.31 years older at baseline than those who initiate sex after the age of 16 and this difference is significant (</w:t>
      </w:r>
      <w:r w:rsidRPr="00A32EED">
        <w:rPr>
          <w:rFonts w:eastAsia="Calibri"/>
          <w:i/>
        </w:rPr>
        <w:t>p&lt;</w:t>
      </w:r>
      <w:r w:rsidRPr="00A32EED">
        <w:rPr>
          <w:rFonts w:eastAsia="Calibri"/>
        </w:rPr>
        <w:t xml:space="preserve">.001). This finding is not surprising given previous research linking being older at removal to various negative outcomes such as juvenile justice involvement </w:t>
      </w:r>
      <w:r w:rsidRPr="00A32EED">
        <w:rPr>
          <w:rFonts w:eastAsia="Calibri"/>
        </w:rPr>
        <w:fldChar w:fldCharType="begin"/>
      </w:r>
      <w:r w:rsidRPr="00A32EED">
        <w:rPr>
          <w:rFonts w:eastAsia="Calibri"/>
        </w:rPr>
        <w:instrText xml:space="preserve"> ADDIN ZOTERO_ITEM CSL_CITATION {"citationID":"6bsn70kos","properties":{"formattedCitation":"(Widom 1991b)","plainCitation":"(Widom 1991b)"},"citationItems":[{"id":1314,"uris":["http://zotero.org/users/1165382/items/Z3UMV487"],"uri":["http://zotero.org/users/1165382/items/Z3UMV487"],"itemData":{"id":1314,"type":"article-journal","title":"The role of placement experiences in mediating the criminal consequences of early childhood victimization","container-title":"American Journal of Orthopsychiatry","page":"195-209","volume":"61","issue":"2","source":"EBSCOhost","archive_location":"1991-25522-001","abstract":"Examined foster-home placement experiences in 709 juvenile court cases (aged 18–33 yrs) of child abuse and neglect in relation to delinquent, adult criminal, and violent criminal outcomes. More males than females and more White than Black Ss were placed in foster care. Ss with indications of behavior problems were significantly more likely to be placed than Ss without such problems. Out-of-home placement did not necessarily have negative effects. A small group of abused and neglected children with behavior problems may experience frequent placement moves. The presence of these children may account for the high rates of delinquency, adult criminality, and violent criminal behavior associated with children in foster care. (PsycINFO Database Record (c) 2015 APA, all rights reserved)","DOI":"10.1037/h0079252","ISSN":"0002-9432","journalAbbreviation":"American Journal of Orthopsychiatry","author":[{"family":"Widom","given":"Cathy Spatz"}],"issued":{"date-parts":[["1991",4]]}}}],"schema":"https://github.com/citation-style-language/schema/raw/master/csl-citation.json"} </w:instrText>
      </w:r>
      <w:r w:rsidRPr="00A32EED">
        <w:rPr>
          <w:rFonts w:eastAsia="Calibri"/>
        </w:rPr>
        <w:fldChar w:fldCharType="separate"/>
      </w:r>
      <w:r w:rsidRPr="00A32EED">
        <w:rPr>
          <w:rFonts w:eastAsia="Calibri"/>
          <w:noProof/>
        </w:rPr>
        <w:t>(Widom 1991b)</w:t>
      </w:r>
      <w:r w:rsidRPr="00A32EED">
        <w:rPr>
          <w:rFonts w:eastAsia="Calibri"/>
        </w:rPr>
        <w:fldChar w:fldCharType="end"/>
      </w:r>
      <w:r w:rsidRPr="00A32EED">
        <w:rPr>
          <w:rFonts w:eastAsia="Calibri"/>
        </w:rPr>
        <w:t xml:space="preserve">, removal </w:t>
      </w:r>
      <w:r w:rsidRPr="00A32EED">
        <w:rPr>
          <w:rFonts w:eastAsia="Calibri"/>
        </w:rPr>
        <w:fldChar w:fldCharType="begin"/>
      </w:r>
      <w:r w:rsidRPr="00A32EED">
        <w:rPr>
          <w:rFonts w:eastAsia="Calibri"/>
        </w:rPr>
        <w:instrText xml:space="preserve"> ADDIN ZOTERO_ITEM CSL_CITATION {"citationID":"222q1an2sv","properties":{"formattedCitation":"(J. Ryan et al. 2008)","plainCitation":"(J. Ryan et al. 2008)"},"citationItems":[{"id":1318,"uris":["http://zotero.org/users/1165382/items/SV4SKN5D"],"uri":["http://zotero.org/users/1165382/items/SV4SKN5D"],"itemData":{"id":1318,"type":"article-journal","title":"African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F."},{"family":"Zhai","given":"Fuhua"}],"issued":{"date-parts":[["2008"]]}}}],"schema":"https://github.com/citation-style-language/schema/raw/master/csl-citation.json"} </w:instrText>
      </w:r>
      <w:r w:rsidRPr="00A32EED">
        <w:rPr>
          <w:rFonts w:eastAsia="Calibri"/>
        </w:rPr>
        <w:fldChar w:fldCharType="separate"/>
      </w:r>
      <w:r w:rsidRPr="00A32EED">
        <w:rPr>
          <w:rFonts w:eastAsia="Calibri"/>
          <w:noProof/>
        </w:rPr>
        <w:t>(J. Ryan et al. 2008)</w:t>
      </w:r>
      <w:r w:rsidRPr="00A32EED">
        <w:rPr>
          <w:rFonts w:eastAsia="Calibri"/>
        </w:rPr>
        <w:fldChar w:fldCharType="end"/>
      </w:r>
      <w:r w:rsidRPr="00A32EED">
        <w:rPr>
          <w:rFonts w:eastAsia="Calibri"/>
        </w:rPr>
        <w:t xml:space="preserve">, and experiencing homelessness </w:t>
      </w:r>
      <w:r w:rsidRPr="00A32EED">
        <w:rPr>
          <w:rFonts w:eastAsia="Calibri"/>
        </w:rPr>
        <w:fldChar w:fldCharType="begin"/>
      </w:r>
      <w:r w:rsidRPr="00A32EED">
        <w:rPr>
          <w:rFonts w:eastAsia="Calibri"/>
        </w:rPr>
        <w:instrText xml:space="preserve"> ADDIN ZOTERO_ITEM CSL_CITATION {"citationID":"18dopgv45o","properties":{"formattedCitation":"(Crawford et al. 2017)","plainCitation":"(Crawford et al. 2017)"},"citationItems":[{"id":562,"uris":["http://zotero.org/users/1165382/items/XTK6EPTA"],"uri":["http://zotero.org/users/1165382/items/XTK6EPTA"],"itemData":{"id":562,"type":"article-journal","title":"Factors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schema":"https://github.com/citation-style-language/schema/raw/master/csl-citation.json"} </w:instrText>
      </w:r>
      <w:r w:rsidRPr="00A32EED">
        <w:rPr>
          <w:rFonts w:eastAsia="Calibri"/>
        </w:rPr>
        <w:fldChar w:fldCharType="separate"/>
      </w:r>
      <w:r w:rsidRPr="00A32EED">
        <w:rPr>
          <w:rFonts w:eastAsia="Calibri"/>
          <w:noProof/>
        </w:rPr>
        <w:t>(Crawford et al. 2017)</w:t>
      </w:r>
      <w:r w:rsidRPr="00A32EED">
        <w:rPr>
          <w:rFonts w:eastAsia="Calibri"/>
        </w:rPr>
        <w:fldChar w:fldCharType="end"/>
      </w:r>
      <w:r w:rsidRPr="00A32EED">
        <w:rPr>
          <w:rFonts w:eastAsia="Calibri"/>
        </w:rPr>
        <w:t xml:space="preserve">. Analyses also reveal that early sexual initiators are significantly different from non-initiators in their reported levels of self-control (p.05). Specifically, early initiators exhibit self-control scores 1.26 points lower than those who do not initiate sex early. This is not surprising given previous literature has associated lower levels of self-control with higher likelihoods of early sexual initiation </w:t>
      </w:r>
      <w:r w:rsidRPr="00A32EED">
        <w:rPr>
          <w:rFonts w:eastAsia="Calibri"/>
        </w:rPr>
        <w:fldChar w:fldCharType="begin"/>
      </w:r>
      <w:r w:rsidRPr="00A32EED">
        <w:rPr>
          <w:rFonts w:eastAsia="Calibri"/>
        </w:rPr>
        <w:instrText xml:space="preserve"> ADDIN ZOTERO_ITEM CSL_CITATION {"citationID":"22vl0agmh6","properties":{"formattedCitation":"(Kahn et al. 2002)","plainCitation":"(Kahn et al. 2002)"},"citationItems":[{"id":1437,"uris":["http://zotero.org/users/1165382/items/NG8K3KFF"],"uri":["http://zotero.org/users/1165382/items/NG8K3KFF"],"itemData":{"id":1437,"type":"article-journal","title":"The association between impulsiveness and sexual risk behaviors in adolescent and young adult women","container-title":"Journal of Adolescent Health","page":"229–232","volume":"30","issue":"4","source":"Google Scholar","note":"00101","author":[{"family":"Kahn","given":"Jessica A."},{"family":"Kaplowitz","given":"Rebekah A."},{"family":"Goodman","given":"Elizabeth"},{"family":"Emans","given":"S. Jean"}],"issued":{"date-parts":[["2002"]]}}}],"schema":"https://github.com/citation-style-language/schema/raw/master/csl-citation.json"} </w:instrText>
      </w:r>
      <w:r w:rsidRPr="00A32EED">
        <w:rPr>
          <w:rFonts w:eastAsia="Calibri"/>
        </w:rPr>
        <w:fldChar w:fldCharType="separate"/>
      </w:r>
      <w:r w:rsidRPr="00A32EED">
        <w:rPr>
          <w:rFonts w:eastAsia="Calibri"/>
          <w:noProof/>
        </w:rPr>
        <w:t>(Kahn et al. 2002)</w:t>
      </w:r>
      <w:r w:rsidRPr="00A32EED">
        <w:rPr>
          <w:rFonts w:eastAsia="Calibri"/>
        </w:rPr>
        <w:fldChar w:fldCharType="end"/>
      </w:r>
      <w:r w:rsidRPr="00A32EED">
        <w:rPr>
          <w:rFonts w:eastAsia="Calibri"/>
        </w:rPr>
        <w:t xml:space="preserve">. </w:t>
      </w:r>
    </w:p>
    <w:p w14:paraId="1EBDDF02" w14:textId="7B8F965F" w:rsidR="004C4C39" w:rsidRPr="00A32EED" w:rsidRDefault="004C4C39" w:rsidP="004C4C39">
      <w:pPr>
        <w:spacing w:after="0" w:line="480" w:lineRule="auto"/>
        <w:ind w:firstLine="720"/>
        <w:rPr>
          <w:rFonts w:eastAsia="Calibri"/>
        </w:rPr>
      </w:pPr>
      <w:r w:rsidRPr="00A32EED">
        <w:rPr>
          <w:rFonts w:eastAsia="Calibri"/>
        </w:rPr>
        <w:t xml:space="preserve">The level of harm for the most severe maltreatment type at baseline is </w:t>
      </w:r>
      <w:r w:rsidR="00FD618B">
        <w:rPr>
          <w:rFonts w:eastAsia="Calibri"/>
        </w:rPr>
        <w:t>ordinal</w:t>
      </w:r>
      <w:r w:rsidRPr="00A32EED">
        <w:rPr>
          <w:rFonts w:eastAsia="Calibri"/>
        </w:rPr>
        <w:t xml:space="preserve">, however </w:t>
      </w:r>
      <w:r w:rsidR="00FD618B">
        <w:rPr>
          <w:rFonts w:eastAsia="Calibri"/>
        </w:rPr>
        <w:t xml:space="preserve">previous research has provided justification for treating ordinal variables as </w:t>
      </w:r>
      <w:r w:rsidR="00C73B4F">
        <w:rPr>
          <w:rFonts w:eastAsia="Calibri"/>
        </w:rPr>
        <w:t>continuous</w:t>
      </w:r>
      <w:r w:rsidR="00FD618B">
        <w:rPr>
          <w:rFonts w:eastAsia="Calibri"/>
        </w:rPr>
        <w:t xml:space="preserve"> </w:t>
      </w:r>
      <w:r w:rsidR="00C73B4F">
        <w:rPr>
          <w:rFonts w:eastAsia="Calibri"/>
        </w:rPr>
        <w:fldChar w:fldCharType="begin"/>
      </w:r>
      <w:r w:rsidR="00C73B4F">
        <w:rPr>
          <w:rFonts w:eastAsia="Calibri"/>
        </w:rPr>
        <w:instrText xml:space="preserve"> ADDIN ZOTERO_ITEM CSL_CITATION {"citationID":"a1u4p8hclbi","properties":{"formattedCitation":"(Pasta 2009)","plainCitation":"(Pasta 2009)"},"citationItems":[{"id":1491,"uris":["http://zotero.org/users/1165382/items/TKFV672B"],"uri":["http://zotero.org/users/1165382/items/TKFV672B"],"itemData":{"id":1491,"type":"paper-conference","title":"Learning when to be discrete: continuous vs. categorical predictors","container-title":"SAS Global Forum","volume":"248","source":"Google Scholar","note":"00033","shortTitle":"Learning when to be discrete","author":[{"family":"Pasta","given":"David J."}],"issued":{"date-parts":[["2009"]]}}}],"schema":"https://github.com/citation-style-language/schema/raw/master/csl-citation.json"} </w:instrText>
      </w:r>
      <w:r w:rsidR="00C73B4F">
        <w:rPr>
          <w:rFonts w:eastAsia="Calibri"/>
        </w:rPr>
        <w:fldChar w:fldCharType="separate"/>
      </w:r>
      <w:r w:rsidR="00C73B4F">
        <w:rPr>
          <w:rFonts w:eastAsia="Calibri"/>
          <w:noProof/>
        </w:rPr>
        <w:t>(Pasta 2009)</w:t>
      </w:r>
      <w:r w:rsidR="00C73B4F">
        <w:rPr>
          <w:rFonts w:eastAsia="Calibri"/>
        </w:rPr>
        <w:fldChar w:fldCharType="end"/>
      </w:r>
      <w:r w:rsidRPr="00A32EED">
        <w:rPr>
          <w:rFonts w:eastAsia="Calibri"/>
        </w:rPr>
        <w:t xml:space="preserve">. Therefore, when assessing its </w:t>
      </w:r>
      <w:r w:rsidRPr="00A32EED">
        <w:rPr>
          <w:rFonts w:eastAsia="Calibri"/>
        </w:rPr>
        <w:lastRenderedPageBreak/>
        <w:t>relationship with early sexual initiation, the level of harm for the most severe maltreatment type was treated as both a categorical and a continuous variable. For tests treating level of harm as a continuous variable, the same process outlined above for age and self-control was used and when treating level of harm as a categorical variable, the adjusted Pearson Chi-Square test described in the previous sections was used. The mean level of harm for early initiators as .01 lower than that of non-early initiators. Both forms of analyses did not reveal any significant differences between early and non-early initiators (</w:t>
      </w:r>
      <w:r w:rsidRPr="00A32EED">
        <w:rPr>
          <w:rFonts w:eastAsia="Calibri"/>
          <w:i/>
        </w:rPr>
        <w:t>p=</w:t>
      </w:r>
      <w:r w:rsidRPr="00A32EED">
        <w:rPr>
          <w:rFonts w:eastAsia="Calibri"/>
        </w:rPr>
        <w:t xml:space="preserve">.96 and </w:t>
      </w:r>
      <w:r w:rsidRPr="00A32EED">
        <w:rPr>
          <w:rFonts w:eastAsia="Calibri"/>
          <w:i/>
        </w:rPr>
        <w:t>p=</w:t>
      </w:r>
      <w:r w:rsidRPr="00A32EED">
        <w:rPr>
          <w:rFonts w:eastAsia="Calibri"/>
        </w:rPr>
        <w:t>.58 respectively).</w:t>
      </w:r>
    </w:p>
    <w:p w14:paraId="75211BED"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04" w:name="_Toc479938175"/>
      <w:bookmarkStart w:id="105" w:name="_Toc482112704"/>
      <w:r w:rsidRPr="00A32EED">
        <w:rPr>
          <w:rFonts w:eastAsia="ＭＳ ゴシック"/>
          <w:i/>
          <w:color w:val="000000"/>
          <w:szCs w:val="26"/>
          <w:u w:val="single"/>
        </w:rPr>
        <w:t>Binary Logistic Regression of Early Sexual Initiation</w:t>
      </w:r>
      <w:bookmarkEnd w:id="104"/>
      <w:bookmarkEnd w:id="105"/>
    </w:p>
    <w:p w14:paraId="123948E3" w14:textId="7D4729E4" w:rsidR="004C4C39" w:rsidRPr="00A32EED" w:rsidRDefault="004C4C39" w:rsidP="004C4C39">
      <w:pPr>
        <w:spacing w:after="0" w:line="480" w:lineRule="auto"/>
        <w:rPr>
          <w:rFonts w:eastAsia="Calibri"/>
          <w:b/>
          <w:i/>
          <w:iCs/>
          <w:color w:val="000000"/>
          <w:szCs w:val="18"/>
        </w:rPr>
      </w:pPr>
      <w:r w:rsidRPr="00A32EED">
        <w:rPr>
          <w:rFonts w:eastAsia="Calibri"/>
          <w:iCs/>
          <w:color w:val="000000"/>
          <w:szCs w:val="18"/>
        </w:rPr>
        <w:t xml:space="preserve"> </w:t>
      </w:r>
      <w:r w:rsidRPr="00A32EED">
        <w:rPr>
          <w:rFonts w:eastAsia="Calibri"/>
          <w:iCs/>
          <w:color w:val="000000"/>
          <w:szCs w:val="18"/>
        </w:rPr>
        <w:tab/>
        <w:t xml:space="preserve">To assess the odds of early sexual initiation binary logistic regression was used within with the </w:t>
      </w:r>
      <w:r w:rsidRPr="00A32EED">
        <w:rPr>
          <w:rFonts w:eastAsia="Calibri"/>
          <w:i/>
          <w:iCs/>
          <w:color w:val="000000"/>
          <w:szCs w:val="18"/>
        </w:rPr>
        <w:t>svy</w:t>
      </w:r>
      <w:r w:rsidRPr="00A32EED">
        <w:rPr>
          <w:rFonts w:eastAsia="Calibri"/>
          <w:iCs/>
          <w:color w:val="000000"/>
          <w:szCs w:val="18"/>
        </w:rPr>
        <w:t xml:space="preserve"> module in STATA. Predictors were then added in </w:t>
      </w:r>
      <w:r w:rsidR="00EA3F2F">
        <w:rPr>
          <w:rFonts w:eastAsia="Calibri"/>
          <w:iCs/>
          <w:color w:val="000000"/>
          <w:szCs w:val="18"/>
        </w:rPr>
        <w:t>blocks</w:t>
      </w:r>
      <w:r w:rsidRPr="00A32EED">
        <w:rPr>
          <w:rFonts w:eastAsia="Calibri"/>
          <w:iCs/>
          <w:color w:val="000000"/>
          <w:szCs w:val="18"/>
        </w:rPr>
        <w:t>. Model 1 contains only child demographics and Model 2 adds baseline case characteristics, maltreatment type, and baseline placement. Model 3 adds a propensity or population heterogeneity measure and the final model adds an interaction term between child gender and case substantiation. The full results</w:t>
      </w:r>
      <w:r w:rsidR="003131B5">
        <w:rPr>
          <w:rFonts w:eastAsia="Calibri"/>
          <w:iCs/>
          <w:color w:val="000000"/>
          <w:szCs w:val="18"/>
        </w:rPr>
        <w:t xml:space="preserve"> for Models 1-4 are in Table 5.7</w:t>
      </w:r>
      <w:r w:rsidRPr="00A32EED">
        <w:rPr>
          <w:rFonts w:eastAsia="Calibri"/>
          <w:iCs/>
          <w:color w:val="000000"/>
          <w:szCs w:val="18"/>
        </w:rPr>
        <w:t xml:space="preserve">. The coefficients presented are odds ratios. Due to the complex survey design of the data, goodness of fit estimations are not included in the table but are discussed later. </w:t>
      </w:r>
    </w:p>
    <w:p w14:paraId="7A911F3C" w14:textId="77777777" w:rsidR="00EA3F2F" w:rsidRDefault="00EA3F2F">
      <w:pPr>
        <w:rPr>
          <w:rFonts w:eastAsia="Calibri" w:cs="Times New Roman"/>
          <w:i/>
          <w:iCs/>
          <w:color w:val="000000"/>
          <w:szCs w:val="18"/>
        </w:rPr>
      </w:pPr>
      <w:bookmarkStart w:id="106" w:name="_Toc479941227"/>
      <w:r>
        <w:rPr>
          <w:rFonts w:eastAsia="Calibri"/>
        </w:rPr>
        <w:br w:type="page"/>
      </w:r>
    </w:p>
    <w:p w14:paraId="3AADF49F" w14:textId="2E1F1C65" w:rsidR="004C4C39" w:rsidRPr="00A32EED" w:rsidRDefault="004C4C39" w:rsidP="0023176A">
      <w:pPr>
        <w:pStyle w:val="Caption1"/>
        <w:rPr>
          <w:rFonts w:eastAsia="Calibri"/>
        </w:rPr>
      </w:pPr>
      <w:r w:rsidRPr="00A32EED">
        <w:rPr>
          <w:rFonts w:eastAsia="Calibri"/>
        </w:rPr>
        <w:lastRenderedPageBreak/>
        <w:t>Table 5.</w:t>
      </w:r>
      <w:r w:rsidR="003131B5">
        <w:rPr>
          <w:rFonts w:eastAsia="Calibri"/>
        </w:rPr>
        <w:t>7</w:t>
      </w:r>
      <w:r w:rsidRPr="00A32EED">
        <w:rPr>
          <w:rFonts w:eastAsia="Calibri"/>
        </w:rPr>
        <w:t>: Logistic Regression of Early Sexual Initiation on Child and Case Predictors</w:t>
      </w:r>
      <w:bookmarkEnd w:id="106"/>
    </w:p>
    <w:tbl>
      <w:tblPr>
        <w:tblStyle w:val="ListTable6Colorful1"/>
        <w:tblW w:w="0" w:type="auto"/>
        <w:tblLayout w:type="fixed"/>
        <w:tblLook w:val="0420" w:firstRow="1" w:lastRow="0" w:firstColumn="0" w:lastColumn="0" w:noHBand="0" w:noVBand="1"/>
      </w:tblPr>
      <w:tblGrid>
        <w:gridCol w:w="2880"/>
        <w:gridCol w:w="1371"/>
        <w:gridCol w:w="1296"/>
        <w:gridCol w:w="1296"/>
        <w:gridCol w:w="1296"/>
      </w:tblGrid>
      <w:tr w:rsidR="004C4C39" w:rsidRPr="00A32EED" w14:paraId="4355E169" w14:textId="77777777" w:rsidTr="004C4C39">
        <w:trPr>
          <w:cnfStyle w:val="100000000000" w:firstRow="1" w:lastRow="0" w:firstColumn="0" w:lastColumn="0" w:oddVBand="0" w:evenVBand="0" w:oddHBand="0" w:evenHBand="0" w:firstRowFirstColumn="0" w:firstRowLastColumn="0" w:lastRowFirstColumn="0" w:lastRowLastColumn="0"/>
        </w:trPr>
        <w:tc>
          <w:tcPr>
            <w:tcW w:w="2880" w:type="dxa"/>
          </w:tcPr>
          <w:p w14:paraId="3E8E4E87" w14:textId="77777777" w:rsidR="004C4C39" w:rsidRPr="00A32EED" w:rsidRDefault="004C4C39" w:rsidP="004C4C39">
            <w:pPr>
              <w:widowControl w:val="0"/>
              <w:autoSpaceDE w:val="0"/>
              <w:autoSpaceDN w:val="0"/>
              <w:adjustRightInd w:val="0"/>
              <w:rPr>
                <w:rFonts w:eastAsia="Times New Roman" w:cs="Arial"/>
              </w:rPr>
            </w:pPr>
          </w:p>
        </w:tc>
        <w:tc>
          <w:tcPr>
            <w:tcW w:w="1371" w:type="dxa"/>
          </w:tcPr>
          <w:p w14:paraId="746777EB"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Model 1</w:t>
            </w:r>
          </w:p>
        </w:tc>
        <w:tc>
          <w:tcPr>
            <w:tcW w:w="1296" w:type="dxa"/>
          </w:tcPr>
          <w:p w14:paraId="40705B45"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Model 2</w:t>
            </w:r>
          </w:p>
        </w:tc>
        <w:tc>
          <w:tcPr>
            <w:tcW w:w="1296" w:type="dxa"/>
          </w:tcPr>
          <w:p w14:paraId="316A4B4C"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Model 3</w:t>
            </w:r>
          </w:p>
        </w:tc>
        <w:tc>
          <w:tcPr>
            <w:tcW w:w="1296" w:type="dxa"/>
          </w:tcPr>
          <w:p w14:paraId="55D7654B"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Model 4</w:t>
            </w:r>
          </w:p>
        </w:tc>
      </w:tr>
      <w:tr w:rsidR="004C4C39" w:rsidRPr="00A32EED" w14:paraId="5848B331" w14:textId="77777777" w:rsidTr="004C4C39">
        <w:trPr>
          <w:cnfStyle w:val="000000100000" w:firstRow="0" w:lastRow="0" w:firstColumn="0" w:lastColumn="0" w:oddVBand="0" w:evenVBand="0" w:oddHBand="1" w:evenHBand="0" w:firstRowFirstColumn="0" w:firstRowLastColumn="0" w:lastRowFirstColumn="0" w:lastRowLastColumn="0"/>
        </w:trPr>
        <w:tc>
          <w:tcPr>
            <w:tcW w:w="8139" w:type="dxa"/>
            <w:gridSpan w:val="5"/>
          </w:tcPr>
          <w:p w14:paraId="50B559F4" w14:textId="77777777" w:rsidR="004C4C39" w:rsidRPr="00A32EED" w:rsidRDefault="004C4C39" w:rsidP="004C4C39">
            <w:pPr>
              <w:widowControl w:val="0"/>
              <w:autoSpaceDE w:val="0"/>
              <w:autoSpaceDN w:val="0"/>
              <w:adjustRightInd w:val="0"/>
              <w:rPr>
                <w:rFonts w:eastAsia="Times New Roman" w:cs="Arial"/>
                <w:b/>
              </w:rPr>
            </w:pPr>
            <w:r w:rsidRPr="00A32EED">
              <w:rPr>
                <w:rFonts w:eastAsia="Times New Roman" w:cs="Arial"/>
                <w:b/>
              </w:rPr>
              <w:t>Child Demographics</w:t>
            </w:r>
          </w:p>
        </w:tc>
      </w:tr>
      <w:tr w:rsidR="004C4C39" w:rsidRPr="00A32EED" w14:paraId="7DB04C04" w14:textId="77777777" w:rsidTr="004C4C39">
        <w:tc>
          <w:tcPr>
            <w:tcW w:w="2880" w:type="dxa"/>
          </w:tcPr>
          <w:p w14:paraId="780F3890"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Age at Baseline</w:t>
            </w:r>
          </w:p>
        </w:tc>
        <w:tc>
          <w:tcPr>
            <w:tcW w:w="1371" w:type="dxa"/>
          </w:tcPr>
          <w:p w14:paraId="7AF9DD60"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1.65***</w:t>
            </w:r>
          </w:p>
        </w:tc>
        <w:tc>
          <w:tcPr>
            <w:tcW w:w="1296" w:type="dxa"/>
          </w:tcPr>
          <w:p w14:paraId="5EAEAFD2"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1.63***</w:t>
            </w:r>
          </w:p>
        </w:tc>
        <w:tc>
          <w:tcPr>
            <w:tcW w:w="1296" w:type="dxa"/>
          </w:tcPr>
          <w:p w14:paraId="6E9C068B"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1.67***</w:t>
            </w:r>
          </w:p>
        </w:tc>
        <w:tc>
          <w:tcPr>
            <w:tcW w:w="1296" w:type="dxa"/>
          </w:tcPr>
          <w:p w14:paraId="72B3FAFA"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1.73***</w:t>
            </w:r>
          </w:p>
        </w:tc>
      </w:tr>
      <w:tr w:rsidR="004C4C39" w:rsidRPr="00A32EED" w14:paraId="6157C43F" w14:textId="77777777" w:rsidTr="004C4C39">
        <w:trPr>
          <w:cnfStyle w:val="000000100000" w:firstRow="0" w:lastRow="0" w:firstColumn="0" w:lastColumn="0" w:oddVBand="0" w:evenVBand="0" w:oddHBand="1" w:evenHBand="0" w:firstRowFirstColumn="0" w:firstRowLastColumn="0" w:lastRowFirstColumn="0" w:lastRowLastColumn="0"/>
        </w:trPr>
        <w:tc>
          <w:tcPr>
            <w:tcW w:w="2880" w:type="dxa"/>
          </w:tcPr>
          <w:p w14:paraId="6F6137C0"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Male</w:t>
            </w:r>
          </w:p>
        </w:tc>
        <w:tc>
          <w:tcPr>
            <w:tcW w:w="1371" w:type="dxa"/>
          </w:tcPr>
          <w:p w14:paraId="7FA4BC27"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1.01</w:t>
            </w:r>
          </w:p>
        </w:tc>
        <w:tc>
          <w:tcPr>
            <w:tcW w:w="1296" w:type="dxa"/>
          </w:tcPr>
          <w:p w14:paraId="6DD32AA9"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0.96</w:t>
            </w:r>
          </w:p>
        </w:tc>
        <w:tc>
          <w:tcPr>
            <w:tcW w:w="1296" w:type="dxa"/>
          </w:tcPr>
          <w:p w14:paraId="59189765"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1.04</w:t>
            </w:r>
          </w:p>
        </w:tc>
        <w:tc>
          <w:tcPr>
            <w:tcW w:w="1296" w:type="dxa"/>
          </w:tcPr>
          <w:p w14:paraId="1F74DD3A"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1.68</w:t>
            </w:r>
          </w:p>
        </w:tc>
      </w:tr>
      <w:tr w:rsidR="004C4C39" w:rsidRPr="00A32EED" w14:paraId="51B029B8" w14:textId="77777777" w:rsidTr="004C4C39">
        <w:tc>
          <w:tcPr>
            <w:tcW w:w="2880" w:type="dxa"/>
          </w:tcPr>
          <w:p w14:paraId="7F109E58"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Non-White</w:t>
            </w:r>
          </w:p>
        </w:tc>
        <w:tc>
          <w:tcPr>
            <w:tcW w:w="1371" w:type="dxa"/>
          </w:tcPr>
          <w:p w14:paraId="3B9780AB"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1.35</w:t>
            </w:r>
          </w:p>
        </w:tc>
        <w:tc>
          <w:tcPr>
            <w:tcW w:w="1296" w:type="dxa"/>
          </w:tcPr>
          <w:p w14:paraId="3E2FECC6"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1.63</w:t>
            </w:r>
          </w:p>
        </w:tc>
        <w:tc>
          <w:tcPr>
            <w:tcW w:w="1296" w:type="dxa"/>
          </w:tcPr>
          <w:p w14:paraId="4F9B3ACD"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1.75+</w:t>
            </w:r>
          </w:p>
        </w:tc>
        <w:tc>
          <w:tcPr>
            <w:tcW w:w="1296" w:type="dxa"/>
          </w:tcPr>
          <w:p w14:paraId="112BA045"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1.76+</w:t>
            </w:r>
          </w:p>
        </w:tc>
      </w:tr>
      <w:tr w:rsidR="004C4C39" w:rsidRPr="00A32EED" w14:paraId="403D0637" w14:textId="77777777" w:rsidTr="004C4C39">
        <w:trPr>
          <w:cnfStyle w:val="000000100000" w:firstRow="0" w:lastRow="0" w:firstColumn="0" w:lastColumn="0" w:oddVBand="0" w:evenVBand="0" w:oddHBand="1" w:evenHBand="0" w:firstRowFirstColumn="0" w:firstRowLastColumn="0" w:lastRowFirstColumn="0" w:lastRowLastColumn="0"/>
        </w:trPr>
        <w:tc>
          <w:tcPr>
            <w:tcW w:w="8139" w:type="dxa"/>
            <w:gridSpan w:val="5"/>
          </w:tcPr>
          <w:p w14:paraId="6E3D4997" w14:textId="77777777" w:rsidR="004C4C39" w:rsidRPr="00A32EED" w:rsidRDefault="004C4C39" w:rsidP="004C4C39">
            <w:pPr>
              <w:widowControl w:val="0"/>
              <w:autoSpaceDE w:val="0"/>
              <w:autoSpaceDN w:val="0"/>
              <w:adjustRightInd w:val="0"/>
              <w:rPr>
                <w:rFonts w:eastAsia="Times New Roman" w:cs="Arial"/>
                <w:b/>
              </w:rPr>
            </w:pPr>
            <w:r w:rsidRPr="00A32EED">
              <w:rPr>
                <w:rFonts w:eastAsia="Times New Roman" w:cs="Arial"/>
                <w:b/>
              </w:rPr>
              <w:t>Baseline Case Characteristics</w:t>
            </w:r>
          </w:p>
        </w:tc>
      </w:tr>
      <w:tr w:rsidR="004C4C39" w:rsidRPr="00A32EED" w14:paraId="3CE1FDB3" w14:textId="77777777" w:rsidTr="004C4C39">
        <w:tc>
          <w:tcPr>
            <w:tcW w:w="2880" w:type="dxa"/>
          </w:tcPr>
          <w:p w14:paraId="0024363D"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 xml:space="preserve">Case Substantiated </w:t>
            </w:r>
          </w:p>
        </w:tc>
        <w:tc>
          <w:tcPr>
            <w:tcW w:w="1371" w:type="dxa"/>
          </w:tcPr>
          <w:p w14:paraId="084175DD"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52535F80"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1.49</w:t>
            </w:r>
          </w:p>
        </w:tc>
        <w:tc>
          <w:tcPr>
            <w:tcW w:w="1296" w:type="dxa"/>
          </w:tcPr>
          <w:p w14:paraId="63838CE7"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1.48</w:t>
            </w:r>
          </w:p>
        </w:tc>
        <w:tc>
          <w:tcPr>
            <w:tcW w:w="1296" w:type="dxa"/>
          </w:tcPr>
          <w:p w14:paraId="48C15B8D"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2.90*</w:t>
            </w:r>
          </w:p>
        </w:tc>
      </w:tr>
      <w:tr w:rsidR="004C4C39" w:rsidRPr="00A32EED" w14:paraId="6C032A52" w14:textId="77777777" w:rsidTr="004C4C39">
        <w:trPr>
          <w:cnfStyle w:val="000000100000" w:firstRow="0" w:lastRow="0" w:firstColumn="0" w:lastColumn="0" w:oddVBand="0" w:evenVBand="0" w:oddHBand="1" w:evenHBand="0" w:firstRowFirstColumn="0" w:firstRowLastColumn="0" w:lastRowFirstColumn="0" w:lastRowLastColumn="0"/>
        </w:trPr>
        <w:tc>
          <w:tcPr>
            <w:tcW w:w="2880" w:type="dxa"/>
          </w:tcPr>
          <w:p w14:paraId="44CE8ED3"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 xml:space="preserve">Level of Harm </w:t>
            </w:r>
          </w:p>
        </w:tc>
        <w:tc>
          <w:tcPr>
            <w:tcW w:w="1371" w:type="dxa"/>
          </w:tcPr>
          <w:p w14:paraId="434A037A"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09743C76"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0.73</w:t>
            </w:r>
          </w:p>
        </w:tc>
        <w:tc>
          <w:tcPr>
            <w:tcW w:w="1296" w:type="dxa"/>
          </w:tcPr>
          <w:p w14:paraId="4B4025E0"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0.69</w:t>
            </w:r>
          </w:p>
        </w:tc>
        <w:tc>
          <w:tcPr>
            <w:tcW w:w="1296" w:type="dxa"/>
          </w:tcPr>
          <w:p w14:paraId="76F9E640"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0.70</w:t>
            </w:r>
          </w:p>
        </w:tc>
      </w:tr>
      <w:tr w:rsidR="004C4C39" w:rsidRPr="00A32EED" w14:paraId="72B991FB" w14:textId="77777777" w:rsidTr="004C4C39">
        <w:tc>
          <w:tcPr>
            <w:tcW w:w="2880" w:type="dxa"/>
          </w:tcPr>
          <w:p w14:paraId="507B7C68"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Services Offered</w:t>
            </w:r>
          </w:p>
        </w:tc>
        <w:tc>
          <w:tcPr>
            <w:tcW w:w="1371" w:type="dxa"/>
          </w:tcPr>
          <w:p w14:paraId="2C607BEC"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0C7ED3EB"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0.76</w:t>
            </w:r>
          </w:p>
        </w:tc>
        <w:tc>
          <w:tcPr>
            <w:tcW w:w="1296" w:type="dxa"/>
          </w:tcPr>
          <w:p w14:paraId="7894A746"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0.78</w:t>
            </w:r>
          </w:p>
        </w:tc>
        <w:tc>
          <w:tcPr>
            <w:tcW w:w="1296" w:type="dxa"/>
          </w:tcPr>
          <w:p w14:paraId="79E21E83"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0.76</w:t>
            </w:r>
          </w:p>
        </w:tc>
      </w:tr>
      <w:tr w:rsidR="004C4C39" w:rsidRPr="00A32EED" w14:paraId="20CA6A5B" w14:textId="77777777" w:rsidTr="004C4C39">
        <w:trPr>
          <w:cnfStyle w:val="000000100000" w:firstRow="0" w:lastRow="0" w:firstColumn="0" w:lastColumn="0" w:oddVBand="0" w:evenVBand="0" w:oddHBand="1" w:evenHBand="0" w:firstRowFirstColumn="0" w:firstRowLastColumn="0" w:lastRowFirstColumn="0" w:lastRowLastColumn="0"/>
        </w:trPr>
        <w:tc>
          <w:tcPr>
            <w:tcW w:w="2880" w:type="dxa"/>
          </w:tcPr>
          <w:p w14:paraId="542236E7"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Multiple Mal. Types</w:t>
            </w:r>
          </w:p>
        </w:tc>
        <w:tc>
          <w:tcPr>
            <w:tcW w:w="1371" w:type="dxa"/>
          </w:tcPr>
          <w:p w14:paraId="3FA12B56"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25085FE8"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0.84</w:t>
            </w:r>
          </w:p>
        </w:tc>
        <w:tc>
          <w:tcPr>
            <w:tcW w:w="1296" w:type="dxa"/>
          </w:tcPr>
          <w:p w14:paraId="4D53FCB4"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0.87</w:t>
            </w:r>
          </w:p>
        </w:tc>
        <w:tc>
          <w:tcPr>
            <w:tcW w:w="1296" w:type="dxa"/>
          </w:tcPr>
          <w:p w14:paraId="2A1272CA"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0.89</w:t>
            </w:r>
          </w:p>
        </w:tc>
      </w:tr>
      <w:tr w:rsidR="004C4C39" w:rsidRPr="00A32EED" w14:paraId="2ECD2D52" w14:textId="77777777" w:rsidTr="004C4C39">
        <w:tc>
          <w:tcPr>
            <w:tcW w:w="4251" w:type="dxa"/>
            <w:gridSpan w:val="2"/>
          </w:tcPr>
          <w:p w14:paraId="105ED6AA" w14:textId="77777777" w:rsidR="004C4C39" w:rsidRPr="00A32EED" w:rsidRDefault="004C4C39" w:rsidP="004C4C39">
            <w:pPr>
              <w:widowControl w:val="0"/>
              <w:autoSpaceDE w:val="0"/>
              <w:autoSpaceDN w:val="0"/>
              <w:adjustRightInd w:val="0"/>
              <w:rPr>
                <w:rFonts w:eastAsia="Times New Roman" w:cs="Arial"/>
              </w:rPr>
            </w:pPr>
            <w:r w:rsidRPr="00A32EED">
              <w:rPr>
                <w:rFonts w:eastAsia="Calibri" w:cs="Arial"/>
              </w:rPr>
              <w:t>Prior Child Welfare Involvement</w:t>
            </w:r>
          </w:p>
        </w:tc>
        <w:tc>
          <w:tcPr>
            <w:tcW w:w="1296" w:type="dxa"/>
          </w:tcPr>
          <w:p w14:paraId="215DF4AD"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2.09*</w:t>
            </w:r>
          </w:p>
        </w:tc>
        <w:tc>
          <w:tcPr>
            <w:tcW w:w="1296" w:type="dxa"/>
          </w:tcPr>
          <w:p w14:paraId="2C805E2D"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2.08*</w:t>
            </w:r>
          </w:p>
        </w:tc>
        <w:tc>
          <w:tcPr>
            <w:tcW w:w="1296" w:type="dxa"/>
          </w:tcPr>
          <w:p w14:paraId="53A9A935"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2.18*</w:t>
            </w:r>
          </w:p>
        </w:tc>
      </w:tr>
      <w:tr w:rsidR="004C4C39" w:rsidRPr="00A32EED" w14:paraId="7B2BB9C2" w14:textId="77777777" w:rsidTr="004C4C39">
        <w:trPr>
          <w:cnfStyle w:val="000000100000" w:firstRow="0" w:lastRow="0" w:firstColumn="0" w:lastColumn="0" w:oddVBand="0" w:evenVBand="0" w:oddHBand="1" w:evenHBand="0" w:firstRowFirstColumn="0" w:firstRowLastColumn="0" w:lastRowFirstColumn="0" w:lastRowLastColumn="0"/>
        </w:trPr>
        <w:tc>
          <w:tcPr>
            <w:tcW w:w="8139" w:type="dxa"/>
            <w:gridSpan w:val="5"/>
          </w:tcPr>
          <w:p w14:paraId="10507F2E" w14:textId="77777777" w:rsidR="004C4C39" w:rsidRPr="00A32EED" w:rsidRDefault="004C4C39" w:rsidP="004C4C39">
            <w:pPr>
              <w:widowControl w:val="0"/>
              <w:autoSpaceDE w:val="0"/>
              <w:autoSpaceDN w:val="0"/>
              <w:adjustRightInd w:val="0"/>
              <w:rPr>
                <w:rFonts w:eastAsia="Times New Roman" w:cs="Arial"/>
                <w:b/>
              </w:rPr>
            </w:pPr>
            <w:r w:rsidRPr="00A32EED">
              <w:rPr>
                <w:rFonts w:eastAsia="Times New Roman" w:cs="Arial"/>
                <w:b/>
              </w:rPr>
              <w:t>Maltreatment Type (Compared to Neglect)</w:t>
            </w:r>
          </w:p>
        </w:tc>
      </w:tr>
      <w:tr w:rsidR="004C4C39" w:rsidRPr="00A32EED" w14:paraId="1F35E45F" w14:textId="77777777" w:rsidTr="004C4C39">
        <w:tc>
          <w:tcPr>
            <w:tcW w:w="2880" w:type="dxa"/>
          </w:tcPr>
          <w:p w14:paraId="57825491"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Physical Abuse</w:t>
            </w:r>
          </w:p>
        </w:tc>
        <w:tc>
          <w:tcPr>
            <w:tcW w:w="1371" w:type="dxa"/>
          </w:tcPr>
          <w:p w14:paraId="3DF319B7"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322E4F8F"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0.97</w:t>
            </w:r>
          </w:p>
        </w:tc>
        <w:tc>
          <w:tcPr>
            <w:tcW w:w="1296" w:type="dxa"/>
          </w:tcPr>
          <w:p w14:paraId="35AEDEC4"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0.98</w:t>
            </w:r>
          </w:p>
        </w:tc>
        <w:tc>
          <w:tcPr>
            <w:tcW w:w="1296" w:type="dxa"/>
          </w:tcPr>
          <w:p w14:paraId="10A4D96D"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0.92</w:t>
            </w:r>
          </w:p>
        </w:tc>
      </w:tr>
      <w:tr w:rsidR="004C4C39" w:rsidRPr="00A32EED" w14:paraId="667F8547" w14:textId="77777777" w:rsidTr="004C4C39">
        <w:trPr>
          <w:cnfStyle w:val="000000100000" w:firstRow="0" w:lastRow="0" w:firstColumn="0" w:lastColumn="0" w:oddVBand="0" w:evenVBand="0" w:oddHBand="1" w:evenHBand="0" w:firstRowFirstColumn="0" w:firstRowLastColumn="0" w:lastRowFirstColumn="0" w:lastRowLastColumn="0"/>
        </w:trPr>
        <w:tc>
          <w:tcPr>
            <w:tcW w:w="2880" w:type="dxa"/>
          </w:tcPr>
          <w:p w14:paraId="7186C5B5"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Sexual Abuse</w:t>
            </w:r>
          </w:p>
        </w:tc>
        <w:tc>
          <w:tcPr>
            <w:tcW w:w="1371" w:type="dxa"/>
          </w:tcPr>
          <w:p w14:paraId="5A5BAF9B"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0A6CBB15"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1.92</w:t>
            </w:r>
          </w:p>
        </w:tc>
        <w:tc>
          <w:tcPr>
            <w:tcW w:w="1296" w:type="dxa"/>
          </w:tcPr>
          <w:p w14:paraId="0851CC14"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2.16+</w:t>
            </w:r>
          </w:p>
        </w:tc>
        <w:tc>
          <w:tcPr>
            <w:tcW w:w="1296" w:type="dxa"/>
          </w:tcPr>
          <w:p w14:paraId="450EDEA0"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1.62</w:t>
            </w:r>
          </w:p>
        </w:tc>
      </w:tr>
      <w:tr w:rsidR="004C4C39" w:rsidRPr="00A32EED" w14:paraId="0BF4B86F" w14:textId="77777777" w:rsidTr="004C4C39">
        <w:tc>
          <w:tcPr>
            <w:tcW w:w="2880" w:type="dxa"/>
          </w:tcPr>
          <w:p w14:paraId="4528D6E0"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Other</w:t>
            </w:r>
          </w:p>
        </w:tc>
        <w:tc>
          <w:tcPr>
            <w:tcW w:w="1371" w:type="dxa"/>
          </w:tcPr>
          <w:p w14:paraId="4AC8204C"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7A8BE40A"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0.64</w:t>
            </w:r>
          </w:p>
        </w:tc>
        <w:tc>
          <w:tcPr>
            <w:tcW w:w="1296" w:type="dxa"/>
          </w:tcPr>
          <w:p w14:paraId="63B84B11"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0.71</w:t>
            </w:r>
          </w:p>
        </w:tc>
        <w:tc>
          <w:tcPr>
            <w:tcW w:w="1296" w:type="dxa"/>
          </w:tcPr>
          <w:p w14:paraId="3024B9B2"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0.64</w:t>
            </w:r>
          </w:p>
        </w:tc>
      </w:tr>
      <w:tr w:rsidR="004C4C39" w:rsidRPr="00A32EED" w14:paraId="28620CA5" w14:textId="77777777" w:rsidTr="004C4C39">
        <w:trPr>
          <w:cnfStyle w:val="000000100000" w:firstRow="0" w:lastRow="0" w:firstColumn="0" w:lastColumn="0" w:oddVBand="0" w:evenVBand="0" w:oddHBand="1" w:evenHBand="0" w:firstRowFirstColumn="0" w:firstRowLastColumn="0" w:lastRowFirstColumn="0" w:lastRowLastColumn="0"/>
        </w:trPr>
        <w:tc>
          <w:tcPr>
            <w:tcW w:w="8139" w:type="dxa"/>
            <w:gridSpan w:val="5"/>
          </w:tcPr>
          <w:p w14:paraId="46543AD6" w14:textId="77777777" w:rsidR="004C4C39" w:rsidRPr="00A32EED" w:rsidRDefault="004C4C39" w:rsidP="004C4C39">
            <w:pPr>
              <w:widowControl w:val="0"/>
              <w:autoSpaceDE w:val="0"/>
              <w:autoSpaceDN w:val="0"/>
              <w:adjustRightInd w:val="0"/>
              <w:rPr>
                <w:rFonts w:eastAsia="Times New Roman" w:cs="Arial"/>
                <w:b/>
              </w:rPr>
            </w:pPr>
            <w:r w:rsidRPr="00A32EED">
              <w:rPr>
                <w:rFonts w:eastAsia="Times New Roman" w:cs="Arial"/>
                <w:b/>
              </w:rPr>
              <w:t>Type of Placement at Baseline (compared to no removal)</w:t>
            </w:r>
          </w:p>
        </w:tc>
      </w:tr>
      <w:tr w:rsidR="004C4C39" w:rsidRPr="00A32EED" w14:paraId="5921BAD7" w14:textId="77777777" w:rsidTr="004C4C39">
        <w:tc>
          <w:tcPr>
            <w:tcW w:w="2880" w:type="dxa"/>
          </w:tcPr>
          <w:p w14:paraId="548BD4CE"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Foster Care</w:t>
            </w:r>
          </w:p>
        </w:tc>
        <w:tc>
          <w:tcPr>
            <w:tcW w:w="1371" w:type="dxa"/>
          </w:tcPr>
          <w:p w14:paraId="136FCBE3"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42ED9044"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1.31</w:t>
            </w:r>
          </w:p>
        </w:tc>
        <w:tc>
          <w:tcPr>
            <w:tcW w:w="1296" w:type="dxa"/>
          </w:tcPr>
          <w:p w14:paraId="2EC46183"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1.30</w:t>
            </w:r>
          </w:p>
        </w:tc>
        <w:tc>
          <w:tcPr>
            <w:tcW w:w="1296" w:type="dxa"/>
          </w:tcPr>
          <w:p w14:paraId="3EDDAC24"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1.44</w:t>
            </w:r>
          </w:p>
        </w:tc>
      </w:tr>
      <w:tr w:rsidR="004C4C39" w:rsidRPr="00A32EED" w14:paraId="2D0538C8" w14:textId="77777777" w:rsidTr="004C4C39">
        <w:trPr>
          <w:cnfStyle w:val="000000100000" w:firstRow="0" w:lastRow="0" w:firstColumn="0" w:lastColumn="0" w:oddVBand="0" w:evenVBand="0" w:oddHBand="1" w:evenHBand="0" w:firstRowFirstColumn="0" w:firstRowLastColumn="0" w:lastRowFirstColumn="0" w:lastRowLastColumn="0"/>
        </w:trPr>
        <w:tc>
          <w:tcPr>
            <w:tcW w:w="2880" w:type="dxa"/>
          </w:tcPr>
          <w:p w14:paraId="7E09BB2B" w14:textId="77777777" w:rsidR="004C4C39" w:rsidRPr="00A32EED" w:rsidRDefault="004C4C39" w:rsidP="004C4C39">
            <w:pPr>
              <w:widowControl w:val="0"/>
              <w:autoSpaceDE w:val="0"/>
              <w:autoSpaceDN w:val="0"/>
              <w:adjustRightInd w:val="0"/>
              <w:rPr>
                <w:rFonts w:eastAsia="Calibri" w:cs="Arial"/>
              </w:rPr>
            </w:pPr>
            <w:r w:rsidRPr="00A32EED">
              <w:rPr>
                <w:rFonts w:eastAsia="Calibri" w:cs="Arial"/>
              </w:rPr>
              <w:t>Kinship Care</w:t>
            </w:r>
          </w:p>
        </w:tc>
        <w:tc>
          <w:tcPr>
            <w:tcW w:w="1371" w:type="dxa"/>
          </w:tcPr>
          <w:p w14:paraId="565E647E"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7E4229FC"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1.51</w:t>
            </w:r>
          </w:p>
        </w:tc>
        <w:tc>
          <w:tcPr>
            <w:tcW w:w="1296" w:type="dxa"/>
          </w:tcPr>
          <w:p w14:paraId="4B519E2F"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1.51</w:t>
            </w:r>
          </w:p>
        </w:tc>
        <w:tc>
          <w:tcPr>
            <w:tcW w:w="1296" w:type="dxa"/>
          </w:tcPr>
          <w:p w14:paraId="152E51CF"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1.26</w:t>
            </w:r>
          </w:p>
        </w:tc>
      </w:tr>
      <w:tr w:rsidR="004C4C39" w:rsidRPr="00A32EED" w14:paraId="793D874E" w14:textId="77777777" w:rsidTr="004C4C39">
        <w:tc>
          <w:tcPr>
            <w:tcW w:w="4251" w:type="dxa"/>
            <w:gridSpan w:val="2"/>
          </w:tcPr>
          <w:p w14:paraId="3C602E8B" w14:textId="77777777" w:rsidR="004C4C39" w:rsidRPr="00A32EED" w:rsidRDefault="004C4C39" w:rsidP="004C4C39">
            <w:pPr>
              <w:widowControl w:val="0"/>
              <w:autoSpaceDE w:val="0"/>
              <w:autoSpaceDN w:val="0"/>
              <w:adjustRightInd w:val="0"/>
              <w:rPr>
                <w:rFonts w:eastAsia="Times New Roman" w:cs="Arial"/>
              </w:rPr>
            </w:pPr>
            <w:r w:rsidRPr="00A32EED">
              <w:rPr>
                <w:rFonts w:eastAsia="Calibri" w:cs="Arial"/>
              </w:rPr>
              <w:t>Group Home, Residential Treatment Center, or Other</w:t>
            </w:r>
          </w:p>
        </w:tc>
        <w:tc>
          <w:tcPr>
            <w:tcW w:w="1296" w:type="dxa"/>
          </w:tcPr>
          <w:p w14:paraId="50E654D3"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15.31***</w:t>
            </w:r>
          </w:p>
        </w:tc>
        <w:tc>
          <w:tcPr>
            <w:tcW w:w="1296" w:type="dxa"/>
          </w:tcPr>
          <w:p w14:paraId="2F5103B0"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16.72***</w:t>
            </w:r>
          </w:p>
        </w:tc>
        <w:tc>
          <w:tcPr>
            <w:tcW w:w="1296" w:type="dxa"/>
          </w:tcPr>
          <w:p w14:paraId="52073307"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23.66***</w:t>
            </w:r>
          </w:p>
        </w:tc>
      </w:tr>
      <w:tr w:rsidR="004C4C39" w:rsidRPr="00A32EED" w14:paraId="7219E6FC" w14:textId="77777777" w:rsidTr="004C4C39">
        <w:trPr>
          <w:cnfStyle w:val="000000100000" w:firstRow="0" w:lastRow="0" w:firstColumn="0" w:lastColumn="0" w:oddVBand="0" w:evenVBand="0" w:oddHBand="1" w:evenHBand="0" w:firstRowFirstColumn="0" w:firstRowLastColumn="0" w:lastRowFirstColumn="0" w:lastRowLastColumn="0"/>
        </w:trPr>
        <w:tc>
          <w:tcPr>
            <w:tcW w:w="8139" w:type="dxa"/>
            <w:gridSpan w:val="5"/>
          </w:tcPr>
          <w:p w14:paraId="487CAD87" w14:textId="77777777" w:rsidR="004C4C39" w:rsidRPr="00A32EED" w:rsidRDefault="004C4C39" w:rsidP="004C4C39">
            <w:pPr>
              <w:widowControl w:val="0"/>
              <w:autoSpaceDE w:val="0"/>
              <w:autoSpaceDN w:val="0"/>
              <w:adjustRightInd w:val="0"/>
              <w:rPr>
                <w:rFonts w:eastAsia="Times New Roman" w:cs="Arial"/>
                <w:b/>
              </w:rPr>
            </w:pPr>
            <w:r w:rsidRPr="00A32EED">
              <w:rPr>
                <w:rFonts w:eastAsia="Times New Roman" w:cs="Arial"/>
                <w:b/>
              </w:rPr>
              <w:t>Propensity</w:t>
            </w:r>
          </w:p>
        </w:tc>
      </w:tr>
      <w:tr w:rsidR="004C4C39" w:rsidRPr="00A32EED" w14:paraId="61D983D8" w14:textId="77777777" w:rsidTr="004C4C39">
        <w:tc>
          <w:tcPr>
            <w:tcW w:w="2880" w:type="dxa"/>
          </w:tcPr>
          <w:p w14:paraId="66BF54AB"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Self-Control</w:t>
            </w:r>
          </w:p>
        </w:tc>
        <w:tc>
          <w:tcPr>
            <w:tcW w:w="1371" w:type="dxa"/>
          </w:tcPr>
          <w:p w14:paraId="55201F87"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4C665E1A"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0E34E00B"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.92**</w:t>
            </w:r>
          </w:p>
        </w:tc>
        <w:tc>
          <w:tcPr>
            <w:tcW w:w="1296" w:type="dxa"/>
          </w:tcPr>
          <w:p w14:paraId="1D83BC3F"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.91***</w:t>
            </w:r>
          </w:p>
        </w:tc>
      </w:tr>
      <w:tr w:rsidR="004C4C39" w:rsidRPr="00A32EED" w14:paraId="5768FA77" w14:textId="77777777" w:rsidTr="004C4C39">
        <w:trPr>
          <w:cnfStyle w:val="000000100000" w:firstRow="0" w:lastRow="0" w:firstColumn="0" w:lastColumn="0" w:oddVBand="0" w:evenVBand="0" w:oddHBand="1" w:evenHBand="0" w:firstRowFirstColumn="0" w:firstRowLastColumn="0" w:lastRowFirstColumn="0" w:lastRowLastColumn="0"/>
        </w:trPr>
        <w:tc>
          <w:tcPr>
            <w:tcW w:w="8139" w:type="dxa"/>
            <w:gridSpan w:val="5"/>
          </w:tcPr>
          <w:p w14:paraId="70A3CFD4" w14:textId="77777777" w:rsidR="004C4C39" w:rsidRPr="00A32EED" w:rsidRDefault="004C4C39" w:rsidP="004C4C39">
            <w:pPr>
              <w:widowControl w:val="0"/>
              <w:autoSpaceDE w:val="0"/>
              <w:autoSpaceDN w:val="0"/>
              <w:adjustRightInd w:val="0"/>
              <w:rPr>
                <w:rFonts w:eastAsia="Times New Roman" w:cs="Arial"/>
                <w:b/>
              </w:rPr>
            </w:pPr>
            <w:r w:rsidRPr="00A32EED">
              <w:rPr>
                <w:rFonts w:eastAsia="Times New Roman" w:cs="Arial"/>
                <w:b/>
              </w:rPr>
              <w:t>Interaction Term</w:t>
            </w:r>
          </w:p>
        </w:tc>
      </w:tr>
      <w:tr w:rsidR="004C4C39" w:rsidRPr="00A32EED" w14:paraId="48AD8D41" w14:textId="77777777" w:rsidTr="004C4C39">
        <w:tc>
          <w:tcPr>
            <w:tcW w:w="2880" w:type="dxa"/>
          </w:tcPr>
          <w:p w14:paraId="715D8A35"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Male*Substantiated</w:t>
            </w:r>
          </w:p>
        </w:tc>
        <w:tc>
          <w:tcPr>
            <w:tcW w:w="1371" w:type="dxa"/>
          </w:tcPr>
          <w:p w14:paraId="2C8C116F"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1485A4AC"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660B09B0" w14:textId="77777777" w:rsidR="004C4C39" w:rsidRPr="00A32EED" w:rsidRDefault="004C4C39" w:rsidP="004C4C39">
            <w:pPr>
              <w:widowControl w:val="0"/>
              <w:autoSpaceDE w:val="0"/>
              <w:autoSpaceDN w:val="0"/>
              <w:adjustRightInd w:val="0"/>
              <w:jc w:val="center"/>
              <w:rPr>
                <w:rFonts w:eastAsia="Times New Roman" w:cs="Arial"/>
              </w:rPr>
            </w:pPr>
          </w:p>
        </w:tc>
        <w:tc>
          <w:tcPr>
            <w:tcW w:w="1296" w:type="dxa"/>
          </w:tcPr>
          <w:p w14:paraId="507F8F69"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0.20*</w:t>
            </w:r>
          </w:p>
        </w:tc>
      </w:tr>
      <w:tr w:rsidR="004C4C39" w:rsidRPr="00A32EED" w14:paraId="269CF1BC" w14:textId="77777777" w:rsidTr="004C4C39">
        <w:trPr>
          <w:cnfStyle w:val="000000100000" w:firstRow="0" w:lastRow="0" w:firstColumn="0" w:lastColumn="0" w:oddVBand="0" w:evenVBand="0" w:oddHBand="1" w:evenHBand="0" w:firstRowFirstColumn="0" w:firstRowLastColumn="0" w:lastRowFirstColumn="0" w:lastRowLastColumn="0"/>
        </w:trPr>
        <w:tc>
          <w:tcPr>
            <w:tcW w:w="2880" w:type="dxa"/>
          </w:tcPr>
          <w:p w14:paraId="4510D5D9"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Observations</w:t>
            </w:r>
          </w:p>
        </w:tc>
        <w:tc>
          <w:tcPr>
            <w:tcW w:w="1371" w:type="dxa"/>
          </w:tcPr>
          <w:p w14:paraId="31E8BA81"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739</w:t>
            </w:r>
          </w:p>
        </w:tc>
        <w:tc>
          <w:tcPr>
            <w:tcW w:w="1296" w:type="dxa"/>
          </w:tcPr>
          <w:p w14:paraId="4847A414"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739</w:t>
            </w:r>
          </w:p>
        </w:tc>
        <w:tc>
          <w:tcPr>
            <w:tcW w:w="1296" w:type="dxa"/>
          </w:tcPr>
          <w:p w14:paraId="7F6E7C76"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739</w:t>
            </w:r>
          </w:p>
        </w:tc>
        <w:tc>
          <w:tcPr>
            <w:tcW w:w="1296" w:type="dxa"/>
          </w:tcPr>
          <w:p w14:paraId="4CA9BBF8" w14:textId="77777777" w:rsidR="004C4C39" w:rsidRPr="00A32EED" w:rsidRDefault="004C4C39" w:rsidP="004C4C39">
            <w:pPr>
              <w:widowControl w:val="0"/>
              <w:autoSpaceDE w:val="0"/>
              <w:autoSpaceDN w:val="0"/>
              <w:adjustRightInd w:val="0"/>
              <w:jc w:val="center"/>
              <w:rPr>
                <w:rFonts w:eastAsia="Times New Roman" w:cs="Arial"/>
              </w:rPr>
            </w:pPr>
            <w:r w:rsidRPr="00A32EED">
              <w:rPr>
                <w:rFonts w:eastAsia="Times New Roman" w:cs="Arial"/>
              </w:rPr>
              <w:t>739</w:t>
            </w:r>
          </w:p>
        </w:tc>
      </w:tr>
    </w:tbl>
    <w:p w14:paraId="6DF28E90" w14:textId="77777777" w:rsidR="004C4C39" w:rsidRPr="00A32EED" w:rsidRDefault="004C4C39" w:rsidP="004C4C39">
      <w:pPr>
        <w:spacing w:after="0" w:line="480" w:lineRule="auto"/>
        <w:rPr>
          <w:rFonts w:eastAsia="Calibri"/>
          <w:iCs/>
          <w:color w:val="000000"/>
          <w:sz w:val="20"/>
          <w:szCs w:val="20"/>
        </w:rPr>
      </w:pPr>
      <w:r w:rsidRPr="00A32EED">
        <w:rPr>
          <w:rFonts w:eastAsia="Calibri"/>
          <w:sz w:val="20"/>
          <w:szCs w:val="20"/>
        </w:rPr>
        <w:t xml:space="preserve">Coefficients presented are odds ratios </w:t>
      </w:r>
      <w:r w:rsidRPr="00A32EED">
        <w:rPr>
          <w:rFonts w:eastAsia="Calibri"/>
          <w:sz w:val="20"/>
          <w:szCs w:val="20"/>
        </w:rPr>
        <w:tab/>
      </w:r>
      <w:r w:rsidRPr="00A32EED">
        <w:rPr>
          <w:rFonts w:eastAsia="Calibri"/>
          <w:sz w:val="20"/>
          <w:szCs w:val="20"/>
        </w:rPr>
        <w:tab/>
      </w:r>
      <w:r w:rsidRPr="00A32EED">
        <w:rPr>
          <w:rFonts w:eastAsia="Calibri"/>
          <w:sz w:val="20"/>
          <w:szCs w:val="20"/>
        </w:rPr>
        <w:tab/>
        <w:t xml:space="preserve">        * p&lt;.05  **p&lt;.01  ***p&lt;.001</w:t>
      </w:r>
    </w:p>
    <w:p w14:paraId="0D541F47" w14:textId="77777777" w:rsidR="004C4C39" w:rsidRPr="00A32EED" w:rsidRDefault="004C4C39" w:rsidP="004C4C39">
      <w:pPr>
        <w:spacing w:after="0" w:line="480" w:lineRule="auto"/>
        <w:ind w:firstLine="720"/>
        <w:rPr>
          <w:rFonts w:eastAsia="Calibri"/>
        </w:rPr>
      </w:pPr>
      <w:r w:rsidRPr="00A32EED">
        <w:rPr>
          <w:rFonts w:eastAsia="Calibri"/>
          <w:iCs/>
          <w:color w:val="000000"/>
          <w:szCs w:val="18"/>
        </w:rPr>
        <w:t xml:space="preserve">To begin, variables for age at baseline, gender, and race/ethnicity are included. Only age at baseline is significantly related to early sexual initiation, with the odds of early sexual initiation increasing 65% for every year older a child was at baseline. Model 2 includes variables for case substantiation, the highest level of harm, services offered, having more than one alleged maltreatment type, prior child welfare involvement, type of maltreatment, and placement at baseline. In Model 2, the odds ratio for age at baseline changes slightly (-.02) but the direction and significance of the relationship remains the </w:t>
      </w:r>
      <w:r w:rsidRPr="00A32EED">
        <w:rPr>
          <w:rFonts w:eastAsia="Calibri"/>
          <w:iCs/>
          <w:color w:val="000000"/>
          <w:szCs w:val="18"/>
        </w:rPr>
        <w:lastRenderedPageBreak/>
        <w:t>same. Prior child welfare involvement is significant with those who have prior contact experiencing a 109% increase in the odds of early sexual initiation over those with no previous contact. No forms of maltreatment are significant predictors of early sexual initiation. For placement at baseline, those individuals placed in a group home/other placement are significantly more likely to experience early sexual initiation. Specifically, the odds of early sexual initiation for youth placed in a group home/other placement are 14.31 times higher than those who remain in their home. This finding is not entirely surprising given bivariate findings that many youth placed in group homes were early initiators (89.57%).</w:t>
      </w:r>
      <w:r w:rsidRPr="00A32EED">
        <w:rPr>
          <w:rFonts w:eastAsia="Calibri"/>
          <w:sz w:val="21"/>
        </w:rPr>
        <w:t xml:space="preserve"> </w:t>
      </w:r>
      <w:r w:rsidRPr="00A32EED">
        <w:rPr>
          <w:rFonts w:eastAsia="Calibri"/>
        </w:rPr>
        <w:t xml:space="preserve">It should be noted that this is a tremendously higher odds ratio and is likely due to the low group membership for group homes. Although the number of youth placed in group homes is low in the analytical sample, the frequency is similar to that of the entire data set. This is not surprising given that group home placements are some of the least common placements for children. </w:t>
      </w:r>
    </w:p>
    <w:p w14:paraId="6F40AF19"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Model 3 adds self-control to the model as a measure of propensity or population heterogeneity. Because propensities such as self-control may be related to placement types and other child welfare experiences, the addition of a propensity measure is intended to isolate any state dependent effects of exposure to child maltreatment and the child welfare system. In this model, age at baseline sees a minor increase in the odds ratio from the previous model (.04) but the significance and direction of the relationship do not change. With the inclusion of self-control, race/ethnicity becomes marginally significant, with the odds of early sexual initiation being 75% higher for non-white youth when </w:t>
      </w:r>
      <w:r w:rsidRPr="00A32EED">
        <w:rPr>
          <w:rFonts w:eastAsia="Calibri"/>
          <w:iCs/>
          <w:color w:val="000000"/>
          <w:szCs w:val="18"/>
        </w:rPr>
        <w:lastRenderedPageBreak/>
        <w:t>compared to white youth. Previous involvement with the child welfare system maintained the same direction and significance level with a minor decrease in the coefficient (-.01).</w:t>
      </w:r>
    </w:p>
    <w:p w14:paraId="1F8A36CA"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The addition of self-control to the model also results in marginal significance for cases where sexual abuse is the most severe form of maltreatment (p&lt;.10). Specifically, cases where sexual abuse is the most severe form of alleged maltreatment see a 116% increase in the odds of early sexual initiation in comparison to cases where neglect is the most serious form of alleged maltreatment. The significance and direction of the relationship between group home/other placements and early sexual initiation are not affected by the addition of self-control. In fact, the odds ratio for group home/other placements increases from 15.31 in Model 2 to 16.72 in Model 3. Additionally, the measure for self-control is significantly related to early sexual initiation. Specifically, for a unit increase in self-control, there is a .08% decrease in the odds of early sexual initiation. Taken together, this suggests that even when controlling for individual propensities, various experiences related to child maltreatment and child welfare exposure still appear to exert a state dependent effect on early sexual initiation. </w:t>
      </w:r>
    </w:p>
    <w:p w14:paraId="14649BA8"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In anticipation of Model 3 being the final model, goodness of fit tests were performed. Performing a goodness of fit test for this model is complicated due to the complex survey design of the data and the use of subpopulations. The </w:t>
      </w:r>
      <w:r w:rsidRPr="00A32EED">
        <w:rPr>
          <w:rFonts w:eastAsia="Calibri"/>
          <w:i/>
          <w:iCs/>
          <w:color w:val="000000"/>
          <w:szCs w:val="18"/>
        </w:rPr>
        <w:t>svylogitgof</w:t>
      </w:r>
      <w:r w:rsidRPr="00A32EED">
        <w:rPr>
          <w:rFonts w:eastAsia="Calibri"/>
          <w:iCs/>
          <w:color w:val="000000"/>
          <w:szCs w:val="18"/>
        </w:rPr>
        <w:t xml:space="preserve"> program was specifically designed to deal with issues resulting from complex survey designs. This program uses an F-adjusted mean residual </w:t>
      </w:r>
      <w:r w:rsidRPr="00A32EED">
        <w:rPr>
          <w:rFonts w:eastAsia="Calibri"/>
          <w:iCs/>
          <w:color w:val="000000"/>
          <w:szCs w:val="18"/>
        </w:rPr>
        <w:lastRenderedPageBreak/>
        <w:t xml:space="preserve">test to assess the fit of logistic regression models using survey data </w:t>
      </w:r>
      <w:r w:rsidRPr="00A32EED">
        <w:rPr>
          <w:rFonts w:eastAsia="Calibri"/>
          <w:iCs/>
          <w:color w:val="000000"/>
          <w:szCs w:val="18"/>
        </w:rPr>
        <w:fldChar w:fldCharType="begin"/>
      </w:r>
      <w:r w:rsidRPr="00A32EED">
        <w:rPr>
          <w:rFonts w:eastAsia="Calibri"/>
          <w:iCs/>
          <w:color w:val="000000"/>
          <w:szCs w:val="18"/>
        </w:rPr>
        <w:instrText xml:space="preserve"> ADDIN ZOTERO_ITEM CSL_CITATION {"citationID":"1rq92p6hf3","properties":{"formattedCitation":"(Archer, Lemeshow, and others 2006)","plainCitation":"(Archer, Lemeshow, and others 2006)"},"citationItems":[{"id":1439,"uris":["http://zotero.org/users/1165382/items/IRTCXANS"],"uri":["http://zotero.org/users/1165382/items/IRTCXANS"],"itemData":{"id":1439,"type":"article-journal","title":"Goodness-of-fit test for a logistic regression model fitted using survey sample data","container-title":"Stata Journal","page":"97–105","volume":"6","issue":"1","source":"Google Scholar","note":"00249","author":[{"family":"Archer","given":"Kellie J."},{"family":"Lemeshow","given":"Stanley"},{"literal":"others"}],"issued":{"date-parts":[["2006"]]}}}],"schema":"https://github.com/citation-style-language/schema/raw/master/csl-citation.json"} </w:instrText>
      </w:r>
      <w:r w:rsidRPr="00A32EED">
        <w:rPr>
          <w:rFonts w:eastAsia="Calibri"/>
          <w:iCs/>
          <w:color w:val="000000"/>
          <w:szCs w:val="18"/>
        </w:rPr>
        <w:fldChar w:fldCharType="separate"/>
      </w:r>
      <w:r w:rsidRPr="00A32EED">
        <w:rPr>
          <w:rFonts w:eastAsia="Calibri"/>
          <w:iCs/>
          <w:noProof/>
          <w:color w:val="000000"/>
          <w:szCs w:val="18"/>
        </w:rPr>
        <w:t>(Archer, Lemeshow, and others 2006)</w:t>
      </w:r>
      <w:r w:rsidRPr="00A32EED">
        <w:rPr>
          <w:rFonts w:eastAsia="Calibri"/>
          <w:iCs/>
          <w:color w:val="000000"/>
          <w:szCs w:val="18"/>
        </w:rPr>
        <w:fldChar w:fldCharType="end"/>
      </w:r>
      <w:r w:rsidRPr="00A32EED">
        <w:rPr>
          <w:rFonts w:eastAsia="Calibri"/>
          <w:iCs/>
          <w:color w:val="000000"/>
          <w:szCs w:val="18"/>
        </w:rPr>
        <w:t xml:space="preserve">. Additionally, as of STATA 13, the </w:t>
      </w:r>
      <w:r w:rsidRPr="00A32EED">
        <w:rPr>
          <w:rFonts w:eastAsia="Calibri"/>
          <w:i/>
          <w:iCs/>
          <w:color w:val="000000"/>
          <w:szCs w:val="18"/>
        </w:rPr>
        <w:t>estat gof</w:t>
      </w:r>
      <w:r w:rsidRPr="00A32EED">
        <w:rPr>
          <w:rFonts w:eastAsia="Calibri"/>
          <w:iCs/>
          <w:color w:val="000000"/>
          <w:szCs w:val="18"/>
        </w:rPr>
        <w:t xml:space="preserve"> command will work within the </w:t>
      </w:r>
      <w:r w:rsidRPr="00A32EED">
        <w:rPr>
          <w:rFonts w:eastAsia="Calibri"/>
          <w:i/>
          <w:iCs/>
          <w:color w:val="000000"/>
          <w:szCs w:val="18"/>
        </w:rPr>
        <w:t>svy</w:t>
      </w:r>
      <w:r w:rsidRPr="00A32EED">
        <w:rPr>
          <w:rFonts w:eastAsia="Calibri"/>
          <w:iCs/>
          <w:color w:val="000000"/>
          <w:szCs w:val="18"/>
        </w:rPr>
        <w:t xml:space="preserve"> module in STATA. However, both methods only work when subpopulations are executed with an “if” statement and not with the </w:t>
      </w:r>
      <w:r w:rsidRPr="00A32EED">
        <w:rPr>
          <w:rFonts w:eastAsia="Calibri"/>
          <w:i/>
          <w:iCs/>
          <w:color w:val="000000"/>
          <w:szCs w:val="18"/>
        </w:rPr>
        <w:t xml:space="preserve">subpop </w:t>
      </w:r>
      <w:r w:rsidRPr="00A32EED">
        <w:rPr>
          <w:rFonts w:eastAsia="Calibri"/>
          <w:iCs/>
          <w:color w:val="000000"/>
          <w:szCs w:val="18"/>
        </w:rPr>
        <w:t xml:space="preserve">commands. As previously mentioned, using the an “if” statement instead of the </w:t>
      </w:r>
      <w:r w:rsidRPr="00A32EED">
        <w:rPr>
          <w:rFonts w:eastAsia="Calibri"/>
          <w:i/>
          <w:iCs/>
          <w:color w:val="000000"/>
          <w:szCs w:val="18"/>
        </w:rPr>
        <w:t>subpop</w:t>
      </w:r>
      <w:r w:rsidRPr="00A32EED">
        <w:rPr>
          <w:rFonts w:eastAsia="Calibri"/>
          <w:iCs/>
          <w:color w:val="000000"/>
          <w:szCs w:val="18"/>
        </w:rPr>
        <w:t xml:space="preserve"> command within the </w:t>
      </w:r>
      <w:r w:rsidRPr="00A32EED">
        <w:rPr>
          <w:rFonts w:eastAsia="Calibri"/>
          <w:i/>
          <w:iCs/>
          <w:color w:val="000000"/>
          <w:szCs w:val="18"/>
        </w:rPr>
        <w:t>svy</w:t>
      </w:r>
      <w:r w:rsidRPr="00A32EED">
        <w:rPr>
          <w:rFonts w:eastAsia="Calibri"/>
          <w:iCs/>
          <w:color w:val="000000"/>
          <w:szCs w:val="18"/>
        </w:rPr>
        <w:t xml:space="preserve"> module does not account for the weights on non-selected cases resulting in inaccurate standard errors and therefore inaccurate significance tests. However, some have suggested that while the use of the </w:t>
      </w:r>
      <w:r w:rsidRPr="00A32EED">
        <w:rPr>
          <w:rFonts w:eastAsia="Calibri"/>
          <w:i/>
          <w:iCs/>
          <w:color w:val="000000"/>
          <w:szCs w:val="18"/>
        </w:rPr>
        <w:t xml:space="preserve">svy </w:t>
      </w:r>
      <w:r w:rsidRPr="00A32EED">
        <w:rPr>
          <w:rFonts w:eastAsia="Calibri"/>
          <w:iCs/>
          <w:color w:val="000000"/>
          <w:szCs w:val="18"/>
        </w:rPr>
        <w:t xml:space="preserve">and </w:t>
      </w:r>
      <w:r w:rsidRPr="00A32EED">
        <w:rPr>
          <w:rFonts w:eastAsia="Calibri"/>
          <w:i/>
          <w:iCs/>
          <w:color w:val="000000"/>
          <w:szCs w:val="18"/>
        </w:rPr>
        <w:t xml:space="preserve">subpopulation </w:t>
      </w:r>
      <w:r w:rsidRPr="00A32EED">
        <w:rPr>
          <w:rFonts w:eastAsia="Calibri"/>
          <w:iCs/>
          <w:color w:val="000000"/>
          <w:szCs w:val="18"/>
        </w:rPr>
        <w:t>commands</w:t>
      </w:r>
      <w:r w:rsidRPr="00A32EED">
        <w:rPr>
          <w:rFonts w:eastAsia="Calibri"/>
          <w:i/>
          <w:iCs/>
          <w:color w:val="000000"/>
          <w:szCs w:val="18"/>
        </w:rPr>
        <w:t xml:space="preserve"> </w:t>
      </w:r>
      <w:r w:rsidRPr="00A32EED">
        <w:rPr>
          <w:rFonts w:eastAsia="Calibri"/>
          <w:iCs/>
          <w:color w:val="000000"/>
          <w:szCs w:val="18"/>
        </w:rPr>
        <w:t xml:space="preserve">is crucial for accurate standard errors and significance tests, the use of an </w:t>
      </w:r>
      <w:r w:rsidRPr="00A32EED">
        <w:rPr>
          <w:rFonts w:eastAsia="Calibri"/>
          <w:i/>
          <w:iCs/>
          <w:color w:val="000000"/>
          <w:szCs w:val="18"/>
        </w:rPr>
        <w:t>if</w:t>
      </w:r>
      <w:r w:rsidRPr="00A32EED">
        <w:rPr>
          <w:rFonts w:eastAsia="Calibri"/>
          <w:iCs/>
          <w:color w:val="000000"/>
          <w:szCs w:val="18"/>
        </w:rPr>
        <w:t xml:space="preserve"> statement is acceptable for assessing a model's goodness of fit with the </w:t>
      </w:r>
      <w:r w:rsidRPr="00A32EED">
        <w:rPr>
          <w:rFonts w:eastAsia="Calibri"/>
          <w:i/>
          <w:iCs/>
          <w:color w:val="000000"/>
          <w:szCs w:val="18"/>
        </w:rPr>
        <w:t xml:space="preserve">svylogitgof </w:t>
      </w:r>
      <w:r w:rsidRPr="00A32EED">
        <w:rPr>
          <w:rFonts w:eastAsia="Calibri"/>
          <w:iCs/>
          <w:color w:val="000000"/>
          <w:szCs w:val="18"/>
        </w:rPr>
        <w:t xml:space="preserve">and </w:t>
      </w:r>
      <w:r w:rsidRPr="00A32EED">
        <w:rPr>
          <w:rFonts w:eastAsia="Calibri"/>
          <w:i/>
          <w:iCs/>
          <w:color w:val="000000"/>
          <w:szCs w:val="18"/>
        </w:rPr>
        <w:t>estat gof</w:t>
      </w:r>
      <w:r w:rsidRPr="00A32EED">
        <w:rPr>
          <w:rFonts w:eastAsia="Calibri"/>
          <w:iCs/>
          <w:color w:val="000000"/>
          <w:szCs w:val="18"/>
        </w:rPr>
        <w:t xml:space="preserve"> procedures </w:t>
      </w:r>
      <w:r w:rsidRPr="00A32EED">
        <w:rPr>
          <w:rFonts w:eastAsia="Calibri"/>
          <w:iCs/>
          <w:color w:val="000000"/>
          <w:szCs w:val="18"/>
        </w:rPr>
        <w:fldChar w:fldCharType="begin"/>
      </w:r>
      <w:r w:rsidRPr="00A32EED">
        <w:rPr>
          <w:rFonts w:eastAsia="Calibri"/>
          <w:iCs/>
          <w:color w:val="000000"/>
          <w:szCs w:val="18"/>
        </w:rPr>
        <w:instrText xml:space="preserve"> ADDIN ZOTERO_ITEM CSL_CITATION {"citationID":"27k9orlka8","properties":{"formattedCitation":"(Samuels 2011b)","plainCitation":"(Samuels 2011b)"},"citationItems":[{"id":1443,"uris":["http://zotero.org/users/1165382/items/58E9SE8C"],"uri":["http://zotero.org/users/1165382/items/58E9SE8C"],"itemData":{"id":1443,"type":"post","title":"Re: st: svylogitgof after logistic using subpop option","URL":"http://www.stata.com/statalist/archive/2011-03/msg00550.html","note":"00000","author":[{"family":"Samuels","given":"Steven"}],"issued":{"date-parts":[["2011"]]},"accessed":{"date-parts":[["2017",2,27]]}}}],"schema":"https://github.com/citation-style-language/schema/raw/master/csl-citation.json"} </w:instrText>
      </w:r>
      <w:r w:rsidRPr="00A32EED">
        <w:rPr>
          <w:rFonts w:eastAsia="Calibri"/>
          <w:iCs/>
          <w:color w:val="000000"/>
          <w:szCs w:val="18"/>
        </w:rPr>
        <w:fldChar w:fldCharType="separate"/>
      </w:r>
      <w:r w:rsidRPr="00A32EED">
        <w:rPr>
          <w:rFonts w:eastAsia="Calibri"/>
          <w:iCs/>
          <w:noProof/>
          <w:color w:val="000000"/>
          <w:szCs w:val="18"/>
        </w:rPr>
        <w:t>(Samuels 2011b)</w:t>
      </w:r>
      <w:r w:rsidRPr="00A32EED">
        <w:rPr>
          <w:rFonts w:eastAsia="Calibri"/>
          <w:iCs/>
          <w:color w:val="000000"/>
          <w:szCs w:val="18"/>
        </w:rPr>
        <w:fldChar w:fldCharType="end"/>
      </w:r>
      <w:r w:rsidRPr="00A32EED">
        <w:rPr>
          <w:rFonts w:eastAsia="Calibri"/>
          <w:iCs/>
          <w:color w:val="000000"/>
          <w:szCs w:val="18"/>
        </w:rPr>
        <w:t>. Both methods returned an F-adjusted statistic of 10.57 (</w:t>
      </w:r>
      <w:r w:rsidRPr="00A32EED">
        <w:rPr>
          <w:rFonts w:eastAsia="Calibri"/>
          <w:i/>
          <w:iCs/>
          <w:color w:val="000000"/>
          <w:szCs w:val="18"/>
        </w:rPr>
        <w:t>p&lt;</w:t>
      </w:r>
      <w:r w:rsidRPr="00A32EED">
        <w:rPr>
          <w:rFonts w:eastAsia="Calibri"/>
          <w:iCs/>
          <w:color w:val="000000"/>
          <w:szCs w:val="18"/>
        </w:rPr>
        <w:t xml:space="preserve">.001) suggesting that Model 3 model is misspecified. </w:t>
      </w:r>
    </w:p>
    <w:p w14:paraId="72B43F50"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Given previous research showing that child maltreatment may be a bigger risk factor for women than men across several domains </w:t>
      </w:r>
      <w:r w:rsidRPr="00A32EED">
        <w:rPr>
          <w:rFonts w:eastAsia="Calibri"/>
          <w:iCs/>
          <w:color w:val="000000"/>
          <w:szCs w:val="18"/>
        </w:rPr>
        <w:fldChar w:fldCharType="begin"/>
      </w:r>
      <w:r w:rsidRPr="00A32EED">
        <w:rPr>
          <w:rFonts w:eastAsia="Calibri"/>
          <w:iCs/>
          <w:color w:val="000000"/>
          <w:szCs w:val="18"/>
        </w:rPr>
        <w:instrText xml:space="preserve"> ADDIN ZOTERO_ITEM CSL_CITATION {"citationID":"J6HW2iQe","properties":{"formattedCitation":"(Courtney et al. 2007; Widom and Maxfield 2001; Wilson and Widom 2008)","plainCitation":"(Courtney et al. 2007; Widom and Maxfield 2001; Wilson and Widom 2008)"},"citationItems":[{"id":394,"uris":["http://zotero.org/users/1165382/items/WIJTDU9D"],"uri":["http://zotero.org/users/1165382/items/WIJTDU9D"],"itemData":{"id":394,"type":"article-journal","title":"Midwest Evaluation of the Adult Functioning of Former Foster Youth: outcomes at age 21","container-title":"Social Work Faculty Publications and Presentations","URL":"http://pdxscholar.library.pdx.edu/socwork_fac/60","shortTitle":"Midwest Evaluation of the Adult Functioning of Former Foster Youth","author":[{"family":"Courtney","given":"Mark"},{"family":"Dworsky","given":"Amy"},{"family":"Cusick","given":"Gretchen"},{"family":"Havlicek","given":"Judy"},{"family":"Perez","given":"Alfred"},{"family":"Keller","given":"Thomas"}],"issued":{"date-parts":[["2007",12,1]]}}},{"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G."}],"issued":{"date-parts":[["2001"]]}}},{"id":306,"uris":["http://zotero.org/users/1165382/items/J9J68DG2"],"uri":["http://zotero.org/users/1165382/items/J9J68DG2"],"itemData":{"id":306,"type":"article-journal","title":"An examination of risky sexual behavior and HIV in victims of child abuse and neglect: A 30-year follow-up","container-title":"Health Psychology","page":"149-158","volume":"27","issue":"2","source":"APA PsycNET","abstract":"Objective: This article examined links between childhood maltreatment and risky sexual behavior (early sexual contact, promiscuity, prostitution) and HIV in adulthood. Design: Using a prospective cohort design, physically and sexually abused and neglected children (ages 0-11) with documented cases during 1967-1971 were matched with nonmaltreated children and followed into adulthood. Main Outcome Measures: Early sexual contact, promiscuity, and prostitution were assessed through in-person interviews and official records (prostitution) at approximate age 29 (N = 1196). HIV tests were conducted at approximate age 41 (N = 631). Results: Child maltreatment was associated with prostitution (OR = 2.47, 95% CI = 1.35-4.50) and early sexual contact (OR = 1.73, 95% CI = 1.24-2.40). Prevalence of HIV in the abuse/neglect group was twice that in controls (OR = 2.35, 95% CI = .64-8.62), although this difference did not reach conventional levels of statistical significance. SEM provided significant support for a model linking child abuse and neglect to prostitution through early sexual contact and a marginal link to HIV through prostitution. Conclusion: These findings provide prospective evidence that maltreated children are more likely to report sexual contact before age 15, engage in prostitution by young adulthood, and test positive for HIV in middle adulthood.","DOI":"10.1037/0278-6133.27.2.149","ISSN":"1930-7810(Electronic);0278-6133(Print)","shortTitle":"An examination of risky sexual behavior and HIV in victims of child abuse and neglect","author":[{"family":"Wilson","given":"Helen W."},{"family":"Widom","given":"Cathy Spatz"}],"issued":{"date-parts":[["2008"]]}}}],"schema":"https://github.com/citation-style-language/schema/raw/master/csl-citation.json"} </w:instrText>
      </w:r>
      <w:r w:rsidRPr="00A32EED">
        <w:rPr>
          <w:rFonts w:eastAsia="Calibri"/>
          <w:iCs/>
          <w:color w:val="000000"/>
          <w:szCs w:val="18"/>
        </w:rPr>
        <w:fldChar w:fldCharType="separate"/>
      </w:r>
      <w:r w:rsidRPr="00A32EED">
        <w:rPr>
          <w:rFonts w:eastAsia="Calibri"/>
          <w:iCs/>
          <w:noProof/>
          <w:color w:val="000000"/>
          <w:szCs w:val="18"/>
        </w:rPr>
        <w:t>(Courtney et al. 2007; Widom and Maxfield 2001; Wilson and Widom 2008)</w:t>
      </w:r>
      <w:r w:rsidRPr="00A32EED">
        <w:rPr>
          <w:rFonts w:eastAsia="Calibri"/>
          <w:iCs/>
          <w:color w:val="000000"/>
          <w:szCs w:val="18"/>
        </w:rPr>
        <w:fldChar w:fldCharType="end"/>
      </w:r>
      <w:r w:rsidRPr="00A32EED">
        <w:rPr>
          <w:rFonts w:eastAsia="Calibri"/>
          <w:iCs/>
          <w:color w:val="000000"/>
          <w:szCs w:val="18"/>
        </w:rPr>
        <w:t xml:space="preserve"> and the fact that a missing interaction term can result in the misspecification of a model, an interaction term between child gender and case substantiation was included in the model. The addition of this interaction term results in an F-adjusted statistic 1.13 (</w:t>
      </w:r>
      <w:r w:rsidRPr="00A32EED">
        <w:rPr>
          <w:rFonts w:eastAsia="Calibri"/>
          <w:i/>
          <w:iCs/>
          <w:color w:val="000000"/>
          <w:szCs w:val="18"/>
        </w:rPr>
        <w:t>p=.</w:t>
      </w:r>
      <w:r w:rsidRPr="00A32EED">
        <w:rPr>
          <w:rFonts w:eastAsia="Calibri"/>
          <w:iCs/>
          <w:color w:val="000000"/>
          <w:szCs w:val="18"/>
        </w:rPr>
        <w:t xml:space="preserve">35). These results suggest that the addition of this interaction term addresses the misspecification issue and results in a better model. The addition of this interaction term increases the odds ratio of age at baseline by .06; however, the direction and level of significance remain the same. The odds ratio </w:t>
      </w:r>
      <w:r w:rsidRPr="00A32EED">
        <w:rPr>
          <w:rFonts w:eastAsia="Calibri"/>
          <w:iCs/>
          <w:color w:val="000000"/>
          <w:szCs w:val="18"/>
        </w:rPr>
        <w:lastRenderedPageBreak/>
        <w:t xml:space="preserve">for race/ethnicity increases by .01, but the relationship remains only marginally significant. Similarly, the coefficient for prior child welfare involvement increases (.10) but the direction and level of significance remains the same. Once again, the odds ratio for being placed in a group home/other placement at baseline increases (6.94) and the level of significance and direction of the relationship remains the same. The odds ratio of self-control is virtually unchanged (-.01) and the level of significance and direction of the relationship are the same with each one unit increase in self-control resulting in a .09% decrease in the odds of early sexual initiation. </w:t>
      </w:r>
    </w:p>
    <w:p w14:paraId="07EDE49D"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For the first time across all models, the relationship between case substantiation and early sexual initiation reaches a level of significance (</w:t>
      </w:r>
      <w:r w:rsidRPr="00A32EED">
        <w:rPr>
          <w:rFonts w:eastAsia="Calibri"/>
          <w:i/>
          <w:iCs/>
          <w:color w:val="000000"/>
          <w:szCs w:val="18"/>
        </w:rPr>
        <w:t>p&lt;</w:t>
      </w:r>
      <w:r w:rsidRPr="00A32EED">
        <w:rPr>
          <w:rFonts w:eastAsia="Calibri"/>
          <w:iCs/>
          <w:color w:val="000000"/>
          <w:szCs w:val="18"/>
        </w:rPr>
        <w:t>.05). Specifically, the odds of early sexual initiation are 190% higher for youth whose case was substantiated when compared to those whose case was not substantiated. Additionally, the interaction term between child gender and case substantiation is also significant (</w:t>
      </w:r>
      <w:r w:rsidRPr="00A32EED">
        <w:rPr>
          <w:rFonts w:eastAsia="Calibri"/>
          <w:i/>
          <w:iCs/>
          <w:color w:val="000000"/>
          <w:szCs w:val="18"/>
        </w:rPr>
        <w:t>p&lt;</w:t>
      </w:r>
      <w:r w:rsidRPr="00A32EED">
        <w:rPr>
          <w:rFonts w:eastAsia="Calibri"/>
          <w:iCs/>
          <w:color w:val="000000"/>
          <w:szCs w:val="18"/>
        </w:rPr>
        <w:t xml:space="preserve">.05). Specifically, males whose case is substantiation experience an 80% decrease in the odds of early sexual initiation when compared to both male and females whose cause is not substantiated and females whose case is substantiated. </w:t>
      </w:r>
    </w:p>
    <w:p w14:paraId="4C681AF3"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07" w:name="_Toc479938176"/>
      <w:bookmarkStart w:id="108" w:name="_Toc482112705"/>
      <w:r w:rsidRPr="00A32EED">
        <w:rPr>
          <w:rFonts w:eastAsia="ＭＳ ゴシック"/>
          <w:i/>
          <w:color w:val="000000"/>
          <w:szCs w:val="26"/>
          <w:u w:val="single"/>
        </w:rPr>
        <w:t>Predictive Margins for the Early Sexual Initiation Final Logistic Regression Model</w:t>
      </w:r>
      <w:bookmarkEnd w:id="107"/>
      <w:bookmarkEnd w:id="108"/>
    </w:p>
    <w:p w14:paraId="50DEB3CB" w14:textId="4B494124"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To aid in interpretation of the findings from the final logistic regression model the </w:t>
      </w:r>
      <w:r w:rsidRPr="00A32EED">
        <w:rPr>
          <w:rFonts w:eastAsia="Calibri"/>
          <w:i/>
          <w:iCs/>
          <w:color w:val="000000"/>
          <w:szCs w:val="18"/>
        </w:rPr>
        <w:t>margin</w:t>
      </w:r>
      <w:r w:rsidRPr="00A32EED">
        <w:rPr>
          <w:rFonts w:eastAsia="Calibri"/>
          <w:iCs/>
          <w:color w:val="000000"/>
          <w:szCs w:val="18"/>
        </w:rPr>
        <w:t xml:space="preserve"> commands were used to obtain various predictive margins for variables and variable combinations. A table with the average adjusted </w:t>
      </w:r>
      <w:r w:rsidRPr="00A32EED">
        <w:rPr>
          <w:rFonts w:eastAsia="Calibri"/>
          <w:iCs/>
          <w:color w:val="000000"/>
          <w:szCs w:val="18"/>
        </w:rPr>
        <w:lastRenderedPageBreak/>
        <w:t>prediction (or average predicted probabilities) and average marginal effects (AMEs) of categorical var</w:t>
      </w:r>
      <w:r w:rsidR="003131B5">
        <w:rPr>
          <w:rFonts w:eastAsia="Calibri"/>
          <w:iCs/>
          <w:color w:val="000000"/>
          <w:szCs w:val="18"/>
        </w:rPr>
        <w:t>iables can be found in Table 5.8</w:t>
      </w:r>
      <w:r w:rsidRPr="00A32EED">
        <w:rPr>
          <w:rFonts w:eastAsia="Calibri"/>
          <w:iCs/>
          <w:color w:val="000000"/>
          <w:szCs w:val="18"/>
        </w:rPr>
        <w:t xml:space="preserve">. The average adjusted predictions (AAPs) represent the average probability if everyone in the data were treated as each category for that particular variable when controlling for the other variable in the model </w:t>
      </w:r>
      <w:r w:rsidRPr="00A32EED">
        <w:rPr>
          <w:rFonts w:eastAsia="Calibri"/>
          <w:iCs/>
          <w:color w:val="000000"/>
          <w:szCs w:val="18"/>
        </w:rPr>
        <w:fldChar w:fldCharType="begin"/>
      </w:r>
      <w:r w:rsidRPr="00A32EED">
        <w:rPr>
          <w:rFonts w:eastAsia="Calibri"/>
          <w:iCs/>
          <w:color w:val="000000"/>
          <w:szCs w:val="18"/>
        </w:rPr>
        <w:instrText xml:space="preserve"> ADDIN ZOTERO_ITEM CSL_CITATION {"citationID":"qjiopnhvg","properties":{"formattedCitation":"(Williams 2012)","plainCitation":"(Williams 2012)"},"citationItems":[{"id":1454,"uris":["http://zotero.org/users/1165382/items/PXGMINDJ"],"uri":["http://zotero.org/users/1165382/items/PXGMINDJ"],"itemData":{"id":1454,"type":"article-journal","title":"Using the margins command to estimate and interpret adjusted predictions and marginal effects","container-title":"Stata Journal","page":"308","volume":"12","issue":"2","source":"Google Scholar","note":"00310","author":[{"family":"Williams","given":"Richard"}],"issued":{"date-parts":[["2012"]]}}}],"schema":"https://github.com/citation-style-language/schema/raw/master/csl-citation.json"} </w:instrText>
      </w:r>
      <w:r w:rsidRPr="00A32EED">
        <w:rPr>
          <w:rFonts w:eastAsia="Calibri"/>
          <w:iCs/>
          <w:color w:val="000000"/>
          <w:szCs w:val="18"/>
        </w:rPr>
        <w:fldChar w:fldCharType="separate"/>
      </w:r>
      <w:r w:rsidRPr="00A32EED">
        <w:rPr>
          <w:rFonts w:eastAsia="Calibri"/>
          <w:iCs/>
          <w:noProof/>
          <w:color w:val="000000"/>
          <w:szCs w:val="18"/>
        </w:rPr>
        <w:t>(Williams 2012)</w:t>
      </w:r>
      <w:r w:rsidRPr="00A32EED">
        <w:rPr>
          <w:rFonts w:eastAsia="Calibri"/>
          <w:iCs/>
          <w:color w:val="000000"/>
          <w:szCs w:val="18"/>
        </w:rPr>
        <w:fldChar w:fldCharType="end"/>
      </w:r>
      <w:r w:rsidRPr="00A32EED">
        <w:rPr>
          <w:rFonts w:eastAsia="Calibri"/>
          <w:iCs/>
          <w:color w:val="000000"/>
          <w:szCs w:val="18"/>
        </w:rPr>
        <w:t xml:space="preserve">. In other words, in Table 5.9 the average adjusted probability of early sexual initiation for males is .38, meaning if everyone in the data were treated as a male the average probability of early sexual initiation would be .38. In other words, if all other variables were the same but everyone in the sample was a male, nearly 2 in 5 males would initiate sex early. The average marginal effects (AMEs) represent the difference in probabilities if you averaged the probability of everyone in the dataset if they belonged in each of the different categories for a variable </w:t>
      </w:r>
      <w:r w:rsidRPr="00A32EED">
        <w:rPr>
          <w:rFonts w:eastAsia="Calibri"/>
          <w:iCs/>
          <w:color w:val="000000"/>
          <w:szCs w:val="18"/>
        </w:rPr>
        <w:fldChar w:fldCharType="begin"/>
      </w:r>
      <w:r w:rsidRPr="00A32EED">
        <w:rPr>
          <w:rFonts w:eastAsia="Calibri"/>
          <w:iCs/>
          <w:color w:val="000000"/>
          <w:szCs w:val="18"/>
        </w:rPr>
        <w:instrText xml:space="preserve"> ADDIN ZOTERO_ITEM CSL_CITATION {"citationID":"1nns7go57","properties":{"formattedCitation":"(Williams 2012)","plainCitation":"(Williams 2012)"},"citationItems":[{"id":1454,"uris":["http://zotero.org/users/1165382/items/PXGMINDJ"],"uri":["http://zotero.org/users/1165382/items/PXGMINDJ"],"itemData":{"id":1454,"type":"article-journal","title":"Using the margins command to estimate and interpret adjusted predictions and marginal effects","container-title":"Stata Journal","page":"308","volume":"12","issue":"2","source":"Google Scholar","note":"00310","author":[{"family":"Williams","given":"Richard"}],"issued":{"date-parts":[["2012"]]}}}],"schema":"https://github.com/citation-style-language/schema/raw/master/csl-citation.json"} </w:instrText>
      </w:r>
      <w:r w:rsidRPr="00A32EED">
        <w:rPr>
          <w:rFonts w:eastAsia="Calibri"/>
          <w:iCs/>
          <w:color w:val="000000"/>
          <w:szCs w:val="18"/>
        </w:rPr>
        <w:fldChar w:fldCharType="separate"/>
      </w:r>
      <w:r w:rsidRPr="00A32EED">
        <w:rPr>
          <w:rFonts w:eastAsia="Calibri"/>
          <w:iCs/>
          <w:noProof/>
          <w:color w:val="000000"/>
          <w:szCs w:val="18"/>
        </w:rPr>
        <w:t>(Williams 2012)</w:t>
      </w:r>
      <w:r w:rsidRPr="00A32EED">
        <w:rPr>
          <w:rFonts w:eastAsia="Calibri"/>
          <w:iCs/>
          <w:color w:val="000000"/>
          <w:szCs w:val="18"/>
        </w:rPr>
        <w:fldChar w:fldCharType="end"/>
      </w:r>
      <w:r w:rsidRPr="00A32EED">
        <w:rPr>
          <w:rFonts w:eastAsia="Calibri"/>
          <w:iCs/>
          <w:color w:val="000000"/>
          <w:szCs w:val="18"/>
        </w:rPr>
        <w:t xml:space="preserve">. For example, using the current data, if we calculate and then average the probability of early sexual initiation for every case if they were male and then again if they were all female, the difference between those two averages is the average marginal effect (AME). </w:t>
      </w:r>
    </w:p>
    <w:p w14:paraId="0AA45295"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Typically, adjusted predictions at different values are used to examine the predictive margins for continuous variables. These simply present the AAPs at set values for a continuous variable. Although the margins command does not return AMEs for continuous variables, a similar value can be calculated by either subtracting the reference value from a common set value (such as the lowest value of the continuous variable) or by subtracting the previous value from the current set value. The first method essentially provides the AME of a </w:t>
      </w:r>
      <w:r w:rsidRPr="00A32EED">
        <w:rPr>
          <w:rFonts w:eastAsia="Calibri"/>
          <w:iCs/>
          <w:color w:val="000000"/>
          <w:szCs w:val="18"/>
        </w:rPr>
        <w:lastRenderedPageBreak/>
        <w:t>set value compared to a reference group and the second method provides the AME from one value to the next. For all continuous variables in the final model, AAPs and both forms of AMEs were included and can be found in Table 5.10.</w:t>
      </w:r>
    </w:p>
    <w:p w14:paraId="5D00DDD1"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Regarding gender, the average adjusted probability for males and females is .38 and .37 respectively, which means gender has little average marginal effect on early sexual initiation. For race/ethnicity, the AAP is .32 for white youth and .22 for non-white youth. This difference represents an AME of .10 for non-white children. This difference is marginally significant (</w:t>
      </w:r>
      <w:r w:rsidRPr="00A32EED">
        <w:rPr>
          <w:rFonts w:eastAsia="Calibri"/>
          <w:i/>
          <w:iCs/>
          <w:color w:val="000000"/>
          <w:szCs w:val="18"/>
        </w:rPr>
        <w:t>p&lt;</w:t>
      </w:r>
      <w:r w:rsidRPr="00A32EED">
        <w:rPr>
          <w:rFonts w:eastAsia="Calibri"/>
          <w:iCs/>
          <w:color w:val="000000"/>
          <w:szCs w:val="18"/>
        </w:rPr>
        <w:t xml:space="preserve">.10) and suggests non-white children are more likely to initiate sex early. Age at baseline shows a consistent increase in the average probability of early sexual initiation for every year older a child is at baseline. </w:t>
      </w:r>
    </w:p>
    <w:p w14:paraId="701DC0E3" w14:textId="77777777" w:rsidR="00FC6BE7" w:rsidRDefault="00FC6BE7">
      <w:pPr>
        <w:rPr>
          <w:rFonts w:eastAsia="Calibri" w:cs="Times New Roman"/>
          <w:i/>
          <w:iCs/>
          <w:color w:val="000000"/>
          <w:szCs w:val="18"/>
        </w:rPr>
      </w:pPr>
      <w:bookmarkStart w:id="109" w:name="_Toc479941228"/>
      <w:r>
        <w:rPr>
          <w:rFonts w:eastAsia="Calibri"/>
        </w:rPr>
        <w:br w:type="page"/>
      </w:r>
    </w:p>
    <w:p w14:paraId="054A83E7" w14:textId="4331FF59" w:rsidR="004C4C39" w:rsidRPr="00A32EED" w:rsidRDefault="004C4C39" w:rsidP="0023176A">
      <w:pPr>
        <w:pStyle w:val="Caption1"/>
        <w:rPr>
          <w:rFonts w:eastAsia="Calibri"/>
        </w:rPr>
      </w:pPr>
      <w:r w:rsidRPr="00A32EED">
        <w:rPr>
          <w:rFonts w:eastAsia="Calibri"/>
        </w:rPr>
        <w:lastRenderedPageBreak/>
        <w:t>Table 5.</w:t>
      </w:r>
      <w:r w:rsidR="003131B5">
        <w:rPr>
          <w:rFonts w:eastAsia="Calibri"/>
        </w:rPr>
        <w:t>8</w:t>
      </w:r>
      <w:r w:rsidRPr="00A32EED">
        <w:rPr>
          <w:rFonts w:eastAsia="Calibri"/>
        </w:rPr>
        <w:t xml:space="preserve"> Average Adjusted Predictions and Average Marginal Effects of Early Sexual Initiation by Child Characteristics</w:t>
      </w:r>
      <w:bookmarkEnd w:id="109"/>
    </w:p>
    <w:tbl>
      <w:tblPr>
        <w:tblStyle w:val="ListTable6Colorful1"/>
        <w:tblW w:w="4709" w:type="pct"/>
        <w:tblLayout w:type="fixed"/>
        <w:tblLook w:val="04A0" w:firstRow="1" w:lastRow="0" w:firstColumn="1" w:lastColumn="0" w:noHBand="0" w:noVBand="1"/>
      </w:tblPr>
      <w:tblGrid>
        <w:gridCol w:w="2836"/>
        <w:gridCol w:w="2556"/>
        <w:gridCol w:w="2610"/>
      </w:tblGrid>
      <w:tr w:rsidR="00FC6BE7" w:rsidRPr="00A32EED" w14:paraId="7C826F66" w14:textId="77777777" w:rsidTr="00FC6BE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72" w:type="pct"/>
            <w:noWrap/>
            <w:hideMark/>
          </w:tcPr>
          <w:p w14:paraId="16B2FAC1" w14:textId="77777777" w:rsidR="004C4C39" w:rsidRPr="00A32EED" w:rsidRDefault="004C4C39" w:rsidP="004C4C39">
            <w:pPr>
              <w:rPr>
                <w:rFonts w:eastAsia="Calibri" w:cs="Arial"/>
                <w:sz w:val="20"/>
                <w:szCs w:val="20"/>
              </w:rPr>
            </w:pPr>
          </w:p>
        </w:tc>
        <w:tc>
          <w:tcPr>
            <w:tcW w:w="1597" w:type="pct"/>
            <w:noWrap/>
            <w:hideMark/>
          </w:tcPr>
          <w:p w14:paraId="6B4A7CAD"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Avg. Adjusted Predictions</w:t>
            </w:r>
          </w:p>
        </w:tc>
        <w:tc>
          <w:tcPr>
            <w:tcW w:w="1631" w:type="pct"/>
            <w:noWrap/>
            <w:hideMark/>
          </w:tcPr>
          <w:p w14:paraId="239DEC64"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Average Marginal Effects</w:t>
            </w:r>
          </w:p>
        </w:tc>
      </w:tr>
      <w:tr w:rsidR="00FC6BE7" w:rsidRPr="00A32EED" w14:paraId="0BA36960" w14:textId="77777777" w:rsidTr="00FC6BE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72" w:type="pct"/>
            <w:noWrap/>
            <w:hideMark/>
          </w:tcPr>
          <w:p w14:paraId="32F8894D" w14:textId="77777777" w:rsidR="004C4C39" w:rsidRPr="00A32EED" w:rsidRDefault="004C4C39" w:rsidP="004C4C39">
            <w:pPr>
              <w:rPr>
                <w:rFonts w:eastAsia="Times New Roman" w:cs="Arial"/>
              </w:rPr>
            </w:pPr>
            <w:r w:rsidRPr="00A32EED">
              <w:rPr>
                <w:rFonts w:eastAsia="Times New Roman" w:cs="Arial"/>
              </w:rPr>
              <w:t>Gender</w:t>
            </w:r>
          </w:p>
        </w:tc>
        <w:tc>
          <w:tcPr>
            <w:tcW w:w="1597" w:type="pct"/>
            <w:noWrap/>
            <w:hideMark/>
          </w:tcPr>
          <w:p w14:paraId="03B8228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rPr>
            </w:pPr>
          </w:p>
        </w:tc>
        <w:tc>
          <w:tcPr>
            <w:tcW w:w="1631" w:type="pct"/>
            <w:noWrap/>
            <w:hideMark/>
          </w:tcPr>
          <w:p w14:paraId="4A11101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FC6BE7" w:rsidRPr="00A32EED" w14:paraId="3B38F796" w14:textId="77777777" w:rsidTr="00FC6BE7">
        <w:trPr>
          <w:trHeight w:val="320"/>
        </w:trPr>
        <w:tc>
          <w:tcPr>
            <w:cnfStyle w:val="001000000000" w:firstRow="0" w:lastRow="0" w:firstColumn="1" w:lastColumn="0" w:oddVBand="0" w:evenVBand="0" w:oddHBand="0" w:evenHBand="0" w:firstRowFirstColumn="0" w:firstRowLastColumn="0" w:lastRowFirstColumn="0" w:lastRowLastColumn="0"/>
            <w:tcW w:w="1772" w:type="pct"/>
            <w:noWrap/>
            <w:hideMark/>
          </w:tcPr>
          <w:p w14:paraId="170E36A2" w14:textId="77777777" w:rsidR="004C4C39" w:rsidRPr="00A32EED" w:rsidRDefault="004C4C39" w:rsidP="004C4C39">
            <w:pPr>
              <w:rPr>
                <w:rFonts w:eastAsia="Times New Roman" w:cs="Arial"/>
              </w:rPr>
            </w:pPr>
            <w:r w:rsidRPr="00A32EED">
              <w:rPr>
                <w:rFonts w:eastAsia="Times New Roman" w:cs="Arial"/>
              </w:rPr>
              <w:t>Female</w:t>
            </w:r>
          </w:p>
        </w:tc>
        <w:tc>
          <w:tcPr>
            <w:tcW w:w="1597" w:type="pct"/>
            <w:noWrap/>
            <w:hideMark/>
          </w:tcPr>
          <w:p w14:paraId="1752A58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0.37</w:t>
            </w:r>
          </w:p>
        </w:tc>
        <w:tc>
          <w:tcPr>
            <w:tcW w:w="1631" w:type="pct"/>
            <w:noWrap/>
            <w:hideMark/>
          </w:tcPr>
          <w:p w14:paraId="58A4896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FC6BE7" w:rsidRPr="00A32EED" w14:paraId="409043A2" w14:textId="77777777" w:rsidTr="00FC6BE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72" w:type="pct"/>
            <w:noWrap/>
            <w:hideMark/>
          </w:tcPr>
          <w:p w14:paraId="137EF8EE" w14:textId="77777777" w:rsidR="004C4C39" w:rsidRPr="00A32EED" w:rsidRDefault="004C4C39" w:rsidP="004C4C39">
            <w:pPr>
              <w:rPr>
                <w:rFonts w:eastAsia="Times New Roman" w:cs="Arial"/>
              </w:rPr>
            </w:pPr>
            <w:r w:rsidRPr="00A32EED">
              <w:rPr>
                <w:rFonts w:eastAsia="Times New Roman" w:cs="Arial"/>
              </w:rPr>
              <w:t>Male</w:t>
            </w:r>
          </w:p>
        </w:tc>
        <w:tc>
          <w:tcPr>
            <w:tcW w:w="1597" w:type="pct"/>
            <w:noWrap/>
            <w:hideMark/>
          </w:tcPr>
          <w:p w14:paraId="0920883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0.38</w:t>
            </w:r>
          </w:p>
        </w:tc>
        <w:tc>
          <w:tcPr>
            <w:tcW w:w="1631" w:type="pct"/>
            <w:noWrap/>
            <w:hideMark/>
          </w:tcPr>
          <w:p w14:paraId="4016AA4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.01</w:t>
            </w:r>
          </w:p>
        </w:tc>
      </w:tr>
      <w:tr w:rsidR="00FC6BE7" w:rsidRPr="00A32EED" w14:paraId="454B923E" w14:textId="77777777" w:rsidTr="00FC6BE7">
        <w:trPr>
          <w:trHeight w:val="320"/>
        </w:trPr>
        <w:tc>
          <w:tcPr>
            <w:cnfStyle w:val="001000000000" w:firstRow="0" w:lastRow="0" w:firstColumn="1" w:lastColumn="0" w:oddVBand="0" w:evenVBand="0" w:oddHBand="0" w:evenHBand="0" w:firstRowFirstColumn="0" w:firstRowLastColumn="0" w:lastRowFirstColumn="0" w:lastRowLastColumn="0"/>
            <w:tcW w:w="1772" w:type="pct"/>
            <w:noWrap/>
            <w:hideMark/>
          </w:tcPr>
          <w:p w14:paraId="797F7AC2" w14:textId="77777777" w:rsidR="004C4C39" w:rsidRPr="00A32EED" w:rsidRDefault="004C4C39" w:rsidP="004C4C39">
            <w:pPr>
              <w:rPr>
                <w:rFonts w:eastAsia="Times New Roman" w:cs="Arial"/>
              </w:rPr>
            </w:pPr>
            <w:r w:rsidRPr="00A32EED">
              <w:rPr>
                <w:rFonts w:eastAsia="Times New Roman" w:cs="Arial"/>
              </w:rPr>
              <w:t>Race/Ethnicity</w:t>
            </w:r>
          </w:p>
        </w:tc>
        <w:tc>
          <w:tcPr>
            <w:tcW w:w="1597" w:type="pct"/>
            <w:noWrap/>
            <w:hideMark/>
          </w:tcPr>
          <w:p w14:paraId="2A956DA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1631" w:type="pct"/>
            <w:noWrap/>
            <w:hideMark/>
          </w:tcPr>
          <w:p w14:paraId="419D297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C6BE7" w:rsidRPr="00A32EED" w14:paraId="26BD92AE" w14:textId="77777777" w:rsidTr="00FC6BE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72" w:type="pct"/>
            <w:noWrap/>
            <w:hideMark/>
          </w:tcPr>
          <w:p w14:paraId="7F362538" w14:textId="77777777" w:rsidR="004C4C39" w:rsidRPr="00A32EED" w:rsidRDefault="004C4C39" w:rsidP="004C4C39">
            <w:pPr>
              <w:rPr>
                <w:rFonts w:eastAsia="Times New Roman" w:cs="Arial"/>
              </w:rPr>
            </w:pPr>
            <w:r w:rsidRPr="00A32EED">
              <w:rPr>
                <w:rFonts w:eastAsia="Times New Roman" w:cs="Arial"/>
              </w:rPr>
              <w:t>White</w:t>
            </w:r>
          </w:p>
        </w:tc>
        <w:tc>
          <w:tcPr>
            <w:tcW w:w="1597" w:type="pct"/>
            <w:noWrap/>
            <w:hideMark/>
          </w:tcPr>
          <w:p w14:paraId="5B3EC73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rPr>
            </w:pPr>
            <w:r w:rsidRPr="00A32EED">
              <w:rPr>
                <w:rFonts w:eastAsia="Times New Roman" w:cs="Arial"/>
              </w:rPr>
              <w:t>0.32</w:t>
            </w:r>
          </w:p>
        </w:tc>
        <w:tc>
          <w:tcPr>
            <w:tcW w:w="1631" w:type="pct"/>
            <w:noWrap/>
            <w:hideMark/>
          </w:tcPr>
          <w:p w14:paraId="126E263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FC6BE7" w:rsidRPr="00A32EED" w14:paraId="4FB8456A" w14:textId="77777777" w:rsidTr="00FC6BE7">
        <w:trPr>
          <w:trHeight w:val="320"/>
        </w:trPr>
        <w:tc>
          <w:tcPr>
            <w:cnfStyle w:val="001000000000" w:firstRow="0" w:lastRow="0" w:firstColumn="1" w:lastColumn="0" w:oddVBand="0" w:evenVBand="0" w:oddHBand="0" w:evenHBand="0" w:firstRowFirstColumn="0" w:firstRowLastColumn="0" w:lastRowFirstColumn="0" w:lastRowLastColumn="0"/>
            <w:tcW w:w="1772" w:type="pct"/>
            <w:noWrap/>
            <w:hideMark/>
          </w:tcPr>
          <w:p w14:paraId="51B0F09B" w14:textId="77777777" w:rsidR="004C4C39" w:rsidRPr="00A32EED" w:rsidRDefault="004C4C39" w:rsidP="004C4C39">
            <w:pPr>
              <w:rPr>
                <w:rFonts w:eastAsia="Times New Roman" w:cs="Arial"/>
              </w:rPr>
            </w:pPr>
            <w:r w:rsidRPr="00A32EED">
              <w:rPr>
                <w:rFonts w:eastAsia="Times New Roman" w:cs="Arial"/>
              </w:rPr>
              <w:t>Non-White</w:t>
            </w:r>
          </w:p>
        </w:tc>
        <w:tc>
          <w:tcPr>
            <w:tcW w:w="1597" w:type="pct"/>
            <w:noWrap/>
            <w:hideMark/>
          </w:tcPr>
          <w:p w14:paraId="0C0B4A8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0.42</w:t>
            </w:r>
          </w:p>
        </w:tc>
        <w:tc>
          <w:tcPr>
            <w:tcW w:w="1631" w:type="pct"/>
            <w:noWrap/>
            <w:hideMark/>
          </w:tcPr>
          <w:p w14:paraId="28368C7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0.10†</w:t>
            </w:r>
          </w:p>
        </w:tc>
      </w:tr>
      <w:tr w:rsidR="00FC6BE7" w:rsidRPr="00A32EED" w14:paraId="0DED5D17"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6B4BE193" w14:textId="77777777" w:rsidR="004C4C39" w:rsidRPr="00A32EED" w:rsidRDefault="004C4C39" w:rsidP="004C4C39">
            <w:pPr>
              <w:rPr>
                <w:rFonts w:eastAsia="Times New Roman" w:cs="Arial"/>
              </w:rPr>
            </w:pPr>
            <w:r w:rsidRPr="00A32EED">
              <w:rPr>
                <w:rFonts w:eastAsia="Times New Roman" w:cs="Arial"/>
              </w:rPr>
              <w:t>Substantiated</w:t>
            </w:r>
          </w:p>
        </w:tc>
        <w:tc>
          <w:tcPr>
            <w:tcW w:w="1597" w:type="pct"/>
            <w:noWrap/>
          </w:tcPr>
          <w:p w14:paraId="5919BE1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c>
          <w:tcPr>
            <w:tcW w:w="1631" w:type="pct"/>
            <w:noWrap/>
          </w:tcPr>
          <w:p w14:paraId="4B9E2B3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C6BE7" w:rsidRPr="00A32EED" w14:paraId="238EDDF2"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6618E8FC" w14:textId="77777777" w:rsidR="004C4C39" w:rsidRPr="00A32EED" w:rsidRDefault="004C4C39" w:rsidP="004C4C39">
            <w:pPr>
              <w:rPr>
                <w:rFonts w:eastAsia="Times New Roman" w:cs="Arial"/>
              </w:rPr>
            </w:pPr>
            <w:r w:rsidRPr="00A32EED">
              <w:rPr>
                <w:rFonts w:eastAsia="Times New Roman" w:cs="Arial"/>
              </w:rPr>
              <w:t>No</w:t>
            </w:r>
          </w:p>
        </w:tc>
        <w:tc>
          <w:tcPr>
            <w:tcW w:w="1597" w:type="pct"/>
            <w:noWrap/>
          </w:tcPr>
          <w:p w14:paraId="64AEFD2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0.35</w:t>
            </w:r>
          </w:p>
        </w:tc>
        <w:tc>
          <w:tcPr>
            <w:tcW w:w="1631" w:type="pct"/>
            <w:noWrap/>
          </w:tcPr>
          <w:p w14:paraId="28320FA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C6BE7" w:rsidRPr="00A32EED" w14:paraId="1468CFE1"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3AE55ED0" w14:textId="77777777" w:rsidR="004C4C39" w:rsidRPr="00A32EED" w:rsidRDefault="004C4C39" w:rsidP="004C4C39">
            <w:pPr>
              <w:rPr>
                <w:rFonts w:eastAsia="Times New Roman" w:cs="Arial"/>
              </w:rPr>
            </w:pPr>
            <w:r w:rsidRPr="00A32EED">
              <w:rPr>
                <w:rFonts w:eastAsia="Times New Roman" w:cs="Arial"/>
              </w:rPr>
              <w:t>Yes</w:t>
            </w:r>
          </w:p>
        </w:tc>
        <w:tc>
          <w:tcPr>
            <w:tcW w:w="1597" w:type="pct"/>
            <w:noWrap/>
          </w:tcPr>
          <w:p w14:paraId="0C73197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0.42</w:t>
            </w:r>
          </w:p>
        </w:tc>
        <w:tc>
          <w:tcPr>
            <w:tcW w:w="1631" w:type="pct"/>
            <w:noWrap/>
          </w:tcPr>
          <w:p w14:paraId="36A5DF0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0.07</w:t>
            </w:r>
          </w:p>
        </w:tc>
      </w:tr>
      <w:tr w:rsidR="00FC6BE7" w:rsidRPr="00A32EED" w14:paraId="2E799064"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13FBAC27" w14:textId="77777777" w:rsidR="004C4C39" w:rsidRPr="00A32EED" w:rsidRDefault="004C4C39" w:rsidP="004C4C39">
            <w:pPr>
              <w:rPr>
                <w:rFonts w:eastAsia="Times New Roman" w:cs="Arial"/>
              </w:rPr>
            </w:pPr>
            <w:r w:rsidRPr="00A32EED">
              <w:rPr>
                <w:rFonts w:eastAsia="Times New Roman" w:cs="Arial"/>
              </w:rPr>
              <w:t>Baseline Services</w:t>
            </w:r>
          </w:p>
        </w:tc>
        <w:tc>
          <w:tcPr>
            <w:tcW w:w="1597" w:type="pct"/>
            <w:noWrap/>
          </w:tcPr>
          <w:p w14:paraId="39081D9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1631" w:type="pct"/>
            <w:noWrap/>
          </w:tcPr>
          <w:p w14:paraId="076450B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C6BE7" w:rsidRPr="00A32EED" w14:paraId="174AC49E"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08A5153D" w14:textId="77777777" w:rsidR="004C4C39" w:rsidRPr="00A32EED" w:rsidRDefault="004C4C39" w:rsidP="004C4C39">
            <w:pPr>
              <w:rPr>
                <w:rFonts w:eastAsia="Times New Roman" w:cs="Arial"/>
              </w:rPr>
            </w:pPr>
            <w:r w:rsidRPr="00A32EED">
              <w:rPr>
                <w:rFonts w:eastAsia="Times New Roman" w:cs="Arial"/>
              </w:rPr>
              <w:t>No</w:t>
            </w:r>
          </w:p>
        </w:tc>
        <w:tc>
          <w:tcPr>
            <w:tcW w:w="1597" w:type="pct"/>
            <w:noWrap/>
          </w:tcPr>
          <w:p w14:paraId="402C6E8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0.39</w:t>
            </w:r>
          </w:p>
        </w:tc>
        <w:tc>
          <w:tcPr>
            <w:tcW w:w="1631" w:type="pct"/>
            <w:noWrap/>
          </w:tcPr>
          <w:p w14:paraId="0398C85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C6BE7" w:rsidRPr="00A32EED" w14:paraId="3AECEB50"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2A65A369" w14:textId="77777777" w:rsidR="004C4C39" w:rsidRPr="00A32EED" w:rsidRDefault="004C4C39" w:rsidP="004C4C39">
            <w:pPr>
              <w:rPr>
                <w:rFonts w:eastAsia="Times New Roman" w:cs="Arial"/>
              </w:rPr>
            </w:pPr>
            <w:r w:rsidRPr="00A32EED">
              <w:rPr>
                <w:rFonts w:eastAsia="Times New Roman" w:cs="Arial"/>
              </w:rPr>
              <w:t>Yes</w:t>
            </w:r>
          </w:p>
        </w:tc>
        <w:tc>
          <w:tcPr>
            <w:tcW w:w="1597" w:type="pct"/>
            <w:noWrap/>
          </w:tcPr>
          <w:p w14:paraId="183ACDF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0.34</w:t>
            </w:r>
          </w:p>
        </w:tc>
        <w:tc>
          <w:tcPr>
            <w:tcW w:w="1631" w:type="pct"/>
            <w:noWrap/>
          </w:tcPr>
          <w:p w14:paraId="22FC0F8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-0.05</w:t>
            </w:r>
          </w:p>
        </w:tc>
      </w:tr>
      <w:tr w:rsidR="00FC6BE7" w:rsidRPr="00A32EED" w14:paraId="5F178EDC"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2E0C2F29" w14:textId="77777777" w:rsidR="004C4C39" w:rsidRPr="00A32EED" w:rsidRDefault="004C4C39" w:rsidP="004C4C39">
            <w:pPr>
              <w:rPr>
                <w:rFonts w:eastAsia="Times New Roman" w:cs="Arial"/>
              </w:rPr>
            </w:pPr>
            <w:r w:rsidRPr="00A32EED">
              <w:rPr>
                <w:rFonts w:eastAsia="Times New Roman" w:cs="Arial"/>
              </w:rPr>
              <w:t>Multiple Alleged Mal.</w:t>
            </w:r>
          </w:p>
        </w:tc>
        <w:tc>
          <w:tcPr>
            <w:tcW w:w="1597" w:type="pct"/>
            <w:noWrap/>
          </w:tcPr>
          <w:p w14:paraId="2479FC3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c>
          <w:tcPr>
            <w:tcW w:w="1631" w:type="pct"/>
            <w:noWrap/>
          </w:tcPr>
          <w:p w14:paraId="76CE301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C6BE7" w:rsidRPr="00A32EED" w14:paraId="7B28B7AE"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25D08A3B" w14:textId="77777777" w:rsidR="004C4C39" w:rsidRPr="00A32EED" w:rsidRDefault="004C4C39" w:rsidP="004C4C39">
            <w:pPr>
              <w:rPr>
                <w:rFonts w:eastAsia="Times New Roman" w:cs="Arial"/>
              </w:rPr>
            </w:pPr>
            <w:r w:rsidRPr="00A32EED">
              <w:rPr>
                <w:rFonts w:eastAsia="Times New Roman" w:cs="Arial"/>
              </w:rPr>
              <w:t>No</w:t>
            </w:r>
          </w:p>
        </w:tc>
        <w:tc>
          <w:tcPr>
            <w:tcW w:w="1597" w:type="pct"/>
            <w:noWrap/>
          </w:tcPr>
          <w:p w14:paraId="4C53BA0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0.38</w:t>
            </w:r>
          </w:p>
        </w:tc>
        <w:tc>
          <w:tcPr>
            <w:tcW w:w="1631" w:type="pct"/>
            <w:noWrap/>
          </w:tcPr>
          <w:p w14:paraId="431441A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C6BE7" w:rsidRPr="00A32EED" w14:paraId="2EFEFFEC"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641B77A2" w14:textId="77777777" w:rsidR="004C4C39" w:rsidRPr="00A32EED" w:rsidRDefault="004C4C39" w:rsidP="004C4C39">
            <w:pPr>
              <w:rPr>
                <w:rFonts w:eastAsia="Times New Roman" w:cs="Arial"/>
              </w:rPr>
            </w:pPr>
            <w:r w:rsidRPr="00A32EED">
              <w:rPr>
                <w:rFonts w:eastAsia="Times New Roman" w:cs="Arial"/>
              </w:rPr>
              <w:t>Yes</w:t>
            </w:r>
          </w:p>
        </w:tc>
        <w:tc>
          <w:tcPr>
            <w:tcW w:w="1597" w:type="pct"/>
            <w:noWrap/>
          </w:tcPr>
          <w:p w14:paraId="0CC9719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0.36</w:t>
            </w:r>
          </w:p>
        </w:tc>
        <w:tc>
          <w:tcPr>
            <w:tcW w:w="1631" w:type="pct"/>
            <w:noWrap/>
          </w:tcPr>
          <w:p w14:paraId="2716C13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-0.02</w:t>
            </w:r>
          </w:p>
        </w:tc>
      </w:tr>
      <w:tr w:rsidR="00FC6BE7" w:rsidRPr="00A32EED" w14:paraId="189CF9A3"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07ACC945" w14:textId="77777777" w:rsidR="004C4C39" w:rsidRPr="00A32EED" w:rsidRDefault="004C4C39" w:rsidP="004C4C39">
            <w:pPr>
              <w:rPr>
                <w:rFonts w:eastAsia="Times New Roman" w:cs="Arial"/>
              </w:rPr>
            </w:pPr>
            <w:r w:rsidRPr="00A32EED">
              <w:rPr>
                <w:rFonts w:eastAsia="Times New Roman" w:cs="Arial"/>
              </w:rPr>
              <w:t>Previous History</w:t>
            </w:r>
          </w:p>
        </w:tc>
        <w:tc>
          <w:tcPr>
            <w:tcW w:w="1597" w:type="pct"/>
            <w:noWrap/>
          </w:tcPr>
          <w:p w14:paraId="0AB208F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1631" w:type="pct"/>
            <w:noWrap/>
          </w:tcPr>
          <w:p w14:paraId="6B0E248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C6BE7" w:rsidRPr="00A32EED" w14:paraId="6F38BF81"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59218F8C" w14:textId="77777777" w:rsidR="004C4C39" w:rsidRPr="00A32EED" w:rsidRDefault="004C4C39" w:rsidP="004C4C39">
            <w:pPr>
              <w:rPr>
                <w:rFonts w:eastAsia="Times New Roman" w:cs="Arial"/>
              </w:rPr>
            </w:pPr>
            <w:r w:rsidRPr="00A32EED">
              <w:rPr>
                <w:rFonts w:eastAsia="Times New Roman" w:cs="Arial"/>
              </w:rPr>
              <w:t>No</w:t>
            </w:r>
          </w:p>
        </w:tc>
        <w:tc>
          <w:tcPr>
            <w:tcW w:w="1597" w:type="pct"/>
            <w:noWrap/>
          </w:tcPr>
          <w:p w14:paraId="778CC39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0.29</w:t>
            </w:r>
          </w:p>
        </w:tc>
        <w:tc>
          <w:tcPr>
            <w:tcW w:w="1631" w:type="pct"/>
            <w:noWrap/>
          </w:tcPr>
          <w:p w14:paraId="6E37D6C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C6BE7" w:rsidRPr="00A32EED" w14:paraId="259421A4"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6F179EE3" w14:textId="77777777" w:rsidR="004C4C39" w:rsidRPr="00A32EED" w:rsidRDefault="004C4C39" w:rsidP="004C4C39">
            <w:pPr>
              <w:rPr>
                <w:rFonts w:eastAsia="Times New Roman" w:cs="Arial"/>
              </w:rPr>
            </w:pPr>
            <w:r w:rsidRPr="00A32EED">
              <w:rPr>
                <w:rFonts w:eastAsia="Times New Roman" w:cs="Arial"/>
              </w:rPr>
              <w:t>Yes</w:t>
            </w:r>
          </w:p>
        </w:tc>
        <w:tc>
          <w:tcPr>
            <w:tcW w:w="1597" w:type="pct"/>
            <w:noWrap/>
          </w:tcPr>
          <w:p w14:paraId="7837615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0.42</w:t>
            </w:r>
          </w:p>
        </w:tc>
        <w:tc>
          <w:tcPr>
            <w:tcW w:w="1631" w:type="pct"/>
            <w:noWrap/>
          </w:tcPr>
          <w:p w14:paraId="7F9F83E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0.14***</w:t>
            </w:r>
          </w:p>
        </w:tc>
      </w:tr>
      <w:tr w:rsidR="00FC6BE7" w:rsidRPr="00A32EED" w14:paraId="5304BA45"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3EDB59A2" w14:textId="77777777" w:rsidR="004C4C39" w:rsidRPr="00A32EED" w:rsidRDefault="004C4C39" w:rsidP="004C4C39">
            <w:pPr>
              <w:rPr>
                <w:rFonts w:eastAsia="Times New Roman" w:cs="Arial"/>
              </w:rPr>
            </w:pPr>
            <w:r w:rsidRPr="00A32EED">
              <w:rPr>
                <w:rFonts w:eastAsia="Times New Roman" w:cs="Arial"/>
              </w:rPr>
              <w:t>Maltreatment Type</w:t>
            </w:r>
          </w:p>
        </w:tc>
        <w:tc>
          <w:tcPr>
            <w:tcW w:w="1597" w:type="pct"/>
            <w:noWrap/>
          </w:tcPr>
          <w:p w14:paraId="000A798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c>
          <w:tcPr>
            <w:tcW w:w="1631" w:type="pct"/>
            <w:noWrap/>
          </w:tcPr>
          <w:p w14:paraId="2CE4726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C6BE7" w:rsidRPr="00A32EED" w14:paraId="3AD0A350"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776AD808" w14:textId="77777777" w:rsidR="004C4C39" w:rsidRPr="00A32EED" w:rsidRDefault="004C4C39" w:rsidP="004C4C39">
            <w:pPr>
              <w:rPr>
                <w:rFonts w:eastAsia="Times New Roman" w:cs="Arial"/>
              </w:rPr>
            </w:pPr>
            <w:r w:rsidRPr="00A32EED">
              <w:rPr>
                <w:rFonts w:eastAsia="Times New Roman" w:cs="Arial"/>
              </w:rPr>
              <w:t>Neglect</w:t>
            </w:r>
          </w:p>
        </w:tc>
        <w:tc>
          <w:tcPr>
            <w:tcW w:w="1597" w:type="pct"/>
            <w:noWrap/>
          </w:tcPr>
          <w:p w14:paraId="58EEAB7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0.37</w:t>
            </w:r>
          </w:p>
        </w:tc>
        <w:tc>
          <w:tcPr>
            <w:tcW w:w="1631" w:type="pct"/>
            <w:noWrap/>
          </w:tcPr>
          <w:p w14:paraId="5735823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C6BE7" w:rsidRPr="00A32EED" w14:paraId="631C3ED3"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71160428" w14:textId="77777777" w:rsidR="004C4C39" w:rsidRPr="00A32EED" w:rsidRDefault="004C4C39" w:rsidP="004C4C39">
            <w:pPr>
              <w:rPr>
                <w:rFonts w:eastAsia="Times New Roman" w:cs="Arial"/>
              </w:rPr>
            </w:pPr>
            <w:r w:rsidRPr="00A32EED">
              <w:rPr>
                <w:rFonts w:eastAsia="Times New Roman" w:cs="Arial"/>
              </w:rPr>
              <w:t>Physical Abuse</w:t>
            </w:r>
          </w:p>
        </w:tc>
        <w:tc>
          <w:tcPr>
            <w:tcW w:w="1597" w:type="pct"/>
            <w:noWrap/>
          </w:tcPr>
          <w:p w14:paraId="74AA796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0.36</w:t>
            </w:r>
          </w:p>
        </w:tc>
        <w:tc>
          <w:tcPr>
            <w:tcW w:w="1631" w:type="pct"/>
            <w:noWrap/>
          </w:tcPr>
          <w:p w14:paraId="4B003C7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-0.01</w:t>
            </w:r>
          </w:p>
        </w:tc>
      </w:tr>
      <w:tr w:rsidR="00FC6BE7" w:rsidRPr="00A32EED" w14:paraId="4A34A1B8"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4DA31B30" w14:textId="77777777" w:rsidR="004C4C39" w:rsidRPr="00A32EED" w:rsidRDefault="004C4C39" w:rsidP="004C4C39">
            <w:pPr>
              <w:rPr>
                <w:rFonts w:eastAsia="Times New Roman" w:cs="Arial"/>
              </w:rPr>
            </w:pPr>
            <w:r w:rsidRPr="00A32EED">
              <w:rPr>
                <w:rFonts w:eastAsia="Times New Roman" w:cs="Arial"/>
              </w:rPr>
              <w:t>Sexual Abuse</w:t>
            </w:r>
          </w:p>
        </w:tc>
        <w:tc>
          <w:tcPr>
            <w:tcW w:w="1597" w:type="pct"/>
            <w:noWrap/>
          </w:tcPr>
          <w:p w14:paraId="0556E7E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0.46</w:t>
            </w:r>
          </w:p>
        </w:tc>
        <w:tc>
          <w:tcPr>
            <w:tcW w:w="1631" w:type="pct"/>
            <w:noWrap/>
          </w:tcPr>
          <w:p w14:paraId="720BCFE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0.09</w:t>
            </w:r>
          </w:p>
        </w:tc>
      </w:tr>
      <w:tr w:rsidR="00FC6BE7" w:rsidRPr="00A32EED" w14:paraId="4197F57E"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602CFBF7" w14:textId="77777777" w:rsidR="004C4C39" w:rsidRPr="00A32EED" w:rsidRDefault="004C4C39" w:rsidP="004C4C39">
            <w:pPr>
              <w:rPr>
                <w:rFonts w:eastAsia="Times New Roman" w:cs="Arial"/>
              </w:rPr>
            </w:pPr>
            <w:r w:rsidRPr="00A32EED">
              <w:rPr>
                <w:rFonts w:eastAsia="Times New Roman" w:cs="Arial"/>
              </w:rPr>
              <w:t>Other</w:t>
            </w:r>
          </w:p>
        </w:tc>
        <w:tc>
          <w:tcPr>
            <w:tcW w:w="1597" w:type="pct"/>
            <w:noWrap/>
          </w:tcPr>
          <w:p w14:paraId="38CB10B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0.30</w:t>
            </w:r>
          </w:p>
        </w:tc>
        <w:tc>
          <w:tcPr>
            <w:tcW w:w="1631" w:type="pct"/>
            <w:noWrap/>
          </w:tcPr>
          <w:p w14:paraId="614C279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0.08</w:t>
            </w:r>
          </w:p>
        </w:tc>
      </w:tr>
      <w:tr w:rsidR="00FC6BE7" w:rsidRPr="00A32EED" w14:paraId="0332EABE"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7DB1C59A" w14:textId="77777777" w:rsidR="004C4C39" w:rsidRPr="00A32EED" w:rsidRDefault="004C4C39" w:rsidP="004C4C39">
            <w:pPr>
              <w:rPr>
                <w:rFonts w:eastAsia="Times New Roman" w:cs="Arial"/>
              </w:rPr>
            </w:pPr>
            <w:r w:rsidRPr="00A32EED">
              <w:rPr>
                <w:rFonts w:eastAsia="Times New Roman" w:cs="Arial"/>
              </w:rPr>
              <w:t>Baseline Placement</w:t>
            </w:r>
          </w:p>
        </w:tc>
        <w:tc>
          <w:tcPr>
            <w:tcW w:w="1597" w:type="pct"/>
            <w:noWrap/>
          </w:tcPr>
          <w:p w14:paraId="27F6953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1631" w:type="pct"/>
            <w:noWrap/>
          </w:tcPr>
          <w:p w14:paraId="39C6302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C6BE7" w:rsidRPr="00A32EED" w14:paraId="39D1262B"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53643DEF" w14:textId="77777777" w:rsidR="004C4C39" w:rsidRPr="00A32EED" w:rsidRDefault="004C4C39" w:rsidP="004C4C39">
            <w:pPr>
              <w:rPr>
                <w:rFonts w:eastAsia="Times New Roman" w:cs="Arial"/>
              </w:rPr>
            </w:pPr>
            <w:r w:rsidRPr="00A32EED">
              <w:rPr>
                <w:rFonts w:eastAsia="Times New Roman" w:cs="Arial"/>
              </w:rPr>
              <w:t>In Home Placement</w:t>
            </w:r>
          </w:p>
        </w:tc>
        <w:tc>
          <w:tcPr>
            <w:tcW w:w="1597" w:type="pct"/>
            <w:noWrap/>
          </w:tcPr>
          <w:p w14:paraId="47A8DB8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0.35</w:t>
            </w:r>
          </w:p>
        </w:tc>
        <w:tc>
          <w:tcPr>
            <w:tcW w:w="1631" w:type="pct"/>
            <w:noWrap/>
          </w:tcPr>
          <w:p w14:paraId="33FADBD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C6BE7" w:rsidRPr="00A32EED" w14:paraId="14C0E07F"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27B20FA5" w14:textId="77777777" w:rsidR="004C4C39" w:rsidRPr="00A32EED" w:rsidRDefault="004C4C39" w:rsidP="004C4C39">
            <w:pPr>
              <w:rPr>
                <w:rFonts w:eastAsia="Times New Roman" w:cs="Arial"/>
              </w:rPr>
            </w:pPr>
            <w:r w:rsidRPr="00A32EED">
              <w:rPr>
                <w:rFonts w:eastAsia="Times New Roman" w:cs="Arial"/>
              </w:rPr>
              <w:t>Kinship Care Setting</w:t>
            </w:r>
          </w:p>
        </w:tc>
        <w:tc>
          <w:tcPr>
            <w:tcW w:w="1597" w:type="pct"/>
            <w:noWrap/>
          </w:tcPr>
          <w:p w14:paraId="750F067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0.41</w:t>
            </w:r>
          </w:p>
        </w:tc>
        <w:tc>
          <w:tcPr>
            <w:tcW w:w="1631" w:type="pct"/>
            <w:noWrap/>
          </w:tcPr>
          <w:p w14:paraId="5C7878D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0.07</w:t>
            </w:r>
          </w:p>
        </w:tc>
      </w:tr>
      <w:tr w:rsidR="00FC6BE7" w:rsidRPr="00A32EED" w14:paraId="56A3DFE5" w14:textId="77777777" w:rsidTr="00FC6B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46711C70" w14:textId="77777777" w:rsidR="004C4C39" w:rsidRPr="00A32EED" w:rsidRDefault="004C4C39" w:rsidP="004C4C39">
            <w:pPr>
              <w:rPr>
                <w:rFonts w:eastAsia="Times New Roman" w:cs="Arial"/>
              </w:rPr>
            </w:pPr>
            <w:r w:rsidRPr="00A32EED">
              <w:rPr>
                <w:rFonts w:eastAsia="Times New Roman" w:cs="Arial"/>
              </w:rPr>
              <w:t>Foster Home</w:t>
            </w:r>
          </w:p>
        </w:tc>
        <w:tc>
          <w:tcPr>
            <w:tcW w:w="1597" w:type="pct"/>
            <w:noWrap/>
          </w:tcPr>
          <w:p w14:paraId="7C5CC64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0.39</w:t>
            </w:r>
          </w:p>
        </w:tc>
        <w:tc>
          <w:tcPr>
            <w:tcW w:w="1631" w:type="pct"/>
            <w:noWrap/>
          </w:tcPr>
          <w:p w14:paraId="0E2FB0F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0.04</w:t>
            </w:r>
          </w:p>
        </w:tc>
      </w:tr>
      <w:tr w:rsidR="00FC6BE7" w:rsidRPr="00A32EED" w14:paraId="35E95271" w14:textId="77777777" w:rsidTr="00FC6BE7">
        <w:trPr>
          <w:trHeight w:val="296"/>
        </w:trPr>
        <w:tc>
          <w:tcPr>
            <w:cnfStyle w:val="001000000000" w:firstRow="0" w:lastRow="0" w:firstColumn="1" w:lastColumn="0" w:oddVBand="0" w:evenVBand="0" w:oddHBand="0" w:evenHBand="0" w:firstRowFirstColumn="0" w:firstRowLastColumn="0" w:lastRowFirstColumn="0" w:lastRowLastColumn="0"/>
            <w:tcW w:w="1772" w:type="pct"/>
            <w:noWrap/>
          </w:tcPr>
          <w:p w14:paraId="67D145EE" w14:textId="77777777" w:rsidR="004C4C39" w:rsidRPr="00A32EED" w:rsidRDefault="004C4C39" w:rsidP="004C4C39">
            <w:pPr>
              <w:rPr>
                <w:rFonts w:eastAsia="Times New Roman" w:cs="Arial"/>
              </w:rPr>
            </w:pPr>
            <w:r w:rsidRPr="00A32EED">
              <w:rPr>
                <w:rFonts w:eastAsia="Times New Roman" w:cs="Arial"/>
              </w:rPr>
              <w:t>Home/Res Program/Other</w:t>
            </w:r>
          </w:p>
        </w:tc>
        <w:tc>
          <w:tcPr>
            <w:tcW w:w="1597" w:type="pct"/>
            <w:noWrap/>
          </w:tcPr>
          <w:p w14:paraId="6274B15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0.86</w:t>
            </w:r>
          </w:p>
        </w:tc>
        <w:tc>
          <w:tcPr>
            <w:tcW w:w="1631" w:type="pct"/>
            <w:noWrap/>
          </w:tcPr>
          <w:p w14:paraId="31C38C4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0.52***</w:t>
            </w:r>
          </w:p>
        </w:tc>
      </w:tr>
    </w:tbl>
    <w:p w14:paraId="530C79F0" w14:textId="77777777" w:rsidR="004C4C39" w:rsidRPr="00A32EED" w:rsidRDefault="004C4C39" w:rsidP="004C4C39">
      <w:pPr>
        <w:spacing w:after="0" w:line="480" w:lineRule="auto"/>
        <w:rPr>
          <w:rFonts w:eastAsia="Calibri"/>
          <w:iCs/>
          <w:color w:val="000000"/>
          <w:szCs w:val="18"/>
        </w:rPr>
      </w:pPr>
      <w:r w:rsidRPr="00A32EED">
        <w:rPr>
          <w:rFonts w:eastAsia="Calibri"/>
          <w:sz w:val="21"/>
        </w:rPr>
        <w:t>† p&lt;.10 * p&lt;.05  **p&lt;.01  ***p&lt;.001</w:t>
      </w:r>
    </w:p>
    <w:p w14:paraId="20AED191" w14:textId="123399B0"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The AAPs for each age </w:t>
      </w:r>
      <w:r w:rsidR="009D5A32">
        <w:rPr>
          <w:rFonts w:eastAsia="Calibri"/>
          <w:iCs/>
          <w:color w:val="000000"/>
          <w:szCs w:val="18"/>
        </w:rPr>
        <w:t>group can be found in Table 5.9</w:t>
      </w:r>
      <w:r w:rsidRPr="00A32EED">
        <w:rPr>
          <w:rFonts w:eastAsia="Calibri"/>
          <w:iCs/>
          <w:color w:val="000000"/>
          <w:szCs w:val="18"/>
        </w:rPr>
        <w:t xml:space="preserve">. From age 9 to 15 there is a total change of .57 in the average probability of early sexual initiation which represents an AME of .57 or a percentage change of 475% between ages 9 and 15. If this effect were distributed evenly across all ages, </w:t>
      </w:r>
      <w:r w:rsidRPr="00A32EED">
        <w:rPr>
          <w:rFonts w:eastAsia="Calibri"/>
          <w:iCs/>
          <w:color w:val="000000"/>
          <w:szCs w:val="18"/>
        </w:rPr>
        <w:lastRenderedPageBreak/>
        <w:t xml:space="preserve">the probability of early initiation would increase approximately .10 each year. However, results show that although AAPs consistently increase for every year older a child is at baseline, the AME from year to year is not consistent. Specifically, the smallest AME among consecutive ages is .05 and occurs between ages 9 and 10 and the largest AME between consecutive years is .12 and occurs between the ages of 13 and 14. To further illustrate the change in AAPs, a visual representation of the AAPs for age can be found in Figure 5.1. </w:t>
      </w:r>
    </w:p>
    <w:p w14:paraId="6DAA784C"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The same process explained above was used to examine the marginal effects of self-control on early sexual initiation. As with age, the predictive margins for self-control exhibit a consistent direction of change throughout its values. However, increases in self-control are associated with decreases in the probability of early sexual initiation. The AAP of early sexual initiation is .34 for those with the lowest self-control scores and .14 for those with the highest self-control scores. This represents an AME of .20 between the lowest (0) and highest (20) self-control scores. Expressed in percentage change, an AME of .20 represents a percentage change of 58.8% in the probability of early sexual initiation between the lowest (0) and highest (20) self-control scores. If this change were evenly dispersed among each unit change in self-control, it would equate to an average change of -.01 in the probability of early sexual initiation per unit change in self-control scores. Although not perfectly distributed, many of the unit changes have an AME of -.01 per unit increase of self-control scores. A visual representation of self-control scores AAPs can be found in Figure 5.2.</w:t>
      </w:r>
    </w:p>
    <w:p w14:paraId="3FD5E688" w14:textId="77777777" w:rsidR="004C4C39" w:rsidRPr="00A32EED" w:rsidRDefault="004C4C39" w:rsidP="004C4C39">
      <w:pPr>
        <w:keepNext/>
        <w:rPr>
          <w:rFonts w:eastAsia="Calibri"/>
          <w:i/>
          <w:iCs/>
          <w:color w:val="000000"/>
          <w:szCs w:val="18"/>
        </w:rPr>
      </w:pPr>
    </w:p>
    <w:p w14:paraId="0BF9D10B" w14:textId="77777777" w:rsidR="004C4C39" w:rsidRPr="00A32EED" w:rsidRDefault="004C4C39" w:rsidP="0023176A">
      <w:pPr>
        <w:pStyle w:val="Caption1"/>
        <w:rPr>
          <w:rFonts w:eastAsia="Calibri"/>
        </w:rPr>
      </w:pPr>
      <w:bookmarkStart w:id="110" w:name="_Toc479941229"/>
      <w:r w:rsidRPr="00A32EED">
        <w:rPr>
          <w:rFonts w:eastAsia="Calibri"/>
        </w:rPr>
        <w:t>Figure 5.1: Average Adjusted Probabilities of Early Sexual Initiation by Age at Baseline</w:t>
      </w:r>
      <w:bookmarkEnd w:id="110"/>
    </w:p>
    <w:p w14:paraId="09D53A1D" w14:textId="77777777" w:rsidR="004C4C39" w:rsidRPr="00A32EED" w:rsidRDefault="004C4C39" w:rsidP="004C4C39">
      <w:pPr>
        <w:spacing w:after="0"/>
        <w:rPr>
          <w:rFonts w:eastAsia="Calibri"/>
          <w:iCs/>
          <w:color w:val="FF0000"/>
          <w:szCs w:val="18"/>
        </w:rPr>
      </w:pPr>
      <w:r w:rsidRPr="00A32EED">
        <w:rPr>
          <w:rFonts w:eastAsia="Calibri"/>
          <w:iCs/>
          <w:noProof/>
          <w:color w:val="FF0000"/>
          <w:szCs w:val="18"/>
        </w:rPr>
        <w:drawing>
          <wp:inline distT="0" distB="0" distL="0" distR="0" wp14:anchorId="754E33B2" wp14:editId="542229E6">
            <wp:extent cx="5030880"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P_age.png"/>
                    <pic:cNvPicPr/>
                  </pic:nvPicPr>
                  <pic:blipFill>
                    <a:blip r:embed="rId12">
                      <a:extLst>
                        <a:ext uri="{28A0092B-C50C-407E-A947-70E740481C1C}">
                          <a14:useLocalDpi xmlns:a14="http://schemas.microsoft.com/office/drawing/2010/main" val="0"/>
                        </a:ext>
                      </a:extLst>
                    </a:blip>
                    <a:stretch>
                      <a:fillRect/>
                    </a:stretch>
                  </pic:blipFill>
                  <pic:spPr>
                    <a:xfrm>
                      <a:off x="0" y="0"/>
                      <a:ext cx="5030880" cy="3657600"/>
                    </a:xfrm>
                    <a:prstGeom prst="rect">
                      <a:avLst/>
                    </a:prstGeom>
                  </pic:spPr>
                </pic:pic>
              </a:graphicData>
            </a:graphic>
          </wp:inline>
        </w:drawing>
      </w:r>
    </w:p>
    <w:p w14:paraId="542316F7" w14:textId="77777777" w:rsidR="004C4C39" w:rsidRPr="00A32EED" w:rsidRDefault="004C4C39" w:rsidP="004C4C39">
      <w:pPr>
        <w:spacing w:after="0" w:line="480" w:lineRule="auto"/>
        <w:ind w:firstLine="720"/>
        <w:rPr>
          <w:rFonts w:eastAsia="Calibri"/>
          <w:iCs/>
          <w:color w:val="000000"/>
          <w:szCs w:val="18"/>
        </w:rPr>
      </w:pPr>
    </w:p>
    <w:p w14:paraId="6134F6EB" w14:textId="77777777" w:rsidR="004C4C39" w:rsidRPr="00A32EED" w:rsidRDefault="004C4C39" w:rsidP="004C4C39">
      <w:pPr>
        <w:spacing w:after="0"/>
        <w:rPr>
          <w:rFonts w:eastAsia="Calibri"/>
          <w:b/>
          <w:i/>
          <w:iCs/>
          <w:color w:val="000000"/>
          <w:szCs w:val="18"/>
        </w:rPr>
      </w:pPr>
      <w:r w:rsidRPr="00A32EED">
        <w:rPr>
          <w:rFonts w:eastAsia="Calibri"/>
        </w:rPr>
        <w:br w:type="page"/>
      </w:r>
    </w:p>
    <w:p w14:paraId="47F17282" w14:textId="4F0BB702" w:rsidR="004C4C39" w:rsidRPr="00A32EED" w:rsidRDefault="009D5A32" w:rsidP="0023176A">
      <w:pPr>
        <w:pStyle w:val="Caption1"/>
        <w:rPr>
          <w:rFonts w:eastAsia="Calibri"/>
        </w:rPr>
      </w:pPr>
      <w:bookmarkStart w:id="111" w:name="_Toc479941230"/>
      <w:r>
        <w:rPr>
          <w:rFonts w:eastAsia="Calibri"/>
        </w:rPr>
        <w:lastRenderedPageBreak/>
        <w:t>Table 5.9</w:t>
      </w:r>
      <w:r w:rsidR="004C4C39" w:rsidRPr="00A32EED">
        <w:rPr>
          <w:rFonts w:eastAsia="Calibri"/>
        </w:rPr>
        <w:t>: Average Adjusted Predictions for Age and Self-Control</w:t>
      </w:r>
      <w:bookmarkEnd w:id="111"/>
    </w:p>
    <w:tbl>
      <w:tblPr>
        <w:tblStyle w:val="ListTable6Colorful1"/>
        <w:tblW w:w="0" w:type="auto"/>
        <w:tblLook w:val="04A0" w:firstRow="1" w:lastRow="0" w:firstColumn="1" w:lastColumn="0" w:noHBand="0" w:noVBand="1"/>
      </w:tblPr>
      <w:tblGrid>
        <w:gridCol w:w="1450"/>
        <w:gridCol w:w="2015"/>
        <w:gridCol w:w="2519"/>
        <w:gridCol w:w="2171"/>
      </w:tblGrid>
      <w:tr w:rsidR="004C4C39" w:rsidRPr="00A32EED" w14:paraId="03D311E2" w14:textId="77777777" w:rsidTr="0061000C">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hideMark/>
          </w:tcPr>
          <w:p w14:paraId="14C2B69A" w14:textId="77777777" w:rsidR="004C4C39" w:rsidRPr="00A32EED" w:rsidRDefault="004C4C39" w:rsidP="004C4C39">
            <w:pPr>
              <w:rPr>
                <w:rFonts w:eastAsia="Calibri" w:cs="Arial"/>
                <w:iCs/>
                <w:szCs w:val="18"/>
              </w:rPr>
            </w:pPr>
          </w:p>
        </w:tc>
        <w:tc>
          <w:tcPr>
            <w:tcW w:w="2015" w:type="dxa"/>
            <w:noWrap/>
            <w:hideMark/>
          </w:tcPr>
          <w:p w14:paraId="0CE3EF77"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iCs/>
                <w:szCs w:val="18"/>
              </w:rPr>
            </w:pPr>
            <w:r w:rsidRPr="00A32EED">
              <w:rPr>
                <w:rFonts w:eastAsia="Calibri" w:cs="Arial"/>
                <w:iCs/>
                <w:szCs w:val="18"/>
              </w:rPr>
              <w:t>Avg. Adjusted Predictions</w:t>
            </w:r>
          </w:p>
        </w:tc>
        <w:tc>
          <w:tcPr>
            <w:tcW w:w="2519" w:type="dxa"/>
            <w:noWrap/>
            <w:hideMark/>
          </w:tcPr>
          <w:p w14:paraId="1F666094"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iCs/>
                <w:szCs w:val="18"/>
              </w:rPr>
            </w:pPr>
            <w:r w:rsidRPr="00A32EED">
              <w:rPr>
                <w:rFonts w:eastAsia="Calibri" w:cs="Arial"/>
                <w:iCs/>
                <w:szCs w:val="18"/>
              </w:rPr>
              <w:t>Difference from Lowest</w:t>
            </w:r>
          </w:p>
        </w:tc>
        <w:tc>
          <w:tcPr>
            <w:tcW w:w="2171" w:type="dxa"/>
            <w:noWrap/>
            <w:hideMark/>
          </w:tcPr>
          <w:p w14:paraId="3593D805"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iCs/>
                <w:szCs w:val="18"/>
              </w:rPr>
            </w:pPr>
            <w:r w:rsidRPr="00A32EED">
              <w:rPr>
                <w:rFonts w:eastAsia="Calibri" w:cs="Arial"/>
                <w:iCs/>
                <w:szCs w:val="18"/>
              </w:rPr>
              <w:t>Difference Per Unit Increase</w:t>
            </w:r>
          </w:p>
        </w:tc>
      </w:tr>
      <w:tr w:rsidR="004C4C39" w:rsidRPr="00A32EED" w14:paraId="6A1D7641"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5361CB50" w14:textId="77777777" w:rsidR="004C4C39" w:rsidRPr="00A32EED" w:rsidRDefault="004C4C39" w:rsidP="004C4C39">
            <w:pPr>
              <w:rPr>
                <w:rFonts w:eastAsia="Calibri" w:cs="Arial"/>
                <w:iCs/>
                <w:szCs w:val="18"/>
              </w:rPr>
            </w:pPr>
            <w:r w:rsidRPr="00A32EED">
              <w:rPr>
                <w:rFonts w:eastAsia="Calibri" w:cs="Arial"/>
                <w:iCs/>
                <w:szCs w:val="18"/>
              </w:rPr>
              <w:t>Age</w:t>
            </w:r>
          </w:p>
        </w:tc>
        <w:tc>
          <w:tcPr>
            <w:tcW w:w="2015" w:type="dxa"/>
            <w:noWrap/>
          </w:tcPr>
          <w:p w14:paraId="69C1AF7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p>
        </w:tc>
        <w:tc>
          <w:tcPr>
            <w:tcW w:w="2519" w:type="dxa"/>
            <w:noWrap/>
          </w:tcPr>
          <w:p w14:paraId="4674C47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p>
        </w:tc>
        <w:tc>
          <w:tcPr>
            <w:tcW w:w="2171" w:type="dxa"/>
            <w:noWrap/>
          </w:tcPr>
          <w:p w14:paraId="08A2D6F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p>
        </w:tc>
      </w:tr>
      <w:tr w:rsidR="004C4C39" w:rsidRPr="00A32EED" w14:paraId="51520BC3"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hideMark/>
          </w:tcPr>
          <w:p w14:paraId="074E821E" w14:textId="77777777" w:rsidR="004C4C39" w:rsidRPr="00A32EED" w:rsidRDefault="004C4C39" w:rsidP="004C4C39">
            <w:pPr>
              <w:jc w:val="center"/>
              <w:rPr>
                <w:rFonts w:eastAsia="Calibri" w:cs="Arial"/>
                <w:iCs/>
                <w:szCs w:val="18"/>
              </w:rPr>
            </w:pPr>
            <w:r w:rsidRPr="00A32EED">
              <w:rPr>
                <w:rFonts w:eastAsia="Calibri" w:cs="Arial"/>
                <w:iCs/>
                <w:szCs w:val="18"/>
              </w:rPr>
              <w:t>9</w:t>
            </w:r>
          </w:p>
        </w:tc>
        <w:tc>
          <w:tcPr>
            <w:tcW w:w="2015" w:type="dxa"/>
            <w:noWrap/>
            <w:hideMark/>
          </w:tcPr>
          <w:p w14:paraId="69E27EF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0.12</w:t>
            </w:r>
          </w:p>
        </w:tc>
        <w:tc>
          <w:tcPr>
            <w:tcW w:w="2519" w:type="dxa"/>
            <w:noWrap/>
            <w:hideMark/>
          </w:tcPr>
          <w:p w14:paraId="312D507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w:t>
            </w:r>
          </w:p>
        </w:tc>
        <w:tc>
          <w:tcPr>
            <w:tcW w:w="2171" w:type="dxa"/>
            <w:noWrap/>
            <w:hideMark/>
          </w:tcPr>
          <w:p w14:paraId="3275192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w:t>
            </w:r>
          </w:p>
        </w:tc>
      </w:tr>
      <w:tr w:rsidR="004C4C39" w:rsidRPr="00A32EED" w14:paraId="78408AA8"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hideMark/>
          </w:tcPr>
          <w:p w14:paraId="539A0C95" w14:textId="77777777" w:rsidR="004C4C39" w:rsidRPr="00A32EED" w:rsidRDefault="004C4C39" w:rsidP="004C4C39">
            <w:pPr>
              <w:jc w:val="center"/>
              <w:rPr>
                <w:rFonts w:eastAsia="Calibri" w:cs="Arial"/>
                <w:iCs/>
                <w:szCs w:val="18"/>
              </w:rPr>
            </w:pPr>
            <w:r w:rsidRPr="00A32EED">
              <w:rPr>
                <w:rFonts w:eastAsia="Calibri" w:cs="Arial"/>
                <w:iCs/>
                <w:szCs w:val="18"/>
              </w:rPr>
              <w:t>10</w:t>
            </w:r>
          </w:p>
        </w:tc>
        <w:tc>
          <w:tcPr>
            <w:tcW w:w="2015" w:type="dxa"/>
            <w:noWrap/>
            <w:hideMark/>
          </w:tcPr>
          <w:p w14:paraId="57E19AA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0.17</w:t>
            </w:r>
          </w:p>
        </w:tc>
        <w:tc>
          <w:tcPr>
            <w:tcW w:w="2519" w:type="dxa"/>
            <w:noWrap/>
            <w:hideMark/>
          </w:tcPr>
          <w:p w14:paraId="04F7C3E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0.05</w:t>
            </w:r>
          </w:p>
        </w:tc>
        <w:tc>
          <w:tcPr>
            <w:tcW w:w="2171" w:type="dxa"/>
            <w:noWrap/>
            <w:hideMark/>
          </w:tcPr>
          <w:p w14:paraId="3024363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0.05</w:t>
            </w:r>
          </w:p>
        </w:tc>
      </w:tr>
      <w:tr w:rsidR="004C4C39" w:rsidRPr="00A32EED" w14:paraId="3E0896B7"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hideMark/>
          </w:tcPr>
          <w:p w14:paraId="5F145573" w14:textId="77777777" w:rsidR="004C4C39" w:rsidRPr="00A32EED" w:rsidRDefault="004C4C39" w:rsidP="004C4C39">
            <w:pPr>
              <w:jc w:val="center"/>
              <w:rPr>
                <w:rFonts w:eastAsia="Calibri" w:cs="Arial"/>
                <w:iCs/>
                <w:szCs w:val="18"/>
              </w:rPr>
            </w:pPr>
            <w:r w:rsidRPr="00A32EED">
              <w:rPr>
                <w:rFonts w:eastAsia="Calibri" w:cs="Arial"/>
                <w:iCs/>
                <w:szCs w:val="18"/>
              </w:rPr>
              <w:t>11</w:t>
            </w:r>
          </w:p>
        </w:tc>
        <w:tc>
          <w:tcPr>
            <w:tcW w:w="2015" w:type="dxa"/>
            <w:noWrap/>
            <w:hideMark/>
          </w:tcPr>
          <w:p w14:paraId="2A1F17E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0.25</w:t>
            </w:r>
          </w:p>
        </w:tc>
        <w:tc>
          <w:tcPr>
            <w:tcW w:w="2519" w:type="dxa"/>
            <w:noWrap/>
            <w:hideMark/>
          </w:tcPr>
          <w:p w14:paraId="05E423A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0.13</w:t>
            </w:r>
          </w:p>
        </w:tc>
        <w:tc>
          <w:tcPr>
            <w:tcW w:w="2171" w:type="dxa"/>
            <w:noWrap/>
            <w:hideMark/>
          </w:tcPr>
          <w:p w14:paraId="1C387C6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0.08</w:t>
            </w:r>
          </w:p>
        </w:tc>
      </w:tr>
      <w:tr w:rsidR="004C4C39" w:rsidRPr="00A32EED" w14:paraId="2BA5BC07"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hideMark/>
          </w:tcPr>
          <w:p w14:paraId="6A8ABF86" w14:textId="77777777" w:rsidR="004C4C39" w:rsidRPr="00A32EED" w:rsidRDefault="004C4C39" w:rsidP="004C4C39">
            <w:pPr>
              <w:jc w:val="center"/>
              <w:rPr>
                <w:rFonts w:eastAsia="Calibri" w:cs="Arial"/>
                <w:iCs/>
                <w:szCs w:val="18"/>
              </w:rPr>
            </w:pPr>
            <w:r w:rsidRPr="00A32EED">
              <w:rPr>
                <w:rFonts w:eastAsia="Calibri" w:cs="Arial"/>
                <w:iCs/>
                <w:szCs w:val="18"/>
              </w:rPr>
              <w:t>12</w:t>
            </w:r>
          </w:p>
        </w:tc>
        <w:tc>
          <w:tcPr>
            <w:tcW w:w="2015" w:type="dxa"/>
            <w:noWrap/>
            <w:hideMark/>
          </w:tcPr>
          <w:p w14:paraId="67E257B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0.35</w:t>
            </w:r>
          </w:p>
        </w:tc>
        <w:tc>
          <w:tcPr>
            <w:tcW w:w="2519" w:type="dxa"/>
            <w:noWrap/>
            <w:hideMark/>
          </w:tcPr>
          <w:p w14:paraId="714CC24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0.23</w:t>
            </w:r>
          </w:p>
        </w:tc>
        <w:tc>
          <w:tcPr>
            <w:tcW w:w="2171" w:type="dxa"/>
            <w:noWrap/>
            <w:hideMark/>
          </w:tcPr>
          <w:p w14:paraId="28C5143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0.10</w:t>
            </w:r>
          </w:p>
        </w:tc>
      </w:tr>
      <w:tr w:rsidR="004C4C39" w:rsidRPr="00A32EED" w14:paraId="1083C25E"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hideMark/>
          </w:tcPr>
          <w:p w14:paraId="102B32E9" w14:textId="77777777" w:rsidR="004C4C39" w:rsidRPr="00A32EED" w:rsidRDefault="004C4C39" w:rsidP="004C4C39">
            <w:pPr>
              <w:jc w:val="center"/>
              <w:rPr>
                <w:rFonts w:eastAsia="Calibri" w:cs="Arial"/>
                <w:iCs/>
                <w:szCs w:val="18"/>
              </w:rPr>
            </w:pPr>
            <w:r w:rsidRPr="00A32EED">
              <w:rPr>
                <w:rFonts w:eastAsia="Calibri" w:cs="Arial"/>
                <w:iCs/>
                <w:szCs w:val="18"/>
              </w:rPr>
              <w:t>13</w:t>
            </w:r>
          </w:p>
        </w:tc>
        <w:tc>
          <w:tcPr>
            <w:tcW w:w="2015" w:type="dxa"/>
            <w:noWrap/>
            <w:hideMark/>
          </w:tcPr>
          <w:p w14:paraId="644CCA5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0.46</w:t>
            </w:r>
          </w:p>
        </w:tc>
        <w:tc>
          <w:tcPr>
            <w:tcW w:w="2519" w:type="dxa"/>
            <w:noWrap/>
            <w:hideMark/>
          </w:tcPr>
          <w:p w14:paraId="70FC5B0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0.34</w:t>
            </w:r>
          </w:p>
        </w:tc>
        <w:tc>
          <w:tcPr>
            <w:tcW w:w="2171" w:type="dxa"/>
            <w:noWrap/>
            <w:hideMark/>
          </w:tcPr>
          <w:p w14:paraId="1C3DF8F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0.11</w:t>
            </w:r>
          </w:p>
        </w:tc>
      </w:tr>
      <w:tr w:rsidR="004C4C39" w:rsidRPr="00A32EED" w14:paraId="423EF8D6"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hideMark/>
          </w:tcPr>
          <w:p w14:paraId="29C445F3" w14:textId="77777777" w:rsidR="004C4C39" w:rsidRPr="00A32EED" w:rsidRDefault="004C4C39" w:rsidP="004C4C39">
            <w:pPr>
              <w:jc w:val="center"/>
              <w:rPr>
                <w:rFonts w:eastAsia="Calibri" w:cs="Arial"/>
                <w:iCs/>
                <w:szCs w:val="18"/>
              </w:rPr>
            </w:pPr>
            <w:r w:rsidRPr="00A32EED">
              <w:rPr>
                <w:rFonts w:eastAsia="Calibri" w:cs="Arial"/>
                <w:iCs/>
                <w:szCs w:val="18"/>
              </w:rPr>
              <w:t>14</w:t>
            </w:r>
          </w:p>
        </w:tc>
        <w:tc>
          <w:tcPr>
            <w:tcW w:w="2015" w:type="dxa"/>
            <w:noWrap/>
            <w:hideMark/>
          </w:tcPr>
          <w:p w14:paraId="69BC3EC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0.58</w:t>
            </w:r>
          </w:p>
        </w:tc>
        <w:tc>
          <w:tcPr>
            <w:tcW w:w="2519" w:type="dxa"/>
            <w:noWrap/>
            <w:hideMark/>
          </w:tcPr>
          <w:p w14:paraId="75C1981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0.46</w:t>
            </w:r>
          </w:p>
        </w:tc>
        <w:tc>
          <w:tcPr>
            <w:tcW w:w="2171" w:type="dxa"/>
            <w:noWrap/>
            <w:hideMark/>
          </w:tcPr>
          <w:p w14:paraId="1EF5440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0.12</w:t>
            </w:r>
          </w:p>
        </w:tc>
      </w:tr>
      <w:tr w:rsidR="004C4C39" w:rsidRPr="00A32EED" w14:paraId="7AFE5F71"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hideMark/>
          </w:tcPr>
          <w:p w14:paraId="04DD0A1B" w14:textId="77777777" w:rsidR="004C4C39" w:rsidRPr="00A32EED" w:rsidRDefault="004C4C39" w:rsidP="004C4C39">
            <w:pPr>
              <w:jc w:val="center"/>
              <w:rPr>
                <w:rFonts w:eastAsia="Calibri" w:cs="Arial"/>
                <w:iCs/>
                <w:szCs w:val="18"/>
              </w:rPr>
            </w:pPr>
            <w:r w:rsidRPr="00A32EED">
              <w:rPr>
                <w:rFonts w:eastAsia="Calibri" w:cs="Arial"/>
                <w:iCs/>
                <w:szCs w:val="18"/>
              </w:rPr>
              <w:t>15</w:t>
            </w:r>
          </w:p>
        </w:tc>
        <w:tc>
          <w:tcPr>
            <w:tcW w:w="2015" w:type="dxa"/>
            <w:noWrap/>
            <w:hideMark/>
          </w:tcPr>
          <w:p w14:paraId="2ED9518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0.69</w:t>
            </w:r>
          </w:p>
        </w:tc>
        <w:tc>
          <w:tcPr>
            <w:tcW w:w="2519" w:type="dxa"/>
            <w:noWrap/>
            <w:hideMark/>
          </w:tcPr>
          <w:p w14:paraId="621A5A5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0.57</w:t>
            </w:r>
          </w:p>
        </w:tc>
        <w:tc>
          <w:tcPr>
            <w:tcW w:w="2171" w:type="dxa"/>
            <w:noWrap/>
            <w:hideMark/>
          </w:tcPr>
          <w:p w14:paraId="2808F72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0.11</w:t>
            </w:r>
          </w:p>
        </w:tc>
      </w:tr>
      <w:tr w:rsidR="004C4C39" w:rsidRPr="00A32EED" w14:paraId="77B53F6E"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465" w:type="dxa"/>
            <w:gridSpan w:val="2"/>
            <w:noWrap/>
          </w:tcPr>
          <w:p w14:paraId="0BA06ECF" w14:textId="77777777" w:rsidR="004C4C39" w:rsidRPr="00A32EED" w:rsidRDefault="004C4C39" w:rsidP="004C4C39">
            <w:pPr>
              <w:rPr>
                <w:rFonts w:eastAsia="Calibri" w:cs="Arial"/>
                <w:iCs/>
                <w:szCs w:val="18"/>
              </w:rPr>
            </w:pPr>
            <w:r w:rsidRPr="00A32EED">
              <w:rPr>
                <w:rFonts w:eastAsia="Calibri" w:cs="Arial"/>
                <w:iCs/>
                <w:szCs w:val="18"/>
              </w:rPr>
              <w:t>Self-Control Scores</w:t>
            </w:r>
          </w:p>
        </w:tc>
        <w:tc>
          <w:tcPr>
            <w:tcW w:w="2519" w:type="dxa"/>
            <w:noWrap/>
          </w:tcPr>
          <w:p w14:paraId="24C7BF5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p>
        </w:tc>
        <w:tc>
          <w:tcPr>
            <w:tcW w:w="2171" w:type="dxa"/>
            <w:noWrap/>
          </w:tcPr>
          <w:p w14:paraId="1E0317D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p>
        </w:tc>
      </w:tr>
      <w:tr w:rsidR="004C4C39" w:rsidRPr="00A32EED" w14:paraId="152FE3FA"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7F4F59FD" w14:textId="77777777" w:rsidR="004C4C39" w:rsidRPr="00A32EED" w:rsidRDefault="004C4C39" w:rsidP="004C4C39">
            <w:pPr>
              <w:jc w:val="center"/>
              <w:rPr>
                <w:rFonts w:eastAsia="Calibri" w:cs="Arial"/>
                <w:iCs/>
                <w:szCs w:val="18"/>
              </w:rPr>
            </w:pPr>
            <w:r w:rsidRPr="00A32EED">
              <w:rPr>
                <w:rFonts w:eastAsia="Times New Roman" w:cs="Arial"/>
              </w:rPr>
              <w:t>0</w:t>
            </w:r>
          </w:p>
        </w:tc>
        <w:tc>
          <w:tcPr>
            <w:tcW w:w="2015" w:type="dxa"/>
            <w:noWrap/>
          </w:tcPr>
          <w:p w14:paraId="223C490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0.60</w:t>
            </w:r>
          </w:p>
        </w:tc>
        <w:tc>
          <w:tcPr>
            <w:tcW w:w="2519" w:type="dxa"/>
            <w:noWrap/>
          </w:tcPr>
          <w:p w14:paraId="7DC97C3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p>
        </w:tc>
        <w:tc>
          <w:tcPr>
            <w:tcW w:w="2171" w:type="dxa"/>
            <w:noWrap/>
          </w:tcPr>
          <w:p w14:paraId="35AEFD1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p>
        </w:tc>
      </w:tr>
      <w:tr w:rsidR="004C4C39" w:rsidRPr="00A32EED" w14:paraId="2B069DB7"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69499D06" w14:textId="77777777" w:rsidR="004C4C39" w:rsidRPr="00A32EED" w:rsidRDefault="004C4C39" w:rsidP="004C4C39">
            <w:pPr>
              <w:jc w:val="center"/>
              <w:rPr>
                <w:rFonts w:eastAsia="Calibri" w:cs="Arial"/>
                <w:iCs/>
                <w:szCs w:val="18"/>
              </w:rPr>
            </w:pPr>
            <w:r w:rsidRPr="00A32EED">
              <w:rPr>
                <w:rFonts w:eastAsia="Times New Roman" w:cs="Arial"/>
              </w:rPr>
              <w:t>1</w:t>
            </w:r>
          </w:p>
        </w:tc>
        <w:tc>
          <w:tcPr>
            <w:tcW w:w="2015" w:type="dxa"/>
            <w:noWrap/>
          </w:tcPr>
          <w:p w14:paraId="4819D9A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0.58</w:t>
            </w:r>
          </w:p>
        </w:tc>
        <w:tc>
          <w:tcPr>
            <w:tcW w:w="2519" w:type="dxa"/>
            <w:noWrap/>
          </w:tcPr>
          <w:p w14:paraId="22BFB9C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c>
          <w:tcPr>
            <w:tcW w:w="2171" w:type="dxa"/>
            <w:noWrap/>
          </w:tcPr>
          <w:p w14:paraId="3046E68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262AAFB0"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37DD32B3" w14:textId="77777777" w:rsidR="004C4C39" w:rsidRPr="00A32EED" w:rsidRDefault="004C4C39" w:rsidP="004C4C39">
            <w:pPr>
              <w:jc w:val="center"/>
              <w:rPr>
                <w:rFonts w:eastAsia="Calibri" w:cs="Arial"/>
                <w:iCs/>
                <w:szCs w:val="18"/>
              </w:rPr>
            </w:pPr>
            <w:r w:rsidRPr="00A32EED">
              <w:rPr>
                <w:rFonts w:eastAsia="Times New Roman" w:cs="Arial"/>
              </w:rPr>
              <w:t>2</w:t>
            </w:r>
          </w:p>
        </w:tc>
        <w:tc>
          <w:tcPr>
            <w:tcW w:w="2015" w:type="dxa"/>
            <w:noWrap/>
          </w:tcPr>
          <w:p w14:paraId="3BEEBFD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0.56</w:t>
            </w:r>
          </w:p>
        </w:tc>
        <w:tc>
          <w:tcPr>
            <w:tcW w:w="2519" w:type="dxa"/>
            <w:noWrap/>
          </w:tcPr>
          <w:p w14:paraId="51435C0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-0.04</w:t>
            </w:r>
          </w:p>
        </w:tc>
        <w:tc>
          <w:tcPr>
            <w:tcW w:w="2171" w:type="dxa"/>
            <w:noWrap/>
          </w:tcPr>
          <w:p w14:paraId="202E2AB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0251A21D"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4EA2C5A8" w14:textId="77777777" w:rsidR="004C4C39" w:rsidRPr="00A32EED" w:rsidRDefault="004C4C39" w:rsidP="004C4C39">
            <w:pPr>
              <w:jc w:val="center"/>
              <w:rPr>
                <w:rFonts w:eastAsia="Calibri" w:cs="Arial"/>
                <w:iCs/>
                <w:szCs w:val="18"/>
              </w:rPr>
            </w:pPr>
            <w:r w:rsidRPr="00A32EED">
              <w:rPr>
                <w:rFonts w:eastAsia="Times New Roman" w:cs="Arial"/>
              </w:rPr>
              <w:t>3</w:t>
            </w:r>
          </w:p>
        </w:tc>
        <w:tc>
          <w:tcPr>
            <w:tcW w:w="2015" w:type="dxa"/>
            <w:noWrap/>
          </w:tcPr>
          <w:p w14:paraId="5585AC4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0.55</w:t>
            </w:r>
          </w:p>
        </w:tc>
        <w:tc>
          <w:tcPr>
            <w:tcW w:w="2519" w:type="dxa"/>
            <w:noWrap/>
          </w:tcPr>
          <w:p w14:paraId="042DF48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-0.05</w:t>
            </w:r>
          </w:p>
        </w:tc>
        <w:tc>
          <w:tcPr>
            <w:tcW w:w="2171" w:type="dxa"/>
            <w:noWrap/>
          </w:tcPr>
          <w:p w14:paraId="7209F03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5DDF9530"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10C4D920" w14:textId="77777777" w:rsidR="004C4C39" w:rsidRPr="00A32EED" w:rsidRDefault="004C4C39" w:rsidP="004C4C39">
            <w:pPr>
              <w:jc w:val="center"/>
              <w:rPr>
                <w:rFonts w:eastAsia="Calibri" w:cs="Arial"/>
                <w:iCs/>
                <w:szCs w:val="18"/>
              </w:rPr>
            </w:pPr>
            <w:r w:rsidRPr="00A32EED">
              <w:rPr>
                <w:rFonts w:eastAsia="Times New Roman" w:cs="Arial"/>
              </w:rPr>
              <w:t>4</w:t>
            </w:r>
          </w:p>
        </w:tc>
        <w:tc>
          <w:tcPr>
            <w:tcW w:w="2015" w:type="dxa"/>
            <w:noWrap/>
          </w:tcPr>
          <w:p w14:paraId="6ACA690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0.53</w:t>
            </w:r>
          </w:p>
        </w:tc>
        <w:tc>
          <w:tcPr>
            <w:tcW w:w="2519" w:type="dxa"/>
            <w:noWrap/>
          </w:tcPr>
          <w:p w14:paraId="722B4E0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-0.07</w:t>
            </w:r>
          </w:p>
        </w:tc>
        <w:tc>
          <w:tcPr>
            <w:tcW w:w="2171" w:type="dxa"/>
            <w:noWrap/>
          </w:tcPr>
          <w:p w14:paraId="025DA71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7F3EDAEA"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656B33FF" w14:textId="77777777" w:rsidR="004C4C39" w:rsidRPr="00A32EED" w:rsidRDefault="004C4C39" w:rsidP="004C4C39">
            <w:pPr>
              <w:jc w:val="center"/>
              <w:rPr>
                <w:rFonts w:eastAsia="Calibri" w:cs="Arial"/>
                <w:iCs/>
                <w:szCs w:val="18"/>
              </w:rPr>
            </w:pPr>
            <w:r w:rsidRPr="00A32EED">
              <w:rPr>
                <w:rFonts w:eastAsia="Times New Roman" w:cs="Arial"/>
              </w:rPr>
              <w:t>5</w:t>
            </w:r>
          </w:p>
        </w:tc>
        <w:tc>
          <w:tcPr>
            <w:tcW w:w="2015" w:type="dxa"/>
            <w:noWrap/>
          </w:tcPr>
          <w:p w14:paraId="5CB69B2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0.51</w:t>
            </w:r>
          </w:p>
        </w:tc>
        <w:tc>
          <w:tcPr>
            <w:tcW w:w="2519" w:type="dxa"/>
            <w:noWrap/>
          </w:tcPr>
          <w:p w14:paraId="646ACEA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-0.09</w:t>
            </w:r>
          </w:p>
        </w:tc>
        <w:tc>
          <w:tcPr>
            <w:tcW w:w="2171" w:type="dxa"/>
            <w:noWrap/>
          </w:tcPr>
          <w:p w14:paraId="7086D24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6FCE1BE3"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29614875" w14:textId="77777777" w:rsidR="004C4C39" w:rsidRPr="00A32EED" w:rsidRDefault="004C4C39" w:rsidP="004C4C39">
            <w:pPr>
              <w:jc w:val="center"/>
              <w:rPr>
                <w:rFonts w:eastAsia="Calibri" w:cs="Arial"/>
                <w:iCs/>
                <w:szCs w:val="18"/>
              </w:rPr>
            </w:pPr>
            <w:r w:rsidRPr="00A32EED">
              <w:rPr>
                <w:rFonts w:eastAsia="Times New Roman" w:cs="Arial"/>
              </w:rPr>
              <w:t>6</w:t>
            </w:r>
          </w:p>
        </w:tc>
        <w:tc>
          <w:tcPr>
            <w:tcW w:w="2015" w:type="dxa"/>
            <w:noWrap/>
          </w:tcPr>
          <w:p w14:paraId="1425775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0.49</w:t>
            </w:r>
          </w:p>
        </w:tc>
        <w:tc>
          <w:tcPr>
            <w:tcW w:w="2519" w:type="dxa"/>
            <w:noWrap/>
          </w:tcPr>
          <w:p w14:paraId="7C5F047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-0.11</w:t>
            </w:r>
          </w:p>
        </w:tc>
        <w:tc>
          <w:tcPr>
            <w:tcW w:w="2171" w:type="dxa"/>
            <w:noWrap/>
          </w:tcPr>
          <w:p w14:paraId="643C13B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29CBE86F"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5110D8B0" w14:textId="77777777" w:rsidR="004C4C39" w:rsidRPr="00A32EED" w:rsidRDefault="004C4C39" w:rsidP="004C4C39">
            <w:pPr>
              <w:jc w:val="center"/>
              <w:rPr>
                <w:rFonts w:eastAsia="Calibri" w:cs="Arial"/>
                <w:iCs/>
                <w:szCs w:val="18"/>
              </w:rPr>
            </w:pPr>
            <w:r w:rsidRPr="00A32EED">
              <w:rPr>
                <w:rFonts w:eastAsia="Times New Roman" w:cs="Arial"/>
              </w:rPr>
              <w:t>7</w:t>
            </w:r>
          </w:p>
        </w:tc>
        <w:tc>
          <w:tcPr>
            <w:tcW w:w="2015" w:type="dxa"/>
            <w:noWrap/>
          </w:tcPr>
          <w:p w14:paraId="0E55B04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0.48</w:t>
            </w:r>
          </w:p>
        </w:tc>
        <w:tc>
          <w:tcPr>
            <w:tcW w:w="2519" w:type="dxa"/>
            <w:noWrap/>
          </w:tcPr>
          <w:p w14:paraId="0858738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-0.12</w:t>
            </w:r>
          </w:p>
        </w:tc>
        <w:tc>
          <w:tcPr>
            <w:tcW w:w="2171" w:type="dxa"/>
            <w:noWrap/>
          </w:tcPr>
          <w:p w14:paraId="4455C74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3FDC869F"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0EA0AFC9" w14:textId="77777777" w:rsidR="004C4C39" w:rsidRPr="00A32EED" w:rsidRDefault="004C4C39" w:rsidP="004C4C39">
            <w:pPr>
              <w:jc w:val="center"/>
              <w:rPr>
                <w:rFonts w:eastAsia="Calibri" w:cs="Arial"/>
                <w:iCs/>
                <w:szCs w:val="18"/>
              </w:rPr>
            </w:pPr>
            <w:r w:rsidRPr="00A32EED">
              <w:rPr>
                <w:rFonts w:eastAsia="Times New Roman" w:cs="Arial"/>
              </w:rPr>
              <w:t>8</w:t>
            </w:r>
          </w:p>
        </w:tc>
        <w:tc>
          <w:tcPr>
            <w:tcW w:w="2015" w:type="dxa"/>
            <w:noWrap/>
          </w:tcPr>
          <w:p w14:paraId="4584741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0.46</w:t>
            </w:r>
          </w:p>
        </w:tc>
        <w:tc>
          <w:tcPr>
            <w:tcW w:w="2519" w:type="dxa"/>
            <w:noWrap/>
          </w:tcPr>
          <w:p w14:paraId="0567119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-0.14</w:t>
            </w:r>
          </w:p>
        </w:tc>
        <w:tc>
          <w:tcPr>
            <w:tcW w:w="2171" w:type="dxa"/>
            <w:noWrap/>
          </w:tcPr>
          <w:p w14:paraId="5E1AA94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14DBCBE0"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0A255157" w14:textId="77777777" w:rsidR="004C4C39" w:rsidRPr="00A32EED" w:rsidRDefault="004C4C39" w:rsidP="004C4C39">
            <w:pPr>
              <w:jc w:val="center"/>
              <w:rPr>
                <w:rFonts w:eastAsia="Calibri" w:cs="Arial"/>
                <w:iCs/>
                <w:szCs w:val="18"/>
              </w:rPr>
            </w:pPr>
            <w:r w:rsidRPr="00A32EED">
              <w:rPr>
                <w:rFonts w:eastAsia="Times New Roman" w:cs="Arial"/>
              </w:rPr>
              <w:t>9</w:t>
            </w:r>
          </w:p>
        </w:tc>
        <w:tc>
          <w:tcPr>
            <w:tcW w:w="2015" w:type="dxa"/>
            <w:noWrap/>
          </w:tcPr>
          <w:p w14:paraId="54AE265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0.44</w:t>
            </w:r>
          </w:p>
        </w:tc>
        <w:tc>
          <w:tcPr>
            <w:tcW w:w="2519" w:type="dxa"/>
            <w:noWrap/>
          </w:tcPr>
          <w:p w14:paraId="38017FC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-0.16</w:t>
            </w:r>
          </w:p>
        </w:tc>
        <w:tc>
          <w:tcPr>
            <w:tcW w:w="2171" w:type="dxa"/>
            <w:noWrap/>
          </w:tcPr>
          <w:p w14:paraId="2C8F69D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0D3FF19E"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4F290C64" w14:textId="77777777" w:rsidR="004C4C39" w:rsidRPr="00A32EED" w:rsidRDefault="004C4C39" w:rsidP="004C4C39">
            <w:pPr>
              <w:jc w:val="center"/>
              <w:rPr>
                <w:rFonts w:eastAsia="Calibri" w:cs="Arial"/>
                <w:iCs/>
                <w:szCs w:val="18"/>
              </w:rPr>
            </w:pPr>
            <w:r w:rsidRPr="00A32EED">
              <w:rPr>
                <w:rFonts w:eastAsia="Times New Roman" w:cs="Arial"/>
              </w:rPr>
              <w:t>10</w:t>
            </w:r>
          </w:p>
        </w:tc>
        <w:tc>
          <w:tcPr>
            <w:tcW w:w="2015" w:type="dxa"/>
            <w:noWrap/>
          </w:tcPr>
          <w:p w14:paraId="74CD451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0.43</w:t>
            </w:r>
          </w:p>
        </w:tc>
        <w:tc>
          <w:tcPr>
            <w:tcW w:w="2519" w:type="dxa"/>
            <w:noWrap/>
          </w:tcPr>
          <w:p w14:paraId="01E1AC9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-0.17</w:t>
            </w:r>
          </w:p>
        </w:tc>
        <w:tc>
          <w:tcPr>
            <w:tcW w:w="2171" w:type="dxa"/>
            <w:noWrap/>
          </w:tcPr>
          <w:p w14:paraId="49A6560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2D24BAC1"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6924EA0D" w14:textId="77777777" w:rsidR="004C4C39" w:rsidRPr="00A32EED" w:rsidRDefault="004C4C39" w:rsidP="004C4C39">
            <w:pPr>
              <w:jc w:val="center"/>
              <w:rPr>
                <w:rFonts w:eastAsia="Calibri" w:cs="Arial"/>
                <w:iCs/>
                <w:szCs w:val="18"/>
              </w:rPr>
            </w:pPr>
            <w:r w:rsidRPr="00A32EED">
              <w:rPr>
                <w:rFonts w:eastAsia="Times New Roman" w:cs="Arial"/>
              </w:rPr>
              <w:t>11</w:t>
            </w:r>
          </w:p>
        </w:tc>
        <w:tc>
          <w:tcPr>
            <w:tcW w:w="2015" w:type="dxa"/>
            <w:noWrap/>
          </w:tcPr>
          <w:p w14:paraId="4833E2A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0.41</w:t>
            </w:r>
          </w:p>
        </w:tc>
        <w:tc>
          <w:tcPr>
            <w:tcW w:w="2519" w:type="dxa"/>
            <w:noWrap/>
          </w:tcPr>
          <w:p w14:paraId="098A995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-0.19</w:t>
            </w:r>
          </w:p>
        </w:tc>
        <w:tc>
          <w:tcPr>
            <w:tcW w:w="2171" w:type="dxa"/>
            <w:noWrap/>
          </w:tcPr>
          <w:p w14:paraId="2528E6A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2AC6A997"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751D5926" w14:textId="77777777" w:rsidR="004C4C39" w:rsidRPr="00A32EED" w:rsidRDefault="004C4C39" w:rsidP="004C4C39">
            <w:pPr>
              <w:jc w:val="center"/>
              <w:rPr>
                <w:rFonts w:eastAsia="Calibri" w:cs="Arial"/>
                <w:iCs/>
                <w:szCs w:val="18"/>
              </w:rPr>
            </w:pPr>
            <w:r w:rsidRPr="00A32EED">
              <w:rPr>
                <w:rFonts w:eastAsia="Times New Roman" w:cs="Arial"/>
              </w:rPr>
              <w:t>12</w:t>
            </w:r>
          </w:p>
        </w:tc>
        <w:tc>
          <w:tcPr>
            <w:tcW w:w="2015" w:type="dxa"/>
            <w:noWrap/>
          </w:tcPr>
          <w:p w14:paraId="01F1FB3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0.39</w:t>
            </w:r>
          </w:p>
        </w:tc>
        <w:tc>
          <w:tcPr>
            <w:tcW w:w="2519" w:type="dxa"/>
            <w:noWrap/>
          </w:tcPr>
          <w:p w14:paraId="3B405DD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-0.21</w:t>
            </w:r>
          </w:p>
        </w:tc>
        <w:tc>
          <w:tcPr>
            <w:tcW w:w="2171" w:type="dxa"/>
            <w:noWrap/>
          </w:tcPr>
          <w:p w14:paraId="2F5D565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02A5848D"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2264D91A" w14:textId="77777777" w:rsidR="004C4C39" w:rsidRPr="00A32EED" w:rsidRDefault="004C4C39" w:rsidP="004C4C39">
            <w:pPr>
              <w:jc w:val="center"/>
              <w:rPr>
                <w:rFonts w:eastAsia="Calibri" w:cs="Arial"/>
                <w:iCs/>
                <w:szCs w:val="18"/>
              </w:rPr>
            </w:pPr>
            <w:r w:rsidRPr="00A32EED">
              <w:rPr>
                <w:rFonts w:eastAsia="Times New Roman" w:cs="Arial"/>
              </w:rPr>
              <w:t>13</w:t>
            </w:r>
          </w:p>
        </w:tc>
        <w:tc>
          <w:tcPr>
            <w:tcW w:w="2015" w:type="dxa"/>
            <w:noWrap/>
          </w:tcPr>
          <w:p w14:paraId="11E98CB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0.38</w:t>
            </w:r>
          </w:p>
        </w:tc>
        <w:tc>
          <w:tcPr>
            <w:tcW w:w="2519" w:type="dxa"/>
            <w:noWrap/>
          </w:tcPr>
          <w:p w14:paraId="47C8334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-0.22</w:t>
            </w:r>
          </w:p>
        </w:tc>
        <w:tc>
          <w:tcPr>
            <w:tcW w:w="2171" w:type="dxa"/>
            <w:noWrap/>
          </w:tcPr>
          <w:p w14:paraId="6663183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4D39F130"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22DAC507" w14:textId="77777777" w:rsidR="004C4C39" w:rsidRPr="00A32EED" w:rsidRDefault="004C4C39" w:rsidP="004C4C39">
            <w:pPr>
              <w:jc w:val="center"/>
              <w:rPr>
                <w:rFonts w:eastAsia="Calibri" w:cs="Arial"/>
                <w:iCs/>
                <w:szCs w:val="18"/>
              </w:rPr>
            </w:pPr>
            <w:r w:rsidRPr="00A32EED">
              <w:rPr>
                <w:rFonts w:eastAsia="Times New Roman" w:cs="Arial"/>
              </w:rPr>
              <w:t>14</w:t>
            </w:r>
          </w:p>
        </w:tc>
        <w:tc>
          <w:tcPr>
            <w:tcW w:w="2015" w:type="dxa"/>
            <w:noWrap/>
          </w:tcPr>
          <w:p w14:paraId="3DC5730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0.36</w:t>
            </w:r>
          </w:p>
        </w:tc>
        <w:tc>
          <w:tcPr>
            <w:tcW w:w="2519" w:type="dxa"/>
            <w:noWrap/>
          </w:tcPr>
          <w:p w14:paraId="5ADB1AC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-0.24</w:t>
            </w:r>
          </w:p>
        </w:tc>
        <w:tc>
          <w:tcPr>
            <w:tcW w:w="2171" w:type="dxa"/>
            <w:noWrap/>
          </w:tcPr>
          <w:p w14:paraId="229F1D7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41C7D82D"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42E6968E" w14:textId="77777777" w:rsidR="004C4C39" w:rsidRPr="00A32EED" w:rsidRDefault="004C4C39" w:rsidP="004C4C39">
            <w:pPr>
              <w:jc w:val="center"/>
              <w:rPr>
                <w:rFonts w:eastAsia="Calibri" w:cs="Arial"/>
                <w:iCs/>
                <w:szCs w:val="18"/>
              </w:rPr>
            </w:pPr>
            <w:r w:rsidRPr="00A32EED">
              <w:rPr>
                <w:rFonts w:eastAsia="Times New Roman" w:cs="Arial"/>
              </w:rPr>
              <w:t>15</w:t>
            </w:r>
          </w:p>
        </w:tc>
        <w:tc>
          <w:tcPr>
            <w:tcW w:w="2015" w:type="dxa"/>
            <w:noWrap/>
          </w:tcPr>
          <w:p w14:paraId="232A907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0.34</w:t>
            </w:r>
          </w:p>
        </w:tc>
        <w:tc>
          <w:tcPr>
            <w:tcW w:w="2519" w:type="dxa"/>
            <w:noWrap/>
          </w:tcPr>
          <w:p w14:paraId="32F4042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-0.26</w:t>
            </w:r>
          </w:p>
        </w:tc>
        <w:tc>
          <w:tcPr>
            <w:tcW w:w="2171" w:type="dxa"/>
            <w:noWrap/>
          </w:tcPr>
          <w:p w14:paraId="564F785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19AE7869"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2ABD0FE3" w14:textId="77777777" w:rsidR="004C4C39" w:rsidRPr="00A32EED" w:rsidRDefault="004C4C39" w:rsidP="004C4C39">
            <w:pPr>
              <w:jc w:val="center"/>
              <w:rPr>
                <w:rFonts w:eastAsia="Calibri" w:cs="Arial"/>
                <w:iCs/>
                <w:szCs w:val="18"/>
              </w:rPr>
            </w:pPr>
            <w:r w:rsidRPr="00A32EED">
              <w:rPr>
                <w:rFonts w:eastAsia="Times New Roman" w:cs="Arial"/>
              </w:rPr>
              <w:t>16</w:t>
            </w:r>
          </w:p>
        </w:tc>
        <w:tc>
          <w:tcPr>
            <w:tcW w:w="2015" w:type="dxa"/>
            <w:noWrap/>
          </w:tcPr>
          <w:p w14:paraId="321753A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0.33</w:t>
            </w:r>
          </w:p>
        </w:tc>
        <w:tc>
          <w:tcPr>
            <w:tcW w:w="2519" w:type="dxa"/>
            <w:noWrap/>
          </w:tcPr>
          <w:p w14:paraId="43F00B0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-0.27</w:t>
            </w:r>
          </w:p>
        </w:tc>
        <w:tc>
          <w:tcPr>
            <w:tcW w:w="2171" w:type="dxa"/>
            <w:noWrap/>
          </w:tcPr>
          <w:p w14:paraId="6AE2CBB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4B4D6195"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554E25E4" w14:textId="77777777" w:rsidR="004C4C39" w:rsidRPr="00A32EED" w:rsidRDefault="004C4C39" w:rsidP="004C4C39">
            <w:pPr>
              <w:jc w:val="center"/>
              <w:rPr>
                <w:rFonts w:eastAsia="Calibri" w:cs="Arial"/>
                <w:iCs/>
                <w:szCs w:val="18"/>
              </w:rPr>
            </w:pPr>
            <w:r w:rsidRPr="00A32EED">
              <w:rPr>
                <w:rFonts w:eastAsia="Times New Roman" w:cs="Arial"/>
              </w:rPr>
              <w:t>17</w:t>
            </w:r>
          </w:p>
        </w:tc>
        <w:tc>
          <w:tcPr>
            <w:tcW w:w="2015" w:type="dxa"/>
            <w:noWrap/>
          </w:tcPr>
          <w:p w14:paraId="32107C3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0.31</w:t>
            </w:r>
          </w:p>
        </w:tc>
        <w:tc>
          <w:tcPr>
            <w:tcW w:w="2519" w:type="dxa"/>
            <w:noWrap/>
          </w:tcPr>
          <w:p w14:paraId="3D79078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-0.29</w:t>
            </w:r>
          </w:p>
        </w:tc>
        <w:tc>
          <w:tcPr>
            <w:tcW w:w="2171" w:type="dxa"/>
            <w:noWrap/>
          </w:tcPr>
          <w:p w14:paraId="67232B9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-0.02</w:t>
            </w:r>
          </w:p>
        </w:tc>
      </w:tr>
      <w:tr w:rsidR="004C4C39" w:rsidRPr="00A32EED" w14:paraId="20F88F45" w14:textId="77777777" w:rsidTr="0061000C">
        <w:trPr>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72A55D67" w14:textId="77777777" w:rsidR="004C4C39" w:rsidRPr="00A32EED" w:rsidRDefault="004C4C39" w:rsidP="004C4C39">
            <w:pPr>
              <w:jc w:val="center"/>
              <w:rPr>
                <w:rFonts w:eastAsia="Calibri" w:cs="Arial"/>
                <w:iCs/>
                <w:szCs w:val="18"/>
              </w:rPr>
            </w:pPr>
            <w:r w:rsidRPr="00A32EED">
              <w:rPr>
                <w:rFonts w:eastAsia="Times New Roman" w:cs="Arial"/>
              </w:rPr>
              <w:t>18</w:t>
            </w:r>
          </w:p>
        </w:tc>
        <w:tc>
          <w:tcPr>
            <w:tcW w:w="2015" w:type="dxa"/>
            <w:noWrap/>
          </w:tcPr>
          <w:p w14:paraId="4CFD352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0.30</w:t>
            </w:r>
          </w:p>
        </w:tc>
        <w:tc>
          <w:tcPr>
            <w:tcW w:w="2519" w:type="dxa"/>
            <w:noWrap/>
          </w:tcPr>
          <w:p w14:paraId="28EDC37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-0.30</w:t>
            </w:r>
          </w:p>
        </w:tc>
        <w:tc>
          <w:tcPr>
            <w:tcW w:w="2171" w:type="dxa"/>
            <w:noWrap/>
          </w:tcPr>
          <w:p w14:paraId="44703D9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-0.01</w:t>
            </w:r>
          </w:p>
        </w:tc>
      </w:tr>
      <w:tr w:rsidR="004C4C39" w:rsidRPr="00A32EED" w14:paraId="4A003468" w14:textId="77777777" w:rsidTr="0061000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50" w:type="dxa"/>
            <w:noWrap/>
          </w:tcPr>
          <w:p w14:paraId="7A9D1EBB" w14:textId="77777777" w:rsidR="004C4C39" w:rsidRPr="00A32EED" w:rsidRDefault="004C4C39" w:rsidP="004C4C39">
            <w:pPr>
              <w:jc w:val="center"/>
              <w:rPr>
                <w:rFonts w:eastAsia="Calibri" w:cs="Arial"/>
                <w:iCs/>
                <w:szCs w:val="18"/>
              </w:rPr>
            </w:pPr>
            <w:r w:rsidRPr="00A32EED">
              <w:rPr>
                <w:rFonts w:eastAsia="Times New Roman" w:cs="Arial"/>
              </w:rPr>
              <w:t>19</w:t>
            </w:r>
          </w:p>
        </w:tc>
        <w:tc>
          <w:tcPr>
            <w:tcW w:w="2015" w:type="dxa"/>
            <w:noWrap/>
          </w:tcPr>
          <w:p w14:paraId="78B0F5E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0.28</w:t>
            </w:r>
          </w:p>
        </w:tc>
        <w:tc>
          <w:tcPr>
            <w:tcW w:w="2519" w:type="dxa"/>
            <w:noWrap/>
          </w:tcPr>
          <w:p w14:paraId="37D57BA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-0.32</w:t>
            </w:r>
          </w:p>
        </w:tc>
        <w:tc>
          <w:tcPr>
            <w:tcW w:w="2171" w:type="dxa"/>
            <w:noWrap/>
          </w:tcPr>
          <w:p w14:paraId="13F5711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iCs/>
                <w:szCs w:val="18"/>
              </w:rPr>
            </w:pPr>
            <w:r w:rsidRPr="00A32EED">
              <w:rPr>
                <w:rFonts w:eastAsia="Times New Roman" w:cs="Arial"/>
              </w:rPr>
              <w:t>-0.01</w:t>
            </w:r>
          </w:p>
        </w:tc>
      </w:tr>
      <w:tr w:rsidR="004C4C39" w:rsidRPr="00A32EED" w14:paraId="1708ED3C" w14:textId="77777777" w:rsidTr="0061000C">
        <w:trPr>
          <w:trHeight w:val="305"/>
        </w:trPr>
        <w:tc>
          <w:tcPr>
            <w:cnfStyle w:val="001000000000" w:firstRow="0" w:lastRow="0" w:firstColumn="1" w:lastColumn="0" w:oddVBand="0" w:evenVBand="0" w:oddHBand="0" w:evenHBand="0" w:firstRowFirstColumn="0" w:firstRowLastColumn="0" w:lastRowFirstColumn="0" w:lastRowLastColumn="0"/>
            <w:tcW w:w="1450" w:type="dxa"/>
            <w:noWrap/>
          </w:tcPr>
          <w:p w14:paraId="04E74457" w14:textId="77777777" w:rsidR="004C4C39" w:rsidRPr="00A32EED" w:rsidRDefault="004C4C39" w:rsidP="004C4C39">
            <w:pPr>
              <w:jc w:val="center"/>
              <w:rPr>
                <w:rFonts w:eastAsia="Calibri" w:cs="Arial"/>
                <w:iCs/>
                <w:szCs w:val="18"/>
              </w:rPr>
            </w:pPr>
            <w:r w:rsidRPr="00A32EED">
              <w:rPr>
                <w:rFonts w:eastAsia="Times New Roman" w:cs="Arial"/>
              </w:rPr>
              <w:t>20</w:t>
            </w:r>
          </w:p>
        </w:tc>
        <w:tc>
          <w:tcPr>
            <w:tcW w:w="2015" w:type="dxa"/>
            <w:noWrap/>
          </w:tcPr>
          <w:p w14:paraId="373566D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0.27</w:t>
            </w:r>
          </w:p>
        </w:tc>
        <w:tc>
          <w:tcPr>
            <w:tcW w:w="2519" w:type="dxa"/>
            <w:noWrap/>
          </w:tcPr>
          <w:p w14:paraId="16B6360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-0.33</w:t>
            </w:r>
          </w:p>
        </w:tc>
        <w:tc>
          <w:tcPr>
            <w:tcW w:w="2171" w:type="dxa"/>
            <w:noWrap/>
          </w:tcPr>
          <w:p w14:paraId="67432C5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iCs/>
                <w:szCs w:val="18"/>
              </w:rPr>
            </w:pPr>
            <w:r w:rsidRPr="00A32EED">
              <w:rPr>
                <w:rFonts w:eastAsia="Times New Roman" w:cs="Arial"/>
              </w:rPr>
              <w:t>-0.01</w:t>
            </w:r>
          </w:p>
        </w:tc>
      </w:tr>
    </w:tbl>
    <w:p w14:paraId="4C81D24A" w14:textId="77777777" w:rsidR="004C4C39" w:rsidRPr="00A32EED" w:rsidRDefault="004C4C39" w:rsidP="004C4C39">
      <w:pPr>
        <w:spacing w:after="0"/>
        <w:rPr>
          <w:rFonts w:eastAsia="Calibri"/>
          <w:iCs/>
          <w:color w:val="FF0000"/>
          <w:szCs w:val="18"/>
        </w:rPr>
      </w:pPr>
    </w:p>
    <w:p w14:paraId="2B6D4344" w14:textId="77777777" w:rsidR="004C4C39" w:rsidRPr="00A32EED" w:rsidRDefault="004C4C39" w:rsidP="004C4C39">
      <w:pPr>
        <w:spacing w:after="0" w:line="480" w:lineRule="auto"/>
        <w:ind w:firstLine="720"/>
        <w:rPr>
          <w:rFonts w:eastAsia="Calibri"/>
          <w:iCs/>
          <w:color w:val="FF0000"/>
          <w:szCs w:val="18"/>
        </w:rPr>
      </w:pPr>
    </w:p>
    <w:p w14:paraId="19BA4E23" w14:textId="77777777" w:rsidR="004C4C39" w:rsidRPr="00A32EED" w:rsidRDefault="004C4C39" w:rsidP="0023176A">
      <w:pPr>
        <w:pStyle w:val="Caption1"/>
        <w:rPr>
          <w:rFonts w:eastAsia="Calibri"/>
        </w:rPr>
      </w:pPr>
      <w:bookmarkStart w:id="112" w:name="_Toc479941231"/>
      <w:r w:rsidRPr="00A32EED">
        <w:rPr>
          <w:rFonts w:eastAsia="Calibri"/>
        </w:rPr>
        <w:lastRenderedPageBreak/>
        <w:t>Figure 5.2 Average Adjusted Probabilities of Early Sexual Initiation by Self-Control</w:t>
      </w:r>
      <w:bookmarkEnd w:id="112"/>
    </w:p>
    <w:p w14:paraId="1B5464AA"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3DAE4EAC" wp14:editId="630CE876">
            <wp:extent cx="5030879" cy="3657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AP_self_control.png"/>
                    <pic:cNvPicPr/>
                  </pic:nvPicPr>
                  <pic:blipFill>
                    <a:blip r:embed="rId13">
                      <a:extLst>
                        <a:ext uri="{28A0092B-C50C-407E-A947-70E740481C1C}">
                          <a14:useLocalDpi xmlns:a14="http://schemas.microsoft.com/office/drawing/2010/main" val="0"/>
                        </a:ext>
                      </a:extLst>
                    </a:blip>
                    <a:stretch>
                      <a:fillRect/>
                    </a:stretch>
                  </pic:blipFill>
                  <pic:spPr>
                    <a:xfrm>
                      <a:off x="0" y="0"/>
                      <a:ext cx="5030879" cy="3657600"/>
                    </a:xfrm>
                    <a:prstGeom prst="rect">
                      <a:avLst/>
                    </a:prstGeom>
                  </pic:spPr>
                </pic:pic>
              </a:graphicData>
            </a:graphic>
          </wp:inline>
        </w:drawing>
      </w:r>
    </w:p>
    <w:p w14:paraId="0FA6A055" w14:textId="77777777" w:rsidR="004C4C39" w:rsidRPr="00A32EED" w:rsidRDefault="004C4C39" w:rsidP="004C4C39">
      <w:pPr>
        <w:spacing w:after="0" w:line="480" w:lineRule="auto"/>
        <w:rPr>
          <w:rFonts w:eastAsia="Calibri"/>
        </w:rPr>
      </w:pPr>
      <w:r w:rsidRPr="00A32EED">
        <w:rPr>
          <w:rFonts w:eastAsia="Calibri"/>
        </w:rPr>
        <w:tab/>
        <w:t>To assess any differences in the relationship between self-control and early sexual initiation across gender and race/ethnicity the AAP of each self-control score was plotted by gender and race. A plot of the subsequent AAPs of self-control by gender and race can be found in Figure 5.3. The AAP of early sexual initiation starts, end, and progresses nearly identically for male and female youth. Male youth exhibit slightly higher AAPs of early sexual initiation for each self-control score but only by .01. For race and ethnicity, non-white youth appear to have AAPs of early sexual initiation that average around .10 higher than white youth across all self-control scores. In other words, non-white youth start with a higher AAP of early sexual initiation (intercept) than white youth, but their probabilities decrease at approximately the same rate (slope).</w:t>
      </w:r>
    </w:p>
    <w:p w14:paraId="066196CD" w14:textId="77777777" w:rsidR="004C4C39" w:rsidRPr="00A32EED" w:rsidRDefault="004C4C39" w:rsidP="0023176A">
      <w:pPr>
        <w:pStyle w:val="Caption1"/>
        <w:rPr>
          <w:rFonts w:eastAsia="Calibri"/>
        </w:rPr>
      </w:pPr>
      <w:bookmarkStart w:id="113" w:name="_Toc479941232"/>
      <w:r w:rsidRPr="00A32EED">
        <w:rPr>
          <w:rFonts w:eastAsia="Calibri"/>
        </w:rPr>
        <w:lastRenderedPageBreak/>
        <w:t>Figure 5.3 Average Adjusted Probabilities of Early Sexual Initiation for Gender and Race/Ethnicity by Self-Control</w:t>
      </w:r>
      <w:bookmarkEnd w:id="113"/>
    </w:p>
    <w:p w14:paraId="68E2F99B" w14:textId="77777777" w:rsidR="004C4C39" w:rsidRPr="00A32EED" w:rsidRDefault="004C4C39" w:rsidP="004C4C39">
      <w:pPr>
        <w:spacing w:after="0" w:line="480" w:lineRule="auto"/>
        <w:rPr>
          <w:rFonts w:eastAsia="Calibri"/>
          <w:iCs/>
          <w:color w:val="FF0000"/>
          <w:szCs w:val="18"/>
        </w:rPr>
      </w:pPr>
      <w:r w:rsidRPr="00A32EED">
        <w:rPr>
          <w:rFonts w:eastAsia="Calibri"/>
          <w:iCs/>
          <w:noProof/>
          <w:color w:val="FF0000"/>
          <w:szCs w:val="18"/>
        </w:rPr>
        <w:drawing>
          <wp:inline distT="0" distB="0" distL="0" distR="0" wp14:anchorId="013ED7C1" wp14:editId="62E7B544">
            <wp:extent cx="5029200" cy="3657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lf_controlXgender_rac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668EA5EB" w14:textId="77777777" w:rsidR="004C4C39" w:rsidRPr="00A32EED" w:rsidRDefault="004C4C39" w:rsidP="004C4C39">
      <w:pPr>
        <w:spacing w:after="0" w:line="480" w:lineRule="auto"/>
        <w:rPr>
          <w:rFonts w:eastAsia="Calibri"/>
          <w:iCs/>
          <w:color w:val="000000"/>
          <w:szCs w:val="18"/>
        </w:rPr>
      </w:pPr>
      <w:r w:rsidRPr="00A32EED">
        <w:rPr>
          <w:rFonts w:eastAsia="Calibri"/>
        </w:rPr>
        <w:tab/>
      </w:r>
      <w:r w:rsidRPr="00A32EED">
        <w:rPr>
          <w:rFonts w:eastAsia="Calibri"/>
          <w:iCs/>
          <w:color w:val="000000"/>
          <w:szCs w:val="18"/>
        </w:rPr>
        <w:t xml:space="preserve">Regarding case substantiation, the average adjusted probability of early sexual initiation is .42 for those whose case is substantiated compared to .35 for those whose case is not substantiated. This AME of .07 is not significant. However, the interaction term between gender and case substantiation is significant in the final logistic regression model. To further assess the nature of this relationship, the AAP and AMEs for each combination of gender and case substantiation were calculated. The AAPs for the interaction term can be found in Figure 5.4. Figure 5.4 provides the AAPs of early sexual initiation by gender and substantiation to help visualize various AMEs. A table showing the resulting AMEs and their statistical significance can be found in Table 5.11. The AAPs of early sexual initiation for males with substantiated and unsubstantiated cases is </w:t>
      </w:r>
      <w:r w:rsidRPr="00A32EED">
        <w:rPr>
          <w:rFonts w:eastAsia="Calibri"/>
          <w:iCs/>
          <w:color w:val="000000"/>
          <w:szCs w:val="18"/>
        </w:rPr>
        <w:lastRenderedPageBreak/>
        <w:t xml:space="preserve">.31 and .40 respectively. This means that the AME for case substantiation cases is -.09 for males. In other words, males whose case is substantiated have a lower AAP of early sexual initiation than those whose case is not substantiated. Although this relationship is not in the direction one would anticipate, it is important to remember that the AME is not significant. </w:t>
      </w:r>
    </w:p>
    <w:p w14:paraId="098016D2" w14:textId="6DBE244D" w:rsidR="004C4C39" w:rsidRPr="00A32EED" w:rsidRDefault="00E55E1E" w:rsidP="0023176A">
      <w:pPr>
        <w:pStyle w:val="Caption1"/>
        <w:rPr>
          <w:rFonts w:eastAsia="Calibri"/>
        </w:rPr>
      </w:pPr>
      <w:bookmarkStart w:id="114" w:name="_Toc479941233"/>
      <w:r>
        <w:rPr>
          <w:rFonts w:eastAsia="Calibri"/>
        </w:rPr>
        <w:t>Table 5.10</w:t>
      </w:r>
      <w:r w:rsidR="004C4C39" w:rsidRPr="00A32EED">
        <w:rPr>
          <w:rFonts w:eastAsia="Calibri"/>
        </w:rPr>
        <w:t>: Average Marginal Effects for Gender*Case Substantiation</w:t>
      </w:r>
      <w:bookmarkEnd w:id="114"/>
    </w:p>
    <w:tbl>
      <w:tblPr>
        <w:tblStyle w:val="ListTable6Colorful1"/>
        <w:tblW w:w="7679" w:type="dxa"/>
        <w:tblLook w:val="04A0" w:firstRow="1" w:lastRow="0" w:firstColumn="1" w:lastColumn="0" w:noHBand="0" w:noVBand="1"/>
      </w:tblPr>
      <w:tblGrid>
        <w:gridCol w:w="2457"/>
        <w:gridCol w:w="2082"/>
        <w:gridCol w:w="1462"/>
        <w:gridCol w:w="1678"/>
      </w:tblGrid>
      <w:tr w:rsidR="004C4C39" w:rsidRPr="00A32EED" w14:paraId="270E6837" w14:textId="77777777" w:rsidTr="004C4C39">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noWrap/>
            <w:hideMark/>
          </w:tcPr>
          <w:p w14:paraId="11F81FBA" w14:textId="77777777" w:rsidR="004C4C39" w:rsidRPr="00A32EED" w:rsidRDefault="004C4C39" w:rsidP="004C4C39">
            <w:pPr>
              <w:rPr>
                <w:rFonts w:eastAsia="Calibri" w:cs="Arial"/>
                <w:sz w:val="20"/>
                <w:szCs w:val="20"/>
              </w:rPr>
            </w:pPr>
          </w:p>
        </w:tc>
        <w:tc>
          <w:tcPr>
            <w:tcW w:w="0" w:type="auto"/>
            <w:noWrap/>
            <w:hideMark/>
          </w:tcPr>
          <w:p w14:paraId="76E5E734"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Avg. Adj. Pred.</w:t>
            </w:r>
          </w:p>
        </w:tc>
        <w:tc>
          <w:tcPr>
            <w:tcW w:w="0" w:type="auto"/>
            <w:noWrap/>
            <w:hideMark/>
          </w:tcPr>
          <w:p w14:paraId="6CE39E6A"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AME Male</w:t>
            </w:r>
          </w:p>
        </w:tc>
        <w:tc>
          <w:tcPr>
            <w:tcW w:w="0" w:type="auto"/>
            <w:noWrap/>
            <w:hideMark/>
          </w:tcPr>
          <w:p w14:paraId="73413154"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AME Subst.</w:t>
            </w:r>
          </w:p>
        </w:tc>
      </w:tr>
      <w:tr w:rsidR="004C4C39" w:rsidRPr="00A32EED" w14:paraId="71219FC1" w14:textId="77777777" w:rsidTr="004C4C39">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noWrap/>
            <w:hideMark/>
          </w:tcPr>
          <w:p w14:paraId="6EC0D3D4" w14:textId="77777777" w:rsidR="004C4C39" w:rsidRPr="00A32EED" w:rsidRDefault="004C4C39" w:rsidP="004C4C39">
            <w:pPr>
              <w:rPr>
                <w:rFonts w:eastAsia="Times New Roman" w:cs="Arial"/>
              </w:rPr>
            </w:pPr>
            <w:r w:rsidRPr="00A32EED">
              <w:rPr>
                <w:rFonts w:eastAsia="Times New Roman" w:cs="Arial"/>
              </w:rPr>
              <w:t xml:space="preserve">Female </w:t>
            </w:r>
          </w:p>
        </w:tc>
        <w:tc>
          <w:tcPr>
            <w:tcW w:w="0" w:type="auto"/>
            <w:noWrap/>
            <w:hideMark/>
          </w:tcPr>
          <w:p w14:paraId="768B61A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0.37</w:t>
            </w:r>
          </w:p>
        </w:tc>
        <w:tc>
          <w:tcPr>
            <w:tcW w:w="0" w:type="auto"/>
            <w:noWrap/>
            <w:hideMark/>
          </w:tcPr>
          <w:p w14:paraId="5C2E246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c>
          <w:tcPr>
            <w:tcW w:w="0" w:type="auto"/>
            <w:noWrap/>
            <w:hideMark/>
          </w:tcPr>
          <w:p w14:paraId="71374A1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.189*</w:t>
            </w:r>
          </w:p>
        </w:tc>
      </w:tr>
      <w:tr w:rsidR="004C4C39" w:rsidRPr="00A32EED" w14:paraId="3D1E5AD5" w14:textId="77777777" w:rsidTr="004C4C39">
        <w:trPr>
          <w:trHeight w:val="333"/>
        </w:trPr>
        <w:tc>
          <w:tcPr>
            <w:cnfStyle w:val="001000000000" w:firstRow="0" w:lastRow="0" w:firstColumn="1" w:lastColumn="0" w:oddVBand="0" w:evenVBand="0" w:oddHBand="0" w:evenHBand="0" w:firstRowFirstColumn="0" w:firstRowLastColumn="0" w:lastRowFirstColumn="0" w:lastRowLastColumn="0"/>
            <w:tcW w:w="0" w:type="auto"/>
            <w:noWrap/>
            <w:hideMark/>
          </w:tcPr>
          <w:p w14:paraId="31FA9BD6" w14:textId="77777777" w:rsidR="004C4C39" w:rsidRPr="00A32EED" w:rsidRDefault="004C4C39" w:rsidP="004C4C39">
            <w:pPr>
              <w:rPr>
                <w:rFonts w:eastAsia="Times New Roman" w:cs="Arial"/>
              </w:rPr>
            </w:pPr>
            <w:r w:rsidRPr="00A32EED">
              <w:rPr>
                <w:rFonts w:eastAsia="Times New Roman" w:cs="Arial"/>
              </w:rPr>
              <w:t>Male</w:t>
            </w:r>
          </w:p>
        </w:tc>
        <w:tc>
          <w:tcPr>
            <w:tcW w:w="0" w:type="auto"/>
            <w:noWrap/>
            <w:hideMark/>
          </w:tcPr>
          <w:p w14:paraId="763929C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0.38</w:t>
            </w:r>
          </w:p>
        </w:tc>
        <w:tc>
          <w:tcPr>
            <w:tcW w:w="0" w:type="auto"/>
            <w:noWrap/>
            <w:hideMark/>
          </w:tcPr>
          <w:p w14:paraId="0A0554C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0" w:type="auto"/>
            <w:noWrap/>
            <w:hideMark/>
          </w:tcPr>
          <w:p w14:paraId="0991E58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-.092</w:t>
            </w:r>
          </w:p>
        </w:tc>
      </w:tr>
      <w:tr w:rsidR="004C4C39" w:rsidRPr="00A32EED" w14:paraId="1F23C1BB" w14:textId="77777777" w:rsidTr="004C4C39">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noWrap/>
            <w:hideMark/>
          </w:tcPr>
          <w:p w14:paraId="508F7678" w14:textId="77777777" w:rsidR="004C4C39" w:rsidRPr="00A32EED" w:rsidRDefault="004C4C39" w:rsidP="004C4C39">
            <w:pPr>
              <w:rPr>
                <w:rFonts w:eastAsia="Times New Roman" w:cs="Arial"/>
              </w:rPr>
            </w:pPr>
            <w:r w:rsidRPr="00A32EED">
              <w:rPr>
                <w:rFonts w:eastAsia="Times New Roman" w:cs="Arial"/>
              </w:rPr>
              <w:t>Not Substantiated</w:t>
            </w:r>
          </w:p>
        </w:tc>
        <w:tc>
          <w:tcPr>
            <w:tcW w:w="0" w:type="auto"/>
            <w:noWrap/>
            <w:hideMark/>
          </w:tcPr>
          <w:p w14:paraId="2AC0B24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0.35</w:t>
            </w:r>
          </w:p>
        </w:tc>
        <w:tc>
          <w:tcPr>
            <w:tcW w:w="0" w:type="auto"/>
            <w:noWrap/>
            <w:hideMark/>
          </w:tcPr>
          <w:p w14:paraId="3D855CF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0.089</w:t>
            </w:r>
          </w:p>
        </w:tc>
        <w:tc>
          <w:tcPr>
            <w:tcW w:w="0" w:type="auto"/>
            <w:noWrap/>
            <w:hideMark/>
          </w:tcPr>
          <w:p w14:paraId="404B2DA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4C4C39" w:rsidRPr="00A32EED" w14:paraId="4DC6CE44" w14:textId="77777777" w:rsidTr="004C4C39">
        <w:trPr>
          <w:trHeight w:val="333"/>
        </w:trPr>
        <w:tc>
          <w:tcPr>
            <w:cnfStyle w:val="001000000000" w:firstRow="0" w:lastRow="0" w:firstColumn="1" w:lastColumn="0" w:oddVBand="0" w:evenVBand="0" w:oddHBand="0" w:evenHBand="0" w:firstRowFirstColumn="0" w:firstRowLastColumn="0" w:lastRowFirstColumn="0" w:lastRowLastColumn="0"/>
            <w:tcW w:w="0" w:type="auto"/>
            <w:noWrap/>
            <w:hideMark/>
          </w:tcPr>
          <w:p w14:paraId="39CBD6C9" w14:textId="77777777" w:rsidR="004C4C39" w:rsidRPr="00A32EED" w:rsidRDefault="004C4C39" w:rsidP="004C4C39">
            <w:pPr>
              <w:rPr>
                <w:rFonts w:eastAsia="Times New Roman" w:cs="Arial"/>
              </w:rPr>
            </w:pPr>
            <w:r w:rsidRPr="00A32EED">
              <w:rPr>
                <w:rFonts w:eastAsia="Times New Roman" w:cs="Arial"/>
              </w:rPr>
              <w:t>Substantiated</w:t>
            </w:r>
          </w:p>
        </w:tc>
        <w:tc>
          <w:tcPr>
            <w:tcW w:w="0" w:type="auto"/>
            <w:noWrap/>
            <w:hideMark/>
          </w:tcPr>
          <w:p w14:paraId="5BFBAB2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0.42</w:t>
            </w:r>
          </w:p>
        </w:tc>
        <w:tc>
          <w:tcPr>
            <w:tcW w:w="0" w:type="auto"/>
            <w:noWrap/>
            <w:hideMark/>
          </w:tcPr>
          <w:p w14:paraId="60E27BC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-0.191*</w:t>
            </w:r>
          </w:p>
        </w:tc>
        <w:tc>
          <w:tcPr>
            <w:tcW w:w="0" w:type="auto"/>
            <w:noWrap/>
            <w:hideMark/>
          </w:tcPr>
          <w:p w14:paraId="6BB304A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5EE3DEBE" w14:textId="77777777" w:rsidR="004C4C39" w:rsidRPr="00A32EED" w:rsidRDefault="004C4C39" w:rsidP="004C4C39">
      <w:pPr>
        <w:keepNext/>
        <w:rPr>
          <w:rFonts w:eastAsia="Calibri"/>
          <w:i/>
          <w:iCs/>
          <w:color w:val="000000"/>
          <w:szCs w:val="18"/>
        </w:rPr>
      </w:pPr>
    </w:p>
    <w:p w14:paraId="66E50945" w14:textId="77777777" w:rsidR="004C4C39" w:rsidRPr="00A32EED" w:rsidRDefault="004C4C39" w:rsidP="0023176A">
      <w:pPr>
        <w:pStyle w:val="Caption1"/>
        <w:rPr>
          <w:rFonts w:eastAsia="Calibri"/>
        </w:rPr>
      </w:pPr>
      <w:bookmarkStart w:id="115" w:name="_Toc479941234"/>
      <w:r w:rsidRPr="00A32EED">
        <w:rPr>
          <w:rFonts w:eastAsia="Calibri"/>
        </w:rPr>
        <w:t>Figure 5.4 AMEs for Gender*Case Substantiation Interaction Term</w:t>
      </w:r>
      <w:bookmarkEnd w:id="115"/>
    </w:p>
    <w:p w14:paraId="7BA18BA2" w14:textId="77777777" w:rsidR="004C4C39" w:rsidRPr="00A32EED" w:rsidRDefault="004C4C39" w:rsidP="004C4C39">
      <w:pPr>
        <w:spacing w:after="0" w:line="480" w:lineRule="auto"/>
        <w:rPr>
          <w:rFonts w:eastAsia="Calibri"/>
          <w:iCs/>
          <w:color w:val="000000"/>
          <w:szCs w:val="18"/>
        </w:rPr>
      </w:pPr>
      <w:r w:rsidRPr="00A32EED">
        <w:rPr>
          <w:rFonts w:eastAsia="Calibri"/>
          <w:iCs/>
          <w:noProof/>
          <w:color w:val="000000"/>
          <w:szCs w:val="18"/>
        </w:rPr>
        <w:drawing>
          <wp:inline distT="0" distB="0" distL="0" distR="0" wp14:anchorId="6E21EDB5" wp14:editId="2E61EEA5">
            <wp:extent cx="5100587" cy="3039645"/>
            <wp:effectExtent l="0" t="0" r="508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3-02 02.05.58.png"/>
                    <pic:cNvPicPr/>
                  </pic:nvPicPr>
                  <pic:blipFill>
                    <a:blip r:embed="rId15">
                      <a:extLst>
                        <a:ext uri="{28A0092B-C50C-407E-A947-70E740481C1C}">
                          <a14:useLocalDpi xmlns:a14="http://schemas.microsoft.com/office/drawing/2010/main" val="0"/>
                        </a:ext>
                      </a:extLst>
                    </a:blip>
                    <a:stretch>
                      <a:fillRect/>
                    </a:stretch>
                  </pic:blipFill>
                  <pic:spPr>
                    <a:xfrm>
                      <a:off x="0" y="0"/>
                      <a:ext cx="5112186" cy="3046557"/>
                    </a:xfrm>
                    <a:prstGeom prst="rect">
                      <a:avLst/>
                    </a:prstGeom>
                  </pic:spPr>
                </pic:pic>
              </a:graphicData>
            </a:graphic>
          </wp:inline>
        </w:drawing>
      </w:r>
    </w:p>
    <w:p w14:paraId="7F76B172"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For female youth, the AMEs of a case being substantiated is .189, which is significant (</w:t>
      </w:r>
      <w:r w:rsidRPr="00A32EED">
        <w:rPr>
          <w:rFonts w:eastAsia="Calibri"/>
          <w:i/>
          <w:iCs/>
          <w:color w:val="000000"/>
          <w:szCs w:val="18"/>
        </w:rPr>
        <w:t>p&lt;</w:t>
      </w:r>
      <w:r w:rsidRPr="00A32EED">
        <w:rPr>
          <w:rFonts w:eastAsia="Calibri"/>
          <w:iCs/>
          <w:color w:val="000000"/>
          <w:szCs w:val="18"/>
        </w:rPr>
        <w:t xml:space="preserve">.05). In other words, females whose case is substantiated experience a .189 increase in their AAP of experiencing early sexual initiation. </w:t>
      </w:r>
      <w:r w:rsidRPr="00A32EED">
        <w:rPr>
          <w:rFonts w:eastAsia="Calibri"/>
          <w:iCs/>
          <w:color w:val="000000"/>
          <w:szCs w:val="18"/>
        </w:rPr>
        <w:lastRenderedPageBreak/>
        <w:t>We can also examine the AME of being male in substantiated and unsubstantiated cases. Results show that in unsubstantiated cases, the AME of being male is .089 but is not significant. However, the AME of being male in substantiated cases is -.191 and is significant (</w:t>
      </w:r>
      <w:r w:rsidRPr="00A32EED">
        <w:rPr>
          <w:rFonts w:eastAsia="Calibri"/>
          <w:i/>
          <w:iCs/>
          <w:color w:val="000000"/>
          <w:szCs w:val="18"/>
        </w:rPr>
        <w:t>p&lt;</w:t>
      </w:r>
      <w:r w:rsidRPr="00A32EED">
        <w:rPr>
          <w:rFonts w:eastAsia="Calibri"/>
          <w:iCs/>
          <w:color w:val="000000"/>
          <w:szCs w:val="18"/>
        </w:rPr>
        <w:t xml:space="preserve">.05). In other words, the average probability of early sexual initiation is almost 20% lower for males than it is for females. Taken altogether, this suggests that being substantiated as a victim of child maltreatment is a significant risk factor for early sexual initiation for female youth. On the other hand, the average probability of early sexual initiation for male youth who are substantiated as a victim of child maltreatment is the same as female who are not substantiated as victims. </w:t>
      </w:r>
    </w:p>
    <w:p w14:paraId="07825C53"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Case substantiation was also plotted by self-control and age, however the relationship between self-control and early sexual initiation functioned the same for both substantiated and unsubstantiated cases and did not exhibit any significant AMEs. Receiving services at baseline and having more than one alleged maltreatment type have AMEs of -.05 and -.02 respectively, neither of which is significant. Both more than one maltreatment type and receipt of services at baseline were plotted against age and self-control but no plots exhibited any significant AMEs between the variables.</w:t>
      </w:r>
    </w:p>
    <w:p w14:paraId="2F1CA403"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The AAP of early sexual initiation is .42 for those with previous child welfare history compared to an AAP of .29 for those with no previous child welfare history. This represents an AME of .14, which is significant. The AME for previous child welfare history is the second largest AME among the categorical predictors. The AAPs of previous history were also plotted against </w:t>
      </w:r>
      <w:r w:rsidRPr="00A32EED">
        <w:rPr>
          <w:rFonts w:eastAsia="Calibri"/>
          <w:iCs/>
          <w:color w:val="000000"/>
          <w:szCs w:val="18"/>
        </w:rPr>
        <w:lastRenderedPageBreak/>
        <w:t xml:space="preserve">age at baseline and the resulting graph can be found in Figure 5.5. The graph shows that the AME of previous child welfare contact is smaller at younger ages but then increases with age at baseline. At age 9, the AME of having previous child welfare contact is .07, however, by the age of 13 it increases to .17. The AME of previous history is significant at every age, with previous child welfare history resulting in higher AAPs of early sexual initiation. A similar plot for previous child welfare history and self-control did not reveal any significant differences. </w:t>
      </w:r>
    </w:p>
    <w:p w14:paraId="78CCC1FB" w14:textId="77777777" w:rsidR="004C4C39" w:rsidRPr="00A32EED" w:rsidRDefault="004C4C39" w:rsidP="0023176A">
      <w:pPr>
        <w:pStyle w:val="Caption1"/>
        <w:rPr>
          <w:rFonts w:eastAsia="Calibri"/>
        </w:rPr>
      </w:pPr>
      <w:bookmarkStart w:id="116" w:name="_Toc479941235"/>
      <w:r w:rsidRPr="00A32EED">
        <w:rPr>
          <w:rFonts w:eastAsia="Calibri"/>
        </w:rPr>
        <w:t>Figure 5.5 Average Adjusted Probabilities of Early Sexual Initiation by Case History and Age</w:t>
      </w:r>
      <w:bookmarkEnd w:id="116"/>
    </w:p>
    <w:p w14:paraId="623AB18B" w14:textId="77777777" w:rsidR="004C4C39" w:rsidRPr="00A32EED" w:rsidRDefault="004C4C39" w:rsidP="004C4C39">
      <w:pPr>
        <w:spacing w:after="0" w:line="480" w:lineRule="auto"/>
        <w:rPr>
          <w:rFonts w:eastAsia="Calibri"/>
          <w:iCs/>
          <w:color w:val="000000"/>
          <w:szCs w:val="18"/>
        </w:rPr>
      </w:pPr>
      <w:r w:rsidRPr="00A32EED">
        <w:rPr>
          <w:rFonts w:eastAsia="Calibri"/>
          <w:iCs/>
          <w:noProof/>
          <w:color w:val="000000"/>
          <w:szCs w:val="18"/>
        </w:rPr>
        <w:drawing>
          <wp:inline distT="0" distB="0" distL="0" distR="0" wp14:anchorId="447C6671" wp14:editId="7372D2EA">
            <wp:extent cx="5029200" cy="3657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istoryXag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00BA08FA"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No form of maltreatment has a significant AME on the probability of early sexual initiation when compared to neglect. “Other” forms of child maltreatment has the lowest AAP of early sexual initiation at .30, followed by physical abuse </w:t>
      </w:r>
      <w:r w:rsidRPr="00A32EED">
        <w:rPr>
          <w:rFonts w:eastAsia="Calibri"/>
          <w:iCs/>
          <w:color w:val="000000"/>
          <w:szCs w:val="18"/>
        </w:rPr>
        <w:lastRenderedPageBreak/>
        <w:t xml:space="preserve">and neglect at .36 and .37 respectively, and then sexual abuse with an AAP of .46. Sexual abuse has an AME of .09 when compared to neglect and an AME of .16 when compared to other forms of child maltreatment. The AAPs of the four different maltreatment types were plotted against age at baseline and can be found in Figure 5.6. There are two major takeaways from this graph. The first is that neglect and physical abuse are nearly identical in their average probabilities of early sexual initiation across all ages. Second, the AME between “other” forms of maltreatment and sexual abuse appears to increase as age at baseline does. For youth who are 9 years old, the AME is only .09 but this grows to .20 for 13-year-old youth.  The AAPs for maltreatment type follow largely the same pattern when plotted against self-control scores. Neglect and physical abuse are nearly identical to the scores and “other” forms of maltreatment and sexual abuse represent the low and high AAPs respectively. </w:t>
      </w:r>
    </w:p>
    <w:p w14:paraId="7BF70C60"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The AAPs of early sexual initiation for placement at baseline range from .35 for those who remain in their home, to .39 for foster homes, .41 for kinship care homes, and .86 for group home/other placements. Being place in a group home/other placement at baseline has an AME of .52 for early initiation when compared to those who remain in their own home and is the only significant AME for baseline placement (</w:t>
      </w:r>
      <w:r w:rsidRPr="00A32EED">
        <w:rPr>
          <w:rFonts w:eastAsia="Calibri"/>
          <w:i/>
          <w:iCs/>
          <w:color w:val="000000"/>
          <w:szCs w:val="18"/>
        </w:rPr>
        <w:t>p&lt;</w:t>
      </w:r>
      <w:r w:rsidRPr="00A32EED">
        <w:rPr>
          <w:rFonts w:eastAsia="Calibri"/>
          <w:iCs/>
          <w:color w:val="000000"/>
          <w:szCs w:val="18"/>
        </w:rPr>
        <w:t xml:space="preserve">.001). Of all the variables in the final model, baseline placement in a group home has the largest AME. Previous research typically find group homes are associated with adverse life outcomes, which making this finding not surprising. However, what is important to note is that this relationship holds even when controlling for self-control suggesting that group </w:t>
      </w:r>
      <w:r w:rsidRPr="00A32EED">
        <w:rPr>
          <w:rFonts w:eastAsia="Calibri"/>
          <w:iCs/>
          <w:color w:val="000000"/>
          <w:szCs w:val="18"/>
        </w:rPr>
        <w:lastRenderedPageBreak/>
        <w:t>home may be exerting a very strong state dependent effect on adverse life outcomes such as early sexual initiation.</w:t>
      </w:r>
    </w:p>
    <w:p w14:paraId="4FA2A980" w14:textId="77777777" w:rsidR="004C4C39" w:rsidRPr="00A32EED" w:rsidRDefault="004C4C39" w:rsidP="0023176A">
      <w:pPr>
        <w:pStyle w:val="Caption1"/>
        <w:rPr>
          <w:rFonts w:eastAsia="Calibri"/>
        </w:rPr>
      </w:pPr>
      <w:bookmarkStart w:id="117" w:name="_Toc479941236"/>
      <w:r w:rsidRPr="00A32EED">
        <w:rPr>
          <w:rFonts w:eastAsia="Calibri"/>
        </w:rPr>
        <w:t>Figure 5.6 Average Adjusted Probabilities of Early Sexual Initiation by Maltreatment Type and Age</w:t>
      </w:r>
      <w:bookmarkEnd w:id="117"/>
    </w:p>
    <w:p w14:paraId="2E4D64CC" w14:textId="77777777" w:rsidR="004C4C39" w:rsidRPr="00A32EED" w:rsidRDefault="004C4C39" w:rsidP="004C4C39">
      <w:pPr>
        <w:spacing w:after="0" w:line="480" w:lineRule="auto"/>
        <w:rPr>
          <w:rFonts w:eastAsia="Calibri"/>
          <w:iCs/>
          <w:color w:val="000000"/>
          <w:szCs w:val="18"/>
        </w:rPr>
      </w:pPr>
      <w:r w:rsidRPr="00A32EED">
        <w:rPr>
          <w:rFonts w:eastAsia="Calibri"/>
          <w:iCs/>
          <w:noProof/>
          <w:color w:val="000000"/>
          <w:szCs w:val="18"/>
        </w:rPr>
        <w:drawing>
          <wp:inline distT="0" distB="0" distL="0" distR="0" wp14:anchorId="1712615B" wp14:editId="372DADC3">
            <wp:extent cx="5029200" cy="3657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ltypeXag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6A20C305" w14:textId="77777777" w:rsidR="004C4C39" w:rsidRPr="00A32EED" w:rsidRDefault="004C4C39" w:rsidP="004C4C39">
      <w:pPr>
        <w:spacing w:after="0" w:line="480" w:lineRule="auto"/>
        <w:rPr>
          <w:rFonts w:eastAsia="Calibri"/>
          <w:iCs/>
          <w:color w:val="000000"/>
          <w:szCs w:val="18"/>
        </w:rPr>
      </w:pPr>
      <w:r w:rsidRPr="00A32EED">
        <w:rPr>
          <w:rFonts w:eastAsia="Calibri"/>
          <w:iCs/>
          <w:color w:val="000000"/>
          <w:szCs w:val="18"/>
        </w:rPr>
        <w:tab/>
        <w:t xml:space="preserve">Figure 5.7 shows the margins plot of baseline placement by age. As expected given previous analyses, group home/other placements consistently have higher AAPs of early sexual initiation than other types of placements. The AAPs appear to initially increase at a higher rate when compared to other placements through approximately age 11, at which point the AAPs of other placements increase at a higher rate and close the gap to some extent. This graph reiterates how high the average probability of early sexual initiation is for youth placed in group home/other placements, regardless of age and despite controlling for propensity via self-control. Baseline placements and age were </w:t>
      </w:r>
      <w:r w:rsidRPr="00A32EED">
        <w:rPr>
          <w:rFonts w:eastAsia="Calibri"/>
          <w:iCs/>
          <w:color w:val="000000"/>
          <w:szCs w:val="18"/>
        </w:rPr>
        <w:lastRenderedPageBreak/>
        <w:t xml:space="preserve">next plotted separately by gender only to reveal that the relationship between baseline placement, age, and early sexual initiation functions the same for male and female youth. </w:t>
      </w:r>
    </w:p>
    <w:p w14:paraId="05E679A7" w14:textId="77777777" w:rsidR="004C4C39" w:rsidRPr="00A32EED" w:rsidRDefault="004C4C39" w:rsidP="0023176A">
      <w:pPr>
        <w:pStyle w:val="Caption1"/>
        <w:rPr>
          <w:rFonts w:eastAsia="Calibri"/>
        </w:rPr>
      </w:pPr>
      <w:bookmarkStart w:id="118" w:name="_Toc479941237"/>
      <w:r w:rsidRPr="00A32EED">
        <w:rPr>
          <w:rFonts w:eastAsia="Calibri"/>
        </w:rPr>
        <w:t>Figure 5.7 Average Adjusted Probabilities of Early Sexual Initiation by Baseline Placement and Age</w:t>
      </w:r>
      <w:bookmarkEnd w:id="118"/>
    </w:p>
    <w:p w14:paraId="75D59F2E" w14:textId="77777777" w:rsidR="004C4C39" w:rsidRPr="00A32EED" w:rsidRDefault="004C4C39" w:rsidP="004C4C39">
      <w:pPr>
        <w:spacing w:after="0" w:line="480" w:lineRule="auto"/>
        <w:rPr>
          <w:rFonts w:eastAsia="Calibri"/>
          <w:iCs/>
          <w:color w:val="000000"/>
          <w:szCs w:val="18"/>
        </w:rPr>
      </w:pPr>
      <w:r w:rsidRPr="00A32EED">
        <w:rPr>
          <w:rFonts w:eastAsia="Calibri"/>
          <w:iCs/>
          <w:noProof/>
          <w:color w:val="000000"/>
          <w:szCs w:val="18"/>
        </w:rPr>
        <w:drawing>
          <wp:inline distT="0" distB="0" distL="0" distR="0" wp14:anchorId="6E6FD32D" wp14:editId="53054E2C">
            <wp:extent cx="5029200" cy="3657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lplcmtXag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1F48ABA9" w14:textId="12520F76" w:rsidR="004C4C39" w:rsidRPr="00A32EED" w:rsidRDefault="004C4C39" w:rsidP="004C4C39">
      <w:pPr>
        <w:spacing w:after="0" w:line="480" w:lineRule="auto"/>
        <w:rPr>
          <w:rFonts w:eastAsia="Calibri"/>
          <w:iCs/>
          <w:color w:val="000000"/>
          <w:szCs w:val="18"/>
        </w:rPr>
      </w:pPr>
      <w:r w:rsidRPr="00A32EED">
        <w:rPr>
          <w:rFonts w:eastAsia="Calibri"/>
          <w:iCs/>
          <w:color w:val="000000"/>
          <w:szCs w:val="18"/>
        </w:rPr>
        <w:tab/>
        <w:t xml:space="preserve"> The AAPs of baseline placement were also plotted against self-control scores. Those results can be found in Figure 5.8. The relationships exhibited between baseline placements, self-control, and early sexual initiation follow the expected patterns. What is noticeable in this graph is what little impact that self-control has on reducing the average probabilities of early sexual initiation. The AAP for the lowest self-control score is .95 and only exhibits an AME of .15 for the highest self-control score. By comparison, the other three placements all exhibit AMEs approaching .30. This could suggest that the state dependent </w:t>
      </w:r>
      <w:r w:rsidRPr="00A32EED">
        <w:rPr>
          <w:rFonts w:eastAsia="Calibri"/>
          <w:iCs/>
          <w:color w:val="000000"/>
          <w:szCs w:val="18"/>
        </w:rPr>
        <w:lastRenderedPageBreak/>
        <w:t xml:space="preserve">effect of group homes is largely resistant to any prosocial propensities such as high levels of self-control. The AAPs of placement at baseline were also plotted against self-control and separated by race/ethnicity. That set of graphs can be found in Figure 5.9. This graph also highlights the limited impact of high self-control scores on the AAP of early sexual initiation for youth placed in a group home/other placement at baseline. In fact, for non-white youth, the AAP (.84) of the highest self-control score only exhibits an AME of -.12 from the AAP of the lowest self-control score (.96). While not great, white youth placed in a group home at baseline experience an AME of -.18 from the lowest to highest self-control scores. Once again these findings suggest that placement in a group home at baseline may exert a strong state dependent effect on early sexual initiation. </w:t>
      </w:r>
    </w:p>
    <w:p w14:paraId="41EE474A" w14:textId="59F6F92D" w:rsidR="004C4C39" w:rsidRPr="00A32EED" w:rsidRDefault="004C4C39" w:rsidP="0023176A">
      <w:pPr>
        <w:pStyle w:val="Caption1"/>
        <w:rPr>
          <w:rFonts w:eastAsia="Calibri"/>
        </w:rPr>
      </w:pPr>
      <w:bookmarkStart w:id="119" w:name="_Toc479941238"/>
      <w:r w:rsidRPr="00A32EED">
        <w:rPr>
          <w:rFonts w:eastAsia="Calibri"/>
        </w:rPr>
        <w:lastRenderedPageBreak/>
        <w:t>Figure 5.8 Average Adjusted Probabilities of Early Sexual Initiation by Baseline Placement and Self-Control</w:t>
      </w:r>
      <w:bookmarkEnd w:id="119"/>
    </w:p>
    <w:p w14:paraId="6D31B400" w14:textId="79298977" w:rsidR="004C4C39" w:rsidRPr="00A32EED" w:rsidRDefault="004C4C39" w:rsidP="004C4C39">
      <w:pPr>
        <w:spacing w:after="0" w:line="480" w:lineRule="auto"/>
        <w:rPr>
          <w:rFonts w:eastAsia="Calibri"/>
        </w:rPr>
      </w:pPr>
      <w:r w:rsidRPr="00A32EED">
        <w:rPr>
          <w:rFonts w:eastAsia="Calibri"/>
          <w:noProof/>
        </w:rPr>
        <w:drawing>
          <wp:inline distT="0" distB="0" distL="0" distR="0" wp14:anchorId="0D94CC53" wp14:editId="206F3391">
            <wp:extent cx="5030880" cy="3656935"/>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llpcmtXsc.png"/>
                    <pic:cNvPicPr/>
                  </pic:nvPicPr>
                  <pic:blipFill>
                    <a:blip r:embed="rId19">
                      <a:extLst>
                        <a:ext uri="{28A0092B-C50C-407E-A947-70E740481C1C}">
                          <a14:useLocalDpi xmlns:a14="http://schemas.microsoft.com/office/drawing/2010/main" val="0"/>
                        </a:ext>
                      </a:extLst>
                    </a:blip>
                    <a:stretch>
                      <a:fillRect/>
                    </a:stretch>
                  </pic:blipFill>
                  <pic:spPr>
                    <a:xfrm>
                      <a:off x="0" y="0"/>
                      <a:ext cx="5030880" cy="3656935"/>
                    </a:xfrm>
                    <a:prstGeom prst="rect">
                      <a:avLst/>
                    </a:prstGeom>
                  </pic:spPr>
                </pic:pic>
              </a:graphicData>
            </a:graphic>
          </wp:inline>
        </w:drawing>
      </w:r>
    </w:p>
    <w:p w14:paraId="26D36734" w14:textId="46EABF3B" w:rsidR="004C4C39" w:rsidRPr="00A32EED" w:rsidRDefault="004C4C39" w:rsidP="0023176A">
      <w:pPr>
        <w:pStyle w:val="Caption1"/>
        <w:rPr>
          <w:rFonts w:eastAsia="Calibri"/>
        </w:rPr>
      </w:pPr>
      <w:bookmarkStart w:id="120" w:name="_Toc479941239"/>
      <w:r w:rsidRPr="00A32EED">
        <w:rPr>
          <w:rFonts w:eastAsia="Calibri"/>
        </w:rPr>
        <w:lastRenderedPageBreak/>
        <w:t>Figure 5.9 Average Adjusted Probabilities of Early Sexual Initiation by Baseline Placement, Race, and Self-Control</w:t>
      </w:r>
      <w:bookmarkEnd w:id="120"/>
    </w:p>
    <w:p w14:paraId="172AEB78" w14:textId="77777777" w:rsidR="004C4C39" w:rsidRPr="00A32EED" w:rsidRDefault="004C4C39" w:rsidP="004C4C39">
      <w:pPr>
        <w:tabs>
          <w:tab w:val="left" w:pos="3093"/>
        </w:tabs>
        <w:spacing w:after="0" w:line="480" w:lineRule="auto"/>
        <w:rPr>
          <w:rFonts w:eastAsia="Calibri"/>
        </w:rPr>
      </w:pPr>
      <w:r w:rsidRPr="00A32EED">
        <w:rPr>
          <w:rFonts w:eastAsia="Calibri"/>
          <w:noProof/>
        </w:rPr>
        <w:drawing>
          <wp:inline distT="0" distB="0" distL="0" distR="0" wp14:anchorId="651A09FB" wp14:editId="32FDC6E3">
            <wp:extent cx="5029200" cy="3657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lplcmtXscXra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64980932"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21" w:name="_Toc479938177"/>
      <w:bookmarkStart w:id="122" w:name="_Toc482112706"/>
      <w:r w:rsidRPr="00A32EED">
        <w:rPr>
          <w:rFonts w:eastAsia="ＭＳ ゴシック"/>
          <w:i/>
          <w:color w:val="000000"/>
          <w:szCs w:val="26"/>
          <w:u w:val="single"/>
        </w:rPr>
        <w:t>Summary</w:t>
      </w:r>
      <w:bookmarkEnd w:id="121"/>
      <w:bookmarkEnd w:id="122"/>
    </w:p>
    <w:p w14:paraId="37A5C29E" w14:textId="77777777" w:rsidR="004C4C39" w:rsidRPr="00A32EED" w:rsidRDefault="004C4C39" w:rsidP="004C4C39">
      <w:pPr>
        <w:spacing w:after="0" w:line="480" w:lineRule="auto"/>
        <w:rPr>
          <w:rFonts w:eastAsia="Calibri"/>
        </w:rPr>
      </w:pPr>
      <w:r w:rsidRPr="00A32EED">
        <w:rPr>
          <w:rFonts w:eastAsia="Calibri"/>
        </w:rPr>
        <w:tab/>
        <w:t xml:space="preserve">Consistent with previous literature, children who are older at the time of a child welfare investigation are more likely to experience adverse outcomes, in this case, early sexual initiation. Non-white youth also appear to be at significantly higher risk for early sexual initiation when compared to white youth. However, it should be noted that this relationship was only marginally significant. The final model suggests that both population heterogeneity and state dependence effects are present in the relationship between child maltreatment and child welfare experience and early sexual initiation. Population heterogeneity effects are supported by the finding that lower levels of self-control are significantly related to increased odds of early sexual </w:t>
      </w:r>
      <w:r w:rsidRPr="00A32EED">
        <w:rPr>
          <w:rFonts w:eastAsia="Calibri"/>
        </w:rPr>
        <w:lastRenderedPageBreak/>
        <w:t>initiation. Even when controlling for these population heterogeneity effects, state dependence effects are still supported through various negative life events that are significantly related to early sexual initiation. Specifically, youth with a substantiated case and/or who have any form of previous contact with the child welfare system are at higher risk for early sexual initiation. Although there are no significant differences in the odds of early sexual initiation based on maltreatment type, placement type at baseline is significantly related to early sexual initiation. Specifically, placement in a group home at baseline results in significantly higher odds of early sexual initiation. In fact, group homes exhibit such a high impact on the odds of early sexual initiation that despite being significantly related to a reduction in the odds of early sexual initiation, not even high self-control scores do much to reduce the risk of early sexual initiation. One of the more surprising findings is that the interaction of gender and case substantiation results in a reduction in the odds of early sexual initiation, but only for males. Furthermore, male substantiated victims have average probabilities that were equivalent to those of female youth who were not substantiated for maltreatment at baseline. In sum, child maltreatment and child welfare experiences exert both population heterogeneity and state dependence effects on the odds of early sexual initiation, and these relationships can vary across demographics.</w:t>
      </w:r>
    </w:p>
    <w:p w14:paraId="6D28001C" w14:textId="77777777" w:rsidR="004C4C39" w:rsidRPr="00A32EED" w:rsidRDefault="004C4C39" w:rsidP="004C4C39">
      <w:pPr>
        <w:spacing w:after="0"/>
        <w:rPr>
          <w:rFonts w:eastAsia="Calibri"/>
        </w:rPr>
      </w:pPr>
      <w:r w:rsidRPr="00A32EED">
        <w:rPr>
          <w:rFonts w:eastAsia="Calibri"/>
        </w:rPr>
        <w:br w:type="page"/>
      </w:r>
    </w:p>
    <w:p w14:paraId="329934C6" w14:textId="77777777" w:rsidR="004C4C39" w:rsidRPr="00A32EED" w:rsidRDefault="004C4C39" w:rsidP="004C4C39">
      <w:pPr>
        <w:keepNext/>
        <w:keepLines/>
        <w:spacing w:before="40" w:after="0" w:line="480" w:lineRule="auto"/>
        <w:outlineLvl w:val="0"/>
        <w:rPr>
          <w:rFonts w:eastAsia="ＭＳ ゴシック"/>
          <w:b/>
          <w:color w:val="000000"/>
          <w:szCs w:val="26"/>
          <w:u w:val="single"/>
        </w:rPr>
      </w:pPr>
      <w:bookmarkStart w:id="123" w:name="_Toc479938178"/>
      <w:bookmarkStart w:id="124" w:name="_Toc482112707"/>
      <w:r w:rsidRPr="00A32EED">
        <w:rPr>
          <w:rFonts w:eastAsia="ＭＳ ゴシック"/>
          <w:b/>
          <w:color w:val="000000"/>
          <w:szCs w:val="26"/>
          <w:u w:val="single"/>
        </w:rPr>
        <w:lastRenderedPageBreak/>
        <w:t>Chapter 6: Criminal Justice Contact Results</w:t>
      </w:r>
      <w:bookmarkEnd w:id="123"/>
      <w:bookmarkEnd w:id="124"/>
    </w:p>
    <w:p w14:paraId="3A8A5A7C"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25" w:name="_Toc479938179"/>
      <w:bookmarkStart w:id="126" w:name="_Toc482112708"/>
      <w:r w:rsidRPr="00A32EED">
        <w:rPr>
          <w:rFonts w:eastAsia="ＭＳ ゴシック"/>
          <w:i/>
          <w:color w:val="000000"/>
          <w:szCs w:val="26"/>
          <w:u w:val="single"/>
        </w:rPr>
        <w:t>Descriptive Statistics of Criminal Justice Analytic sample</w:t>
      </w:r>
      <w:bookmarkEnd w:id="125"/>
      <w:bookmarkEnd w:id="126"/>
    </w:p>
    <w:p w14:paraId="68BE169E" w14:textId="77777777" w:rsidR="004C4C39" w:rsidRPr="00A32EED" w:rsidRDefault="004C4C39" w:rsidP="004C4C39">
      <w:pPr>
        <w:spacing w:after="0" w:line="480" w:lineRule="auto"/>
        <w:ind w:firstLine="720"/>
        <w:rPr>
          <w:rFonts w:eastAsia="Calibri"/>
        </w:rPr>
      </w:pPr>
      <w:r w:rsidRPr="00A32EED">
        <w:rPr>
          <w:rFonts w:eastAsia="Calibri"/>
        </w:rPr>
        <w:t xml:space="preserve">As previously mentioned in the Data and Methods section, the criminal justice contact sample is limited to those children who were at least 12 years old at the time of Wave 5 sampling and were not missing any sample weights. Of these 1,770 cases, 1,331 cases were not missing information for any of the variables used in analyses. Frequency and descriptive statistics for the categorical and continuous variables can be found in Tables 6.1 and 6.2 respectively. Once again, the percentages and means reported in the table are the weighted to account for the survey design of the NSCAW data. </w:t>
      </w:r>
    </w:p>
    <w:p w14:paraId="5F76A7DA" w14:textId="4231A9F2" w:rsidR="004C4C39" w:rsidRDefault="004C4C39" w:rsidP="004C4C39">
      <w:pPr>
        <w:spacing w:after="0" w:line="480" w:lineRule="auto"/>
        <w:ind w:firstLine="720"/>
        <w:rPr>
          <w:rFonts w:eastAsia="Calibri"/>
        </w:rPr>
      </w:pPr>
      <w:r w:rsidRPr="00A32EED">
        <w:rPr>
          <w:rFonts w:eastAsia="Calibri"/>
        </w:rPr>
        <w:t xml:space="preserve">Most youth in both samples did not have any contact with the criminal justice system. Criminal justice contact is based on if the individual was incarcerated for any of the follow-up waves or had ever been arrested. Despite individuals in the analytical sample having a slightly higher proportion of individuals with some form of criminal justice contact (2.87%), the Pearson’s Chi-Square test suggests the two samples are not statistically different. As mentioned in Chapter V, the Pearson statistic is converted into an adjusted </w:t>
      </w:r>
      <w:r w:rsidRPr="00A32EED">
        <w:rPr>
          <w:rFonts w:eastAsia="Calibri"/>
          <w:i/>
        </w:rPr>
        <w:t>F</w:t>
      </w:r>
      <w:r w:rsidRPr="00A32EED">
        <w:rPr>
          <w:rFonts w:eastAsia="Calibri"/>
        </w:rPr>
        <w:t xml:space="preserve"> statistic to account for the complex survey design </w:t>
      </w:r>
      <w:r w:rsidRPr="00A32EED">
        <w:rPr>
          <w:rFonts w:eastAsia="Calibri"/>
        </w:rPr>
        <w:fldChar w:fldCharType="begin"/>
      </w:r>
      <w:r w:rsidRPr="00A32EED">
        <w:rPr>
          <w:rFonts w:eastAsia="Calibri"/>
        </w:rPr>
        <w:instrText xml:space="preserve"> ADDIN ZOTERO_ITEM CSL_CITATION {"citationID":"l71oev37d","properties":{"formattedCitation":"(Thomas and Rao 1987)","plainCitation":"(Thomas and Rao 1987)"},"citationItems":[{"id":1417,"uris":["http://zotero.org/users/1165382/items/UUUMKD86"],"uri":["http://zotero.org/users/1165382/items/UUUMKD86"],"itemData":{"id":1417,"type":"article-journal","title":"Small-Sample Comparisons of Level and Power for Simple Goodness-of-Fit Statistics under Cluster Sampling","container-title":"Journal of the American Statistical Association","page":"630-636","volume":"82","issue":"398","source":"Taylor and Francis+NEJM","abstract":"Monte Carlo methods were used to examine the Type I error performance of a number of goodness-of-fit statistics under cluster sampling. The study has reduced the comparison to four procedures: (a) X 2 s, the Rao-Scott Satterthwaite adjusted X 2; (b) XJ , Fay's jackknifed X 2; (c) FW , a modified Wald statistic referred to an F distribution; and (d) FX 2 c, an F-based version of the Rao-Scott -adjusted X 2, depending only on the cell “design effects” (DE) unlike the others. The statistic FX 2 c performs well provided that the coefficient of variation, a, of the eigenvalues, λ i , of the “design effects matrix” is small. In general, both X 2 s and XJ perform well even when a is not small. FW behaves reasonably well for tests of uniform probability, π = π0 = (1/k, …, 1/k)′, where k is the number of categories and π = (π1, …, πk-1)′, πk = 1 – π1 - … - πk-1, but it is sensitive to skewness in π0. The power performance of procedures (a)–(d) was also examined. Attention was focused on π0 = (1/k, …, 1/k)′, the data being generated under two basic forms of the alternative π, consisting of single cell deviations from π0 of the form π1 = 1/k + ϵ with ϵ positive or negative. The power of FW is sensitive to the form of π and is markedly less than the power of its competitors in the important case of nonconstant DE, a &gt; 0. XJ shows much better power characteristics but has somewhat less power than X 2 s when a &gt; 0. Methods for analysis of categorical data have been extensively developed under the assumption of multinomial or product-multinomial sampling. In particular, the standard Pearson chi-squared statistic, X 2, and the likelihood ratio statistic, G 2, are used to test hypotheses in multiway contingency tables, employing log-linear models. These methods are often used by researchers in subject matter areas (e.g., social and health sciences) to analyze sample survey data, even though the multinomial assumption is violated because of clustering and stratification used in the survey design. Ignoring the effect of survey design and using X 2 or G 2 could lead to unacceptably high Type I error under cluster sampling. Alternative test statistics that take account of the design have been proposed: X 2 c (or G 2 c), designed for use with published tables, require knowledge only of cell DE (or variances) and certain marginal DE, whereas other statistics, X 2 s, (or G 2 s) and XJ (or GJ) require knowledge of the full covariance matrix or access to the microdata file. Large-sample properties of these test statistics have been previously studied. Small-sample Type I error and power performances have been examined in this article, under simulated cluster sampling. The Monte Carlo study, however, has been confined to the simple goodness-of-fit test, π = π0, on the vector of cell proportions, π. The results of this study should be useful to both statisticians and researchers in subject matter areas interested in the analysis of categorical data from complex sample surveys.","DOI":"10.1080/01621459.1987.10478476","ISSN":"0162-1459","note":"00108","author":[{"family":"Thomas","given":"D. Roland"},{"family":"Rao","given":"J. N. K."}],"issued":{"date-parts":[["1987",6,1]]}}}],"schema":"https://github.com/citation-style-language/schema/raw/master/csl-citation.json"} </w:instrText>
      </w:r>
      <w:r w:rsidRPr="00A32EED">
        <w:rPr>
          <w:rFonts w:eastAsia="Calibri"/>
        </w:rPr>
        <w:fldChar w:fldCharType="separate"/>
      </w:r>
      <w:r w:rsidRPr="00A32EED">
        <w:rPr>
          <w:rFonts w:eastAsia="Calibri"/>
          <w:noProof/>
        </w:rPr>
        <w:t>(Thomas and Rao 1987)</w:t>
      </w:r>
      <w:r w:rsidRPr="00A32EED">
        <w:rPr>
          <w:rFonts w:eastAsia="Calibri"/>
        </w:rPr>
        <w:fldChar w:fldCharType="end"/>
      </w:r>
      <w:r w:rsidRPr="00A32EED">
        <w:rPr>
          <w:rFonts w:eastAsia="Calibri"/>
        </w:rPr>
        <w:t>. Results for all for the comparisons between the age-eligible and analytical samples for all v</w:t>
      </w:r>
      <w:r w:rsidR="00321A58">
        <w:rPr>
          <w:rFonts w:eastAsia="Calibri"/>
        </w:rPr>
        <w:t>ariables can be found in Table 6</w:t>
      </w:r>
      <w:r w:rsidRPr="00A32EED">
        <w:rPr>
          <w:rFonts w:eastAsia="Calibri"/>
        </w:rPr>
        <w:t xml:space="preserve">.3. The age-eligible and analytical sample are both predominantly non-white and female. The percentage breakdown for both race/ethnicity and gender are within 1 percentage point and are not significantly different. Approximately 5% of cases </w:t>
      </w:r>
      <w:r w:rsidRPr="00A32EED">
        <w:rPr>
          <w:rFonts w:eastAsia="Calibri"/>
        </w:rPr>
        <w:lastRenderedPageBreak/>
        <w:t>were missing information on the child gender and &lt;.05% were missing information on the child’s race/ethnicity.</w:t>
      </w:r>
    </w:p>
    <w:p w14:paraId="3C42F32D" w14:textId="77777777" w:rsidR="001A3619" w:rsidRPr="00A32EED" w:rsidRDefault="001A3619" w:rsidP="001A3619">
      <w:pPr>
        <w:spacing w:after="0" w:line="480" w:lineRule="auto"/>
        <w:ind w:firstLine="720"/>
        <w:rPr>
          <w:rFonts w:eastAsia="Calibri"/>
        </w:rPr>
      </w:pPr>
      <w:r w:rsidRPr="00A32EED">
        <w:rPr>
          <w:rFonts w:eastAsia="Calibri"/>
        </w:rPr>
        <w:t xml:space="preserve">Individuals in the analytical sample are on average older (mean=10.02, +.13) and have slightly higher self-control scores (mean=14.11. +.11). To test for differences between the two samples, the </w:t>
      </w:r>
      <w:r w:rsidRPr="00A32EED">
        <w:rPr>
          <w:rFonts w:eastAsia="Calibri"/>
          <w:i/>
        </w:rPr>
        <w:t>regress</w:t>
      </w:r>
      <w:r w:rsidRPr="00A32EED">
        <w:rPr>
          <w:rFonts w:eastAsia="Calibri"/>
        </w:rPr>
        <w:t xml:space="preserve"> command was used with age or self-control serving as the dependent variable and a variable distinguishing between the two samples serving as the sole independent variable. Following the </w:t>
      </w:r>
      <w:r w:rsidRPr="00A32EED">
        <w:rPr>
          <w:rFonts w:eastAsia="Calibri"/>
          <w:i/>
        </w:rPr>
        <w:t>regress</w:t>
      </w:r>
      <w:r w:rsidRPr="00A32EED">
        <w:rPr>
          <w:rFonts w:eastAsia="Calibri"/>
        </w:rPr>
        <w:t xml:space="preserve"> command, the </w:t>
      </w:r>
      <w:r w:rsidRPr="00A32EED">
        <w:rPr>
          <w:rFonts w:eastAsia="Calibri"/>
          <w:i/>
        </w:rPr>
        <w:t xml:space="preserve">test </w:t>
      </w:r>
      <w:r w:rsidRPr="00A32EED">
        <w:rPr>
          <w:rFonts w:eastAsia="Calibri"/>
        </w:rPr>
        <w:t xml:space="preserve">command was used to generate the </w:t>
      </w:r>
      <w:r w:rsidRPr="00A32EED">
        <w:rPr>
          <w:rFonts w:eastAsia="Calibri"/>
          <w:i/>
        </w:rPr>
        <w:t>F</w:t>
      </w:r>
      <w:r w:rsidRPr="00A32EED">
        <w:rPr>
          <w:rFonts w:eastAsia="Calibri"/>
        </w:rPr>
        <w:t xml:space="preserve"> ratio. This procedure has been previously identified as an appropriate substitution for a t-test when using survey data </w:t>
      </w:r>
      <w:r w:rsidRPr="00A32EED">
        <w:rPr>
          <w:rFonts w:eastAsia="Calibri"/>
        </w:rPr>
        <w:fldChar w:fldCharType="begin"/>
      </w:r>
      <w:r w:rsidRPr="00A32EED">
        <w:rPr>
          <w:rFonts w:eastAsia="Calibri"/>
        </w:rPr>
        <w:instrText xml:space="preserve"> ADDIN ZOTERO_ITEM CSL_CITATION {"citationID":"2ae8dpoq0t","properties":{"formattedCitation":"(UCLA: Statistical Consulting Group 2012)","plainCitation":"(UCLA: Statistical Consulting Group 2012)"},"citationItems":[{"id":1427,"uris":["http://zotero.org/users/1165382/items/C23PNQTT"],"uri":["http://zotero.org/users/1165382/items/C23PNQTT"],"itemData":{"id":1427,"type":"webpage","title":"Stata FAQ: How can I do a t-test with survey data?","container-title":"STATA FAQ","URL":"http://www.ats.ucla.edu/stat/stata/faq/svyttest.htm","note":"00000","author":[{"literal":"UCLA: Statistical Consulting Group"}],"issued":{"date-parts":[["2012"]]},"accessed":{"date-parts":[["2017",2,14]]}}}],"schema":"https://github.com/citation-style-language/schema/raw/master/csl-citation.json"} </w:instrText>
      </w:r>
      <w:r w:rsidRPr="00A32EED">
        <w:rPr>
          <w:rFonts w:eastAsia="Calibri"/>
        </w:rPr>
        <w:fldChar w:fldCharType="separate"/>
      </w:r>
      <w:r w:rsidRPr="00A32EED">
        <w:rPr>
          <w:rFonts w:eastAsia="Calibri"/>
          <w:noProof/>
        </w:rPr>
        <w:t>(UCLA: Statistical Consulting Group 2012)</w:t>
      </w:r>
      <w:r w:rsidRPr="00A32EED">
        <w:rPr>
          <w:rFonts w:eastAsia="Calibri"/>
        </w:rPr>
        <w:fldChar w:fldCharType="end"/>
      </w:r>
      <w:r w:rsidRPr="00A32EED">
        <w:rPr>
          <w:rFonts w:eastAsia="Calibri"/>
        </w:rPr>
        <w:t xml:space="preserve">. This procedure reveals no significant difference in age or self-control between the two samples. </w:t>
      </w:r>
    </w:p>
    <w:p w14:paraId="10CA4EEF" w14:textId="6F77E2B5" w:rsidR="001A3619" w:rsidRPr="00A32EED" w:rsidRDefault="001A3619" w:rsidP="001A3619">
      <w:pPr>
        <w:spacing w:after="0" w:line="480" w:lineRule="auto"/>
        <w:ind w:firstLine="720"/>
        <w:rPr>
          <w:rFonts w:eastAsia="Calibri"/>
        </w:rPr>
      </w:pPr>
      <w:r w:rsidRPr="00A32EED">
        <w:rPr>
          <w:rFonts w:eastAsia="Calibri"/>
        </w:rPr>
        <w:t>Regarding family and case background, only a minority of caregivers in the baseline allegations for both the age-eligible and analytical sample indicated a previous arrest (29.57% and 30.49% respectively). This .92% difference is not significant.  Most cases in both the age-eligible and analytical sample had some form of previous child welfare involvement (59.55% and 57.86% respectively). This -1.69% difference is not statistically significant. Of the 1,770 age-eligible cases, 7.2% were missing data on previous child welfare involvement.</w:t>
      </w:r>
    </w:p>
    <w:p w14:paraId="11AB1D08" w14:textId="4AA1D7DC" w:rsidR="00447DE8" w:rsidRDefault="00447DE8">
      <w:pPr>
        <w:rPr>
          <w:rFonts w:eastAsia="Calibri" w:cs="Times New Roman"/>
          <w:i/>
          <w:iCs/>
          <w:color w:val="000000"/>
          <w:szCs w:val="18"/>
        </w:rPr>
      </w:pPr>
      <w:bookmarkStart w:id="127" w:name="_Toc479941240"/>
    </w:p>
    <w:p w14:paraId="4741D282" w14:textId="77777777" w:rsidR="001A3619" w:rsidRDefault="001A3619">
      <w:pPr>
        <w:rPr>
          <w:rFonts w:eastAsia="Calibri" w:cs="Times New Roman"/>
          <w:i/>
          <w:iCs/>
          <w:color w:val="000000"/>
          <w:szCs w:val="18"/>
        </w:rPr>
      </w:pPr>
      <w:r>
        <w:rPr>
          <w:rFonts w:eastAsia="Calibri"/>
        </w:rPr>
        <w:br w:type="page"/>
      </w:r>
    </w:p>
    <w:p w14:paraId="66124B15" w14:textId="47EF6D53" w:rsidR="004C4C39" w:rsidRPr="00A32EED" w:rsidRDefault="004C4C39" w:rsidP="0023176A">
      <w:pPr>
        <w:pStyle w:val="Caption1"/>
        <w:rPr>
          <w:rFonts w:eastAsia="Calibri"/>
        </w:rPr>
      </w:pPr>
      <w:r w:rsidRPr="00A32EED">
        <w:rPr>
          <w:rFonts w:eastAsia="Calibri"/>
        </w:rPr>
        <w:lastRenderedPageBreak/>
        <w:t>Table 6.</w:t>
      </w:r>
      <w:r w:rsidRPr="00A32EED">
        <w:rPr>
          <w:rFonts w:eastAsia="Calibri"/>
        </w:rPr>
        <w:fldChar w:fldCharType="begin"/>
      </w:r>
      <w:r w:rsidRPr="00A32EED">
        <w:rPr>
          <w:rFonts w:eastAsia="Calibri"/>
        </w:rPr>
        <w:instrText xml:space="preserve"> SEQ Table_6. \* ARABIC </w:instrText>
      </w:r>
      <w:r w:rsidRPr="00A32EED">
        <w:rPr>
          <w:rFonts w:eastAsia="Calibri"/>
        </w:rPr>
        <w:fldChar w:fldCharType="separate"/>
      </w:r>
      <w:r w:rsidR="00FA12E2">
        <w:rPr>
          <w:rFonts w:eastAsia="Calibri"/>
          <w:noProof/>
        </w:rPr>
        <w:t>1</w:t>
      </w:r>
      <w:r w:rsidRPr="00A32EED">
        <w:rPr>
          <w:rFonts w:eastAsia="Calibri"/>
          <w:noProof/>
        </w:rPr>
        <w:fldChar w:fldCharType="end"/>
      </w:r>
      <w:r w:rsidRPr="00A32EED">
        <w:rPr>
          <w:rFonts w:eastAsia="Calibri"/>
        </w:rPr>
        <w:t>: Frequency Statistics for Age-eligible and Criminal Justice Analytical Samples</w:t>
      </w:r>
      <w:bookmarkEnd w:id="127"/>
    </w:p>
    <w:tbl>
      <w:tblPr>
        <w:tblW w:w="4939" w:type="pct"/>
        <w:tblLook w:val="04A0" w:firstRow="1" w:lastRow="0" w:firstColumn="1" w:lastColumn="0" w:noHBand="0" w:noVBand="1"/>
      </w:tblPr>
      <w:tblGrid>
        <w:gridCol w:w="742"/>
        <w:gridCol w:w="2167"/>
        <w:gridCol w:w="1219"/>
        <w:gridCol w:w="812"/>
        <w:gridCol w:w="1044"/>
        <w:gridCol w:w="1136"/>
        <w:gridCol w:w="1272"/>
      </w:tblGrid>
      <w:tr w:rsidR="00600B3B" w:rsidRPr="00201E0F" w14:paraId="3ECE426F" w14:textId="77777777" w:rsidTr="00600B3B">
        <w:trPr>
          <w:trHeight w:val="244"/>
        </w:trPr>
        <w:tc>
          <w:tcPr>
            <w:tcW w:w="442" w:type="pct"/>
            <w:tcBorders>
              <w:bottom w:val="thinThickSmallGap" w:sz="24" w:space="0" w:color="auto"/>
            </w:tcBorders>
          </w:tcPr>
          <w:p w14:paraId="66D74C41" w14:textId="77777777" w:rsidR="004C4C39" w:rsidRPr="00201E0F" w:rsidRDefault="004C4C39" w:rsidP="004C4C39">
            <w:pPr>
              <w:spacing w:after="0"/>
              <w:rPr>
                <w:rFonts w:eastAsia="Calibri"/>
                <w:sz w:val="20"/>
                <w:szCs w:val="20"/>
              </w:rPr>
            </w:pPr>
          </w:p>
        </w:tc>
        <w:tc>
          <w:tcPr>
            <w:tcW w:w="1291" w:type="pct"/>
            <w:tcBorders>
              <w:bottom w:val="thinThickSmallGap" w:sz="24" w:space="0" w:color="auto"/>
            </w:tcBorders>
          </w:tcPr>
          <w:p w14:paraId="6C953B78" w14:textId="77777777" w:rsidR="004C4C39" w:rsidRPr="00201E0F" w:rsidRDefault="004C4C39" w:rsidP="004C4C39">
            <w:pPr>
              <w:spacing w:after="0"/>
              <w:rPr>
                <w:rFonts w:eastAsia="Calibri"/>
                <w:sz w:val="20"/>
                <w:szCs w:val="20"/>
              </w:rPr>
            </w:pPr>
          </w:p>
        </w:tc>
        <w:tc>
          <w:tcPr>
            <w:tcW w:w="1832" w:type="pct"/>
            <w:gridSpan w:val="3"/>
            <w:tcBorders>
              <w:bottom w:val="thinThickSmallGap" w:sz="24" w:space="0" w:color="auto"/>
              <w:right w:val="dotted" w:sz="4" w:space="0" w:color="auto"/>
            </w:tcBorders>
          </w:tcPr>
          <w:p w14:paraId="34174CFA" w14:textId="77777777" w:rsidR="004C4C39" w:rsidRPr="00201E0F" w:rsidRDefault="004C4C39" w:rsidP="004C4C39">
            <w:pPr>
              <w:spacing w:after="0"/>
              <w:jc w:val="center"/>
              <w:rPr>
                <w:rFonts w:eastAsia="Calibri"/>
                <w:sz w:val="20"/>
                <w:szCs w:val="20"/>
              </w:rPr>
            </w:pPr>
            <w:r w:rsidRPr="00201E0F">
              <w:rPr>
                <w:rFonts w:eastAsia="Calibri"/>
                <w:b/>
                <w:sz w:val="20"/>
                <w:szCs w:val="20"/>
              </w:rPr>
              <w:t>Full 12-Year-Old (n=1,770)</w:t>
            </w:r>
          </w:p>
        </w:tc>
        <w:tc>
          <w:tcPr>
            <w:tcW w:w="1435" w:type="pct"/>
            <w:gridSpan w:val="2"/>
            <w:tcBorders>
              <w:left w:val="dotted" w:sz="4" w:space="0" w:color="auto"/>
              <w:bottom w:val="thinThickSmallGap" w:sz="24" w:space="0" w:color="auto"/>
            </w:tcBorders>
          </w:tcPr>
          <w:p w14:paraId="7CF0D953" w14:textId="77777777" w:rsidR="004C4C39" w:rsidRPr="00201E0F" w:rsidRDefault="004C4C39" w:rsidP="004C4C39">
            <w:pPr>
              <w:spacing w:after="0"/>
              <w:jc w:val="center"/>
              <w:rPr>
                <w:rFonts w:eastAsia="Calibri"/>
                <w:sz w:val="20"/>
                <w:szCs w:val="20"/>
              </w:rPr>
            </w:pPr>
            <w:r w:rsidRPr="00201E0F">
              <w:rPr>
                <w:rFonts w:eastAsia="Calibri"/>
                <w:b/>
                <w:sz w:val="20"/>
                <w:szCs w:val="20"/>
              </w:rPr>
              <w:t>CJ Contact (n=1,331)</w:t>
            </w:r>
          </w:p>
        </w:tc>
      </w:tr>
      <w:tr w:rsidR="00600B3B" w:rsidRPr="00201E0F" w14:paraId="63C5288A" w14:textId="77777777" w:rsidTr="00600B3B">
        <w:trPr>
          <w:trHeight w:val="490"/>
        </w:trPr>
        <w:tc>
          <w:tcPr>
            <w:tcW w:w="442" w:type="pct"/>
            <w:tcBorders>
              <w:top w:val="thinThickSmallGap" w:sz="24" w:space="0" w:color="auto"/>
              <w:bottom w:val="dashSmallGap" w:sz="4" w:space="0" w:color="auto"/>
            </w:tcBorders>
          </w:tcPr>
          <w:p w14:paraId="09D76AC7" w14:textId="77777777" w:rsidR="004C4C39" w:rsidRPr="00201E0F" w:rsidRDefault="004C4C39" w:rsidP="004C4C39">
            <w:pPr>
              <w:spacing w:after="0"/>
              <w:rPr>
                <w:rFonts w:eastAsia="Calibri"/>
                <w:sz w:val="20"/>
                <w:szCs w:val="20"/>
              </w:rPr>
            </w:pPr>
          </w:p>
        </w:tc>
        <w:tc>
          <w:tcPr>
            <w:tcW w:w="1291" w:type="pct"/>
            <w:tcBorders>
              <w:top w:val="thinThickSmallGap" w:sz="24" w:space="0" w:color="auto"/>
              <w:bottom w:val="dashSmallGap" w:sz="4" w:space="0" w:color="auto"/>
            </w:tcBorders>
          </w:tcPr>
          <w:p w14:paraId="28280E97" w14:textId="77777777" w:rsidR="004C4C39" w:rsidRPr="00201E0F" w:rsidRDefault="004C4C39" w:rsidP="004C4C39">
            <w:pPr>
              <w:spacing w:after="0"/>
              <w:rPr>
                <w:rFonts w:eastAsia="Calibri"/>
                <w:sz w:val="20"/>
                <w:szCs w:val="20"/>
              </w:rPr>
            </w:pPr>
          </w:p>
        </w:tc>
        <w:tc>
          <w:tcPr>
            <w:tcW w:w="726" w:type="pct"/>
            <w:tcBorders>
              <w:top w:val="thinThickSmallGap" w:sz="24" w:space="0" w:color="auto"/>
              <w:bottom w:val="dashSmallGap" w:sz="4" w:space="0" w:color="auto"/>
            </w:tcBorders>
          </w:tcPr>
          <w:p w14:paraId="23C47679" w14:textId="77777777" w:rsidR="004C4C39" w:rsidRPr="00201E0F" w:rsidRDefault="004C4C39" w:rsidP="004C4C39">
            <w:pPr>
              <w:spacing w:after="0"/>
              <w:jc w:val="center"/>
              <w:rPr>
                <w:rFonts w:eastAsia="Calibri"/>
                <w:sz w:val="20"/>
                <w:szCs w:val="20"/>
              </w:rPr>
            </w:pPr>
            <w:r w:rsidRPr="00201E0F">
              <w:rPr>
                <w:rFonts w:eastAsia="Calibri"/>
                <w:sz w:val="20"/>
                <w:szCs w:val="20"/>
              </w:rPr>
              <w:t>Missing (%)</w:t>
            </w:r>
          </w:p>
        </w:tc>
        <w:tc>
          <w:tcPr>
            <w:tcW w:w="484" w:type="pct"/>
            <w:tcBorders>
              <w:top w:val="thinThickSmallGap" w:sz="24" w:space="0" w:color="auto"/>
              <w:bottom w:val="dashSmallGap" w:sz="4" w:space="0" w:color="auto"/>
            </w:tcBorders>
          </w:tcPr>
          <w:p w14:paraId="4301BB9A" w14:textId="77777777" w:rsidR="004C4C39" w:rsidRPr="00201E0F" w:rsidRDefault="004C4C39" w:rsidP="004C4C39">
            <w:pPr>
              <w:spacing w:after="0"/>
              <w:jc w:val="center"/>
              <w:rPr>
                <w:rFonts w:eastAsia="Calibri"/>
                <w:i/>
                <w:sz w:val="20"/>
                <w:szCs w:val="20"/>
              </w:rPr>
            </w:pPr>
            <w:r w:rsidRPr="00201E0F">
              <w:rPr>
                <w:rFonts w:eastAsia="Calibri"/>
                <w:i/>
                <w:sz w:val="20"/>
                <w:szCs w:val="20"/>
              </w:rPr>
              <w:t>n</w:t>
            </w:r>
          </w:p>
        </w:tc>
        <w:tc>
          <w:tcPr>
            <w:tcW w:w="622" w:type="pct"/>
            <w:tcBorders>
              <w:top w:val="thinThickSmallGap" w:sz="24" w:space="0" w:color="auto"/>
              <w:bottom w:val="dashSmallGap" w:sz="4" w:space="0" w:color="auto"/>
              <w:right w:val="dotted" w:sz="4" w:space="0" w:color="auto"/>
            </w:tcBorders>
          </w:tcPr>
          <w:p w14:paraId="3486CCE7" w14:textId="77777777" w:rsidR="004C4C39" w:rsidRPr="00201E0F" w:rsidRDefault="004C4C39" w:rsidP="004C4C39">
            <w:pPr>
              <w:spacing w:after="0"/>
              <w:jc w:val="center"/>
              <w:rPr>
                <w:rFonts w:eastAsia="Calibri"/>
                <w:sz w:val="20"/>
                <w:szCs w:val="20"/>
              </w:rPr>
            </w:pPr>
            <w:r w:rsidRPr="00201E0F">
              <w:rPr>
                <w:rFonts w:eastAsia="Calibri"/>
                <w:sz w:val="20"/>
                <w:szCs w:val="20"/>
              </w:rPr>
              <w:t>%</w:t>
            </w:r>
          </w:p>
        </w:tc>
        <w:tc>
          <w:tcPr>
            <w:tcW w:w="677" w:type="pct"/>
            <w:tcBorders>
              <w:top w:val="thinThickSmallGap" w:sz="24" w:space="0" w:color="auto"/>
              <w:left w:val="dotted" w:sz="4" w:space="0" w:color="auto"/>
              <w:bottom w:val="dashSmallGap" w:sz="4" w:space="0" w:color="auto"/>
            </w:tcBorders>
          </w:tcPr>
          <w:p w14:paraId="326F781C" w14:textId="77777777" w:rsidR="004C4C39" w:rsidRPr="00201E0F" w:rsidRDefault="004C4C39" w:rsidP="004C4C39">
            <w:pPr>
              <w:spacing w:after="0"/>
              <w:jc w:val="center"/>
              <w:rPr>
                <w:rFonts w:eastAsia="Calibri"/>
                <w:i/>
                <w:sz w:val="20"/>
                <w:szCs w:val="20"/>
              </w:rPr>
            </w:pPr>
            <w:r w:rsidRPr="00201E0F">
              <w:rPr>
                <w:rFonts w:eastAsia="Calibri"/>
                <w:i/>
                <w:sz w:val="20"/>
                <w:szCs w:val="20"/>
              </w:rPr>
              <w:t>n</w:t>
            </w:r>
          </w:p>
        </w:tc>
        <w:tc>
          <w:tcPr>
            <w:tcW w:w="758" w:type="pct"/>
            <w:tcBorders>
              <w:top w:val="thinThickSmallGap" w:sz="24" w:space="0" w:color="auto"/>
              <w:bottom w:val="dashSmallGap" w:sz="4" w:space="0" w:color="auto"/>
            </w:tcBorders>
          </w:tcPr>
          <w:p w14:paraId="795F9ADE" w14:textId="77777777" w:rsidR="004C4C39" w:rsidRPr="00201E0F" w:rsidRDefault="004C4C39" w:rsidP="004C4C39">
            <w:pPr>
              <w:spacing w:after="0"/>
              <w:jc w:val="center"/>
              <w:rPr>
                <w:rFonts w:eastAsia="Calibri"/>
                <w:sz w:val="20"/>
                <w:szCs w:val="20"/>
              </w:rPr>
            </w:pPr>
            <w:r w:rsidRPr="00201E0F">
              <w:rPr>
                <w:rFonts w:eastAsia="Calibri"/>
                <w:sz w:val="20"/>
                <w:szCs w:val="20"/>
              </w:rPr>
              <w:t>%</w:t>
            </w:r>
          </w:p>
        </w:tc>
      </w:tr>
      <w:tr w:rsidR="00600B3B" w:rsidRPr="00201E0F" w14:paraId="3B58EEFA" w14:textId="77777777" w:rsidTr="00600B3B">
        <w:trPr>
          <w:trHeight w:val="225"/>
        </w:trPr>
        <w:tc>
          <w:tcPr>
            <w:tcW w:w="1733" w:type="pct"/>
            <w:gridSpan w:val="2"/>
            <w:tcBorders>
              <w:top w:val="dashSmallGap" w:sz="4" w:space="0" w:color="auto"/>
            </w:tcBorders>
          </w:tcPr>
          <w:p w14:paraId="1DB11392" w14:textId="77777777" w:rsidR="004C4C39" w:rsidRPr="00201E0F" w:rsidRDefault="004C4C39" w:rsidP="004C4C39">
            <w:pPr>
              <w:spacing w:after="0"/>
              <w:rPr>
                <w:rFonts w:eastAsia="Calibri"/>
                <w:sz w:val="20"/>
                <w:szCs w:val="20"/>
              </w:rPr>
            </w:pPr>
            <w:r w:rsidRPr="00201E0F">
              <w:rPr>
                <w:rFonts w:eastAsia="Calibri"/>
                <w:sz w:val="20"/>
                <w:szCs w:val="20"/>
              </w:rPr>
              <w:t>CJ Contact (n=1,770)</w:t>
            </w:r>
          </w:p>
        </w:tc>
        <w:tc>
          <w:tcPr>
            <w:tcW w:w="726" w:type="pct"/>
            <w:tcBorders>
              <w:top w:val="dashSmallGap" w:sz="4" w:space="0" w:color="auto"/>
            </w:tcBorders>
          </w:tcPr>
          <w:p w14:paraId="2D488EEC" w14:textId="77777777" w:rsidR="004C4C39" w:rsidRPr="00201E0F" w:rsidRDefault="004C4C39" w:rsidP="004C4C39">
            <w:pPr>
              <w:spacing w:after="0"/>
              <w:jc w:val="center"/>
              <w:rPr>
                <w:rFonts w:eastAsia="Calibri"/>
                <w:sz w:val="20"/>
                <w:szCs w:val="20"/>
              </w:rPr>
            </w:pPr>
            <w:r w:rsidRPr="00201E0F">
              <w:rPr>
                <w:rFonts w:eastAsia="Calibri"/>
                <w:sz w:val="20"/>
                <w:szCs w:val="20"/>
              </w:rPr>
              <w:t>0(0.00)</w:t>
            </w:r>
          </w:p>
        </w:tc>
        <w:tc>
          <w:tcPr>
            <w:tcW w:w="484" w:type="pct"/>
            <w:tcBorders>
              <w:top w:val="dashSmallGap" w:sz="4" w:space="0" w:color="auto"/>
            </w:tcBorders>
          </w:tcPr>
          <w:p w14:paraId="539FC721" w14:textId="77777777" w:rsidR="004C4C39" w:rsidRPr="00201E0F" w:rsidRDefault="004C4C39" w:rsidP="004C4C39">
            <w:pPr>
              <w:spacing w:after="0"/>
              <w:jc w:val="center"/>
              <w:rPr>
                <w:rFonts w:eastAsia="Calibri"/>
                <w:sz w:val="20"/>
                <w:szCs w:val="20"/>
              </w:rPr>
            </w:pPr>
          </w:p>
        </w:tc>
        <w:tc>
          <w:tcPr>
            <w:tcW w:w="622" w:type="pct"/>
            <w:tcBorders>
              <w:top w:val="dashSmallGap" w:sz="4" w:space="0" w:color="auto"/>
              <w:right w:val="dotted" w:sz="4" w:space="0" w:color="auto"/>
            </w:tcBorders>
          </w:tcPr>
          <w:p w14:paraId="33A71D33" w14:textId="77777777" w:rsidR="004C4C39" w:rsidRPr="00201E0F" w:rsidRDefault="004C4C39" w:rsidP="004C4C39">
            <w:pPr>
              <w:spacing w:after="0"/>
              <w:jc w:val="center"/>
              <w:rPr>
                <w:rFonts w:eastAsia="Calibri"/>
                <w:sz w:val="20"/>
                <w:szCs w:val="20"/>
              </w:rPr>
            </w:pPr>
          </w:p>
        </w:tc>
        <w:tc>
          <w:tcPr>
            <w:tcW w:w="677" w:type="pct"/>
            <w:tcBorders>
              <w:top w:val="dashSmallGap" w:sz="4" w:space="0" w:color="auto"/>
              <w:left w:val="dotted" w:sz="4" w:space="0" w:color="auto"/>
            </w:tcBorders>
          </w:tcPr>
          <w:p w14:paraId="2D17E9B2" w14:textId="77777777" w:rsidR="004C4C39" w:rsidRPr="00201E0F" w:rsidRDefault="004C4C39" w:rsidP="004C4C39">
            <w:pPr>
              <w:spacing w:after="0"/>
              <w:jc w:val="center"/>
              <w:rPr>
                <w:rFonts w:eastAsia="Calibri"/>
                <w:sz w:val="20"/>
                <w:szCs w:val="20"/>
              </w:rPr>
            </w:pPr>
          </w:p>
        </w:tc>
        <w:tc>
          <w:tcPr>
            <w:tcW w:w="758" w:type="pct"/>
            <w:tcBorders>
              <w:top w:val="dashSmallGap" w:sz="4" w:space="0" w:color="auto"/>
            </w:tcBorders>
          </w:tcPr>
          <w:p w14:paraId="096D2609" w14:textId="77777777" w:rsidR="004C4C39" w:rsidRPr="00201E0F" w:rsidRDefault="004C4C39" w:rsidP="004C4C39">
            <w:pPr>
              <w:spacing w:after="0"/>
              <w:jc w:val="center"/>
              <w:rPr>
                <w:rFonts w:eastAsia="Calibri"/>
                <w:sz w:val="20"/>
                <w:szCs w:val="20"/>
              </w:rPr>
            </w:pPr>
          </w:p>
        </w:tc>
      </w:tr>
      <w:tr w:rsidR="00600B3B" w:rsidRPr="00201E0F" w14:paraId="18DEDBF6" w14:textId="77777777" w:rsidTr="00600B3B">
        <w:trPr>
          <w:trHeight w:val="262"/>
        </w:trPr>
        <w:tc>
          <w:tcPr>
            <w:tcW w:w="442" w:type="pct"/>
          </w:tcPr>
          <w:p w14:paraId="5DD4C024" w14:textId="77777777" w:rsidR="004C4C39" w:rsidRPr="00201E0F" w:rsidRDefault="004C4C39" w:rsidP="004C4C39">
            <w:pPr>
              <w:spacing w:after="0"/>
              <w:rPr>
                <w:rFonts w:eastAsia="Calibri"/>
                <w:sz w:val="20"/>
                <w:szCs w:val="20"/>
              </w:rPr>
            </w:pPr>
          </w:p>
        </w:tc>
        <w:tc>
          <w:tcPr>
            <w:tcW w:w="1291" w:type="pct"/>
          </w:tcPr>
          <w:p w14:paraId="45DBFE51" w14:textId="77777777" w:rsidR="004C4C39" w:rsidRPr="00201E0F" w:rsidRDefault="004C4C39" w:rsidP="004C4C39">
            <w:pPr>
              <w:spacing w:after="0"/>
              <w:rPr>
                <w:rFonts w:eastAsia="Calibri"/>
                <w:sz w:val="20"/>
                <w:szCs w:val="20"/>
              </w:rPr>
            </w:pPr>
            <w:r w:rsidRPr="00201E0F">
              <w:rPr>
                <w:rFonts w:eastAsia="Calibri"/>
                <w:sz w:val="20"/>
                <w:szCs w:val="20"/>
              </w:rPr>
              <w:t>No</w:t>
            </w:r>
          </w:p>
        </w:tc>
        <w:tc>
          <w:tcPr>
            <w:tcW w:w="726" w:type="pct"/>
          </w:tcPr>
          <w:p w14:paraId="23B85014" w14:textId="77777777" w:rsidR="004C4C39" w:rsidRPr="00201E0F" w:rsidRDefault="004C4C39" w:rsidP="004C4C39">
            <w:pPr>
              <w:spacing w:after="0"/>
              <w:jc w:val="center"/>
              <w:rPr>
                <w:rFonts w:eastAsia="Calibri"/>
                <w:sz w:val="20"/>
                <w:szCs w:val="20"/>
              </w:rPr>
            </w:pPr>
          </w:p>
        </w:tc>
        <w:tc>
          <w:tcPr>
            <w:tcW w:w="484" w:type="pct"/>
          </w:tcPr>
          <w:p w14:paraId="70E4E342" w14:textId="77777777" w:rsidR="004C4C39" w:rsidRPr="00201E0F" w:rsidRDefault="004C4C39" w:rsidP="004C4C39">
            <w:pPr>
              <w:spacing w:after="0"/>
              <w:jc w:val="center"/>
              <w:rPr>
                <w:rFonts w:eastAsia="Calibri"/>
                <w:sz w:val="20"/>
                <w:szCs w:val="20"/>
              </w:rPr>
            </w:pPr>
            <w:r w:rsidRPr="00201E0F">
              <w:rPr>
                <w:rFonts w:eastAsia="Times New Roman"/>
                <w:color w:val="000000"/>
                <w:sz w:val="20"/>
                <w:szCs w:val="20"/>
              </w:rPr>
              <w:t>1,472</w:t>
            </w:r>
          </w:p>
        </w:tc>
        <w:tc>
          <w:tcPr>
            <w:tcW w:w="622" w:type="pct"/>
            <w:tcBorders>
              <w:right w:val="dotted" w:sz="4" w:space="0" w:color="auto"/>
            </w:tcBorders>
          </w:tcPr>
          <w:p w14:paraId="17EF4C92" w14:textId="77777777" w:rsidR="004C4C39" w:rsidRPr="00201E0F" w:rsidRDefault="004C4C39" w:rsidP="004C4C39">
            <w:pPr>
              <w:spacing w:after="0"/>
              <w:jc w:val="center"/>
              <w:rPr>
                <w:rFonts w:eastAsia="Calibri"/>
                <w:b/>
                <w:sz w:val="20"/>
                <w:szCs w:val="20"/>
              </w:rPr>
            </w:pPr>
            <w:r w:rsidRPr="00201E0F">
              <w:rPr>
                <w:rFonts w:eastAsia="Times New Roman"/>
                <w:b/>
                <w:bCs/>
                <w:color w:val="000000"/>
                <w:sz w:val="20"/>
                <w:szCs w:val="20"/>
              </w:rPr>
              <w:t>83.87</w:t>
            </w:r>
          </w:p>
        </w:tc>
        <w:tc>
          <w:tcPr>
            <w:tcW w:w="677" w:type="pct"/>
            <w:tcBorders>
              <w:left w:val="dotted" w:sz="4" w:space="0" w:color="auto"/>
            </w:tcBorders>
          </w:tcPr>
          <w:p w14:paraId="52593E9A"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1,107</w:t>
            </w:r>
          </w:p>
        </w:tc>
        <w:tc>
          <w:tcPr>
            <w:tcW w:w="758" w:type="pct"/>
          </w:tcPr>
          <w:p w14:paraId="44C37150"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84.00</w:t>
            </w:r>
          </w:p>
        </w:tc>
      </w:tr>
      <w:tr w:rsidR="00600B3B" w:rsidRPr="00201E0F" w14:paraId="405ADA22" w14:textId="77777777" w:rsidTr="00600B3B">
        <w:trPr>
          <w:trHeight w:val="244"/>
        </w:trPr>
        <w:tc>
          <w:tcPr>
            <w:tcW w:w="442" w:type="pct"/>
          </w:tcPr>
          <w:p w14:paraId="38A9344D" w14:textId="77777777" w:rsidR="004C4C39" w:rsidRPr="00201E0F" w:rsidRDefault="004C4C39" w:rsidP="004C4C39">
            <w:pPr>
              <w:spacing w:after="0"/>
              <w:rPr>
                <w:rFonts w:eastAsia="Calibri"/>
                <w:sz w:val="20"/>
                <w:szCs w:val="20"/>
              </w:rPr>
            </w:pPr>
          </w:p>
        </w:tc>
        <w:tc>
          <w:tcPr>
            <w:tcW w:w="1291" w:type="pct"/>
          </w:tcPr>
          <w:p w14:paraId="4E482FD6" w14:textId="77777777" w:rsidR="004C4C39" w:rsidRPr="00201E0F" w:rsidRDefault="004C4C39" w:rsidP="004C4C39">
            <w:pPr>
              <w:spacing w:after="0"/>
              <w:rPr>
                <w:rFonts w:eastAsia="Calibri"/>
                <w:sz w:val="20"/>
                <w:szCs w:val="20"/>
              </w:rPr>
            </w:pPr>
            <w:r w:rsidRPr="00201E0F">
              <w:rPr>
                <w:rFonts w:eastAsia="Calibri"/>
                <w:sz w:val="20"/>
                <w:szCs w:val="20"/>
              </w:rPr>
              <w:t>Yes</w:t>
            </w:r>
          </w:p>
        </w:tc>
        <w:tc>
          <w:tcPr>
            <w:tcW w:w="726" w:type="pct"/>
          </w:tcPr>
          <w:p w14:paraId="425FF19E" w14:textId="77777777" w:rsidR="004C4C39" w:rsidRPr="00201E0F" w:rsidRDefault="004C4C39" w:rsidP="004C4C39">
            <w:pPr>
              <w:spacing w:after="0"/>
              <w:jc w:val="center"/>
              <w:rPr>
                <w:rFonts w:eastAsia="Calibri"/>
                <w:sz w:val="20"/>
                <w:szCs w:val="20"/>
              </w:rPr>
            </w:pPr>
          </w:p>
        </w:tc>
        <w:tc>
          <w:tcPr>
            <w:tcW w:w="484" w:type="pct"/>
          </w:tcPr>
          <w:p w14:paraId="75C5222C" w14:textId="77777777" w:rsidR="004C4C39" w:rsidRPr="00201E0F" w:rsidRDefault="004C4C39" w:rsidP="004C4C39">
            <w:pPr>
              <w:spacing w:after="0"/>
              <w:jc w:val="center"/>
              <w:rPr>
                <w:rFonts w:eastAsia="Calibri"/>
                <w:sz w:val="20"/>
                <w:szCs w:val="20"/>
              </w:rPr>
            </w:pPr>
            <w:r w:rsidRPr="00201E0F">
              <w:rPr>
                <w:rFonts w:eastAsia="Times New Roman"/>
                <w:color w:val="000000"/>
                <w:sz w:val="20"/>
                <w:szCs w:val="20"/>
              </w:rPr>
              <w:t>298</w:t>
            </w:r>
          </w:p>
        </w:tc>
        <w:tc>
          <w:tcPr>
            <w:tcW w:w="622" w:type="pct"/>
            <w:tcBorders>
              <w:right w:val="dotted" w:sz="4" w:space="0" w:color="auto"/>
            </w:tcBorders>
          </w:tcPr>
          <w:p w14:paraId="26BCE1C7" w14:textId="77777777" w:rsidR="004C4C39" w:rsidRPr="00201E0F" w:rsidRDefault="004C4C39" w:rsidP="004C4C39">
            <w:pPr>
              <w:spacing w:after="0"/>
              <w:jc w:val="center"/>
              <w:rPr>
                <w:rFonts w:eastAsia="Calibri"/>
                <w:b/>
                <w:sz w:val="20"/>
                <w:szCs w:val="20"/>
              </w:rPr>
            </w:pPr>
            <w:r w:rsidRPr="00201E0F">
              <w:rPr>
                <w:rFonts w:eastAsia="Times New Roman"/>
                <w:b/>
                <w:bCs/>
                <w:color w:val="000000"/>
                <w:sz w:val="20"/>
                <w:szCs w:val="20"/>
              </w:rPr>
              <w:t>13.13</w:t>
            </w:r>
          </w:p>
        </w:tc>
        <w:tc>
          <w:tcPr>
            <w:tcW w:w="677" w:type="pct"/>
            <w:tcBorders>
              <w:left w:val="dotted" w:sz="4" w:space="0" w:color="auto"/>
            </w:tcBorders>
          </w:tcPr>
          <w:p w14:paraId="372E696F"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224</w:t>
            </w:r>
          </w:p>
        </w:tc>
        <w:tc>
          <w:tcPr>
            <w:tcW w:w="758" w:type="pct"/>
          </w:tcPr>
          <w:p w14:paraId="0A8F8E82"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16.00</w:t>
            </w:r>
          </w:p>
        </w:tc>
      </w:tr>
      <w:tr w:rsidR="00600B3B" w:rsidRPr="00201E0F" w14:paraId="3439E38D" w14:textId="77777777" w:rsidTr="00600B3B">
        <w:trPr>
          <w:trHeight w:val="262"/>
        </w:trPr>
        <w:tc>
          <w:tcPr>
            <w:tcW w:w="1733" w:type="pct"/>
            <w:gridSpan w:val="2"/>
          </w:tcPr>
          <w:p w14:paraId="786F1A12" w14:textId="77777777" w:rsidR="004C4C39" w:rsidRPr="00201E0F" w:rsidRDefault="004C4C39" w:rsidP="004C4C39">
            <w:pPr>
              <w:spacing w:after="0"/>
              <w:rPr>
                <w:rFonts w:eastAsia="Times New Roman"/>
                <w:color w:val="000000"/>
                <w:sz w:val="20"/>
                <w:szCs w:val="20"/>
              </w:rPr>
            </w:pPr>
            <w:r w:rsidRPr="00201E0F">
              <w:rPr>
                <w:rFonts w:eastAsia="Times New Roman"/>
                <w:color w:val="000000"/>
                <w:sz w:val="20"/>
                <w:szCs w:val="20"/>
              </w:rPr>
              <w:t>Child Gender (n=1,689)</w:t>
            </w:r>
          </w:p>
        </w:tc>
        <w:tc>
          <w:tcPr>
            <w:tcW w:w="726" w:type="pct"/>
          </w:tcPr>
          <w:p w14:paraId="59482EEE" w14:textId="77777777" w:rsidR="004C4C39" w:rsidRPr="00201E0F" w:rsidRDefault="004C4C39" w:rsidP="004C4C39">
            <w:pPr>
              <w:spacing w:after="0"/>
              <w:jc w:val="center"/>
              <w:rPr>
                <w:rFonts w:eastAsia="Calibri"/>
                <w:sz w:val="20"/>
                <w:szCs w:val="20"/>
              </w:rPr>
            </w:pPr>
            <w:r w:rsidRPr="00201E0F">
              <w:rPr>
                <w:rFonts w:eastAsia="Calibri"/>
                <w:sz w:val="20"/>
                <w:szCs w:val="20"/>
              </w:rPr>
              <w:t>81(4.84)</w:t>
            </w:r>
          </w:p>
        </w:tc>
        <w:tc>
          <w:tcPr>
            <w:tcW w:w="484" w:type="pct"/>
          </w:tcPr>
          <w:p w14:paraId="413D4D2F" w14:textId="77777777" w:rsidR="004C4C39" w:rsidRPr="00201E0F" w:rsidRDefault="004C4C39" w:rsidP="004C4C39">
            <w:pPr>
              <w:spacing w:after="0"/>
              <w:jc w:val="center"/>
              <w:rPr>
                <w:rFonts w:eastAsia="Calibri"/>
                <w:sz w:val="20"/>
                <w:szCs w:val="20"/>
              </w:rPr>
            </w:pPr>
          </w:p>
        </w:tc>
        <w:tc>
          <w:tcPr>
            <w:tcW w:w="622" w:type="pct"/>
            <w:tcBorders>
              <w:right w:val="dotted" w:sz="4" w:space="0" w:color="auto"/>
            </w:tcBorders>
          </w:tcPr>
          <w:p w14:paraId="67C6CD0D" w14:textId="77777777" w:rsidR="004C4C39" w:rsidRPr="00201E0F" w:rsidRDefault="004C4C39" w:rsidP="004C4C39">
            <w:pPr>
              <w:spacing w:after="0"/>
              <w:jc w:val="center"/>
              <w:rPr>
                <w:rFonts w:eastAsia="Calibri"/>
                <w:b/>
                <w:sz w:val="20"/>
                <w:szCs w:val="20"/>
              </w:rPr>
            </w:pPr>
          </w:p>
        </w:tc>
        <w:tc>
          <w:tcPr>
            <w:tcW w:w="677" w:type="pct"/>
            <w:tcBorders>
              <w:left w:val="dotted" w:sz="4" w:space="0" w:color="auto"/>
            </w:tcBorders>
          </w:tcPr>
          <w:p w14:paraId="50B568C7" w14:textId="77777777" w:rsidR="004C4C39" w:rsidRPr="00201E0F" w:rsidRDefault="004C4C39" w:rsidP="004C4C39">
            <w:pPr>
              <w:spacing w:after="0"/>
              <w:jc w:val="center"/>
              <w:rPr>
                <w:rFonts w:eastAsia="Calibri"/>
                <w:sz w:val="20"/>
                <w:szCs w:val="20"/>
              </w:rPr>
            </w:pPr>
          </w:p>
        </w:tc>
        <w:tc>
          <w:tcPr>
            <w:tcW w:w="758" w:type="pct"/>
          </w:tcPr>
          <w:p w14:paraId="5A817A33" w14:textId="77777777" w:rsidR="004C4C39" w:rsidRPr="00201E0F" w:rsidRDefault="004C4C39" w:rsidP="004C4C39">
            <w:pPr>
              <w:spacing w:after="0"/>
              <w:jc w:val="center"/>
              <w:rPr>
                <w:rFonts w:eastAsia="Calibri"/>
                <w:b/>
                <w:sz w:val="20"/>
                <w:szCs w:val="20"/>
              </w:rPr>
            </w:pPr>
          </w:p>
        </w:tc>
      </w:tr>
      <w:tr w:rsidR="00600B3B" w:rsidRPr="00201E0F" w14:paraId="41163C10" w14:textId="77777777" w:rsidTr="00600B3B">
        <w:trPr>
          <w:trHeight w:val="244"/>
        </w:trPr>
        <w:tc>
          <w:tcPr>
            <w:tcW w:w="442" w:type="pct"/>
          </w:tcPr>
          <w:p w14:paraId="2BDB56B7" w14:textId="77777777" w:rsidR="004C4C39" w:rsidRPr="00201E0F" w:rsidRDefault="004C4C39" w:rsidP="004C4C39">
            <w:pPr>
              <w:spacing w:after="0"/>
              <w:rPr>
                <w:rFonts w:eastAsia="Calibri"/>
                <w:sz w:val="20"/>
                <w:szCs w:val="20"/>
              </w:rPr>
            </w:pPr>
          </w:p>
        </w:tc>
        <w:tc>
          <w:tcPr>
            <w:tcW w:w="1291" w:type="pct"/>
          </w:tcPr>
          <w:p w14:paraId="189A70B1" w14:textId="77777777" w:rsidR="004C4C39" w:rsidRPr="00201E0F" w:rsidRDefault="004C4C39" w:rsidP="004C4C39">
            <w:pPr>
              <w:spacing w:after="0"/>
              <w:rPr>
                <w:rFonts w:eastAsia="Calibri"/>
                <w:sz w:val="20"/>
                <w:szCs w:val="20"/>
              </w:rPr>
            </w:pPr>
            <w:r w:rsidRPr="00201E0F">
              <w:rPr>
                <w:rFonts w:eastAsia="Calibri"/>
                <w:sz w:val="20"/>
                <w:szCs w:val="20"/>
              </w:rPr>
              <w:t xml:space="preserve">Female </w:t>
            </w:r>
          </w:p>
        </w:tc>
        <w:tc>
          <w:tcPr>
            <w:tcW w:w="726" w:type="pct"/>
          </w:tcPr>
          <w:p w14:paraId="77E1F157" w14:textId="77777777" w:rsidR="004C4C39" w:rsidRPr="00201E0F" w:rsidRDefault="004C4C39" w:rsidP="004C4C39">
            <w:pPr>
              <w:spacing w:after="0"/>
              <w:jc w:val="center"/>
              <w:rPr>
                <w:rFonts w:eastAsia="Calibri"/>
                <w:sz w:val="20"/>
                <w:szCs w:val="20"/>
              </w:rPr>
            </w:pPr>
          </w:p>
        </w:tc>
        <w:tc>
          <w:tcPr>
            <w:tcW w:w="484" w:type="pct"/>
          </w:tcPr>
          <w:p w14:paraId="31F49BE7" w14:textId="77777777" w:rsidR="004C4C39" w:rsidRPr="00201E0F" w:rsidRDefault="004C4C39" w:rsidP="004C4C39">
            <w:pPr>
              <w:spacing w:after="0"/>
              <w:jc w:val="center"/>
              <w:rPr>
                <w:rFonts w:eastAsia="Calibri"/>
                <w:sz w:val="20"/>
                <w:szCs w:val="20"/>
              </w:rPr>
            </w:pPr>
            <w:r w:rsidRPr="00201E0F">
              <w:rPr>
                <w:rFonts w:eastAsia="Times New Roman"/>
                <w:color w:val="000000"/>
                <w:sz w:val="20"/>
                <w:szCs w:val="20"/>
              </w:rPr>
              <w:t>949</w:t>
            </w:r>
          </w:p>
        </w:tc>
        <w:tc>
          <w:tcPr>
            <w:tcW w:w="622" w:type="pct"/>
            <w:tcBorders>
              <w:right w:val="dotted" w:sz="4" w:space="0" w:color="auto"/>
            </w:tcBorders>
          </w:tcPr>
          <w:p w14:paraId="100DCC28" w14:textId="77777777" w:rsidR="004C4C39" w:rsidRPr="00201E0F" w:rsidRDefault="004C4C39" w:rsidP="004C4C39">
            <w:pPr>
              <w:spacing w:after="0"/>
              <w:jc w:val="center"/>
              <w:rPr>
                <w:rFonts w:eastAsia="Calibri"/>
                <w:b/>
                <w:sz w:val="20"/>
                <w:szCs w:val="20"/>
              </w:rPr>
            </w:pPr>
            <w:r w:rsidRPr="00201E0F">
              <w:rPr>
                <w:rFonts w:eastAsia="Times New Roman"/>
                <w:b/>
                <w:bCs/>
                <w:color w:val="000000"/>
                <w:sz w:val="20"/>
                <w:szCs w:val="20"/>
              </w:rPr>
              <w:t>51.89</w:t>
            </w:r>
          </w:p>
        </w:tc>
        <w:tc>
          <w:tcPr>
            <w:tcW w:w="677" w:type="pct"/>
            <w:tcBorders>
              <w:left w:val="dotted" w:sz="4" w:space="0" w:color="auto"/>
            </w:tcBorders>
          </w:tcPr>
          <w:p w14:paraId="7C5DC8D5"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754</w:t>
            </w:r>
          </w:p>
        </w:tc>
        <w:tc>
          <w:tcPr>
            <w:tcW w:w="758" w:type="pct"/>
          </w:tcPr>
          <w:p w14:paraId="34EE9D53"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52.82</w:t>
            </w:r>
          </w:p>
        </w:tc>
      </w:tr>
      <w:tr w:rsidR="00600B3B" w:rsidRPr="00201E0F" w14:paraId="3F58130F" w14:textId="77777777" w:rsidTr="00600B3B">
        <w:trPr>
          <w:trHeight w:val="244"/>
        </w:trPr>
        <w:tc>
          <w:tcPr>
            <w:tcW w:w="442" w:type="pct"/>
          </w:tcPr>
          <w:p w14:paraId="0D0B1386" w14:textId="77777777" w:rsidR="004C4C39" w:rsidRPr="00201E0F" w:rsidRDefault="004C4C39" w:rsidP="004C4C39">
            <w:pPr>
              <w:spacing w:after="0"/>
              <w:rPr>
                <w:rFonts w:eastAsia="Calibri"/>
                <w:sz w:val="20"/>
                <w:szCs w:val="20"/>
              </w:rPr>
            </w:pPr>
          </w:p>
        </w:tc>
        <w:tc>
          <w:tcPr>
            <w:tcW w:w="1291" w:type="pct"/>
          </w:tcPr>
          <w:p w14:paraId="7CF8A9C2" w14:textId="77777777" w:rsidR="004C4C39" w:rsidRPr="00201E0F" w:rsidRDefault="004C4C39" w:rsidP="004C4C39">
            <w:pPr>
              <w:spacing w:after="0"/>
              <w:rPr>
                <w:rFonts w:eastAsia="Calibri"/>
                <w:sz w:val="20"/>
                <w:szCs w:val="20"/>
              </w:rPr>
            </w:pPr>
            <w:r w:rsidRPr="00201E0F">
              <w:rPr>
                <w:rFonts w:eastAsia="Calibri"/>
                <w:sz w:val="20"/>
                <w:szCs w:val="20"/>
              </w:rPr>
              <w:t>Male</w:t>
            </w:r>
          </w:p>
        </w:tc>
        <w:tc>
          <w:tcPr>
            <w:tcW w:w="726" w:type="pct"/>
          </w:tcPr>
          <w:p w14:paraId="6A956C83" w14:textId="77777777" w:rsidR="004C4C39" w:rsidRPr="00201E0F" w:rsidRDefault="004C4C39" w:rsidP="004C4C39">
            <w:pPr>
              <w:spacing w:after="0"/>
              <w:jc w:val="center"/>
              <w:rPr>
                <w:rFonts w:eastAsia="Calibri"/>
                <w:sz w:val="20"/>
                <w:szCs w:val="20"/>
              </w:rPr>
            </w:pPr>
          </w:p>
        </w:tc>
        <w:tc>
          <w:tcPr>
            <w:tcW w:w="484" w:type="pct"/>
          </w:tcPr>
          <w:p w14:paraId="0170D34E" w14:textId="77777777" w:rsidR="004C4C39" w:rsidRPr="00201E0F" w:rsidRDefault="004C4C39" w:rsidP="004C4C39">
            <w:pPr>
              <w:spacing w:after="0"/>
              <w:jc w:val="center"/>
              <w:rPr>
                <w:rFonts w:eastAsia="Calibri"/>
                <w:sz w:val="20"/>
                <w:szCs w:val="20"/>
              </w:rPr>
            </w:pPr>
            <w:r w:rsidRPr="00201E0F">
              <w:rPr>
                <w:rFonts w:eastAsia="Times New Roman"/>
                <w:color w:val="000000"/>
                <w:sz w:val="20"/>
                <w:szCs w:val="20"/>
              </w:rPr>
              <w:t>740</w:t>
            </w:r>
          </w:p>
        </w:tc>
        <w:tc>
          <w:tcPr>
            <w:tcW w:w="622" w:type="pct"/>
            <w:tcBorders>
              <w:right w:val="dotted" w:sz="4" w:space="0" w:color="auto"/>
            </w:tcBorders>
          </w:tcPr>
          <w:p w14:paraId="60671886" w14:textId="77777777" w:rsidR="004C4C39" w:rsidRPr="00201E0F" w:rsidRDefault="004C4C39" w:rsidP="004C4C39">
            <w:pPr>
              <w:spacing w:after="0"/>
              <w:jc w:val="center"/>
              <w:rPr>
                <w:rFonts w:eastAsia="Calibri"/>
                <w:b/>
                <w:sz w:val="20"/>
                <w:szCs w:val="20"/>
              </w:rPr>
            </w:pPr>
            <w:r w:rsidRPr="00201E0F">
              <w:rPr>
                <w:rFonts w:eastAsia="Times New Roman"/>
                <w:b/>
                <w:bCs/>
                <w:color w:val="000000"/>
                <w:sz w:val="20"/>
                <w:szCs w:val="20"/>
              </w:rPr>
              <w:t>48.11</w:t>
            </w:r>
          </w:p>
        </w:tc>
        <w:tc>
          <w:tcPr>
            <w:tcW w:w="677" w:type="pct"/>
            <w:tcBorders>
              <w:left w:val="dotted" w:sz="4" w:space="0" w:color="auto"/>
            </w:tcBorders>
          </w:tcPr>
          <w:p w14:paraId="6E24A791"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577</w:t>
            </w:r>
          </w:p>
        </w:tc>
        <w:tc>
          <w:tcPr>
            <w:tcW w:w="758" w:type="pct"/>
          </w:tcPr>
          <w:p w14:paraId="0F3D57A5"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47.18</w:t>
            </w:r>
          </w:p>
        </w:tc>
      </w:tr>
      <w:tr w:rsidR="00600B3B" w:rsidRPr="00201E0F" w14:paraId="31F3CE44" w14:textId="77777777" w:rsidTr="00600B3B">
        <w:trPr>
          <w:trHeight w:val="509"/>
        </w:trPr>
        <w:tc>
          <w:tcPr>
            <w:tcW w:w="1733" w:type="pct"/>
            <w:gridSpan w:val="2"/>
          </w:tcPr>
          <w:p w14:paraId="30DFF02E" w14:textId="77777777" w:rsidR="004C4C39" w:rsidRPr="00201E0F" w:rsidRDefault="004C4C39" w:rsidP="004C4C39">
            <w:pPr>
              <w:spacing w:after="0"/>
              <w:rPr>
                <w:rFonts w:eastAsia="Calibri"/>
                <w:sz w:val="20"/>
                <w:szCs w:val="20"/>
              </w:rPr>
            </w:pPr>
            <w:r w:rsidRPr="00201E0F">
              <w:rPr>
                <w:rFonts w:eastAsia="Calibri"/>
                <w:sz w:val="20"/>
                <w:szCs w:val="20"/>
              </w:rPr>
              <w:t>Child Race/Ethnicity (n=1,767)</w:t>
            </w:r>
          </w:p>
        </w:tc>
        <w:tc>
          <w:tcPr>
            <w:tcW w:w="726" w:type="pct"/>
          </w:tcPr>
          <w:p w14:paraId="1A0DE45D" w14:textId="77777777" w:rsidR="004C4C39" w:rsidRPr="00201E0F" w:rsidRDefault="004C4C39" w:rsidP="004C4C39">
            <w:pPr>
              <w:spacing w:after="0"/>
              <w:jc w:val="center"/>
              <w:rPr>
                <w:rFonts w:eastAsia="Calibri"/>
                <w:sz w:val="20"/>
                <w:szCs w:val="20"/>
              </w:rPr>
            </w:pPr>
            <w:r w:rsidRPr="00201E0F">
              <w:rPr>
                <w:rFonts w:eastAsia="Calibri"/>
                <w:sz w:val="20"/>
                <w:szCs w:val="20"/>
              </w:rPr>
              <w:t>3(.03)</w:t>
            </w:r>
          </w:p>
        </w:tc>
        <w:tc>
          <w:tcPr>
            <w:tcW w:w="484" w:type="pct"/>
          </w:tcPr>
          <w:p w14:paraId="21FE7A7C" w14:textId="77777777" w:rsidR="004C4C39" w:rsidRPr="00201E0F" w:rsidRDefault="004C4C39" w:rsidP="004C4C39">
            <w:pPr>
              <w:spacing w:after="0"/>
              <w:jc w:val="center"/>
              <w:rPr>
                <w:rFonts w:eastAsia="Calibri"/>
                <w:sz w:val="20"/>
                <w:szCs w:val="20"/>
              </w:rPr>
            </w:pPr>
          </w:p>
        </w:tc>
        <w:tc>
          <w:tcPr>
            <w:tcW w:w="622" w:type="pct"/>
            <w:tcBorders>
              <w:right w:val="dotted" w:sz="4" w:space="0" w:color="auto"/>
            </w:tcBorders>
          </w:tcPr>
          <w:p w14:paraId="3AADB174" w14:textId="77777777" w:rsidR="004C4C39" w:rsidRPr="00201E0F" w:rsidRDefault="004C4C39" w:rsidP="004C4C39">
            <w:pPr>
              <w:spacing w:after="0"/>
              <w:jc w:val="center"/>
              <w:rPr>
                <w:rFonts w:eastAsia="Calibri"/>
                <w:b/>
                <w:sz w:val="20"/>
                <w:szCs w:val="20"/>
              </w:rPr>
            </w:pPr>
          </w:p>
        </w:tc>
        <w:tc>
          <w:tcPr>
            <w:tcW w:w="677" w:type="pct"/>
            <w:tcBorders>
              <w:left w:val="dotted" w:sz="4" w:space="0" w:color="auto"/>
            </w:tcBorders>
          </w:tcPr>
          <w:p w14:paraId="347D70C7" w14:textId="77777777" w:rsidR="004C4C39" w:rsidRPr="00201E0F" w:rsidRDefault="004C4C39" w:rsidP="004C4C39">
            <w:pPr>
              <w:spacing w:after="0"/>
              <w:jc w:val="center"/>
              <w:rPr>
                <w:rFonts w:eastAsia="Calibri"/>
                <w:sz w:val="20"/>
                <w:szCs w:val="20"/>
              </w:rPr>
            </w:pPr>
          </w:p>
        </w:tc>
        <w:tc>
          <w:tcPr>
            <w:tcW w:w="758" w:type="pct"/>
          </w:tcPr>
          <w:p w14:paraId="4B5C60A1" w14:textId="77777777" w:rsidR="004C4C39" w:rsidRPr="00201E0F" w:rsidRDefault="004C4C39" w:rsidP="004C4C39">
            <w:pPr>
              <w:spacing w:after="0"/>
              <w:jc w:val="center"/>
              <w:rPr>
                <w:rFonts w:eastAsia="Calibri"/>
                <w:b/>
                <w:sz w:val="20"/>
                <w:szCs w:val="20"/>
              </w:rPr>
            </w:pPr>
          </w:p>
        </w:tc>
      </w:tr>
      <w:tr w:rsidR="00600B3B" w:rsidRPr="00201E0F" w14:paraId="59656DCD" w14:textId="77777777" w:rsidTr="00600B3B">
        <w:trPr>
          <w:trHeight w:val="244"/>
        </w:trPr>
        <w:tc>
          <w:tcPr>
            <w:tcW w:w="442" w:type="pct"/>
          </w:tcPr>
          <w:p w14:paraId="713CCF02" w14:textId="77777777" w:rsidR="004C4C39" w:rsidRPr="00201E0F" w:rsidRDefault="004C4C39" w:rsidP="004C4C39">
            <w:pPr>
              <w:spacing w:after="0"/>
              <w:rPr>
                <w:rFonts w:eastAsia="Calibri"/>
                <w:sz w:val="20"/>
                <w:szCs w:val="20"/>
              </w:rPr>
            </w:pPr>
          </w:p>
        </w:tc>
        <w:tc>
          <w:tcPr>
            <w:tcW w:w="1291" w:type="pct"/>
          </w:tcPr>
          <w:p w14:paraId="44DE646E" w14:textId="77777777" w:rsidR="004C4C39" w:rsidRPr="00201E0F" w:rsidRDefault="004C4C39" w:rsidP="004C4C39">
            <w:pPr>
              <w:spacing w:after="0"/>
              <w:rPr>
                <w:rFonts w:eastAsia="Calibri"/>
                <w:sz w:val="20"/>
                <w:szCs w:val="20"/>
              </w:rPr>
            </w:pPr>
            <w:r w:rsidRPr="00201E0F">
              <w:rPr>
                <w:rFonts w:eastAsia="Calibri"/>
                <w:sz w:val="20"/>
                <w:szCs w:val="20"/>
              </w:rPr>
              <w:t>White</w:t>
            </w:r>
          </w:p>
        </w:tc>
        <w:tc>
          <w:tcPr>
            <w:tcW w:w="726" w:type="pct"/>
          </w:tcPr>
          <w:p w14:paraId="22BFAE99" w14:textId="77777777" w:rsidR="004C4C39" w:rsidRPr="00201E0F" w:rsidRDefault="004C4C39" w:rsidP="004C4C39">
            <w:pPr>
              <w:spacing w:after="0"/>
              <w:jc w:val="center"/>
              <w:rPr>
                <w:rFonts w:eastAsia="Calibri"/>
                <w:sz w:val="20"/>
                <w:szCs w:val="20"/>
              </w:rPr>
            </w:pPr>
          </w:p>
        </w:tc>
        <w:tc>
          <w:tcPr>
            <w:tcW w:w="484" w:type="pct"/>
          </w:tcPr>
          <w:p w14:paraId="2E99E6DE" w14:textId="77777777" w:rsidR="004C4C39" w:rsidRPr="00201E0F" w:rsidRDefault="004C4C39" w:rsidP="004C4C39">
            <w:pPr>
              <w:spacing w:after="0"/>
              <w:jc w:val="center"/>
              <w:rPr>
                <w:rFonts w:eastAsia="Calibri"/>
                <w:sz w:val="20"/>
                <w:szCs w:val="20"/>
              </w:rPr>
            </w:pPr>
            <w:r w:rsidRPr="00201E0F">
              <w:rPr>
                <w:rFonts w:eastAsia="Times New Roman"/>
                <w:color w:val="000000"/>
                <w:sz w:val="20"/>
                <w:szCs w:val="20"/>
              </w:rPr>
              <w:t>815</w:t>
            </w:r>
          </w:p>
        </w:tc>
        <w:tc>
          <w:tcPr>
            <w:tcW w:w="622" w:type="pct"/>
            <w:tcBorders>
              <w:right w:val="dotted" w:sz="4" w:space="0" w:color="auto"/>
            </w:tcBorders>
          </w:tcPr>
          <w:p w14:paraId="613AB0D5" w14:textId="77777777" w:rsidR="004C4C39" w:rsidRPr="00201E0F" w:rsidRDefault="004C4C39" w:rsidP="004C4C39">
            <w:pPr>
              <w:spacing w:after="0"/>
              <w:jc w:val="center"/>
              <w:rPr>
                <w:rFonts w:eastAsia="Calibri"/>
                <w:b/>
                <w:sz w:val="20"/>
                <w:szCs w:val="20"/>
              </w:rPr>
            </w:pPr>
            <w:r w:rsidRPr="00201E0F">
              <w:rPr>
                <w:rFonts w:eastAsia="Times New Roman"/>
                <w:b/>
                <w:bCs/>
                <w:color w:val="000000"/>
                <w:sz w:val="20"/>
                <w:szCs w:val="20"/>
              </w:rPr>
              <w:t>46.70</w:t>
            </w:r>
          </w:p>
        </w:tc>
        <w:tc>
          <w:tcPr>
            <w:tcW w:w="677" w:type="pct"/>
            <w:tcBorders>
              <w:left w:val="dotted" w:sz="4" w:space="0" w:color="auto"/>
            </w:tcBorders>
          </w:tcPr>
          <w:p w14:paraId="239EC195"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641</w:t>
            </w:r>
          </w:p>
        </w:tc>
        <w:tc>
          <w:tcPr>
            <w:tcW w:w="758" w:type="pct"/>
          </w:tcPr>
          <w:p w14:paraId="1C7541AE"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46.99</w:t>
            </w:r>
          </w:p>
        </w:tc>
      </w:tr>
      <w:tr w:rsidR="00600B3B" w:rsidRPr="00201E0F" w14:paraId="0AB0C53A" w14:textId="77777777" w:rsidTr="00600B3B">
        <w:trPr>
          <w:trHeight w:val="262"/>
        </w:trPr>
        <w:tc>
          <w:tcPr>
            <w:tcW w:w="442" w:type="pct"/>
          </w:tcPr>
          <w:p w14:paraId="23323727" w14:textId="77777777" w:rsidR="004C4C39" w:rsidRPr="00201E0F" w:rsidRDefault="004C4C39" w:rsidP="004C4C39">
            <w:pPr>
              <w:spacing w:after="0"/>
              <w:rPr>
                <w:rFonts w:eastAsia="Calibri"/>
                <w:sz w:val="20"/>
                <w:szCs w:val="20"/>
              </w:rPr>
            </w:pPr>
          </w:p>
        </w:tc>
        <w:tc>
          <w:tcPr>
            <w:tcW w:w="1291" w:type="pct"/>
          </w:tcPr>
          <w:p w14:paraId="587A994D" w14:textId="77777777" w:rsidR="004C4C39" w:rsidRPr="00201E0F" w:rsidRDefault="004C4C39" w:rsidP="004C4C39">
            <w:pPr>
              <w:spacing w:after="0"/>
              <w:rPr>
                <w:rFonts w:eastAsia="Calibri"/>
                <w:sz w:val="20"/>
                <w:szCs w:val="20"/>
              </w:rPr>
            </w:pPr>
            <w:r w:rsidRPr="00201E0F">
              <w:rPr>
                <w:rFonts w:eastAsia="Calibri"/>
                <w:sz w:val="20"/>
                <w:szCs w:val="20"/>
              </w:rPr>
              <w:t>Non-White</w:t>
            </w:r>
          </w:p>
        </w:tc>
        <w:tc>
          <w:tcPr>
            <w:tcW w:w="726" w:type="pct"/>
          </w:tcPr>
          <w:p w14:paraId="7257F969" w14:textId="77777777" w:rsidR="004C4C39" w:rsidRPr="00201E0F" w:rsidRDefault="004C4C39" w:rsidP="004C4C39">
            <w:pPr>
              <w:spacing w:after="0"/>
              <w:jc w:val="center"/>
              <w:rPr>
                <w:rFonts w:eastAsia="Calibri"/>
                <w:sz w:val="20"/>
                <w:szCs w:val="20"/>
              </w:rPr>
            </w:pPr>
          </w:p>
        </w:tc>
        <w:tc>
          <w:tcPr>
            <w:tcW w:w="484" w:type="pct"/>
          </w:tcPr>
          <w:p w14:paraId="34081433" w14:textId="77777777" w:rsidR="004C4C39" w:rsidRPr="00201E0F" w:rsidRDefault="004C4C39" w:rsidP="004C4C39">
            <w:pPr>
              <w:spacing w:after="0"/>
              <w:jc w:val="center"/>
              <w:rPr>
                <w:rFonts w:eastAsia="Calibri"/>
                <w:sz w:val="20"/>
                <w:szCs w:val="20"/>
              </w:rPr>
            </w:pPr>
            <w:r w:rsidRPr="00201E0F">
              <w:rPr>
                <w:rFonts w:eastAsia="Times New Roman"/>
                <w:color w:val="000000"/>
                <w:sz w:val="20"/>
                <w:szCs w:val="20"/>
              </w:rPr>
              <w:t>952</w:t>
            </w:r>
          </w:p>
        </w:tc>
        <w:tc>
          <w:tcPr>
            <w:tcW w:w="622" w:type="pct"/>
            <w:tcBorders>
              <w:right w:val="dotted" w:sz="4" w:space="0" w:color="auto"/>
            </w:tcBorders>
          </w:tcPr>
          <w:p w14:paraId="34FBC776" w14:textId="77777777" w:rsidR="004C4C39" w:rsidRPr="00201E0F" w:rsidRDefault="004C4C39" w:rsidP="004C4C39">
            <w:pPr>
              <w:spacing w:after="0"/>
              <w:jc w:val="center"/>
              <w:rPr>
                <w:rFonts w:eastAsia="Calibri"/>
                <w:b/>
                <w:sz w:val="20"/>
                <w:szCs w:val="20"/>
              </w:rPr>
            </w:pPr>
            <w:r w:rsidRPr="00201E0F">
              <w:rPr>
                <w:rFonts w:eastAsia="Times New Roman"/>
                <w:b/>
                <w:bCs/>
                <w:color w:val="000000"/>
                <w:sz w:val="20"/>
                <w:szCs w:val="20"/>
              </w:rPr>
              <w:t>53.30</w:t>
            </w:r>
          </w:p>
        </w:tc>
        <w:tc>
          <w:tcPr>
            <w:tcW w:w="677" w:type="pct"/>
            <w:tcBorders>
              <w:left w:val="dotted" w:sz="4" w:space="0" w:color="auto"/>
            </w:tcBorders>
          </w:tcPr>
          <w:p w14:paraId="3A1FD907"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690</w:t>
            </w:r>
          </w:p>
        </w:tc>
        <w:tc>
          <w:tcPr>
            <w:tcW w:w="758" w:type="pct"/>
          </w:tcPr>
          <w:p w14:paraId="72D5AF3E"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53.01</w:t>
            </w:r>
          </w:p>
        </w:tc>
      </w:tr>
      <w:tr w:rsidR="00600B3B" w:rsidRPr="00201E0F" w14:paraId="41904822" w14:textId="77777777" w:rsidTr="00600B3B">
        <w:trPr>
          <w:trHeight w:val="490"/>
        </w:trPr>
        <w:tc>
          <w:tcPr>
            <w:tcW w:w="1733" w:type="pct"/>
            <w:gridSpan w:val="2"/>
          </w:tcPr>
          <w:p w14:paraId="3A8B0488" w14:textId="77777777" w:rsidR="004C4C39" w:rsidRPr="00201E0F" w:rsidRDefault="004C4C39" w:rsidP="004C4C39">
            <w:pPr>
              <w:spacing w:after="0"/>
              <w:rPr>
                <w:rFonts w:eastAsia="Calibri"/>
                <w:sz w:val="20"/>
                <w:szCs w:val="20"/>
              </w:rPr>
            </w:pPr>
            <w:r w:rsidRPr="00201E0F">
              <w:rPr>
                <w:rFonts w:eastAsia="Calibri"/>
                <w:sz w:val="20"/>
                <w:szCs w:val="20"/>
              </w:rPr>
              <w:t>Baseline Services (n=1,770)</w:t>
            </w:r>
          </w:p>
        </w:tc>
        <w:tc>
          <w:tcPr>
            <w:tcW w:w="726" w:type="pct"/>
          </w:tcPr>
          <w:p w14:paraId="0239B3AC" w14:textId="77777777" w:rsidR="004C4C39" w:rsidRPr="00201E0F" w:rsidRDefault="004C4C39" w:rsidP="004C4C39">
            <w:pPr>
              <w:spacing w:after="0"/>
              <w:jc w:val="center"/>
              <w:rPr>
                <w:rFonts w:eastAsia="Calibri"/>
                <w:sz w:val="20"/>
                <w:szCs w:val="20"/>
              </w:rPr>
            </w:pPr>
            <w:r w:rsidRPr="00201E0F">
              <w:rPr>
                <w:rFonts w:eastAsia="Calibri"/>
                <w:sz w:val="20"/>
                <w:szCs w:val="20"/>
              </w:rPr>
              <w:t>0(0.00)</w:t>
            </w:r>
          </w:p>
        </w:tc>
        <w:tc>
          <w:tcPr>
            <w:tcW w:w="484" w:type="pct"/>
          </w:tcPr>
          <w:p w14:paraId="7AAE6DED" w14:textId="77777777" w:rsidR="004C4C39" w:rsidRPr="00201E0F" w:rsidRDefault="004C4C39" w:rsidP="004C4C39">
            <w:pPr>
              <w:spacing w:after="0"/>
              <w:jc w:val="center"/>
              <w:rPr>
                <w:rFonts w:eastAsia="Calibri"/>
                <w:sz w:val="20"/>
                <w:szCs w:val="20"/>
              </w:rPr>
            </w:pPr>
          </w:p>
        </w:tc>
        <w:tc>
          <w:tcPr>
            <w:tcW w:w="622" w:type="pct"/>
            <w:tcBorders>
              <w:right w:val="dotted" w:sz="4" w:space="0" w:color="auto"/>
            </w:tcBorders>
          </w:tcPr>
          <w:p w14:paraId="10BC0FE5" w14:textId="77777777" w:rsidR="004C4C39" w:rsidRPr="00201E0F" w:rsidRDefault="004C4C39" w:rsidP="004C4C39">
            <w:pPr>
              <w:spacing w:after="0"/>
              <w:jc w:val="center"/>
              <w:rPr>
                <w:rFonts w:eastAsia="Calibri"/>
                <w:b/>
                <w:sz w:val="20"/>
                <w:szCs w:val="20"/>
              </w:rPr>
            </w:pPr>
          </w:p>
        </w:tc>
        <w:tc>
          <w:tcPr>
            <w:tcW w:w="677" w:type="pct"/>
            <w:tcBorders>
              <w:left w:val="dotted" w:sz="4" w:space="0" w:color="auto"/>
            </w:tcBorders>
          </w:tcPr>
          <w:p w14:paraId="19BA72E0" w14:textId="77777777" w:rsidR="004C4C39" w:rsidRPr="00201E0F" w:rsidRDefault="004C4C39" w:rsidP="004C4C39">
            <w:pPr>
              <w:spacing w:after="0"/>
              <w:jc w:val="center"/>
              <w:rPr>
                <w:rFonts w:eastAsia="Calibri"/>
                <w:sz w:val="20"/>
                <w:szCs w:val="20"/>
              </w:rPr>
            </w:pPr>
          </w:p>
        </w:tc>
        <w:tc>
          <w:tcPr>
            <w:tcW w:w="758" w:type="pct"/>
          </w:tcPr>
          <w:p w14:paraId="20D5B512" w14:textId="77777777" w:rsidR="004C4C39" w:rsidRPr="00201E0F" w:rsidRDefault="004C4C39" w:rsidP="004C4C39">
            <w:pPr>
              <w:spacing w:after="0"/>
              <w:jc w:val="center"/>
              <w:rPr>
                <w:rFonts w:eastAsia="Calibri"/>
                <w:b/>
                <w:sz w:val="20"/>
                <w:szCs w:val="20"/>
              </w:rPr>
            </w:pPr>
          </w:p>
        </w:tc>
      </w:tr>
      <w:tr w:rsidR="00600B3B" w:rsidRPr="00201E0F" w14:paraId="676A5073" w14:textId="77777777" w:rsidTr="00600B3B">
        <w:trPr>
          <w:trHeight w:val="262"/>
        </w:trPr>
        <w:tc>
          <w:tcPr>
            <w:tcW w:w="442" w:type="pct"/>
          </w:tcPr>
          <w:p w14:paraId="572C1CF6" w14:textId="77777777" w:rsidR="004C4C39" w:rsidRPr="00201E0F" w:rsidRDefault="004C4C39" w:rsidP="004C4C39">
            <w:pPr>
              <w:spacing w:after="0"/>
              <w:rPr>
                <w:rFonts w:eastAsia="Calibri"/>
                <w:sz w:val="20"/>
                <w:szCs w:val="20"/>
              </w:rPr>
            </w:pPr>
          </w:p>
        </w:tc>
        <w:tc>
          <w:tcPr>
            <w:tcW w:w="1291" w:type="pct"/>
          </w:tcPr>
          <w:p w14:paraId="525FF6B0" w14:textId="77777777" w:rsidR="004C4C39" w:rsidRPr="00201E0F" w:rsidRDefault="004C4C39" w:rsidP="004C4C39">
            <w:pPr>
              <w:spacing w:after="0"/>
              <w:rPr>
                <w:rFonts w:eastAsia="Calibri"/>
                <w:sz w:val="20"/>
                <w:szCs w:val="20"/>
              </w:rPr>
            </w:pPr>
            <w:r w:rsidRPr="00201E0F">
              <w:rPr>
                <w:rFonts w:eastAsia="Calibri"/>
                <w:sz w:val="20"/>
                <w:szCs w:val="20"/>
              </w:rPr>
              <w:t>No</w:t>
            </w:r>
          </w:p>
        </w:tc>
        <w:tc>
          <w:tcPr>
            <w:tcW w:w="726" w:type="pct"/>
          </w:tcPr>
          <w:p w14:paraId="4687984D" w14:textId="77777777" w:rsidR="004C4C39" w:rsidRPr="00201E0F" w:rsidRDefault="004C4C39" w:rsidP="004C4C39">
            <w:pPr>
              <w:spacing w:after="0"/>
              <w:jc w:val="center"/>
              <w:rPr>
                <w:rFonts w:eastAsia="Calibri"/>
                <w:sz w:val="20"/>
                <w:szCs w:val="20"/>
              </w:rPr>
            </w:pPr>
          </w:p>
        </w:tc>
        <w:tc>
          <w:tcPr>
            <w:tcW w:w="484" w:type="pct"/>
          </w:tcPr>
          <w:p w14:paraId="5AEA9E0F"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454</w:t>
            </w:r>
          </w:p>
        </w:tc>
        <w:tc>
          <w:tcPr>
            <w:tcW w:w="622" w:type="pct"/>
            <w:tcBorders>
              <w:right w:val="dotted" w:sz="4" w:space="0" w:color="auto"/>
            </w:tcBorders>
          </w:tcPr>
          <w:p w14:paraId="75BE885A"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70.70</w:t>
            </w:r>
          </w:p>
        </w:tc>
        <w:tc>
          <w:tcPr>
            <w:tcW w:w="677" w:type="pct"/>
            <w:tcBorders>
              <w:left w:val="dotted" w:sz="4" w:space="0" w:color="auto"/>
            </w:tcBorders>
          </w:tcPr>
          <w:p w14:paraId="2981DBE8"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357</w:t>
            </w:r>
          </w:p>
        </w:tc>
        <w:tc>
          <w:tcPr>
            <w:tcW w:w="758" w:type="pct"/>
          </w:tcPr>
          <w:p w14:paraId="75DE2CD1"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71.13</w:t>
            </w:r>
          </w:p>
        </w:tc>
      </w:tr>
      <w:tr w:rsidR="00600B3B" w:rsidRPr="00201E0F" w14:paraId="6C767291" w14:textId="77777777" w:rsidTr="00600B3B">
        <w:trPr>
          <w:trHeight w:val="244"/>
        </w:trPr>
        <w:tc>
          <w:tcPr>
            <w:tcW w:w="442" w:type="pct"/>
          </w:tcPr>
          <w:p w14:paraId="749D35CC" w14:textId="77777777" w:rsidR="004C4C39" w:rsidRPr="00201E0F" w:rsidRDefault="004C4C39" w:rsidP="004C4C39">
            <w:pPr>
              <w:spacing w:after="0"/>
              <w:rPr>
                <w:rFonts w:eastAsia="Calibri"/>
                <w:sz w:val="20"/>
                <w:szCs w:val="20"/>
              </w:rPr>
            </w:pPr>
          </w:p>
        </w:tc>
        <w:tc>
          <w:tcPr>
            <w:tcW w:w="1291" w:type="pct"/>
          </w:tcPr>
          <w:p w14:paraId="4E25D423" w14:textId="77777777" w:rsidR="004C4C39" w:rsidRPr="00201E0F" w:rsidRDefault="004C4C39" w:rsidP="004C4C39">
            <w:pPr>
              <w:spacing w:after="0"/>
              <w:rPr>
                <w:rFonts w:eastAsia="Calibri"/>
                <w:sz w:val="20"/>
                <w:szCs w:val="20"/>
              </w:rPr>
            </w:pPr>
            <w:r w:rsidRPr="00201E0F">
              <w:rPr>
                <w:rFonts w:eastAsia="Calibri"/>
                <w:sz w:val="20"/>
                <w:szCs w:val="20"/>
              </w:rPr>
              <w:t>Yes</w:t>
            </w:r>
          </w:p>
        </w:tc>
        <w:tc>
          <w:tcPr>
            <w:tcW w:w="726" w:type="pct"/>
          </w:tcPr>
          <w:p w14:paraId="1C481477" w14:textId="77777777" w:rsidR="004C4C39" w:rsidRPr="00201E0F" w:rsidRDefault="004C4C39" w:rsidP="004C4C39">
            <w:pPr>
              <w:spacing w:after="0"/>
              <w:jc w:val="center"/>
              <w:rPr>
                <w:rFonts w:eastAsia="Calibri"/>
                <w:sz w:val="20"/>
                <w:szCs w:val="20"/>
              </w:rPr>
            </w:pPr>
          </w:p>
        </w:tc>
        <w:tc>
          <w:tcPr>
            <w:tcW w:w="484" w:type="pct"/>
          </w:tcPr>
          <w:p w14:paraId="1445D33A"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1.316</w:t>
            </w:r>
          </w:p>
        </w:tc>
        <w:tc>
          <w:tcPr>
            <w:tcW w:w="622" w:type="pct"/>
            <w:tcBorders>
              <w:right w:val="dotted" w:sz="4" w:space="0" w:color="auto"/>
            </w:tcBorders>
          </w:tcPr>
          <w:p w14:paraId="55C5222C"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29.30</w:t>
            </w:r>
          </w:p>
        </w:tc>
        <w:tc>
          <w:tcPr>
            <w:tcW w:w="677" w:type="pct"/>
            <w:tcBorders>
              <w:left w:val="dotted" w:sz="4" w:space="0" w:color="auto"/>
            </w:tcBorders>
          </w:tcPr>
          <w:p w14:paraId="06BCE47B"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974</w:t>
            </w:r>
          </w:p>
        </w:tc>
        <w:tc>
          <w:tcPr>
            <w:tcW w:w="758" w:type="pct"/>
          </w:tcPr>
          <w:p w14:paraId="1795E4C7"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28.87</w:t>
            </w:r>
          </w:p>
        </w:tc>
      </w:tr>
      <w:tr w:rsidR="00600B3B" w:rsidRPr="00201E0F" w14:paraId="0A842E06" w14:textId="77777777" w:rsidTr="00600B3B">
        <w:trPr>
          <w:trHeight w:val="509"/>
        </w:trPr>
        <w:tc>
          <w:tcPr>
            <w:tcW w:w="1733" w:type="pct"/>
            <w:gridSpan w:val="2"/>
          </w:tcPr>
          <w:p w14:paraId="1716216F" w14:textId="77777777" w:rsidR="004C4C39" w:rsidRPr="00201E0F" w:rsidRDefault="004C4C39" w:rsidP="004C4C39">
            <w:pPr>
              <w:spacing w:after="0"/>
              <w:rPr>
                <w:rFonts w:eastAsia="Calibri"/>
                <w:sz w:val="20"/>
                <w:szCs w:val="20"/>
              </w:rPr>
            </w:pPr>
            <w:r w:rsidRPr="00201E0F">
              <w:rPr>
                <w:rFonts w:eastAsia="Calibri"/>
                <w:sz w:val="20"/>
                <w:szCs w:val="20"/>
              </w:rPr>
              <w:t>Case Substantiated (n=1,770)</w:t>
            </w:r>
          </w:p>
        </w:tc>
        <w:tc>
          <w:tcPr>
            <w:tcW w:w="726" w:type="pct"/>
          </w:tcPr>
          <w:p w14:paraId="470D636F" w14:textId="77777777" w:rsidR="004C4C39" w:rsidRPr="00201E0F" w:rsidRDefault="004C4C39" w:rsidP="004C4C39">
            <w:pPr>
              <w:spacing w:after="0"/>
              <w:jc w:val="center"/>
              <w:rPr>
                <w:rFonts w:eastAsia="Calibri"/>
                <w:sz w:val="20"/>
                <w:szCs w:val="20"/>
              </w:rPr>
            </w:pPr>
            <w:r w:rsidRPr="00201E0F">
              <w:rPr>
                <w:rFonts w:eastAsia="Calibri"/>
                <w:sz w:val="20"/>
                <w:szCs w:val="20"/>
              </w:rPr>
              <w:t>0(0.00)</w:t>
            </w:r>
          </w:p>
        </w:tc>
        <w:tc>
          <w:tcPr>
            <w:tcW w:w="484" w:type="pct"/>
          </w:tcPr>
          <w:p w14:paraId="67AC776F" w14:textId="77777777" w:rsidR="004C4C39" w:rsidRPr="00201E0F" w:rsidRDefault="004C4C39" w:rsidP="004C4C39">
            <w:pPr>
              <w:spacing w:after="0"/>
              <w:jc w:val="center"/>
              <w:rPr>
                <w:rFonts w:eastAsia="Calibri"/>
                <w:sz w:val="20"/>
                <w:szCs w:val="20"/>
              </w:rPr>
            </w:pPr>
          </w:p>
        </w:tc>
        <w:tc>
          <w:tcPr>
            <w:tcW w:w="622" w:type="pct"/>
            <w:tcBorders>
              <w:right w:val="dotted" w:sz="4" w:space="0" w:color="auto"/>
            </w:tcBorders>
          </w:tcPr>
          <w:p w14:paraId="5E6EBC8E" w14:textId="77777777" w:rsidR="004C4C39" w:rsidRPr="00201E0F" w:rsidRDefault="004C4C39" w:rsidP="004C4C39">
            <w:pPr>
              <w:spacing w:after="0"/>
              <w:jc w:val="center"/>
              <w:rPr>
                <w:rFonts w:eastAsia="Calibri"/>
                <w:b/>
                <w:sz w:val="20"/>
                <w:szCs w:val="20"/>
              </w:rPr>
            </w:pPr>
          </w:p>
        </w:tc>
        <w:tc>
          <w:tcPr>
            <w:tcW w:w="677" w:type="pct"/>
            <w:tcBorders>
              <w:left w:val="dotted" w:sz="4" w:space="0" w:color="auto"/>
            </w:tcBorders>
          </w:tcPr>
          <w:p w14:paraId="59448E9E" w14:textId="77777777" w:rsidR="004C4C39" w:rsidRPr="00201E0F" w:rsidRDefault="004C4C39" w:rsidP="004C4C39">
            <w:pPr>
              <w:spacing w:after="0"/>
              <w:jc w:val="center"/>
              <w:rPr>
                <w:rFonts w:eastAsia="Calibri"/>
                <w:sz w:val="20"/>
                <w:szCs w:val="20"/>
              </w:rPr>
            </w:pPr>
          </w:p>
        </w:tc>
        <w:tc>
          <w:tcPr>
            <w:tcW w:w="758" w:type="pct"/>
          </w:tcPr>
          <w:p w14:paraId="362026FB" w14:textId="77777777" w:rsidR="004C4C39" w:rsidRPr="00201E0F" w:rsidRDefault="004C4C39" w:rsidP="004C4C39">
            <w:pPr>
              <w:spacing w:after="0"/>
              <w:jc w:val="center"/>
              <w:rPr>
                <w:rFonts w:eastAsia="Calibri"/>
                <w:b/>
                <w:sz w:val="20"/>
                <w:szCs w:val="20"/>
              </w:rPr>
            </w:pPr>
          </w:p>
        </w:tc>
      </w:tr>
      <w:tr w:rsidR="00600B3B" w:rsidRPr="00201E0F" w14:paraId="2725A944" w14:textId="77777777" w:rsidTr="00600B3B">
        <w:trPr>
          <w:trHeight w:val="244"/>
        </w:trPr>
        <w:tc>
          <w:tcPr>
            <w:tcW w:w="442" w:type="pct"/>
          </w:tcPr>
          <w:p w14:paraId="0BE6508F" w14:textId="77777777" w:rsidR="004C4C39" w:rsidRPr="00201E0F" w:rsidRDefault="004C4C39" w:rsidP="004C4C39">
            <w:pPr>
              <w:spacing w:after="0"/>
              <w:rPr>
                <w:rFonts w:eastAsia="Calibri"/>
                <w:sz w:val="20"/>
                <w:szCs w:val="20"/>
              </w:rPr>
            </w:pPr>
          </w:p>
        </w:tc>
        <w:tc>
          <w:tcPr>
            <w:tcW w:w="1291" w:type="pct"/>
          </w:tcPr>
          <w:p w14:paraId="1DAD3027" w14:textId="77777777" w:rsidR="004C4C39" w:rsidRPr="00201E0F" w:rsidRDefault="004C4C39" w:rsidP="004C4C39">
            <w:pPr>
              <w:spacing w:after="0"/>
              <w:rPr>
                <w:rFonts w:eastAsia="Calibri"/>
                <w:sz w:val="20"/>
                <w:szCs w:val="20"/>
              </w:rPr>
            </w:pPr>
            <w:r w:rsidRPr="00201E0F">
              <w:rPr>
                <w:rFonts w:eastAsia="Calibri"/>
                <w:sz w:val="20"/>
                <w:szCs w:val="20"/>
              </w:rPr>
              <w:t>No</w:t>
            </w:r>
          </w:p>
        </w:tc>
        <w:tc>
          <w:tcPr>
            <w:tcW w:w="726" w:type="pct"/>
          </w:tcPr>
          <w:p w14:paraId="181D1679" w14:textId="77777777" w:rsidR="004C4C39" w:rsidRPr="00201E0F" w:rsidRDefault="004C4C39" w:rsidP="004C4C39">
            <w:pPr>
              <w:spacing w:after="0"/>
              <w:jc w:val="center"/>
              <w:rPr>
                <w:rFonts w:eastAsia="Calibri"/>
                <w:sz w:val="20"/>
                <w:szCs w:val="20"/>
              </w:rPr>
            </w:pPr>
          </w:p>
        </w:tc>
        <w:tc>
          <w:tcPr>
            <w:tcW w:w="484" w:type="pct"/>
          </w:tcPr>
          <w:p w14:paraId="2EF3CC51"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683</w:t>
            </w:r>
          </w:p>
        </w:tc>
        <w:tc>
          <w:tcPr>
            <w:tcW w:w="622" w:type="pct"/>
            <w:tcBorders>
              <w:right w:val="dotted" w:sz="4" w:space="0" w:color="auto"/>
            </w:tcBorders>
          </w:tcPr>
          <w:p w14:paraId="59F20748"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67.92</w:t>
            </w:r>
          </w:p>
        </w:tc>
        <w:tc>
          <w:tcPr>
            <w:tcW w:w="677" w:type="pct"/>
            <w:tcBorders>
              <w:left w:val="dotted" w:sz="4" w:space="0" w:color="auto"/>
            </w:tcBorders>
          </w:tcPr>
          <w:p w14:paraId="350E366A"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520</w:t>
            </w:r>
          </w:p>
        </w:tc>
        <w:tc>
          <w:tcPr>
            <w:tcW w:w="758" w:type="pct"/>
          </w:tcPr>
          <w:p w14:paraId="7D4A5180"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66.69</w:t>
            </w:r>
          </w:p>
        </w:tc>
      </w:tr>
      <w:tr w:rsidR="00600B3B" w:rsidRPr="00201E0F" w14:paraId="06C16738" w14:textId="77777777" w:rsidTr="00600B3B">
        <w:trPr>
          <w:trHeight w:val="244"/>
        </w:trPr>
        <w:tc>
          <w:tcPr>
            <w:tcW w:w="442" w:type="pct"/>
          </w:tcPr>
          <w:p w14:paraId="6ADB62A7" w14:textId="77777777" w:rsidR="004C4C39" w:rsidRPr="00201E0F" w:rsidRDefault="004C4C39" w:rsidP="004C4C39">
            <w:pPr>
              <w:spacing w:after="0"/>
              <w:rPr>
                <w:rFonts w:eastAsia="Calibri"/>
                <w:sz w:val="20"/>
                <w:szCs w:val="20"/>
              </w:rPr>
            </w:pPr>
          </w:p>
        </w:tc>
        <w:tc>
          <w:tcPr>
            <w:tcW w:w="1291" w:type="pct"/>
          </w:tcPr>
          <w:p w14:paraId="7D648F69" w14:textId="77777777" w:rsidR="004C4C39" w:rsidRPr="00201E0F" w:rsidRDefault="004C4C39" w:rsidP="004C4C39">
            <w:pPr>
              <w:spacing w:after="0"/>
              <w:rPr>
                <w:rFonts w:eastAsia="Calibri"/>
                <w:sz w:val="20"/>
                <w:szCs w:val="20"/>
              </w:rPr>
            </w:pPr>
            <w:r w:rsidRPr="00201E0F">
              <w:rPr>
                <w:rFonts w:eastAsia="Calibri"/>
                <w:sz w:val="20"/>
                <w:szCs w:val="20"/>
              </w:rPr>
              <w:t>Yes</w:t>
            </w:r>
          </w:p>
        </w:tc>
        <w:tc>
          <w:tcPr>
            <w:tcW w:w="726" w:type="pct"/>
          </w:tcPr>
          <w:p w14:paraId="15DE9AF8" w14:textId="77777777" w:rsidR="004C4C39" w:rsidRPr="00201E0F" w:rsidRDefault="004C4C39" w:rsidP="004C4C39">
            <w:pPr>
              <w:spacing w:after="0"/>
              <w:jc w:val="center"/>
              <w:rPr>
                <w:rFonts w:eastAsia="Calibri"/>
                <w:sz w:val="20"/>
                <w:szCs w:val="20"/>
              </w:rPr>
            </w:pPr>
          </w:p>
        </w:tc>
        <w:tc>
          <w:tcPr>
            <w:tcW w:w="484" w:type="pct"/>
          </w:tcPr>
          <w:p w14:paraId="17EBDE42"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1,087</w:t>
            </w:r>
          </w:p>
        </w:tc>
        <w:tc>
          <w:tcPr>
            <w:tcW w:w="622" w:type="pct"/>
            <w:tcBorders>
              <w:right w:val="dotted" w:sz="4" w:space="0" w:color="auto"/>
            </w:tcBorders>
          </w:tcPr>
          <w:p w14:paraId="4EBA4C5D"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32.08</w:t>
            </w:r>
          </w:p>
        </w:tc>
        <w:tc>
          <w:tcPr>
            <w:tcW w:w="677" w:type="pct"/>
            <w:tcBorders>
              <w:left w:val="dotted" w:sz="4" w:space="0" w:color="auto"/>
            </w:tcBorders>
          </w:tcPr>
          <w:p w14:paraId="5C106313"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811</w:t>
            </w:r>
          </w:p>
        </w:tc>
        <w:tc>
          <w:tcPr>
            <w:tcW w:w="758" w:type="pct"/>
          </w:tcPr>
          <w:p w14:paraId="7BB5C131"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33.31</w:t>
            </w:r>
          </w:p>
        </w:tc>
      </w:tr>
      <w:tr w:rsidR="00600B3B" w:rsidRPr="00201E0F" w14:paraId="4C3D6BBD" w14:textId="77777777" w:rsidTr="00600B3B">
        <w:trPr>
          <w:trHeight w:val="509"/>
        </w:trPr>
        <w:tc>
          <w:tcPr>
            <w:tcW w:w="1733" w:type="pct"/>
            <w:gridSpan w:val="2"/>
          </w:tcPr>
          <w:p w14:paraId="44A190E8" w14:textId="77777777" w:rsidR="004C4C39" w:rsidRPr="00201E0F" w:rsidRDefault="004C4C39" w:rsidP="004C4C39">
            <w:pPr>
              <w:spacing w:after="0"/>
              <w:rPr>
                <w:rFonts w:eastAsia="Calibri"/>
                <w:sz w:val="20"/>
                <w:szCs w:val="20"/>
              </w:rPr>
            </w:pPr>
            <w:r w:rsidRPr="00201E0F">
              <w:rPr>
                <w:rFonts w:eastAsia="Calibri"/>
                <w:sz w:val="20"/>
                <w:szCs w:val="20"/>
              </w:rPr>
              <w:t>At least 2 Maltreatments at Baseline (n=1,645)</w:t>
            </w:r>
          </w:p>
        </w:tc>
        <w:tc>
          <w:tcPr>
            <w:tcW w:w="726" w:type="pct"/>
          </w:tcPr>
          <w:p w14:paraId="0540EBA7" w14:textId="77777777" w:rsidR="004C4C39" w:rsidRPr="00201E0F" w:rsidRDefault="004C4C39" w:rsidP="004C4C39">
            <w:pPr>
              <w:spacing w:after="0"/>
              <w:jc w:val="center"/>
              <w:rPr>
                <w:rFonts w:eastAsia="Calibri"/>
                <w:sz w:val="20"/>
                <w:szCs w:val="20"/>
              </w:rPr>
            </w:pPr>
            <w:r w:rsidRPr="00201E0F">
              <w:rPr>
                <w:rFonts w:eastAsia="Calibri"/>
                <w:sz w:val="20"/>
                <w:szCs w:val="20"/>
              </w:rPr>
              <w:t>85(6.40)</w:t>
            </w:r>
          </w:p>
        </w:tc>
        <w:tc>
          <w:tcPr>
            <w:tcW w:w="484" w:type="pct"/>
          </w:tcPr>
          <w:p w14:paraId="269D1134" w14:textId="77777777" w:rsidR="004C4C39" w:rsidRPr="00201E0F" w:rsidRDefault="004C4C39" w:rsidP="004C4C39">
            <w:pPr>
              <w:spacing w:after="0"/>
              <w:jc w:val="center"/>
              <w:rPr>
                <w:rFonts w:eastAsia="Calibri"/>
                <w:sz w:val="20"/>
                <w:szCs w:val="20"/>
              </w:rPr>
            </w:pPr>
          </w:p>
        </w:tc>
        <w:tc>
          <w:tcPr>
            <w:tcW w:w="622" w:type="pct"/>
            <w:tcBorders>
              <w:right w:val="dotted" w:sz="4" w:space="0" w:color="auto"/>
            </w:tcBorders>
          </w:tcPr>
          <w:p w14:paraId="72A9BFD2" w14:textId="77777777" w:rsidR="004C4C39" w:rsidRPr="00201E0F" w:rsidRDefault="004C4C39" w:rsidP="004C4C39">
            <w:pPr>
              <w:spacing w:after="0"/>
              <w:jc w:val="center"/>
              <w:rPr>
                <w:rFonts w:eastAsia="Calibri"/>
                <w:b/>
                <w:sz w:val="20"/>
                <w:szCs w:val="20"/>
              </w:rPr>
            </w:pPr>
          </w:p>
        </w:tc>
        <w:tc>
          <w:tcPr>
            <w:tcW w:w="677" w:type="pct"/>
            <w:tcBorders>
              <w:left w:val="dotted" w:sz="4" w:space="0" w:color="auto"/>
            </w:tcBorders>
          </w:tcPr>
          <w:p w14:paraId="7530C383" w14:textId="77777777" w:rsidR="004C4C39" w:rsidRPr="00201E0F" w:rsidRDefault="004C4C39" w:rsidP="004C4C39">
            <w:pPr>
              <w:spacing w:after="0"/>
              <w:jc w:val="center"/>
              <w:rPr>
                <w:rFonts w:eastAsia="Calibri"/>
                <w:sz w:val="20"/>
                <w:szCs w:val="20"/>
              </w:rPr>
            </w:pPr>
          </w:p>
        </w:tc>
        <w:tc>
          <w:tcPr>
            <w:tcW w:w="758" w:type="pct"/>
          </w:tcPr>
          <w:p w14:paraId="6AC96BE7" w14:textId="77777777" w:rsidR="004C4C39" w:rsidRPr="00201E0F" w:rsidRDefault="004C4C39" w:rsidP="004C4C39">
            <w:pPr>
              <w:spacing w:after="0"/>
              <w:jc w:val="center"/>
              <w:rPr>
                <w:rFonts w:eastAsia="Calibri"/>
                <w:b/>
                <w:sz w:val="20"/>
                <w:szCs w:val="20"/>
              </w:rPr>
            </w:pPr>
          </w:p>
        </w:tc>
      </w:tr>
      <w:tr w:rsidR="00600B3B" w:rsidRPr="00201E0F" w14:paraId="4ABB8E8F" w14:textId="77777777" w:rsidTr="00600B3B">
        <w:trPr>
          <w:trHeight w:val="262"/>
        </w:trPr>
        <w:tc>
          <w:tcPr>
            <w:tcW w:w="442" w:type="pct"/>
          </w:tcPr>
          <w:p w14:paraId="6B5AFE03" w14:textId="77777777" w:rsidR="004C4C39" w:rsidRPr="00201E0F" w:rsidRDefault="004C4C39" w:rsidP="004C4C39">
            <w:pPr>
              <w:spacing w:after="0"/>
              <w:rPr>
                <w:rFonts w:eastAsia="Calibri"/>
                <w:sz w:val="20"/>
                <w:szCs w:val="20"/>
              </w:rPr>
            </w:pPr>
          </w:p>
        </w:tc>
        <w:tc>
          <w:tcPr>
            <w:tcW w:w="1291" w:type="pct"/>
          </w:tcPr>
          <w:p w14:paraId="1CCF9674" w14:textId="77777777" w:rsidR="004C4C39" w:rsidRPr="00201E0F" w:rsidRDefault="004C4C39" w:rsidP="004C4C39">
            <w:pPr>
              <w:spacing w:after="0"/>
              <w:rPr>
                <w:rFonts w:eastAsia="Calibri"/>
                <w:sz w:val="20"/>
                <w:szCs w:val="20"/>
              </w:rPr>
            </w:pPr>
            <w:r w:rsidRPr="00201E0F">
              <w:rPr>
                <w:rFonts w:eastAsia="Calibri"/>
                <w:sz w:val="20"/>
                <w:szCs w:val="20"/>
              </w:rPr>
              <w:t>No</w:t>
            </w:r>
          </w:p>
        </w:tc>
        <w:tc>
          <w:tcPr>
            <w:tcW w:w="726" w:type="pct"/>
          </w:tcPr>
          <w:p w14:paraId="62CBA034" w14:textId="77777777" w:rsidR="004C4C39" w:rsidRPr="00201E0F" w:rsidRDefault="004C4C39" w:rsidP="004C4C39">
            <w:pPr>
              <w:spacing w:after="0"/>
              <w:jc w:val="center"/>
              <w:rPr>
                <w:rFonts w:eastAsia="Calibri"/>
                <w:sz w:val="20"/>
                <w:szCs w:val="20"/>
              </w:rPr>
            </w:pPr>
          </w:p>
        </w:tc>
        <w:tc>
          <w:tcPr>
            <w:tcW w:w="484" w:type="pct"/>
          </w:tcPr>
          <w:p w14:paraId="38CDD058"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1,094</w:t>
            </w:r>
          </w:p>
        </w:tc>
        <w:tc>
          <w:tcPr>
            <w:tcW w:w="622" w:type="pct"/>
            <w:tcBorders>
              <w:right w:val="dotted" w:sz="4" w:space="0" w:color="auto"/>
            </w:tcBorders>
          </w:tcPr>
          <w:p w14:paraId="4ABE978F"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75.00</w:t>
            </w:r>
          </w:p>
        </w:tc>
        <w:tc>
          <w:tcPr>
            <w:tcW w:w="677" w:type="pct"/>
            <w:tcBorders>
              <w:left w:val="dotted" w:sz="4" w:space="0" w:color="auto"/>
            </w:tcBorders>
          </w:tcPr>
          <w:p w14:paraId="0CC92FC1"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887</w:t>
            </w:r>
          </w:p>
        </w:tc>
        <w:tc>
          <w:tcPr>
            <w:tcW w:w="758" w:type="pct"/>
          </w:tcPr>
          <w:p w14:paraId="1D39BAAF"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75.86</w:t>
            </w:r>
          </w:p>
        </w:tc>
      </w:tr>
      <w:tr w:rsidR="00600B3B" w:rsidRPr="00201E0F" w14:paraId="12CB73C1" w14:textId="77777777" w:rsidTr="00600B3B">
        <w:trPr>
          <w:trHeight w:val="244"/>
        </w:trPr>
        <w:tc>
          <w:tcPr>
            <w:tcW w:w="442" w:type="pct"/>
          </w:tcPr>
          <w:p w14:paraId="1858ECA0" w14:textId="77777777" w:rsidR="004C4C39" w:rsidRPr="00201E0F" w:rsidRDefault="004C4C39" w:rsidP="004C4C39">
            <w:pPr>
              <w:spacing w:after="0"/>
              <w:rPr>
                <w:rFonts w:eastAsia="Calibri"/>
                <w:sz w:val="20"/>
                <w:szCs w:val="20"/>
              </w:rPr>
            </w:pPr>
          </w:p>
        </w:tc>
        <w:tc>
          <w:tcPr>
            <w:tcW w:w="1291" w:type="pct"/>
          </w:tcPr>
          <w:p w14:paraId="267A8673" w14:textId="77777777" w:rsidR="004C4C39" w:rsidRPr="00201E0F" w:rsidRDefault="004C4C39" w:rsidP="004C4C39">
            <w:pPr>
              <w:spacing w:after="0"/>
              <w:rPr>
                <w:rFonts w:eastAsia="Calibri"/>
                <w:sz w:val="20"/>
                <w:szCs w:val="20"/>
              </w:rPr>
            </w:pPr>
            <w:r w:rsidRPr="00201E0F">
              <w:rPr>
                <w:rFonts w:eastAsia="Calibri"/>
                <w:sz w:val="20"/>
                <w:szCs w:val="20"/>
              </w:rPr>
              <w:t>Yes</w:t>
            </w:r>
          </w:p>
        </w:tc>
        <w:tc>
          <w:tcPr>
            <w:tcW w:w="726" w:type="pct"/>
          </w:tcPr>
          <w:p w14:paraId="4584B8D4" w14:textId="77777777" w:rsidR="004C4C39" w:rsidRPr="00201E0F" w:rsidRDefault="004C4C39" w:rsidP="004C4C39">
            <w:pPr>
              <w:spacing w:after="0"/>
              <w:jc w:val="center"/>
              <w:rPr>
                <w:rFonts w:eastAsia="Calibri"/>
                <w:sz w:val="20"/>
                <w:szCs w:val="20"/>
              </w:rPr>
            </w:pPr>
          </w:p>
        </w:tc>
        <w:tc>
          <w:tcPr>
            <w:tcW w:w="484" w:type="pct"/>
          </w:tcPr>
          <w:p w14:paraId="0FB368B2"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551</w:t>
            </w:r>
          </w:p>
        </w:tc>
        <w:tc>
          <w:tcPr>
            <w:tcW w:w="622" w:type="pct"/>
            <w:tcBorders>
              <w:right w:val="dotted" w:sz="4" w:space="0" w:color="auto"/>
            </w:tcBorders>
          </w:tcPr>
          <w:p w14:paraId="70C439AC"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25.00</w:t>
            </w:r>
          </w:p>
        </w:tc>
        <w:tc>
          <w:tcPr>
            <w:tcW w:w="677" w:type="pct"/>
            <w:tcBorders>
              <w:left w:val="dotted" w:sz="4" w:space="0" w:color="auto"/>
            </w:tcBorders>
          </w:tcPr>
          <w:p w14:paraId="32E5607D"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444</w:t>
            </w:r>
          </w:p>
        </w:tc>
        <w:tc>
          <w:tcPr>
            <w:tcW w:w="758" w:type="pct"/>
          </w:tcPr>
          <w:p w14:paraId="24B36F8E"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24.14</w:t>
            </w:r>
          </w:p>
        </w:tc>
      </w:tr>
      <w:tr w:rsidR="00600B3B" w:rsidRPr="00201E0F" w14:paraId="3581490A" w14:textId="77777777" w:rsidTr="00600B3B">
        <w:trPr>
          <w:trHeight w:val="509"/>
        </w:trPr>
        <w:tc>
          <w:tcPr>
            <w:tcW w:w="1733" w:type="pct"/>
            <w:gridSpan w:val="2"/>
          </w:tcPr>
          <w:p w14:paraId="22246C70" w14:textId="77777777" w:rsidR="004C4C39" w:rsidRPr="00201E0F" w:rsidRDefault="004C4C39" w:rsidP="004C4C39">
            <w:pPr>
              <w:spacing w:after="0"/>
              <w:rPr>
                <w:rFonts w:eastAsia="Calibri"/>
                <w:sz w:val="20"/>
                <w:szCs w:val="20"/>
              </w:rPr>
            </w:pPr>
            <w:r w:rsidRPr="00201E0F">
              <w:rPr>
                <w:rFonts w:eastAsia="Calibri"/>
                <w:sz w:val="20"/>
                <w:szCs w:val="20"/>
              </w:rPr>
              <w:t>Previous Child Welfare Involvement (n=1,633)</w:t>
            </w:r>
          </w:p>
        </w:tc>
        <w:tc>
          <w:tcPr>
            <w:tcW w:w="726" w:type="pct"/>
          </w:tcPr>
          <w:p w14:paraId="6A60B670" w14:textId="77777777" w:rsidR="004C4C39" w:rsidRPr="00201E0F" w:rsidRDefault="004C4C39" w:rsidP="004C4C39">
            <w:pPr>
              <w:spacing w:after="0"/>
              <w:jc w:val="center"/>
              <w:rPr>
                <w:rFonts w:eastAsia="Calibri"/>
                <w:sz w:val="20"/>
                <w:szCs w:val="20"/>
              </w:rPr>
            </w:pPr>
            <w:r w:rsidRPr="00201E0F">
              <w:rPr>
                <w:rFonts w:eastAsia="Calibri"/>
                <w:sz w:val="20"/>
                <w:szCs w:val="20"/>
              </w:rPr>
              <w:t>94(7.2)</w:t>
            </w:r>
          </w:p>
        </w:tc>
        <w:tc>
          <w:tcPr>
            <w:tcW w:w="484" w:type="pct"/>
          </w:tcPr>
          <w:p w14:paraId="1B43D7E8" w14:textId="77777777" w:rsidR="004C4C39" w:rsidRPr="00201E0F" w:rsidRDefault="004C4C39" w:rsidP="004C4C39">
            <w:pPr>
              <w:spacing w:after="0"/>
              <w:jc w:val="center"/>
              <w:rPr>
                <w:rFonts w:eastAsia="Calibri"/>
                <w:sz w:val="20"/>
                <w:szCs w:val="20"/>
              </w:rPr>
            </w:pPr>
          </w:p>
        </w:tc>
        <w:tc>
          <w:tcPr>
            <w:tcW w:w="622" w:type="pct"/>
            <w:tcBorders>
              <w:right w:val="dotted" w:sz="4" w:space="0" w:color="auto"/>
            </w:tcBorders>
          </w:tcPr>
          <w:p w14:paraId="14BEA45E" w14:textId="77777777" w:rsidR="004C4C39" w:rsidRPr="00201E0F" w:rsidRDefault="004C4C39" w:rsidP="004C4C39">
            <w:pPr>
              <w:spacing w:after="0"/>
              <w:jc w:val="center"/>
              <w:rPr>
                <w:rFonts w:eastAsia="Calibri"/>
                <w:b/>
                <w:sz w:val="20"/>
                <w:szCs w:val="20"/>
              </w:rPr>
            </w:pPr>
          </w:p>
        </w:tc>
        <w:tc>
          <w:tcPr>
            <w:tcW w:w="677" w:type="pct"/>
            <w:tcBorders>
              <w:left w:val="dotted" w:sz="4" w:space="0" w:color="auto"/>
            </w:tcBorders>
          </w:tcPr>
          <w:p w14:paraId="70B46FC1" w14:textId="77777777" w:rsidR="004C4C39" w:rsidRPr="00201E0F" w:rsidRDefault="004C4C39" w:rsidP="004C4C39">
            <w:pPr>
              <w:spacing w:after="0"/>
              <w:jc w:val="center"/>
              <w:rPr>
                <w:rFonts w:eastAsia="Calibri"/>
                <w:sz w:val="20"/>
                <w:szCs w:val="20"/>
              </w:rPr>
            </w:pPr>
          </w:p>
        </w:tc>
        <w:tc>
          <w:tcPr>
            <w:tcW w:w="758" w:type="pct"/>
          </w:tcPr>
          <w:p w14:paraId="55303580" w14:textId="77777777" w:rsidR="004C4C39" w:rsidRPr="00201E0F" w:rsidRDefault="004C4C39" w:rsidP="004C4C39">
            <w:pPr>
              <w:spacing w:after="0"/>
              <w:jc w:val="center"/>
              <w:rPr>
                <w:rFonts w:eastAsia="Calibri"/>
                <w:b/>
                <w:sz w:val="20"/>
                <w:szCs w:val="20"/>
              </w:rPr>
            </w:pPr>
          </w:p>
        </w:tc>
      </w:tr>
      <w:tr w:rsidR="00600B3B" w:rsidRPr="00201E0F" w14:paraId="5106B4F2" w14:textId="77777777" w:rsidTr="00600B3B">
        <w:trPr>
          <w:trHeight w:val="244"/>
        </w:trPr>
        <w:tc>
          <w:tcPr>
            <w:tcW w:w="442" w:type="pct"/>
          </w:tcPr>
          <w:p w14:paraId="3BDBE0CC" w14:textId="77777777" w:rsidR="004C4C39" w:rsidRPr="00201E0F" w:rsidRDefault="004C4C39" w:rsidP="004C4C39">
            <w:pPr>
              <w:spacing w:after="0"/>
              <w:rPr>
                <w:rFonts w:eastAsia="Calibri"/>
                <w:sz w:val="20"/>
                <w:szCs w:val="20"/>
              </w:rPr>
            </w:pPr>
          </w:p>
        </w:tc>
        <w:tc>
          <w:tcPr>
            <w:tcW w:w="1291" w:type="pct"/>
          </w:tcPr>
          <w:p w14:paraId="7D4BB59E" w14:textId="77777777" w:rsidR="004C4C39" w:rsidRPr="00201E0F" w:rsidRDefault="004C4C39" w:rsidP="004C4C39">
            <w:pPr>
              <w:spacing w:after="0"/>
              <w:rPr>
                <w:rFonts w:eastAsia="Calibri"/>
                <w:sz w:val="20"/>
                <w:szCs w:val="20"/>
              </w:rPr>
            </w:pPr>
            <w:r w:rsidRPr="00201E0F">
              <w:rPr>
                <w:rFonts w:eastAsia="Calibri"/>
                <w:sz w:val="20"/>
                <w:szCs w:val="20"/>
              </w:rPr>
              <w:t>No</w:t>
            </w:r>
          </w:p>
        </w:tc>
        <w:tc>
          <w:tcPr>
            <w:tcW w:w="726" w:type="pct"/>
          </w:tcPr>
          <w:p w14:paraId="5C83617D" w14:textId="77777777" w:rsidR="004C4C39" w:rsidRPr="00201E0F" w:rsidRDefault="004C4C39" w:rsidP="004C4C39">
            <w:pPr>
              <w:spacing w:after="0"/>
              <w:jc w:val="center"/>
              <w:rPr>
                <w:rFonts w:eastAsia="Calibri"/>
                <w:sz w:val="20"/>
                <w:szCs w:val="20"/>
              </w:rPr>
            </w:pPr>
          </w:p>
        </w:tc>
        <w:tc>
          <w:tcPr>
            <w:tcW w:w="484" w:type="pct"/>
          </w:tcPr>
          <w:p w14:paraId="373FD240"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543</w:t>
            </w:r>
          </w:p>
        </w:tc>
        <w:tc>
          <w:tcPr>
            <w:tcW w:w="622" w:type="pct"/>
            <w:tcBorders>
              <w:right w:val="dotted" w:sz="4" w:space="0" w:color="auto"/>
            </w:tcBorders>
          </w:tcPr>
          <w:p w14:paraId="2671B2EC"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40.45</w:t>
            </w:r>
          </w:p>
        </w:tc>
        <w:tc>
          <w:tcPr>
            <w:tcW w:w="677" w:type="pct"/>
            <w:tcBorders>
              <w:left w:val="dotted" w:sz="4" w:space="0" w:color="auto"/>
            </w:tcBorders>
          </w:tcPr>
          <w:p w14:paraId="72E9E11F"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452</w:t>
            </w:r>
          </w:p>
        </w:tc>
        <w:tc>
          <w:tcPr>
            <w:tcW w:w="758" w:type="pct"/>
          </w:tcPr>
          <w:p w14:paraId="116E56DA"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42.32</w:t>
            </w:r>
          </w:p>
        </w:tc>
      </w:tr>
      <w:tr w:rsidR="00600B3B" w:rsidRPr="00201E0F" w14:paraId="1C0F934C" w14:textId="77777777" w:rsidTr="00600B3B">
        <w:trPr>
          <w:trHeight w:val="244"/>
        </w:trPr>
        <w:tc>
          <w:tcPr>
            <w:tcW w:w="442" w:type="pct"/>
          </w:tcPr>
          <w:p w14:paraId="09589A42" w14:textId="77777777" w:rsidR="004C4C39" w:rsidRPr="00201E0F" w:rsidRDefault="004C4C39" w:rsidP="004C4C39">
            <w:pPr>
              <w:spacing w:after="0"/>
              <w:rPr>
                <w:rFonts w:eastAsia="Calibri"/>
                <w:sz w:val="20"/>
                <w:szCs w:val="20"/>
              </w:rPr>
            </w:pPr>
          </w:p>
        </w:tc>
        <w:tc>
          <w:tcPr>
            <w:tcW w:w="1291" w:type="pct"/>
          </w:tcPr>
          <w:p w14:paraId="2722907F" w14:textId="77777777" w:rsidR="004C4C39" w:rsidRPr="00201E0F" w:rsidRDefault="004C4C39" w:rsidP="004C4C39">
            <w:pPr>
              <w:spacing w:after="0"/>
              <w:rPr>
                <w:rFonts w:eastAsia="Calibri"/>
                <w:sz w:val="20"/>
                <w:szCs w:val="20"/>
              </w:rPr>
            </w:pPr>
            <w:r w:rsidRPr="00201E0F">
              <w:rPr>
                <w:rFonts w:eastAsia="Calibri"/>
                <w:sz w:val="20"/>
                <w:szCs w:val="20"/>
              </w:rPr>
              <w:t>Yes</w:t>
            </w:r>
          </w:p>
        </w:tc>
        <w:tc>
          <w:tcPr>
            <w:tcW w:w="726" w:type="pct"/>
          </w:tcPr>
          <w:p w14:paraId="740E2CA7" w14:textId="77777777" w:rsidR="004C4C39" w:rsidRPr="00201E0F" w:rsidRDefault="004C4C39" w:rsidP="004C4C39">
            <w:pPr>
              <w:spacing w:after="0"/>
              <w:jc w:val="center"/>
              <w:rPr>
                <w:rFonts w:eastAsia="Calibri"/>
                <w:sz w:val="20"/>
                <w:szCs w:val="20"/>
              </w:rPr>
            </w:pPr>
          </w:p>
        </w:tc>
        <w:tc>
          <w:tcPr>
            <w:tcW w:w="484" w:type="pct"/>
          </w:tcPr>
          <w:p w14:paraId="5ED3FEAC"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1.090</w:t>
            </w:r>
          </w:p>
        </w:tc>
        <w:tc>
          <w:tcPr>
            <w:tcW w:w="622" w:type="pct"/>
            <w:tcBorders>
              <w:right w:val="dotted" w:sz="4" w:space="0" w:color="auto"/>
            </w:tcBorders>
          </w:tcPr>
          <w:p w14:paraId="05DDFE01"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59.55</w:t>
            </w:r>
          </w:p>
        </w:tc>
        <w:tc>
          <w:tcPr>
            <w:tcW w:w="677" w:type="pct"/>
            <w:tcBorders>
              <w:left w:val="dotted" w:sz="4" w:space="0" w:color="auto"/>
            </w:tcBorders>
          </w:tcPr>
          <w:p w14:paraId="306626F5"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879</w:t>
            </w:r>
          </w:p>
        </w:tc>
        <w:tc>
          <w:tcPr>
            <w:tcW w:w="758" w:type="pct"/>
          </w:tcPr>
          <w:p w14:paraId="59F1607D"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57.86</w:t>
            </w:r>
          </w:p>
        </w:tc>
      </w:tr>
      <w:tr w:rsidR="00600B3B" w:rsidRPr="00201E0F" w14:paraId="5FF449B0" w14:textId="77777777" w:rsidTr="00600B3B">
        <w:trPr>
          <w:trHeight w:val="509"/>
        </w:trPr>
        <w:tc>
          <w:tcPr>
            <w:tcW w:w="1733" w:type="pct"/>
            <w:gridSpan w:val="2"/>
          </w:tcPr>
          <w:p w14:paraId="1C929611" w14:textId="77777777" w:rsidR="004C4C39" w:rsidRPr="00201E0F" w:rsidRDefault="004C4C39" w:rsidP="004C4C39">
            <w:pPr>
              <w:spacing w:after="0"/>
              <w:rPr>
                <w:rFonts w:eastAsia="Calibri"/>
                <w:sz w:val="20"/>
                <w:szCs w:val="20"/>
              </w:rPr>
            </w:pPr>
            <w:r w:rsidRPr="00201E0F">
              <w:rPr>
                <w:rFonts w:eastAsia="Calibri"/>
                <w:sz w:val="20"/>
                <w:szCs w:val="20"/>
              </w:rPr>
              <w:t>Parent Arrest History (n=1,770)</w:t>
            </w:r>
          </w:p>
        </w:tc>
        <w:tc>
          <w:tcPr>
            <w:tcW w:w="726" w:type="pct"/>
          </w:tcPr>
          <w:p w14:paraId="3E93BA48" w14:textId="77777777" w:rsidR="004C4C39" w:rsidRPr="00201E0F" w:rsidRDefault="004C4C39" w:rsidP="004C4C39">
            <w:pPr>
              <w:spacing w:after="0"/>
              <w:jc w:val="center"/>
              <w:rPr>
                <w:rFonts w:eastAsia="Calibri"/>
                <w:sz w:val="20"/>
                <w:szCs w:val="20"/>
              </w:rPr>
            </w:pPr>
            <w:r w:rsidRPr="00201E0F">
              <w:rPr>
                <w:rFonts w:eastAsia="Calibri"/>
                <w:sz w:val="20"/>
                <w:szCs w:val="20"/>
              </w:rPr>
              <w:t>0(0.00)</w:t>
            </w:r>
          </w:p>
        </w:tc>
        <w:tc>
          <w:tcPr>
            <w:tcW w:w="484" w:type="pct"/>
          </w:tcPr>
          <w:p w14:paraId="445E2729" w14:textId="77777777" w:rsidR="004C4C39" w:rsidRPr="00201E0F" w:rsidRDefault="004C4C39" w:rsidP="004C4C39">
            <w:pPr>
              <w:spacing w:after="0"/>
              <w:jc w:val="center"/>
              <w:rPr>
                <w:rFonts w:eastAsia="Times New Roman"/>
                <w:color w:val="000000"/>
                <w:sz w:val="20"/>
                <w:szCs w:val="20"/>
              </w:rPr>
            </w:pPr>
          </w:p>
        </w:tc>
        <w:tc>
          <w:tcPr>
            <w:tcW w:w="622" w:type="pct"/>
            <w:tcBorders>
              <w:right w:val="dotted" w:sz="4" w:space="0" w:color="auto"/>
            </w:tcBorders>
          </w:tcPr>
          <w:p w14:paraId="6B1122EA" w14:textId="77777777" w:rsidR="004C4C39" w:rsidRPr="00201E0F" w:rsidRDefault="004C4C39" w:rsidP="004C4C39">
            <w:pPr>
              <w:spacing w:after="0"/>
              <w:jc w:val="center"/>
              <w:rPr>
                <w:rFonts w:eastAsia="Times New Roman"/>
                <w:b/>
                <w:bCs/>
                <w:color w:val="000000"/>
                <w:sz w:val="20"/>
                <w:szCs w:val="20"/>
              </w:rPr>
            </w:pPr>
          </w:p>
        </w:tc>
        <w:tc>
          <w:tcPr>
            <w:tcW w:w="677" w:type="pct"/>
            <w:tcBorders>
              <w:left w:val="dotted" w:sz="4" w:space="0" w:color="auto"/>
            </w:tcBorders>
          </w:tcPr>
          <w:p w14:paraId="0B754EBE" w14:textId="77777777" w:rsidR="004C4C39" w:rsidRPr="00201E0F" w:rsidRDefault="004C4C39" w:rsidP="004C4C39">
            <w:pPr>
              <w:spacing w:after="0"/>
              <w:jc w:val="center"/>
              <w:rPr>
                <w:rFonts w:eastAsia="Times New Roman"/>
                <w:color w:val="000000"/>
                <w:sz w:val="20"/>
                <w:szCs w:val="20"/>
              </w:rPr>
            </w:pPr>
          </w:p>
        </w:tc>
        <w:tc>
          <w:tcPr>
            <w:tcW w:w="758" w:type="pct"/>
          </w:tcPr>
          <w:p w14:paraId="2E5A7982" w14:textId="77777777" w:rsidR="004C4C39" w:rsidRPr="00201E0F" w:rsidRDefault="004C4C39" w:rsidP="004C4C39">
            <w:pPr>
              <w:spacing w:after="0"/>
              <w:jc w:val="center"/>
              <w:rPr>
                <w:rFonts w:eastAsia="Times New Roman"/>
                <w:b/>
                <w:bCs/>
                <w:color w:val="000000"/>
                <w:sz w:val="20"/>
                <w:szCs w:val="20"/>
              </w:rPr>
            </w:pPr>
          </w:p>
        </w:tc>
      </w:tr>
      <w:tr w:rsidR="00600B3B" w:rsidRPr="00201E0F" w14:paraId="445783CB" w14:textId="77777777" w:rsidTr="00600B3B">
        <w:trPr>
          <w:trHeight w:val="244"/>
        </w:trPr>
        <w:tc>
          <w:tcPr>
            <w:tcW w:w="442" w:type="pct"/>
          </w:tcPr>
          <w:p w14:paraId="39BBE07F" w14:textId="77777777" w:rsidR="004C4C39" w:rsidRPr="00201E0F" w:rsidRDefault="004C4C39" w:rsidP="004C4C39">
            <w:pPr>
              <w:spacing w:after="0"/>
              <w:rPr>
                <w:rFonts w:eastAsia="Calibri"/>
                <w:sz w:val="20"/>
                <w:szCs w:val="20"/>
              </w:rPr>
            </w:pPr>
          </w:p>
        </w:tc>
        <w:tc>
          <w:tcPr>
            <w:tcW w:w="1291" w:type="pct"/>
          </w:tcPr>
          <w:p w14:paraId="77A02FC4" w14:textId="77777777" w:rsidR="004C4C39" w:rsidRPr="00201E0F" w:rsidRDefault="004C4C39" w:rsidP="004C4C39">
            <w:pPr>
              <w:spacing w:after="0"/>
              <w:rPr>
                <w:rFonts w:eastAsia="Calibri"/>
                <w:sz w:val="20"/>
                <w:szCs w:val="20"/>
              </w:rPr>
            </w:pPr>
            <w:r w:rsidRPr="00201E0F">
              <w:rPr>
                <w:rFonts w:eastAsia="Calibri"/>
                <w:sz w:val="20"/>
                <w:szCs w:val="20"/>
              </w:rPr>
              <w:t>No</w:t>
            </w:r>
          </w:p>
        </w:tc>
        <w:tc>
          <w:tcPr>
            <w:tcW w:w="726" w:type="pct"/>
          </w:tcPr>
          <w:p w14:paraId="575564EB" w14:textId="77777777" w:rsidR="004C4C39" w:rsidRPr="00201E0F" w:rsidRDefault="004C4C39" w:rsidP="004C4C39">
            <w:pPr>
              <w:spacing w:after="0"/>
              <w:jc w:val="center"/>
              <w:rPr>
                <w:rFonts w:eastAsia="Calibri"/>
                <w:sz w:val="20"/>
                <w:szCs w:val="20"/>
              </w:rPr>
            </w:pPr>
          </w:p>
        </w:tc>
        <w:tc>
          <w:tcPr>
            <w:tcW w:w="484" w:type="pct"/>
          </w:tcPr>
          <w:p w14:paraId="020D68D0"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1,289</w:t>
            </w:r>
          </w:p>
        </w:tc>
        <w:tc>
          <w:tcPr>
            <w:tcW w:w="622" w:type="pct"/>
            <w:tcBorders>
              <w:right w:val="dotted" w:sz="4" w:space="0" w:color="auto"/>
            </w:tcBorders>
          </w:tcPr>
          <w:p w14:paraId="577A9415" w14:textId="77777777" w:rsidR="004C4C39" w:rsidRPr="00201E0F" w:rsidRDefault="004C4C39" w:rsidP="004C4C39">
            <w:pPr>
              <w:spacing w:after="0"/>
              <w:jc w:val="center"/>
              <w:rPr>
                <w:rFonts w:eastAsia="Times New Roman"/>
                <w:b/>
                <w:bCs/>
                <w:color w:val="000000"/>
                <w:sz w:val="20"/>
                <w:szCs w:val="20"/>
              </w:rPr>
            </w:pPr>
            <w:r w:rsidRPr="00201E0F">
              <w:rPr>
                <w:rFonts w:eastAsia="Times New Roman"/>
                <w:b/>
                <w:color w:val="000000"/>
                <w:sz w:val="20"/>
                <w:szCs w:val="20"/>
              </w:rPr>
              <w:t>70.43</w:t>
            </w:r>
          </w:p>
        </w:tc>
        <w:tc>
          <w:tcPr>
            <w:tcW w:w="677" w:type="pct"/>
            <w:tcBorders>
              <w:left w:val="dotted" w:sz="4" w:space="0" w:color="auto"/>
            </w:tcBorders>
          </w:tcPr>
          <w:p w14:paraId="148FBD08"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965</w:t>
            </w:r>
          </w:p>
        </w:tc>
        <w:tc>
          <w:tcPr>
            <w:tcW w:w="758" w:type="pct"/>
          </w:tcPr>
          <w:p w14:paraId="69538663" w14:textId="77777777" w:rsidR="004C4C39" w:rsidRPr="00201E0F" w:rsidRDefault="004C4C39" w:rsidP="004C4C39">
            <w:pPr>
              <w:spacing w:after="0"/>
              <w:jc w:val="center"/>
              <w:rPr>
                <w:rFonts w:eastAsia="Times New Roman"/>
                <w:b/>
                <w:bCs/>
                <w:color w:val="000000"/>
                <w:sz w:val="20"/>
                <w:szCs w:val="20"/>
              </w:rPr>
            </w:pPr>
            <w:r w:rsidRPr="00201E0F">
              <w:rPr>
                <w:rFonts w:eastAsia="Times New Roman"/>
                <w:b/>
                <w:color w:val="000000"/>
                <w:sz w:val="20"/>
                <w:szCs w:val="20"/>
              </w:rPr>
              <w:t>69.51</w:t>
            </w:r>
          </w:p>
        </w:tc>
      </w:tr>
      <w:tr w:rsidR="00600B3B" w:rsidRPr="00201E0F" w14:paraId="75544EF5" w14:textId="77777777" w:rsidTr="00600B3B">
        <w:trPr>
          <w:trHeight w:val="262"/>
        </w:trPr>
        <w:tc>
          <w:tcPr>
            <w:tcW w:w="442" w:type="pct"/>
          </w:tcPr>
          <w:p w14:paraId="6C67D7F0" w14:textId="77777777" w:rsidR="004C4C39" w:rsidRPr="00201E0F" w:rsidRDefault="004C4C39" w:rsidP="004C4C39">
            <w:pPr>
              <w:spacing w:after="0"/>
              <w:rPr>
                <w:rFonts w:eastAsia="Calibri"/>
                <w:sz w:val="20"/>
                <w:szCs w:val="20"/>
              </w:rPr>
            </w:pPr>
          </w:p>
        </w:tc>
        <w:tc>
          <w:tcPr>
            <w:tcW w:w="1291" w:type="pct"/>
          </w:tcPr>
          <w:p w14:paraId="66D4002E" w14:textId="77777777" w:rsidR="004C4C39" w:rsidRPr="00201E0F" w:rsidRDefault="004C4C39" w:rsidP="004C4C39">
            <w:pPr>
              <w:spacing w:after="0"/>
              <w:rPr>
                <w:rFonts w:eastAsia="Calibri"/>
                <w:sz w:val="20"/>
                <w:szCs w:val="20"/>
              </w:rPr>
            </w:pPr>
            <w:r w:rsidRPr="00201E0F">
              <w:rPr>
                <w:rFonts w:eastAsia="Calibri"/>
                <w:sz w:val="20"/>
                <w:szCs w:val="20"/>
              </w:rPr>
              <w:t>Yes</w:t>
            </w:r>
          </w:p>
        </w:tc>
        <w:tc>
          <w:tcPr>
            <w:tcW w:w="726" w:type="pct"/>
          </w:tcPr>
          <w:p w14:paraId="6E17D76C" w14:textId="77777777" w:rsidR="004C4C39" w:rsidRPr="00201E0F" w:rsidRDefault="004C4C39" w:rsidP="004C4C39">
            <w:pPr>
              <w:spacing w:after="0"/>
              <w:jc w:val="center"/>
              <w:rPr>
                <w:rFonts w:eastAsia="Calibri"/>
                <w:sz w:val="20"/>
                <w:szCs w:val="20"/>
              </w:rPr>
            </w:pPr>
          </w:p>
        </w:tc>
        <w:tc>
          <w:tcPr>
            <w:tcW w:w="484" w:type="pct"/>
          </w:tcPr>
          <w:p w14:paraId="23B04DF6"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481</w:t>
            </w:r>
          </w:p>
        </w:tc>
        <w:tc>
          <w:tcPr>
            <w:tcW w:w="622" w:type="pct"/>
            <w:tcBorders>
              <w:right w:val="dotted" w:sz="4" w:space="0" w:color="auto"/>
            </w:tcBorders>
          </w:tcPr>
          <w:p w14:paraId="3DAB966E" w14:textId="77777777" w:rsidR="004C4C39" w:rsidRPr="00201E0F" w:rsidRDefault="004C4C39" w:rsidP="004C4C39">
            <w:pPr>
              <w:spacing w:after="0"/>
              <w:jc w:val="center"/>
              <w:rPr>
                <w:rFonts w:eastAsia="Times New Roman"/>
                <w:b/>
                <w:bCs/>
                <w:color w:val="000000"/>
                <w:sz w:val="20"/>
                <w:szCs w:val="20"/>
              </w:rPr>
            </w:pPr>
            <w:r w:rsidRPr="00201E0F">
              <w:rPr>
                <w:rFonts w:eastAsia="Times New Roman"/>
                <w:b/>
                <w:color w:val="000000"/>
                <w:sz w:val="20"/>
                <w:szCs w:val="20"/>
              </w:rPr>
              <w:t>29.57</w:t>
            </w:r>
          </w:p>
        </w:tc>
        <w:tc>
          <w:tcPr>
            <w:tcW w:w="677" w:type="pct"/>
            <w:tcBorders>
              <w:left w:val="dotted" w:sz="4" w:space="0" w:color="auto"/>
            </w:tcBorders>
          </w:tcPr>
          <w:p w14:paraId="7AB6DF69"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366</w:t>
            </w:r>
          </w:p>
        </w:tc>
        <w:tc>
          <w:tcPr>
            <w:tcW w:w="758" w:type="pct"/>
          </w:tcPr>
          <w:p w14:paraId="54A5BD19" w14:textId="77777777" w:rsidR="004C4C39" w:rsidRPr="00201E0F" w:rsidRDefault="004C4C39" w:rsidP="004C4C39">
            <w:pPr>
              <w:spacing w:after="0"/>
              <w:jc w:val="center"/>
              <w:rPr>
                <w:rFonts w:eastAsia="Times New Roman"/>
                <w:b/>
                <w:bCs/>
                <w:color w:val="000000"/>
                <w:sz w:val="20"/>
                <w:szCs w:val="20"/>
              </w:rPr>
            </w:pPr>
            <w:r w:rsidRPr="00201E0F">
              <w:rPr>
                <w:rFonts w:eastAsia="Times New Roman"/>
                <w:b/>
                <w:color w:val="000000"/>
                <w:sz w:val="20"/>
                <w:szCs w:val="20"/>
              </w:rPr>
              <w:t>30.49</w:t>
            </w:r>
          </w:p>
        </w:tc>
      </w:tr>
      <w:tr w:rsidR="00600B3B" w:rsidRPr="00201E0F" w14:paraId="40D8F263" w14:textId="77777777" w:rsidTr="00600B3B">
        <w:trPr>
          <w:trHeight w:val="490"/>
        </w:trPr>
        <w:tc>
          <w:tcPr>
            <w:tcW w:w="1733" w:type="pct"/>
            <w:gridSpan w:val="2"/>
          </w:tcPr>
          <w:p w14:paraId="3E65F5E7" w14:textId="77777777" w:rsidR="004C4C39" w:rsidRPr="00201E0F" w:rsidRDefault="004C4C39" w:rsidP="004C4C39">
            <w:pPr>
              <w:spacing w:after="0"/>
              <w:rPr>
                <w:rFonts w:eastAsia="Calibri"/>
                <w:sz w:val="20"/>
                <w:szCs w:val="20"/>
              </w:rPr>
            </w:pPr>
            <w:r w:rsidRPr="00201E0F">
              <w:rPr>
                <w:rFonts w:eastAsia="Calibri"/>
                <w:sz w:val="20"/>
                <w:szCs w:val="20"/>
              </w:rPr>
              <w:t>Baseline Placement (n=1,770)</w:t>
            </w:r>
          </w:p>
        </w:tc>
        <w:tc>
          <w:tcPr>
            <w:tcW w:w="726" w:type="pct"/>
          </w:tcPr>
          <w:p w14:paraId="68978425" w14:textId="77777777" w:rsidR="004C4C39" w:rsidRPr="00201E0F" w:rsidRDefault="004C4C39" w:rsidP="004C4C39">
            <w:pPr>
              <w:spacing w:after="0"/>
              <w:jc w:val="center"/>
              <w:rPr>
                <w:rFonts w:eastAsia="Calibri"/>
                <w:sz w:val="20"/>
                <w:szCs w:val="20"/>
              </w:rPr>
            </w:pPr>
            <w:r w:rsidRPr="00201E0F">
              <w:rPr>
                <w:rFonts w:eastAsia="Calibri"/>
                <w:sz w:val="20"/>
                <w:szCs w:val="20"/>
              </w:rPr>
              <w:t>0(0.00)</w:t>
            </w:r>
          </w:p>
        </w:tc>
        <w:tc>
          <w:tcPr>
            <w:tcW w:w="484" w:type="pct"/>
          </w:tcPr>
          <w:p w14:paraId="17B5687E" w14:textId="77777777" w:rsidR="004C4C39" w:rsidRPr="00201E0F" w:rsidRDefault="004C4C39" w:rsidP="004C4C39">
            <w:pPr>
              <w:spacing w:after="0"/>
              <w:jc w:val="center"/>
              <w:rPr>
                <w:rFonts w:eastAsia="Calibri"/>
                <w:sz w:val="20"/>
                <w:szCs w:val="20"/>
              </w:rPr>
            </w:pPr>
          </w:p>
        </w:tc>
        <w:tc>
          <w:tcPr>
            <w:tcW w:w="622" w:type="pct"/>
            <w:tcBorders>
              <w:right w:val="dotted" w:sz="4" w:space="0" w:color="auto"/>
            </w:tcBorders>
          </w:tcPr>
          <w:p w14:paraId="25767694" w14:textId="77777777" w:rsidR="004C4C39" w:rsidRPr="00201E0F" w:rsidRDefault="004C4C39" w:rsidP="004C4C39">
            <w:pPr>
              <w:spacing w:after="0"/>
              <w:jc w:val="center"/>
              <w:rPr>
                <w:rFonts w:eastAsia="Calibri"/>
                <w:b/>
                <w:sz w:val="20"/>
                <w:szCs w:val="20"/>
              </w:rPr>
            </w:pPr>
          </w:p>
        </w:tc>
        <w:tc>
          <w:tcPr>
            <w:tcW w:w="677" w:type="pct"/>
            <w:tcBorders>
              <w:left w:val="dotted" w:sz="4" w:space="0" w:color="auto"/>
            </w:tcBorders>
          </w:tcPr>
          <w:p w14:paraId="4CAFC636" w14:textId="77777777" w:rsidR="004C4C39" w:rsidRPr="00201E0F" w:rsidRDefault="004C4C39" w:rsidP="004C4C39">
            <w:pPr>
              <w:spacing w:after="0"/>
              <w:jc w:val="center"/>
              <w:rPr>
                <w:rFonts w:eastAsia="Calibri"/>
                <w:sz w:val="20"/>
                <w:szCs w:val="20"/>
              </w:rPr>
            </w:pPr>
          </w:p>
        </w:tc>
        <w:tc>
          <w:tcPr>
            <w:tcW w:w="758" w:type="pct"/>
          </w:tcPr>
          <w:p w14:paraId="0E53D32C" w14:textId="77777777" w:rsidR="004C4C39" w:rsidRPr="00201E0F" w:rsidRDefault="004C4C39" w:rsidP="004C4C39">
            <w:pPr>
              <w:spacing w:after="0"/>
              <w:jc w:val="center"/>
              <w:rPr>
                <w:rFonts w:eastAsia="Calibri"/>
                <w:b/>
                <w:sz w:val="20"/>
                <w:szCs w:val="20"/>
              </w:rPr>
            </w:pPr>
          </w:p>
        </w:tc>
      </w:tr>
      <w:tr w:rsidR="00600B3B" w:rsidRPr="00201E0F" w14:paraId="3496F522" w14:textId="77777777" w:rsidTr="00600B3B">
        <w:trPr>
          <w:trHeight w:val="262"/>
        </w:trPr>
        <w:tc>
          <w:tcPr>
            <w:tcW w:w="442" w:type="pct"/>
          </w:tcPr>
          <w:p w14:paraId="5DD78AAB" w14:textId="77777777" w:rsidR="004C4C39" w:rsidRPr="00201E0F" w:rsidRDefault="004C4C39" w:rsidP="004C4C39">
            <w:pPr>
              <w:spacing w:after="0"/>
              <w:rPr>
                <w:rFonts w:eastAsia="Calibri"/>
                <w:sz w:val="20"/>
                <w:szCs w:val="20"/>
              </w:rPr>
            </w:pPr>
          </w:p>
        </w:tc>
        <w:tc>
          <w:tcPr>
            <w:tcW w:w="1291" w:type="pct"/>
          </w:tcPr>
          <w:p w14:paraId="30EF9FA2" w14:textId="77777777" w:rsidR="004C4C39" w:rsidRPr="00201E0F" w:rsidRDefault="004C4C39" w:rsidP="004C4C39">
            <w:pPr>
              <w:spacing w:after="0"/>
              <w:rPr>
                <w:rFonts w:eastAsia="Times New Roman"/>
                <w:color w:val="000000"/>
                <w:sz w:val="20"/>
                <w:szCs w:val="20"/>
              </w:rPr>
            </w:pPr>
            <w:r w:rsidRPr="00201E0F">
              <w:rPr>
                <w:rFonts w:eastAsia="Times New Roman"/>
                <w:color w:val="000000"/>
                <w:sz w:val="20"/>
                <w:szCs w:val="20"/>
              </w:rPr>
              <w:t xml:space="preserve">In Home </w:t>
            </w:r>
          </w:p>
        </w:tc>
        <w:tc>
          <w:tcPr>
            <w:tcW w:w="726" w:type="pct"/>
          </w:tcPr>
          <w:p w14:paraId="73CBD7B3" w14:textId="77777777" w:rsidR="004C4C39" w:rsidRPr="00201E0F" w:rsidRDefault="004C4C39" w:rsidP="004C4C39">
            <w:pPr>
              <w:spacing w:after="0"/>
              <w:jc w:val="center"/>
              <w:rPr>
                <w:rFonts w:eastAsia="Calibri"/>
                <w:sz w:val="20"/>
                <w:szCs w:val="20"/>
              </w:rPr>
            </w:pPr>
          </w:p>
        </w:tc>
        <w:tc>
          <w:tcPr>
            <w:tcW w:w="484" w:type="pct"/>
          </w:tcPr>
          <w:p w14:paraId="6E1EE3AA"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1,317</w:t>
            </w:r>
          </w:p>
        </w:tc>
        <w:tc>
          <w:tcPr>
            <w:tcW w:w="622" w:type="pct"/>
            <w:tcBorders>
              <w:right w:val="dotted" w:sz="4" w:space="0" w:color="auto"/>
            </w:tcBorders>
          </w:tcPr>
          <w:p w14:paraId="3210D17E"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88.27</w:t>
            </w:r>
          </w:p>
        </w:tc>
        <w:tc>
          <w:tcPr>
            <w:tcW w:w="677" w:type="pct"/>
            <w:tcBorders>
              <w:left w:val="dotted" w:sz="4" w:space="0" w:color="auto"/>
            </w:tcBorders>
          </w:tcPr>
          <w:p w14:paraId="4A41956E"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1,000</w:t>
            </w:r>
          </w:p>
        </w:tc>
        <w:tc>
          <w:tcPr>
            <w:tcW w:w="758" w:type="pct"/>
          </w:tcPr>
          <w:p w14:paraId="510E81D0"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90.03</w:t>
            </w:r>
          </w:p>
        </w:tc>
      </w:tr>
      <w:tr w:rsidR="00600B3B" w:rsidRPr="00201E0F" w14:paraId="497D78A9" w14:textId="77777777" w:rsidTr="00600B3B">
        <w:trPr>
          <w:trHeight w:val="244"/>
        </w:trPr>
        <w:tc>
          <w:tcPr>
            <w:tcW w:w="442" w:type="pct"/>
          </w:tcPr>
          <w:p w14:paraId="1E46FAC3" w14:textId="77777777" w:rsidR="004C4C39" w:rsidRPr="00201E0F" w:rsidRDefault="004C4C39" w:rsidP="004C4C39">
            <w:pPr>
              <w:spacing w:after="0"/>
              <w:rPr>
                <w:rFonts w:eastAsia="Calibri"/>
                <w:sz w:val="20"/>
                <w:szCs w:val="20"/>
              </w:rPr>
            </w:pPr>
          </w:p>
        </w:tc>
        <w:tc>
          <w:tcPr>
            <w:tcW w:w="1291" w:type="pct"/>
          </w:tcPr>
          <w:p w14:paraId="240EC36A" w14:textId="77777777" w:rsidR="004C4C39" w:rsidRPr="00201E0F" w:rsidRDefault="004C4C39" w:rsidP="004C4C39">
            <w:pPr>
              <w:spacing w:after="0"/>
              <w:rPr>
                <w:rFonts w:eastAsia="Times New Roman"/>
                <w:color w:val="000000"/>
                <w:sz w:val="20"/>
                <w:szCs w:val="20"/>
              </w:rPr>
            </w:pPr>
            <w:r w:rsidRPr="00201E0F">
              <w:rPr>
                <w:rFonts w:eastAsia="Times New Roman"/>
                <w:color w:val="000000"/>
                <w:sz w:val="20"/>
                <w:szCs w:val="20"/>
              </w:rPr>
              <w:t xml:space="preserve">Kinship Care </w:t>
            </w:r>
          </w:p>
        </w:tc>
        <w:tc>
          <w:tcPr>
            <w:tcW w:w="726" w:type="pct"/>
          </w:tcPr>
          <w:p w14:paraId="656B724D" w14:textId="77777777" w:rsidR="004C4C39" w:rsidRPr="00201E0F" w:rsidRDefault="004C4C39" w:rsidP="004C4C39">
            <w:pPr>
              <w:spacing w:after="0"/>
              <w:jc w:val="center"/>
              <w:rPr>
                <w:rFonts w:eastAsia="Calibri"/>
                <w:sz w:val="20"/>
                <w:szCs w:val="20"/>
              </w:rPr>
            </w:pPr>
          </w:p>
        </w:tc>
        <w:tc>
          <w:tcPr>
            <w:tcW w:w="484" w:type="pct"/>
          </w:tcPr>
          <w:p w14:paraId="660CE809"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181</w:t>
            </w:r>
          </w:p>
        </w:tc>
        <w:tc>
          <w:tcPr>
            <w:tcW w:w="622" w:type="pct"/>
            <w:tcBorders>
              <w:right w:val="dotted" w:sz="4" w:space="0" w:color="auto"/>
            </w:tcBorders>
          </w:tcPr>
          <w:p w14:paraId="182E88F9"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5.04</w:t>
            </w:r>
          </w:p>
        </w:tc>
        <w:tc>
          <w:tcPr>
            <w:tcW w:w="677" w:type="pct"/>
            <w:tcBorders>
              <w:left w:val="dotted" w:sz="4" w:space="0" w:color="auto"/>
            </w:tcBorders>
          </w:tcPr>
          <w:p w14:paraId="4C497AEB"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131</w:t>
            </w:r>
          </w:p>
        </w:tc>
        <w:tc>
          <w:tcPr>
            <w:tcW w:w="758" w:type="pct"/>
          </w:tcPr>
          <w:p w14:paraId="39FD67A2"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3.98</w:t>
            </w:r>
          </w:p>
        </w:tc>
      </w:tr>
      <w:tr w:rsidR="00600B3B" w:rsidRPr="00201E0F" w14:paraId="12CDE427" w14:textId="77777777" w:rsidTr="00600B3B">
        <w:trPr>
          <w:trHeight w:val="244"/>
        </w:trPr>
        <w:tc>
          <w:tcPr>
            <w:tcW w:w="442" w:type="pct"/>
          </w:tcPr>
          <w:p w14:paraId="6D8AB7D2" w14:textId="77777777" w:rsidR="004C4C39" w:rsidRPr="00201E0F" w:rsidRDefault="004C4C39" w:rsidP="004C4C39">
            <w:pPr>
              <w:spacing w:after="0"/>
              <w:rPr>
                <w:rFonts w:eastAsia="Calibri"/>
                <w:sz w:val="20"/>
                <w:szCs w:val="20"/>
              </w:rPr>
            </w:pPr>
          </w:p>
        </w:tc>
        <w:tc>
          <w:tcPr>
            <w:tcW w:w="1291" w:type="pct"/>
          </w:tcPr>
          <w:p w14:paraId="7DBAD79D" w14:textId="77777777" w:rsidR="004C4C39" w:rsidRPr="00201E0F" w:rsidRDefault="004C4C39" w:rsidP="004C4C39">
            <w:pPr>
              <w:spacing w:after="0"/>
              <w:rPr>
                <w:rFonts w:eastAsia="Times New Roman"/>
                <w:color w:val="000000"/>
                <w:sz w:val="20"/>
                <w:szCs w:val="20"/>
              </w:rPr>
            </w:pPr>
            <w:r w:rsidRPr="00201E0F">
              <w:rPr>
                <w:rFonts w:eastAsia="Times New Roman"/>
                <w:color w:val="000000"/>
                <w:sz w:val="20"/>
                <w:szCs w:val="20"/>
              </w:rPr>
              <w:t>Foster Home</w:t>
            </w:r>
          </w:p>
        </w:tc>
        <w:tc>
          <w:tcPr>
            <w:tcW w:w="726" w:type="pct"/>
          </w:tcPr>
          <w:p w14:paraId="03EEAAA2" w14:textId="77777777" w:rsidR="004C4C39" w:rsidRPr="00201E0F" w:rsidRDefault="004C4C39" w:rsidP="004C4C39">
            <w:pPr>
              <w:spacing w:after="0"/>
              <w:jc w:val="center"/>
              <w:rPr>
                <w:rFonts w:eastAsia="Calibri"/>
                <w:sz w:val="20"/>
                <w:szCs w:val="20"/>
              </w:rPr>
            </w:pPr>
          </w:p>
        </w:tc>
        <w:tc>
          <w:tcPr>
            <w:tcW w:w="484" w:type="pct"/>
          </w:tcPr>
          <w:p w14:paraId="7614C16B"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196</w:t>
            </w:r>
          </w:p>
        </w:tc>
        <w:tc>
          <w:tcPr>
            <w:tcW w:w="622" w:type="pct"/>
            <w:tcBorders>
              <w:right w:val="dotted" w:sz="4" w:space="0" w:color="auto"/>
            </w:tcBorders>
          </w:tcPr>
          <w:p w14:paraId="154D2B65"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4.14</w:t>
            </w:r>
          </w:p>
        </w:tc>
        <w:tc>
          <w:tcPr>
            <w:tcW w:w="677" w:type="pct"/>
            <w:tcBorders>
              <w:left w:val="dotted" w:sz="4" w:space="0" w:color="auto"/>
            </w:tcBorders>
          </w:tcPr>
          <w:p w14:paraId="4C868F8B"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147</w:t>
            </w:r>
          </w:p>
        </w:tc>
        <w:tc>
          <w:tcPr>
            <w:tcW w:w="758" w:type="pct"/>
          </w:tcPr>
          <w:p w14:paraId="613D96C5"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3.78</w:t>
            </w:r>
          </w:p>
        </w:tc>
      </w:tr>
      <w:tr w:rsidR="00600B3B" w:rsidRPr="00201E0F" w14:paraId="5E89CF9D" w14:textId="77777777" w:rsidTr="00600B3B">
        <w:trPr>
          <w:trHeight w:val="262"/>
        </w:trPr>
        <w:tc>
          <w:tcPr>
            <w:tcW w:w="442" w:type="pct"/>
          </w:tcPr>
          <w:p w14:paraId="7FB664CF" w14:textId="77777777" w:rsidR="004C4C39" w:rsidRPr="00201E0F" w:rsidRDefault="004C4C39" w:rsidP="004C4C39">
            <w:pPr>
              <w:spacing w:after="0"/>
              <w:rPr>
                <w:rFonts w:eastAsia="Calibri"/>
                <w:sz w:val="20"/>
                <w:szCs w:val="20"/>
              </w:rPr>
            </w:pPr>
          </w:p>
        </w:tc>
        <w:tc>
          <w:tcPr>
            <w:tcW w:w="1291" w:type="pct"/>
          </w:tcPr>
          <w:p w14:paraId="134665B1" w14:textId="77777777" w:rsidR="004C4C39" w:rsidRPr="00201E0F" w:rsidRDefault="004C4C39" w:rsidP="004C4C39">
            <w:pPr>
              <w:spacing w:after="0"/>
              <w:rPr>
                <w:rFonts w:eastAsia="Times New Roman"/>
                <w:color w:val="000000"/>
                <w:sz w:val="20"/>
                <w:szCs w:val="20"/>
              </w:rPr>
            </w:pPr>
            <w:r w:rsidRPr="00201E0F">
              <w:rPr>
                <w:rFonts w:eastAsia="Times New Roman"/>
                <w:color w:val="000000"/>
                <w:sz w:val="20"/>
                <w:szCs w:val="20"/>
              </w:rPr>
              <w:t>Group Home/ Other</w:t>
            </w:r>
          </w:p>
        </w:tc>
        <w:tc>
          <w:tcPr>
            <w:tcW w:w="726" w:type="pct"/>
          </w:tcPr>
          <w:p w14:paraId="0EB800F5" w14:textId="77777777" w:rsidR="004C4C39" w:rsidRPr="00201E0F" w:rsidRDefault="004C4C39" w:rsidP="004C4C39">
            <w:pPr>
              <w:spacing w:after="0"/>
              <w:jc w:val="center"/>
              <w:rPr>
                <w:rFonts w:eastAsia="Calibri"/>
                <w:sz w:val="20"/>
                <w:szCs w:val="20"/>
              </w:rPr>
            </w:pPr>
          </w:p>
        </w:tc>
        <w:tc>
          <w:tcPr>
            <w:tcW w:w="484" w:type="pct"/>
          </w:tcPr>
          <w:p w14:paraId="44097FAF"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76</w:t>
            </w:r>
          </w:p>
        </w:tc>
        <w:tc>
          <w:tcPr>
            <w:tcW w:w="622" w:type="pct"/>
            <w:tcBorders>
              <w:right w:val="dotted" w:sz="4" w:space="0" w:color="auto"/>
            </w:tcBorders>
          </w:tcPr>
          <w:p w14:paraId="3B743DC2"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2.55</w:t>
            </w:r>
          </w:p>
        </w:tc>
        <w:tc>
          <w:tcPr>
            <w:tcW w:w="677" w:type="pct"/>
            <w:tcBorders>
              <w:left w:val="dotted" w:sz="4" w:space="0" w:color="auto"/>
            </w:tcBorders>
          </w:tcPr>
          <w:p w14:paraId="75720581"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53</w:t>
            </w:r>
          </w:p>
        </w:tc>
        <w:tc>
          <w:tcPr>
            <w:tcW w:w="758" w:type="pct"/>
          </w:tcPr>
          <w:p w14:paraId="324A1163"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bCs/>
                <w:color w:val="000000"/>
                <w:sz w:val="20"/>
                <w:szCs w:val="20"/>
              </w:rPr>
              <w:t>2.22</w:t>
            </w:r>
          </w:p>
        </w:tc>
      </w:tr>
      <w:tr w:rsidR="00600B3B" w:rsidRPr="00201E0F" w14:paraId="709BF9D6" w14:textId="77777777" w:rsidTr="00600B3B">
        <w:trPr>
          <w:trHeight w:val="490"/>
        </w:trPr>
        <w:tc>
          <w:tcPr>
            <w:tcW w:w="1733" w:type="pct"/>
            <w:gridSpan w:val="2"/>
          </w:tcPr>
          <w:p w14:paraId="67EEB344" w14:textId="77777777" w:rsidR="004C4C39" w:rsidRPr="00201E0F" w:rsidRDefault="004C4C39" w:rsidP="004C4C39">
            <w:pPr>
              <w:spacing w:after="0"/>
              <w:rPr>
                <w:rFonts w:eastAsia="Calibri"/>
                <w:sz w:val="20"/>
                <w:szCs w:val="20"/>
              </w:rPr>
            </w:pPr>
            <w:r w:rsidRPr="00201E0F">
              <w:rPr>
                <w:rFonts w:eastAsia="Calibri"/>
                <w:sz w:val="20"/>
                <w:szCs w:val="20"/>
              </w:rPr>
              <w:t>Most Severe Maltreatment (n=1,6264)</w:t>
            </w:r>
          </w:p>
        </w:tc>
        <w:tc>
          <w:tcPr>
            <w:tcW w:w="726" w:type="pct"/>
          </w:tcPr>
          <w:p w14:paraId="4B6033DC" w14:textId="77777777" w:rsidR="004C4C39" w:rsidRPr="00201E0F" w:rsidRDefault="004C4C39" w:rsidP="004C4C39">
            <w:pPr>
              <w:spacing w:after="0"/>
              <w:jc w:val="center"/>
              <w:rPr>
                <w:rFonts w:eastAsia="Calibri"/>
                <w:sz w:val="20"/>
                <w:szCs w:val="20"/>
              </w:rPr>
            </w:pPr>
            <w:r w:rsidRPr="00201E0F">
              <w:rPr>
                <w:rFonts w:eastAsia="Calibri"/>
                <w:sz w:val="20"/>
                <w:szCs w:val="20"/>
              </w:rPr>
              <w:t>88(6.48)</w:t>
            </w:r>
          </w:p>
        </w:tc>
        <w:tc>
          <w:tcPr>
            <w:tcW w:w="484" w:type="pct"/>
          </w:tcPr>
          <w:p w14:paraId="44B257F0" w14:textId="77777777" w:rsidR="004C4C39" w:rsidRPr="00201E0F" w:rsidRDefault="004C4C39" w:rsidP="004C4C39">
            <w:pPr>
              <w:spacing w:after="0"/>
              <w:jc w:val="center"/>
              <w:rPr>
                <w:rFonts w:eastAsia="Calibri"/>
                <w:sz w:val="20"/>
                <w:szCs w:val="20"/>
              </w:rPr>
            </w:pPr>
          </w:p>
        </w:tc>
        <w:tc>
          <w:tcPr>
            <w:tcW w:w="622" w:type="pct"/>
            <w:tcBorders>
              <w:right w:val="dotted" w:sz="4" w:space="0" w:color="auto"/>
            </w:tcBorders>
          </w:tcPr>
          <w:p w14:paraId="08E463F0" w14:textId="77777777" w:rsidR="004C4C39" w:rsidRPr="00201E0F" w:rsidRDefault="004C4C39" w:rsidP="004C4C39">
            <w:pPr>
              <w:spacing w:after="0"/>
              <w:jc w:val="center"/>
              <w:rPr>
                <w:rFonts w:eastAsia="Calibri"/>
                <w:b/>
                <w:sz w:val="20"/>
                <w:szCs w:val="20"/>
              </w:rPr>
            </w:pPr>
          </w:p>
        </w:tc>
        <w:tc>
          <w:tcPr>
            <w:tcW w:w="677" w:type="pct"/>
            <w:tcBorders>
              <w:left w:val="dotted" w:sz="4" w:space="0" w:color="auto"/>
            </w:tcBorders>
          </w:tcPr>
          <w:p w14:paraId="3CDAA82F" w14:textId="77777777" w:rsidR="004C4C39" w:rsidRPr="00201E0F" w:rsidRDefault="004C4C39" w:rsidP="004C4C39">
            <w:pPr>
              <w:spacing w:after="0"/>
              <w:jc w:val="center"/>
              <w:rPr>
                <w:rFonts w:eastAsia="Calibri"/>
                <w:sz w:val="20"/>
                <w:szCs w:val="20"/>
              </w:rPr>
            </w:pPr>
          </w:p>
        </w:tc>
        <w:tc>
          <w:tcPr>
            <w:tcW w:w="758" w:type="pct"/>
          </w:tcPr>
          <w:p w14:paraId="2B72DD2E" w14:textId="77777777" w:rsidR="004C4C39" w:rsidRPr="00201E0F" w:rsidRDefault="004C4C39" w:rsidP="004C4C39">
            <w:pPr>
              <w:spacing w:after="0"/>
              <w:jc w:val="center"/>
              <w:rPr>
                <w:rFonts w:eastAsia="Calibri"/>
                <w:b/>
                <w:sz w:val="20"/>
                <w:szCs w:val="20"/>
              </w:rPr>
            </w:pPr>
          </w:p>
        </w:tc>
      </w:tr>
      <w:tr w:rsidR="00600B3B" w:rsidRPr="00201E0F" w14:paraId="111E502B" w14:textId="77777777" w:rsidTr="00600B3B">
        <w:trPr>
          <w:trHeight w:val="262"/>
        </w:trPr>
        <w:tc>
          <w:tcPr>
            <w:tcW w:w="442" w:type="pct"/>
          </w:tcPr>
          <w:p w14:paraId="2ACC7590" w14:textId="77777777" w:rsidR="004C4C39" w:rsidRPr="00201E0F" w:rsidRDefault="004C4C39" w:rsidP="004C4C39">
            <w:pPr>
              <w:spacing w:after="0"/>
              <w:rPr>
                <w:rFonts w:eastAsia="Calibri"/>
                <w:sz w:val="20"/>
                <w:szCs w:val="20"/>
              </w:rPr>
            </w:pPr>
          </w:p>
        </w:tc>
        <w:tc>
          <w:tcPr>
            <w:tcW w:w="1291" w:type="pct"/>
          </w:tcPr>
          <w:p w14:paraId="00C6E1AB" w14:textId="77777777" w:rsidR="004C4C39" w:rsidRPr="00201E0F" w:rsidRDefault="004C4C39" w:rsidP="004C4C39">
            <w:pPr>
              <w:spacing w:after="0"/>
              <w:rPr>
                <w:rFonts w:eastAsia="Calibri"/>
                <w:sz w:val="20"/>
                <w:szCs w:val="20"/>
              </w:rPr>
            </w:pPr>
            <w:r w:rsidRPr="00201E0F">
              <w:rPr>
                <w:rFonts w:eastAsia="Calibri"/>
                <w:sz w:val="20"/>
                <w:szCs w:val="20"/>
              </w:rPr>
              <w:t>Neglect</w:t>
            </w:r>
          </w:p>
        </w:tc>
        <w:tc>
          <w:tcPr>
            <w:tcW w:w="726" w:type="pct"/>
          </w:tcPr>
          <w:p w14:paraId="68CC141E" w14:textId="77777777" w:rsidR="004C4C39" w:rsidRPr="00201E0F" w:rsidRDefault="004C4C39" w:rsidP="004C4C39">
            <w:pPr>
              <w:spacing w:after="0"/>
              <w:jc w:val="center"/>
              <w:rPr>
                <w:rFonts w:eastAsia="Calibri"/>
                <w:sz w:val="20"/>
                <w:szCs w:val="20"/>
              </w:rPr>
            </w:pPr>
          </w:p>
        </w:tc>
        <w:tc>
          <w:tcPr>
            <w:tcW w:w="484" w:type="pct"/>
          </w:tcPr>
          <w:p w14:paraId="782CA92C"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721</w:t>
            </w:r>
          </w:p>
        </w:tc>
        <w:tc>
          <w:tcPr>
            <w:tcW w:w="622" w:type="pct"/>
            <w:tcBorders>
              <w:right w:val="dotted" w:sz="4" w:space="0" w:color="auto"/>
            </w:tcBorders>
          </w:tcPr>
          <w:p w14:paraId="64630653"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color w:val="000000"/>
                <w:sz w:val="20"/>
                <w:szCs w:val="20"/>
              </w:rPr>
              <w:t>45.66</w:t>
            </w:r>
          </w:p>
        </w:tc>
        <w:tc>
          <w:tcPr>
            <w:tcW w:w="677" w:type="pct"/>
            <w:tcBorders>
              <w:left w:val="dotted" w:sz="4" w:space="0" w:color="auto"/>
            </w:tcBorders>
          </w:tcPr>
          <w:p w14:paraId="45F69C68"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584</w:t>
            </w:r>
          </w:p>
        </w:tc>
        <w:tc>
          <w:tcPr>
            <w:tcW w:w="758" w:type="pct"/>
          </w:tcPr>
          <w:p w14:paraId="20DB1E18"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color w:val="000000"/>
                <w:sz w:val="20"/>
                <w:szCs w:val="20"/>
              </w:rPr>
              <w:t>46.62</w:t>
            </w:r>
          </w:p>
        </w:tc>
      </w:tr>
      <w:tr w:rsidR="00600B3B" w:rsidRPr="00201E0F" w14:paraId="3EEB9500" w14:textId="77777777" w:rsidTr="00600B3B">
        <w:trPr>
          <w:trHeight w:val="244"/>
        </w:trPr>
        <w:tc>
          <w:tcPr>
            <w:tcW w:w="442" w:type="pct"/>
          </w:tcPr>
          <w:p w14:paraId="52F6461B" w14:textId="77777777" w:rsidR="004C4C39" w:rsidRPr="00201E0F" w:rsidRDefault="004C4C39" w:rsidP="004C4C39">
            <w:pPr>
              <w:spacing w:after="0"/>
              <w:rPr>
                <w:rFonts w:eastAsia="Calibri"/>
                <w:sz w:val="20"/>
                <w:szCs w:val="20"/>
              </w:rPr>
            </w:pPr>
          </w:p>
        </w:tc>
        <w:tc>
          <w:tcPr>
            <w:tcW w:w="1291" w:type="pct"/>
          </w:tcPr>
          <w:p w14:paraId="4CEC5465" w14:textId="77777777" w:rsidR="004C4C39" w:rsidRPr="00201E0F" w:rsidRDefault="004C4C39" w:rsidP="004C4C39">
            <w:pPr>
              <w:spacing w:after="0"/>
              <w:rPr>
                <w:rFonts w:eastAsia="Calibri"/>
                <w:sz w:val="20"/>
                <w:szCs w:val="20"/>
              </w:rPr>
            </w:pPr>
            <w:r w:rsidRPr="00201E0F">
              <w:rPr>
                <w:rFonts w:eastAsia="Calibri"/>
                <w:sz w:val="20"/>
                <w:szCs w:val="20"/>
              </w:rPr>
              <w:t>Physical Abuse</w:t>
            </w:r>
          </w:p>
        </w:tc>
        <w:tc>
          <w:tcPr>
            <w:tcW w:w="726" w:type="pct"/>
          </w:tcPr>
          <w:p w14:paraId="216E97AF" w14:textId="77777777" w:rsidR="004C4C39" w:rsidRPr="00201E0F" w:rsidRDefault="004C4C39" w:rsidP="004C4C39">
            <w:pPr>
              <w:spacing w:after="0"/>
              <w:jc w:val="center"/>
              <w:rPr>
                <w:rFonts w:eastAsia="Calibri"/>
                <w:sz w:val="20"/>
                <w:szCs w:val="20"/>
              </w:rPr>
            </w:pPr>
          </w:p>
        </w:tc>
        <w:tc>
          <w:tcPr>
            <w:tcW w:w="484" w:type="pct"/>
          </w:tcPr>
          <w:p w14:paraId="2ABDEB1E"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414</w:t>
            </w:r>
          </w:p>
        </w:tc>
        <w:tc>
          <w:tcPr>
            <w:tcW w:w="622" w:type="pct"/>
            <w:tcBorders>
              <w:right w:val="dotted" w:sz="4" w:space="0" w:color="auto"/>
            </w:tcBorders>
          </w:tcPr>
          <w:p w14:paraId="52F1AFDF"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color w:val="000000"/>
                <w:sz w:val="20"/>
                <w:szCs w:val="20"/>
              </w:rPr>
              <w:t>30.79</w:t>
            </w:r>
          </w:p>
        </w:tc>
        <w:tc>
          <w:tcPr>
            <w:tcW w:w="677" w:type="pct"/>
            <w:tcBorders>
              <w:left w:val="dotted" w:sz="4" w:space="0" w:color="auto"/>
            </w:tcBorders>
          </w:tcPr>
          <w:p w14:paraId="1CF4CCEA"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337</w:t>
            </w:r>
          </w:p>
        </w:tc>
        <w:tc>
          <w:tcPr>
            <w:tcW w:w="758" w:type="pct"/>
          </w:tcPr>
          <w:p w14:paraId="7665EABF"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color w:val="000000"/>
                <w:sz w:val="20"/>
                <w:szCs w:val="20"/>
              </w:rPr>
              <w:t>29.73</w:t>
            </w:r>
          </w:p>
        </w:tc>
      </w:tr>
      <w:tr w:rsidR="00600B3B" w:rsidRPr="00201E0F" w14:paraId="25F73118" w14:textId="77777777" w:rsidTr="00600B3B">
        <w:trPr>
          <w:trHeight w:val="262"/>
        </w:trPr>
        <w:tc>
          <w:tcPr>
            <w:tcW w:w="442" w:type="pct"/>
          </w:tcPr>
          <w:p w14:paraId="6EC00554" w14:textId="77777777" w:rsidR="004C4C39" w:rsidRPr="00201E0F" w:rsidRDefault="004C4C39" w:rsidP="004C4C39">
            <w:pPr>
              <w:spacing w:after="0"/>
              <w:rPr>
                <w:rFonts w:eastAsia="Calibri"/>
                <w:sz w:val="20"/>
                <w:szCs w:val="20"/>
              </w:rPr>
            </w:pPr>
          </w:p>
        </w:tc>
        <w:tc>
          <w:tcPr>
            <w:tcW w:w="1291" w:type="pct"/>
          </w:tcPr>
          <w:p w14:paraId="579949AC" w14:textId="77777777" w:rsidR="004C4C39" w:rsidRPr="00201E0F" w:rsidRDefault="004C4C39" w:rsidP="004C4C39">
            <w:pPr>
              <w:spacing w:after="0"/>
              <w:rPr>
                <w:rFonts w:eastAsia="Calibri"/>
                <w:sz w:val="20"/>
                <w:szCs w:val="20"/>
              </w:rPr>
            </w:pPr>
            <w:r w:rsidRPr="00201E0F">
              <w:rPr>
                <w:rFonts w:eastAsia="Calibri"/>
                <w:sz w:val="20"/>
                <w:szCs w:val="20"/>
              </w:rPr>
              <w:t>Sexual Abuse</w:t>
            </w:r>
          </w:p>
        </w:tc>
        <w:tc>
          <w:tcPr>
            <w:tcW w:w="726" w:type="pct"/>
          </w:tcPr>
          <w:p w14:paraId="2EAC2387" w14:textId="77777777" w:rsidR="004C4C39" w:rsidRPr="00201E0F" w:rsidRDefault="004C4C39" w:rsidP="004C4C39">
            <w:pPr>
              <w:spacing w:after="0"/>
              <w:jc w:val="center"/>
              <w:rPr>
                <w:rFonts w:eastAsia="Calibri"/>
                <w:sz w:val="20"/>
                <w:szCs w:val="20"/>
              </w:rPr>
            </w:pPr>
          </w:p>
        </w:tc>
        <w:tc>
          <w:tcPr>
            <w:tcW w:w="484" w:type="pct"/>
          </w:tcPr>
          <w:p w14:paraId="1CDBB5EE"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304</w:t>
            </w:r>
          </w:p>
        </w:tc>
        <w:tc>
          <w:tcPr>
            <w:tcW w:w="622" w:type="pct"/>
            <w:tcBorders>
              <w:right w:val="dotted" w:sz="4" w:space="0" w:color="auto"/>
            </w:tcBorders>
          </w:tcPr>
          <w:p w14:paraId="33DF34AB"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color w:val="000000"/>
                <w:sz w:val="20"/>
                <w:szCs w:val="20"/>
              </w:rPr>
              <w:t>11.23</w:t>
            </w:r>
          </w:p>
        </w:tc>
        <w:tc>
          <w:tcPr>
            <w:tcW w:w="677" w:type="pct"/>
            <w:tcBorders>
              <w:left w:val="dotted" w:sz="4" w:space="0" w:color="auto"/>
            </w:tcBorders>
          </w:tcPr>
          <w:p w14:paraId="14F4495C"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249</w:t>
            </w:r>
          </w:p>
        </w:tc>
        <w:tc>
          <w:tcPr>
            <w:tcW w:w="758" w:type="pct"/>
          </w:tcPr>
          <w:p w14:paraId="7AAEFB9A"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color w:val="000000"/>
                <w:sz w:val="20"/>
                <w:szCs w:val="20"/>
              </w:rPr>
              <w:t>10.57</w:t>
            </w:r>
          </w:p>
        </w:tc>
      </w:tr>
      <w:tr w:rsidR="00600B3B" w:rsidRPr="00201E0F" w14:paraId="765B7DC8" w14:textId="77777777" w:rsidTr="00600B3B">
        <w:trPr>
          <w:trHeight w:val="244"/>
        </w:trPr>
        <w:tc>
          <w:tcPr>
            <w:tcW w:w="442" w:type="pct"/>
            <w:tcBorders>
              <w:bottom w:val="thickThinSmallGap" w:sz="24" w:space="0" w:color="auto"/>
            </w:tcBorders>
          </w:tcPr>
          <w:p w14:paraId="172319CC" w14:textId="77777777" w:rsidR="004C4C39" w:rsidRPr="00201E0F" w:rsidRDefault="004C4C39" w:rsidP="004C4C39">
            <w:pPr>
              <w:spacing w:after="0"/>
              <w:rPr>
                <w:rFonts w:eastAsia="Calibri"/>
                <w:sz w:val="20"/>
                <w:szCs w:val="20"/>
              </w:rPr>
            </w:pPr>
          </w:p>
        </w:tc>
        <w:tc>
          <w:tcPr>
            <w:tcW w:w="1291" w:type="pct"/>
            <w:tcBorders>
              <w:bottom w:val="thickThinSmallGap" w:sz="24" w:space="0" w:color="auto"/>
            </w:tcBorders>
          </w:tcPr>
          <w:p w14:paraId="38A163CD" w14:textId="77777777" w:rsidR="004C4C39" w:rsidRPr="00201E0F" w:rsidRDefault="004C4C39" w:rsidP="004C4C39">
            <w:pPr>
              <w:spacing w:after="0"/>
              <w:rPr>
                <w:rFonts w:eastAsia="Calibri"/>
                <w:sz w:val="20"/>
                <w:szCs w:val="20"/>
              </w:rPr>
            </w:pPr>
            <w:r w:rsidRPr="00201E0F">
              <w:rPr>
                <w:rFonts w:eastAsia="Calibri"/>
                <w:sz w:val="20"/>
                <w:szCs w:val="20"/>
              </w:rPr>
              <w:t>Other</w:t>
            </w:r>
          </w:p>
        </w:tc>
        <w:tc>
          <w:tcPr>
            <w:tcW w:w="726" w:type="pct"/>
            <w:tcBorders>
              <w:bottom w:val="thickThinSmallGap" w:sz="24" w:space="0" w:color="auto"/>
            </w:tcBorders>
          </w:tcPr>
          <w:p w14:paraId="227E8E42" w14:textId="77777777" w:rsidR="004C4C39" w:rsidRPr="00201E0F" w:rsidRDefault="004C4C39" w:rsidP="004C4C39">
            <w:pPr>
              <w:spacing w:after="0"/>
              <w:jc w:val="center"/>
              <w:rPr>
                <w:rFonts w:eastAsia="Calibri"/>
                <w:sz w:val="20"/>
                <w:szCs w:val="20"/>
              </w:rPr>
            </w:pPr>
          </w:p>
        </w:tc>
        <w:tc>
          <w:tcPr>
            <w:tcW w:w="484" w:type="pct"/>
            <w:tcBorders>
              <w:bottom w:val="thickThinSmallGap" w:sz="24" w:space="0" w:color="auto"/>
            </w:tcBorders>
          </w:tcPr>
          <w:p w14:paraId="6C244B32"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187</w:t>
            </w:r>
          </w:p>
        </w:tc>
        <w:tc>
          <w:tcPr>
            <w:tcW w:w="622" w:type="pct"/>
            <w:tcBorders>
              <w:bottom w:val="thickThinSmallGap" w:sz="24" w:space="0" w:color="auto"/>
              <w:right w:val="dotted" w:sz="4" w:space="0" w:color="auto"/>
            </w:tcBorders>
          </w:tcPr>
          <w:p w14:paraId="4765B978"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color w:val="000000"/>
                <w:sz w:val="20"/>
                <w:szCs w:val="20"/>
              </w:rPr>
              <w:t>12.31</w:t>
            </w:r>
          </w:p>
        </w:tc>
        <w:tc>
          <w:tcPr>
            <w:tcW w:w="677" w:type="pct"/>
            <w:tcBorders>
              <w:left w:val="dotted" w:sz="4" w:space="0" w:color="auto"/>
              <w:bottom w:val="thickThinSmallGap" w:sz="24" w:space="0" w:color="auto"/>
            </w:tcBorders>
          </w:tcPr>
          <w:p w14:paraId="2489179F" w14:textId="77777777" w:rsidR="004C4C39" w:rsidRPr="00201E0F" w:rsidRDefault="004C4C39" w:rsidP="004C4C39">
            <w:pPr>
              <w:spacing w:after="0"/>
              <w:jc w:val="center"/>
              <w:rPr>
                <w:rFonts w:eastAsia="Times New Roman"/>
                <w:color w:val="000000"/>
                <w:sz w:val="20"/>
                <w:szCs w:val="20"/>
              </w:rPr>
            </w:pPr>
            <w:r w:rsidRPr="00201E0F">
              <w:rPr>
                <w:rFonts w:eastAsia="Times New Roman"/>
                <w:color w:val="000000"/>
                <w:sz w:val="20"/>
                <w:szCs w:val="20"/>
              </w:rPr>
              <w:t>161</w:t>
            </w:r>
          </w:p>
        </w:tc>
        <w:tc>
          <w:tcPr>
            <w:tcW w:w="758" w:type="pct"/>
            <w:tcBorders>
              <w:bottom w:val="thickThinSmallGap" w:sz="24" w:space="0" w:color="auto"/>
            </w:tcBorders>
          </w:tcPr>
          <w:p w14:paraId="3A5BFF3C" w14:textId="77777777" w:rsidR="004C4C39" w:rsidRPr="00201E0F" w:rsidRDefault="004C4C39" w:rsidP="004C4C39">
            <w:pPr>
              <w:spacing w:after="0"/>
              <w:jc w:val="center"/>
              <w:rPr>
                <w:rFonts w:eastAsia="Times New Roman"/>
                <w:b/>
                <w:color w:val="000000"/>
                <w:sz w:val="20"/>
                <w:szCs w:val="20"/>
              </w:rPr>
            </w:pPr>
            <w:r w:rsidRPr="00201E0F">
              <w:rPr>
                <w:rFonts w:eastAsia="Times New Roman"/>
                <w:b/>
                <w:color w:val="000000"/>
                <w:sz w:val="20"/>
                <w:szCs w:val="20"/>
              </w:rPr>
              <w:t>13.08</w:t>
            </w:r>
          </w:p>
        </w:tc>
      </w:tr>
    </w:tbl>
    <w:p w14:paraId="024704FA" w14:textId="56E0AAD5" w:rsidR="001A5BA2" w:rsidRPr="00447DE8" w:rsidRDefault="004C4C39" w:rsidP="00447DE8">
      <w:pPr>
        <w:spacing w:after="0"/>
        <w:rPr>
          <w:rFonts w:eastAsia="Calibri"/>
          <w:color w:val="000000"/>
          <w:sz w:val="21"/>
        </w:rPr>
      </w:pPr>
      <w:r w:rsidRPr="00A32EED">
        <w:rPr>
          <w:rFonts w:eastAsia="Calibri"/>
          <w:color w:val="000000"/>
          <w:sz w:val="21"/>
        </w:rPr>
        <w:t>*Significant differences are bolded.</w:t>
      </w:r>
    </w:p>
    <w:p w14:paraId="60A4214C" w14:textId="0CE68347" w:rsidR="004C4C39" w:rsidRPr="00A32EED" w:rsidRDefault="004C4C39" w:rsidP="0023176A">
      <w:pPr>
        <w:pStyle w:val="Caption1"/>
        <w:rPr>
          <w:rFonts w:eastAsia="Calibri"/>
        </w:rPr>
      </w:pPr>
      <w:bookmarkStart w:id="128" w:name="_Toc479941241"/>
      <w:r w:rsidRPr="00A32EED">
        <w:rPr>
          <w:rFonts w:eastAsia="Calibri"/>
        </w:rPr>
        <w:lastRenderedPageBreak/>
        <w:t>Table 6.</w:t>
      </w:r>
      <w:r w:rsidRPr="00A32EED">
        <w:rPr>
          <w:rFonts w:eastAsia="Calibri"/>
        </w:rPr>
        <w:fldChar w:fldCharType="begin"/>
      </w:r>
      <w:r w:rsidRPr="00A32EED">
        <w:rPr>
          <w:rFonts w:eastAsia="Calibri"/>
        </w:rPr>
        <w:instrText xml:space="preserve"> SEQ Table_6. \* ARABIC </w:instrText>
      </w:r>
      <w:r w:rsidRPr="00A32EED">
        <w:rPr>
          <w:rFonts w:eastAsia="Calibri"/>
        </w:rPr>
        <w:fldChar w:fldCharType="separate"/>
      </w:r>
      <w:r w:rsidR="00FA12E2">
        <w:rPr>
          <w:rFonts w:eastAsia="Calibri"/>
          <w:noProof/>
        </w:rPr>
        <w:t>2</w:t>
      </w:r>
      <w:r w:rsidRPr="00A32EED">
        <w:rPr>
          <w:rFonts w:eastAsia="Calibri"/>
          <w:noProof/>
        </w:rPr>
        <w:fldChar w:fldCharType="end"/>
      </w:r>
      <w:r w:rsidRPr="00A32EED">
        <w:rPr>
          <w:rFonts w:eastAsia="Calibri"/>
        </w:rPr>
        <w:t>: Descriptive Statistics for 12-Year-Old and Criminal Justice Contact Analytical Sample</w:t>
      </w:r>
      <w:bookmarkEnd w:id="128"/>
    </w:p>
    <w:tbl>
      <w:tblPr>
        <w:tblStyle w:val="ListTable21"/>
        <w:tblW w:w="4826" w:type="pct"/>
        <w:tblLook w:val="04A0" w:firstRow="1" w:lastRow="0" w:firstColumn="1" w:lastColumn="0" w:noHBand="0" w:noVBand="1"/>
      </w:tblPr>
      <w:tblGrid>
        <w:gridCol w:w="1165"/>
        <w:gridCol w:w="1334"/>
        <w:gridCol w:w="769"/>
        <w:gridCol w:w="959"/>
        <w:gridCol w:w="1079"/>
        <w:gridCol w:w="769"/>
        <w:gridCol w:w="959"/>
        <w:gridCol w:w="1166"/>
      </w:tblGrid>
      <w:tr w:rsidR="00B64845" w:rsidRPr="00B64845" w14:paraId="075BE88D" w14:textId="77777777" w:rsidTr="00B64845">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10" w:type="pct"/>
          </w:tcPr>
          <w:p w14:paraId="139E5846" w14:textId="77777777" w:rsidR="004C4C39" w:rsidRPr="00B64845" w:rsidRDefault="004C4C39" w:rsidP="004C4C39">
            <w:pPr>
              <w:rPr>
                <w:rFonts w:eastAsia="Calibri" w:cs="Arial"/>
                <w:sz w:val="22"/>
              </w:rPr>
            </w:pPr>
          </w:p>
        </w:tc>
        <w:tc>
          <w:tcPr>
            <w:tcW w:w="2524" w:type="pct"/>
            <w:gridSpan w:val="4"/>
          </w:tcPr>
          <w:p w14:paraId="3CAD2BFA" w14:textId="77777777" w:rsidR="004C4C39" w:rsidRPr="00B64845"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sz w:val="22"/>
              </w:rPr>
            </w:pPr>
            <w:r w:rsidRPr="00B64845">
              <w:rPr>
                <w:rFonts w:eastAsia="Calibri" w:cs="Arial"/>
                <w:sz w:val="22"/>
              </w:rPr>
              <w:t>12-Year-Old Sample (n=1,770)</w:t>
            </w:r>
          </w:p>
        </w:tc>
        <w:tc>
          <w:tcPr>
            <w:tcW w:w="1766" w:type="pct"/>
            <w:gridSpan w:val="3"/>
          </w:tcPr>
          <w:p w14:paraId="5A7CF8A6" w14:textId="77777777" w:rsidR="004C4C39" w:rsidRPr="00B64845" w:rsidRDefault="004C4C39" w:rsidP="004C4C39">
            <w:pPr>
              <w:cnfStyle w:val="100000000000" w:firstRow="1" w:lastRow="0" w:firstColumn="0" w:lastColumn="0" w:oddVBand="0" w:evenVBand="0" w:oddHBand="0" w:evenHBand="0" w:firstRowFirstColumn="0" w:firstRowLastColumn="0" w:lastRowFirstColumn="0" w:lastRowLastColumn="0"/>
              <w:rPr>
                <w:rFonts w:eastAsia="Calibri" w:cs="Arial"/>
                <w:sz w:val="22"/>
              </w:rPr>
            </w:pPr>
            <w:r w:rsidRPr="00B64845">
              <w:rPr>
                <w:rFonts w:eastAsia="Calibri" w:cs="Arial"/>
                <w:sz w:val="22"/>
              </w:rPr>
              <w:t>C.J. Contact Analytical Sample (n=1,331)</w:t>
            </w:r>
          </w:p>
        </w:tc>
      </w:tr>
      <w:tr w:rsidR="00B64845" w:rsidRPr="00B64845" w14:paraId="014CE938" w14:textId="77777777" w:rsidTr="00B6484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10" w:type="pct"/>
          </w:tcPr>
          <w:p w14:paraId="6BF52071" w14:textId="77777777" w:rsidR="004C4C39" w:rsidRPr="00B64845" w:rsidRDefault="004C4C39" w:rsidP="004C4C39">
            <w:pPr>
              <w:rPr>
                <w:rFonts w:eastAsia="Calibri" w:cs="Arial"/>
                <w:sz w:val="22"/>
              </w:rPr>
            </w:pPr>
          </w:p>
        </w:tc>
        <w:tc>
          <w:tcPr>
            <w:tcW w:w="813" w:type="pct"/>
          </w:tcPr>
          <w:p w14:paraId="35EA8A3C"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Missing (%)</w:t>
            </w:r>
          </w:p>
        </w:tc>
        <w:tc>
          <w:tcPr>
            <w:tcW w:w="469" w:type="pct"/>
          </w:tcPr>
          <w:p w14:paraId="01C5EAF4"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Mean</w:t>
            </w:r>
          </w:p>
        </w:tc>
        <w:tc>
          <w:tcPr>
            <w:tcW w:w="585" w:type="pct"/>
          </w:tcPr>
          <w:p w14:paraId="20D34D3D"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Median</w:t>
            </w:r>
          </w:p>
        </w:tc>
        <w:tc>
          <w:tcPr>
            <w:tcW w:w="658" w:type="pct"/>
          </w:tcPr>
          <w:p w14:paraId="6546D249"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Min/Max</w:t>
            </w:r>
          </w:p>
        </w:tc>
        <w:tc>
          <w:tcPr>
            <w:tcW w:w="469" w:type="pct"/>
          </w:tcPr>
          <w:p w14:paraId="68FE230B"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Mean</w:t>
            </w:r>
          </w:p>
        </w:tc>
        <w:tc>
          <w:tcPr>
            <w:tcW w:w="585" w:type="pct"/>
          </w:tcPr>
          <w:p w14:paraId="789345BE"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Median</w:t>
            </w:r>
          </w:p>
        </w:tc>
        <w:tc>
          <w:tcPr>
            <w:tcW w:w="712" w:type="pct"/>
          </w:tcPr>
          <w:p w14:paraId="44E787AE"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Min/Max</w:t>
            </w:r>
          </w:p>
        </w:tc>
      </w:tr>
      <w:tr w:rsidR="00B64845" w:rsidRPr="00B64845" w14:paraId="5E1683C3" w14:textId="77777777" w:rsidTr="00B64845">
        <w:trPr>
          <w:trHeight w:val="501"/>
        </w:trPr>
        <w:tc>
          <w:tcPr>
            <w:cnfStyle w:val="001000000000" w:firstRow="0" w:lastRow="0" w:firstColumn="1" w:lastColumn="0" w:oddVBand="0" w:evenVBand="0" w:oddHBand="0" w:evenHBand="0" w:firstRowFirstColumn="0" w:firstRowLastColumn="0" w:lastRowFirstColumn="0" w:lastRowLastColumn="0"/>
            <w:tcW w:w="710" w:type="pct"/>
          </w:tcPr>
          <w:p w14:paraId="7E9BB5FF" w14:textId="77777777" w:rsidR="004C4C39" w:rsidRPr="00B64845" w:rsidRDefault="004C4C39" w:rsidP="004C4C39">
            <w:pPr>
              <w:rPr>
                <w:rFonts w:eastAsia="Calibri" w:cs="Arial"/>
                <w:sz w:val="22"/>
              </w:rPr>
            </w:pPr>
            <w:r w:rsidRPr="00B64845">
              <w:rPr>
                <w:rFonts w:eastAsia="Calibri" w:cs="Arial"/>
                <w:sz w:val="22"/>
              </w:rPr>
              <w:t>Age at Baseline</w:t>
            </w:r>
          </w:p>
        </w:tc>
        <w:tc>
          <w:tcPr>
            <w:tcW w:w="813" w:type="pct"/>
          </w:tcPr>
          <w:p w14:paraId="36A201BB"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Calibri" w:cs="Arial"/>
                <w:sz w:val="22"/>
              </w:rPr>
              <w:t>0</w:t>
            </w:r>
          </w:p>
        </w:tc>
        <w:tc>
          <w:tcPr>
            <w:tcW w:w="469" w:type="pct"/>
          </w:tcPr>
          <w:p w14:paraId="00293F53"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Times New Roman" w:cs="Arial"/>
                <w:color w:val="000000"/>
                <w:sz w:val="22"/>
              </w:rPr>
              <w:t>9.89</w:t>
            </w:r>
          </w:p>
        </w:tc>
        <w:tc>
          <w:tcPr>
            <w:tcW w:w="585" w:type="pct"/>
          </w:tcPr>
          <w:p w14:paraId="496F0534"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Times New Roman" w:cs="Arial"/>
                <w:color w:val="000000"/>
                <w:sz w:val="22"/>
              </w:rPr>
              <w:t>10</w:t>
            </w:r>
          </w:p>
        </w:tc>
        <w:tc>
          <w:tcPr>
            <w:tcW w:w="658" w:type="pct"/>
          </w:tcPr>
          <w:p w14:paraId="4327829E"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Calibri" w:cs="Arial"/>
                <w:sz w:val="22"/>
              </w:rPr>
              <w:t>6/16</w:t>
            </w:r>
          </w:p>
        </w:tc>
        <w:tc>
          <w:tcPr>
            <w:tcW w:w="469" w:type="pct"/>
          </w:tcPr>
          <w:p w14:paraId="5DCAD0BF"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Times New Roman" w:cs="Arial"/>
                <w:color w:val="000000"/>
                <w:sz w:val="22"/>
              </w:rPr>
              <w:t>10.02</w:t>
            </w:r>
          </w:p>
        </w:tc>
        <w:tc>
          <w:tcPr>
            <w:tcW w:w="585" w:type="pct"/>
          </w:tcPr>
          <w:p w14:paraId="48B71810"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Times New Roman" w:cs="Arial"/>
                <w:color w:val="000000"/>
                <w:sz w:val="22"/>
              </w:rPr>
              <w:t>10</w:t>
            </w:r>
          </w:p>
        </w:tc>
        <w:tc>
          <w:tcPr>
            <w:tcW w:w="712" w:type="pct"/>
          </w:tcPr>
          <w:p w14:paraId="3322EE23"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Calibri" w:cs="Arial"/>
                <w:sz w:val="22"/>
              </w:rPr>
              <w:t>6/15</w:t>
            </w:r>
          </w:p>
        </w:tc>
      </w:tr>
      <w:tr w:rsidR="00B64845" w:rsidRPr="00B64845" w14:paraId="00BD3B8F" w14:textId="77777777" w:rsidTr="00B6484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10" w:type="pct"/>
          </w:tcPr>
          <w:p w14:paraId="20C9C1E2" w14:textId="77777777" w:rsidR="004C4C39" w:rsidRPr="00B64845" w:rsidRDefault="004C4C39" w:rsidP="004C4C39">
            <w:pPr>
              <w:rPr>
                <w:rFonts w:eastAsia="Calibri" w:cs="Arial"/>
                <w:sz w:val="22"/>
              </w:rPr>
            </w:pPr>
            <w:r w:rsidRPr="00B64845">
              <w:rPr>
                <w:rFonts w:eastAsia="Calibri" w:cs="Arial"/>
                <w:sz w:val="22"/>
              </w:rPr>
              <w:t>Level of Harm</w:t>
            </w:r>
          </w:p>
        </w:tc>
        <w:tc>
          <w:tcPr>
            <w:tcW w:w="813" w:type="pct"/>
          </w:tcPr>
          <w:p w14:paraId="771FC01C"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138(8.34)</w:t>
            </w:r>
          </w:p>
        </w:tc>
        <w:tc>
          <w:tcPr>
            <w:tcW w:w="469" w:type="pct"/>
          </w:tcPr>
          <w:p w14:paraId="1819D72E"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Times New Roman" w:cs="Arial"/>
                <w:color w:val="000000"/>
                <w:sz w:val="22"/>
              </w:rPr>
              <w:t>1.9</w:t>
            </w:r>
          </w:p>
        </w:tc>
        <w:tc>
          <w:tcPr>
            <w:tcW w:w="585" w:type="pct"/>
          </w:tcPr>
          <w:p w14:paraId="3260AD7E"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Times New Roman" w:cs="Arial"/>
                <w:color w:val="000000"/>
                <w:sz w:val="22"/>
              </w:rPr>
              <w:t>2</w:t>
            </w:r>
          </w:p>
        </w:tc>
        <w:tc>
          <w:tcPr>
            <w:tcW w:w="658" w:type="pct"/>
          </w:tcPr>
          <w:p w14:paraId="41EC93F0"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1/4</w:t>
            </w:r>
          </w:p>
        </w:tc>
        <w:tc>
          <w:tcPr>
            <w:tcW w:w="469" w:type="pct"/>
          </w:tcPr>
          <w:p w14:paraId="2BF43DDF"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Times New Roman" w:cs="Arial"/>
                <w:color w:val="000000"/>
                <w:sz w:val="22"/>
              </w:rPr>
              <w:t>1.89</w:t>
            </w:r>
          </w:p>
        </w:tc>
        <w:tc>
          <w:tcPr>
            <w:tcW w:w="585" w:type="pct"/>
          </w:tcPr>
          <w:p w14:paraId="53F66C20"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Times New Roman" w:cs="Arial"/>
                <w:color w:val="000000"/>
                <w:sz w:val="22"/>
              </w:rPr>
              <w:t>2</w:t>
            </w:r>
          </w:p>
        </w:tc>
        <w:tc>
          <w:tcPr>
            <w:tcW w:w="712" w:type="pct"/>
          </w:tcPr>
          <w:p w14:paraId="2F9EF8D8" w14:textId="77777777" w:rsidR="004C4C39" w:rsidRPr="00B64845"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B64845">
              <w:rPr>
                <w:rFonts w:eastAsia="Calibri" w:cs="Arial"/>
                <w:sz w:val="22"/>
              </w:rPr>
              <w:t>1/4</w:t>
            </w:r>
          </w:p>
        </w:tc>
      </w:tr>
      <w:tr w:rsidR="00B64845" w:rsidRPr="00B64845" w14:paraId="7589CB58" w14:textId="77777777" w:rsidTr="00B64845">
        <w:trPr>
          <w:trHeight w:val="501"/>
        </w:trPr>
        <w:tc>
          <w:tcPr>
            <w:cnfStyle w:val="001000000000" w:firstRow="0" w:lastRow="0" w:firstColumn="1" w:lastColumn="0" w:oddVBand="0" w:evenVBand="0" w:oddHBand="0" w:evenHBand="0" w:firstRowFirstColumn="0" w:firstRowLastColumn="0" w:lastRowFirstColumn="0" w:lastRowLastColumn="0"/>
            <w:tcW w:w="710" w:type="pct"/>
          </w:tcPr>
          <w:p w14:paraId="76A27C31" w14:textId="77777777" w:rsidR="004C4C39" w:rsidRPr="00B64845" w:rsidRDefault="004C4C39" w:rsidP="004C4C39">
            <w:pPr>
              <w:rPr>
                <w:rFonts w:eastAsia="Calibri" w:cs="Arial"/>
                <w:sz w:val="22"/>
              </w:rPr>
            </w:pPr>
            <w:r w:rsidRPr="00B64845">
              <w:rPr>
                <w:rFonts w:eastAsia="Calibri" w:cs="Arial"/>
                <w:sz w:val="22"/>
              </w:rPr>
              <w:t>Self-Control</w:t>
            </w:r>
          </w:p>
        </w:tc>
        <w:tc>
          <w:tcPr>
            <w:tcW w:w="813" w:type="pct"/>
          </w:tcPr>
          <w:p w14:paraId="52835A30"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Calibri" w:cs="Arial"/>
                <w:sz w:val="22"/>
              </w:rPr>
              <w:t>251(14.21)</w:t>
            </w:r>
          </w:p>
        </w:tc>
        <w:tc>
          <w:tcPr>
            <w:tcW w:w="469" w:type="pct"/>
          </w:tcPr>
          <w:p w14:paraId="1427C885"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Times New Roman" w:cs="Arial"/>
                <w:color w:val="000000"/>
                <w:sz w:val="22"/>
              </w:rPr>
              <w:t>14.00</w:t>
            </w:r>
          </w:p>
        </w:tc>
        <w:tc>
          <w:tcPr>
            <w:tcW w:w="585" w:type="pct"/>
          </w:tcPr>
          <w:p w14:paraId="55444B11"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Times New Roman" w:cs="Arial"/>
                <w:color w:val="000000"/>
                <w:sz w:val="22"/>
              </w:rPr>
              <w:t>15</w:t>
            </w:r>
          </w:p>
        </w:tc>
        <w:tc>
          <w:tcPr>
            <w:tcW w:w="658" w:type="pct"/>
          </w:tcPr>
          <w:p w14:paraId="3800A038"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Calibri" w:cs="Arial"/>
                <w:sz w:val="22"/>
              </w:rPr>
              <w:t>0/20</w:t>
            </w:r>
          </w:p>
        </w:tc>
        <w:tc>
          <w:tcPr>
            <w:tcW w:w="469" w:type="pct"/>
          </w:tcPr>
          <w:p w14:paraId="0B0F6468"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Times New Roman" w:cs="Arial"/>
                <w:color w:val="000000"/>
                <w:sz w:val="22"/>
              </w:rPr>
              <w:t>14.11</w:t>
            </w:r>
          </w:p>
        </w:tc>
        <w:tc>
          <w:tcPr>
            <w:tcW w:w="585" w:type="pct"/>
          </w:tcPr>
          <w:p w14:paraId="688B9803" w14:textId="77777777" w:rsidR="004C4C39" w:rsidRPr="00B64845"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Times New Roman" w:cs="Arial"/>
                <w:color w:val="000000"/>
                <w:sz w:val="22"/>
              </w:rPr>
              <w:t>15</w:t>
            </w:r>
          </w:p>
        </w:tc>
        <w:tc>
          <w:tcPr>
            <w:tcW w:w="712" w:type="pct"/>
          </w:tcPr>
          <w:p w14:paraId="4E5387B3" w14:textId="77777777" w:rsidR="004C4C39" w:rsidRPr="00B64845" w:rsidRDefault="004C4C39" w:rsidP="004C4C39">
            <w:pPr>
              <w:keepNext/>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B64845">
              <w:rPr>
                <w:rFonts w:eastAsia="Calibri" w:cs="Arial"/>
                <w:sz w:val="22"/>
              </w:rPr>
              <w:t>0/20</w:t>
            </w:r>
          </w:p>
        </w:tc>
      </w:tr>
    </w:tbl>
    <w:p w14:paraId="424AEFB2" w14:textId="77777777" w:rsidR="004C4C39" w:rsidRPr="00A32EED" w:rsidRDefault="004C4C39" w:rsidP="004C4C39">
      <w:pPr>
        <w:keepNext/>
        <w:rPr>
          <w:rFonts w:eastAsia="Calibri"/>
          <w:i/>
          <w:iCs/>
          <w:color w:val="000000"/>
          <w:szCs w:val="18"/>
        </w:rPr>
      </w:pPr>
    </w:p>
    <w:p w14:paraId="4FDA5BE6" w14:textId="77777777" w:rsidR="004C4C39" w:rsidRPr="00A32EED" w:rsidRDefault="004C4C39" w:rsidP="0023176A">
      <w:pPr>
        <w:pStyle w:val="Caption1"/>
        <w:rPr>
          <w:rFonts w:eastAsia="Calibri"/>
        </w:rPr>
      </w:pPr>
      <w:bookmarkStart w:id="129" w:name="_Toc479941242"/>
      <w:r w:rsidRPr="00A32EED">
        <w:rPr>
          <w:rFonts w:eastAsia="Calibri"/>
        </w:rPr>
        <w:t>Table 6.</w:t>
      </w:r>
      <w:r w:rsidRPr="00A32EED">
        <w:rPr>
          <w:rFonts w:eastAsia="Calibri"/>
        </w:rPr>
        <w:fldChar w:fldCharType="begin"/>
      </w:r>
      <w:r w:rsidRPr="00A32EED">
        <w:rPr>
          <w:rFonts w:eastAsia="Calibri"/>
        </w:rPr>
        <w:instrText xml:space="preserve"> SEQ Table_6. \* ARABIC </w:instrText>
      </w:r>
      <w:r w:rsidRPr="00A32EED">
        <w:rPr>
          <w:rFonts w:eastAsia="Calibri"/>
        </w:rPr>
        <w:fldChar w:fldCharType="separate"/>
      </w:r>
      <w:r w:rsidR="00FA12E2">
        <w:rPr>
          <w:rFonts w:eastAsia="Calibri"/>
          <w:noProof/>
        </w:rPr>
        <w:t>3</w:t>
      </w:r>
      <w:r w:rsidRPr="00A32EED">
        <w:rPr>
          <w:rFonts w:eastAsia="Calibri"/>
          <w:noProof/>
        </w:rPr>
        <w:fldChar w:fldCharType="end"/>
      </w:r>
      <w:r w:rsidRPr="00A32EED">
        <w:rPr>
          <w:rFonts w:eastAsia="Calibri"/>
        </w:rPr>
        <w:t>: Comparison of 12-Year-Old and Criminal Justice Contact Analytical Sample</w:t>
      </w:r>
      <w:bookmarkEnd w:id="129"/>
    </w:p>
    <w:tbl>
      <w:tblPr>
        <w:tblStyle w:val="ListTable21"/>
        <w:tblW w:w="4870" w:type="pct"/>
        <w:tblLook w:val="04A0" w:firstRow="1" w:lastRow="0" w:firstColumn="1" w:lastColumn="0" w:noHBand="0" w:noVBand="1"/>
      </w:tblPr>
      <w:tblGrid>
        <w:gridCol w:w="3337"/>
        <w:gridCol w:w="2256"/>
        <w:gridCol w:w="1170"/>
        <w:gridCol w:w="1512"/>
      </w:tblGrid>
      <w:tr w:rsidR="004C4C39" w:rsidRPr="00A32EED" w14:paraId="47B1EA70" w14:textId="77777777" w:rsidTr="00600B3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07047767" w14:textId="77777777" w:rsidR="004C4C39" w:rsidRPr="00A32EED" w:rsidRDefault="004C4C39" w:rsidP="004C4C39">
            <w:pPr>
              <w:rPr>
                <w:rFonts w:eastAsia="Calibri" w:cs="Arial"/>
                <w:sz w:val="22"/>
              </w:rPr>
            </w:pPr>
          </w:p>
        </w:tc>
        <w:tc>
          <w:tcPr>
            <w:tcW w:w="1363" w:type="pct"/>
          </w:tcPr>
          <w:p w14:paraId="51654CA9"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Mean/Percentage Difference</w:t>
            </w:r>
          </w:p>
        </w:tc>
        <w:tc>
          <w:tcPr>
            <w:tcW w:w="707" w:type="pct"/>
          </w:tcPr>
          <w:p w14:paraId="363AC99C"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i/>
                <w:sz w:val="22"/>
              </w:rPr>
            </w:pPr>
            <w:r w:rsidRPr="00A32EED">
              <w:rPr>
                <w:rFonts w:eastAsia="Calibri" w:cs="Arial"/>
                <w:i/>
                <w:sz w:val="22"/>
              </w:rPr>
              <w:t>f-statistic</w:t>
            </w:r>
          </w:p>
        </w:tc>
        <w:tc>
          <w:tcPr>
            <w:tcW w:w="914" w:type="pct"/>
          </w:tcPr>
          <w:p w14:paraId="085533D3"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i/>
                <w:sz w:val="22"/>
              </w:rPr>
            </w:pPr>
            <w:r w:rsidRPr="00A32EED">
              <w:rPr>
                <w:rFonts w:eastAsia="Calibri" w:cs="Arial"/>
                <w:i/>
                <w:sz w:val="22"/>
              </w:rPr>
              <w:t>Significance</w:t>
            </w:r>
          </w:p>
        </w:tc>
      </w:tr>
      <w:tr w:rsidR="004C4C39" w:rsidRPr="00A32EED" w14:paraId="222A93F2"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0F7B9ACA" w14:textId="77777777" w:rsidR="004C4C39" w:rsidRPr="00A32EED" w:rsidRDefault="004C4C39" w:rsidP="004C4C39">
            <w:pPr>
              <w:rPr>
                <w:rFonts w:eastAsia="Calibri" w:cs="Arial"/>
                <w:sz w:val="22"/>
              </w:rPr>
            </w:pPr>
            <w:r w:rsidRPr="00A32EED">
              <w:rPr>
                <w:rFonts w:eastAsia="Calibri" w:cs="Arial"/>
                <w:sz w:val="22"/>
              </w:rPr>
              <w:t xml:space="preserve">Experienced CJ Contact </w:t>
            </w:r>
          </w:p>
        </w:tc>
        <w:tc>
          <w:tcPr>
            <w:tcW w:w="1363" w:type="pct"/>
          </w:tcPr>
          <w:p w14:paraId="13EDF18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2.87%</w:t>
            </w:r>
          </w:p>
        </w:tc>
        <w:tc>
          <w:tcPr>
            <w:tcW w:w="707" w:type="pct"/>
          </w:tcPr>
          <w:p w14:paraId="2A57A01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Times New Roman" w:cs="Arial"/>
                <w:bCs/>
                <w:color w:val="000000"/>
                <w:sz w:val="22"/>
              </w:rPr>
              <w:t>0.01</w:t>
            </w:r>
          </w:p>
        </w:tc>
        <w:tc>
          <w:tcPr>
            <w:tcW w:w="914" w:type="pct"/>
          </w:tcPr>
          <w:p w14:paraId="7EA52FE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p>
        </w:tc>
      </w:tr>
      <w:tr w:rsidR="004C4C39" w:rsidRPr="00A32EED" w14:paraId="7E3DD44E"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567A7039" w14:textId="77777777" w:rsidR="004C4C39" w:rsidRPr="00A32EED" w:rsidRDefault="004C4C39" w:rsidP="004C4C39">
            <w:pPr>
              <w:rPr>
                <w:rFonts w:eastAsia="Times New Roman" w:cs="Arial"/>
                <w:color w:val="000000"/>
                <w:sz w:val="22"/>
              </w:rPr>
            </w:pPr>
            <w:r w:rsidRPr="00A32EED">
              <w:rPr>
                <w:rFonts w:eastAsia="Times New Roman" w:cs="Arial"/>
                <w:color w:val="000000"/>
                <w:sz w:val="22"/>
              </w:rPr>
              <w:t xml:space="preserve">Male Child </w:t>
            </w:r>
          </w:p>
        </w:tc>
        <w:tc>
          <w:tcPr>
            <w:tcW w:w="1363" w:type="pct"/>
          </w:tcPr>
          <w:p w14:paraId="3230153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-.93%</w:t>
            </w:r>
          </w:p>
        </w:tc>
        <w:tc>
          <w:tcPr>
            <w:tcW w:w="707" w:type="pct"/>
          </w:tcPr>
          <w:p w14:paraId="79AAEF5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Times New Roman" w:cs="Arial"/>
                <w:color w:val="000000"/>
                <w:sz w:val="22"/>
              </w:rPr>
              <w:t>0.41</w:t>
            </w:r>
          </w:p>
        </w:tc>
        <w:tc>
          <w:tcPr>
            <w:tcW w:w="914" w:type="pct"/>
          </w:tcPr>
          <w:p w14:paraId="2DADC3D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r>
      <w:tr w:rsidR="004C4C39" w:rsidRPr="00A32EED" w14:paraId="1AF30ADF"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2506BB0F" w14:textId="77777777" w:rsidR="004C4C39" w:rsidRPr="00A32EED" w:rsidRDefault="004C4C39" w:rsidP="004C4C39">
            <w:pPr>
              <w:rPr>
                <w:rFonts w:eastAsia="Calibri" w:cs="Arial"/>
                <w:sz w:val="22"/>
              </w:rPr>
            </w:pPr>
            <w:r w:rsidRPr="00A32EED">
              <w:rPr>
                <w:rFonts w:eastAsia="Calibri" w:cs="Arial"/>
                <w:sz w:val="22"/>
              </w:rPr>
              <w:t xml:space="preserve">Non-white Child </w:t>
            </w:r>
          </w:p>
        </w:tc>
        <w:tc>
          <w:tcPr>
            <w:tcW w:w="1363" w:type="pct"/>
          </w:tcPr>
          <w:p w14:paraId="0E42F8B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-.29%</w:t>
            </w:r>
          </w:p>
        </w:tc>
        <w:tc>
          <w:tcPr>
            <w:tcW w:w="707" w:type="pct"/>
          </w:tcPr>
          <w:p w14:paraId="3A4BEB7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Times New Roman" w:cs="Arial"/>
                <w:color w:val="000000"/>
                <w:sz w:val="22"/>
              </w:rPr>
              <w:t>0.04</w:t>
            </w:r>
          </w:p>
        </w:tc>
        <w:tc>
          <w:tcPr>
            <w:tcW w:w="914" w:type="pct"/>
          </w:tcPr>
          <w:p w14:paraId="0D94A7B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p>
        </w:tc>
      </w:tr>
      <w:tr w:rsidR="004C4C39" w:rsidRPr="00A32EED" w14:paraId="5DFD88CB"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78F4DC5C" w14:textId="77777777" w:rsidR="004C4C39" w:rsidRPr="00A32EED" w:rsidRDefault="004C4C39" w:rsidP="004C4C39">
            <w:pPr>
              <w:rPr>
                <w:rFonts w:eastAsia="Calibri" w:cs="Arial"/>
                <w:sz w:val="22"/>
              </w:rPr>
            </w:pPr>
            <w:r w:rsidRPr="00A32EED">
              <w:rPr>
                <w:rFonts w:eastAsia="Calibri" w:cs="Arial"/>
                <w:sz w:val="22"/>
              </w:rPr>
              <w:t>Child Age</w:t>
            </w:r>
          </w:p>
        </w:tc>
        <w:tc>
          <w:tcPr>
            <w:tcW w:w="1363" w:type="pct"/>
          </w:tcPr>
          <w:p w14:paraId="64B69CF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.13</w:t>
            </w:r>
          </w:p>
        </w:tc>
        <w:tc>
          <w:tcPr>
            <w:tcW w:w="707" w:type="pct"/>
          </w:tcPr>
          <w:p w14:paraId="4CB0D77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2.22</w:t>
            </w:r>
          </w:p>
        </w:tc>
        <w:tc>
          <w:tcPr>
            <w:tcW w:w="914" w:type="pct"/>
          </w:tcPr>
          <w:p w14:paraId="3747F13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r>
      <w:tr w:rsidR="004C4C39" w:rsidRPr="00A32EED" w14:paraId="398E0469"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6275CE54" w14:textId="77777777" w:rsidR="004C4C39" w:rsidRPr="00A32EED" w:rsidRDefault="004C4C39" w:rsidP="004C4C39">
            <w:pPr>
              <w:rPr>
                <w:rFonts w:eastAsia="Calibri" w:cs="Arial"/>
                <w:sz w:val="22"/>
              </w:rPr>
            </w:pPr>
            <w:r w:rsidRPr="00A32EED">
              <w:rPr>
                <w:rFonts w:eastAsia="Calibri" w:cs="Arial"/>
                <w:sz w:val="22"/>
              </w:rPr>
              <w:t>Child Self-Control</w:t>
            </w:r>
          </w:p>
        </w:tc>
        <w:tc>
          <w:tcPr>
            <w:tcW w:w="1363" w:type="pct"/>
          </w:tcPr>
          <w:p w14:paraId="5C794CA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.11</w:t>
            </w:r>
          </w:p>
        </w:tc>
        <w:tc>
          <w:tcPr>
            <w:tcW w:w="707" w:type="pct"/>
          </w:tcPr>
          <w:p w14:paraId="347E57D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4.41</w:t>
            </w:r>
          </w:p>
        </w:tc>
        <w:tc>
          <w:tcPr>
            <w:tcW w:w="914" w:type="pct"/>
          </w:tcPr>
          <w:p w14:paraId="6DFDB82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p>
        </w:tc>
      </w:tr>
      <w:tr w:rsidR="004C4C39" w:rsidRPr="00A32EED" w14:paraId="62CB32AC"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184C06FD" w14:textId="77777777" w:rsidR="004C4C39" w:rsidRPr="00A32EED" w:rsidRDefault="004C4C39" w:rsidP="004C4C39">
            <w:pPr>
              <w:rPr>
                <w:rFonts w:eastAsia="Calibri" w:cs="Arial"/>
                <w:sz w:val="22"/>
              </w:rPr>
            </w:pPr>
            <w:r w:rsidRPr="00A32EED">
              <w:rPr>
                <w:rFonts w:eastAsia="Calibri" w:cs="Arial"/>
                <w:sz w:val="22"/>
              </w:rPr>
              <w:t xml:space="preserve">Received Baseline Services </w:t>
            </w:r>
          </w:p>
        </w:tc>
        <w:tc>
          <w:tcPr>
            <w:tcW w:w="1363" w:type="pct"/>
          </w:tcPr>
          <w:p w14:paraId="37B4DF6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-.43%</w:t>
            </w:r>
          </w:p>
        </w:tc>
        <w:tc>
          <w:tcPr>
            <w:tcW w:w="707" w:type="pct"/>
          </w:tcPr>
          <w:p w14:paraId="30EAE41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.12</w:t>
            </w:r>
          </w:p>
        </w:tc>
        <w:tc>
          <w:tcPr>
            <w:tcW w:w="914" w:type="pct"/>
          </w:tcPr>
          <w:p w14:paraId="3E3DC56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r>
      <w:tr w:rsidR="004C4C39" w:rsidRPr="00A32EED" w14:paraId="1DA8E1C9"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2863CF0C" w14:textId="77777777" w:rsidR="004C4C39" w:rsidRPr="00A32EED" w:rsidRDefault="004C4C39" w:rsidP="004C4C39">
            <w:pPr>
              <w:rPr>
                <w:rFonts w:eastAsia="Calibri" w:cs="Arial"/>
                <w:sz w:val="22"/>
              </w:rPr>
            </w:pPr>
            <w:r w:rsidRPr="00A32EED">
              <w:rPr>
                <w:rFonts w:eastAsia="Calibri" w:cs="Arial"/>
                <w:sz w:val="22"/>
              </w:rPr>
              <w:t xml:space="preserve">Case Substantiated </w:t>
            </w:r>
          </w:p>
        </w:tc>
        <w:tc>
          <w:tcPr>
            <w:tcW w:w="1363" w:type="pct"/>
          </w:tcPr>
          <w:p w14:paraId="180ABBA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1.23%</w:t>
            </w:r>
          </w:p>
        </w:tc>
        <w:tc>
          <w:tcPr>
            <w:tcW w:w="707" w:type="pct"/>
          </w:tcPr>
          <w:p w14:paraId="6ECEBE2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1.02</w:t>
            </w:r>
          </w:p>
        </w:tc>
        <w:tc>
          <w:tcPr>
            <w:tcW w:w="914" w:type="pct"/>
          </w:tcPr>
          <w:p w14:paraId="0C61C40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p>
        </w:tc>
      </w:tr>
      <w:tr w:rsidR="004C4C39" w:rsidRPr="00A32EED" w14:paraId="1B8E65F4"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72EA8ED1" w14:textId="77777777" w:rsidR="004C4C39" w:rsidRPr="00A32EED" w:rsidRDefault="004C4C39" w:rsidP="004C4C39">
            <w:pPr>
              <w:rPr>
                <w:rFonts w:eastAsia="Calibri" w:cs="Arial"/>
                <w:sz w:val="22"/>
              </w:rPr>
            </w:pPr>
            <w:r w:rsidRPr="00A32EED">
              <w:rPr>
                <w:rFonts w:eastAsia="Calibri" w:cs="Arial"/>
                <w:sz w:val="22"/>
              </w:rPr>
              <w:t>Level of Harm</w:t>
            </w:r>
          </w:p>
        </w:tc>
        <w:tc>
          <w:tcPr>
            <w:tcW w:w="1363" w:type="pct"/>
          </w:tcPr>
          <w:p w14:paraId="2B75EDF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.01</w:t>
            </w:r>
          </w:p>
        </w:tc>
        <w:tc>
          <w:tcPr>
            <w:tcW w:w="707" w:type="pct"/>
          </w:tcPr>
          <w:p w14:paraId="663741A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.69</w:t>
            </w:r>
          </w:p>
        </w:tc>
        <w:tc>
          <w:tcPr>
            <w:tcW w:w="914" w:type="pct"/>
          </w:tcPr>
          <w:p w14:paraId="70DE4F2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r>
      <w:tr w:rsidR="004C4C39" w:rsidRPr="00A32EED" w14:paraId="2F880193"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40EA07B3" w14:textId="77777777" w:rsidR="004C4C39" w:rsidRPr="00A32EED" w:rsidRDefault="004C4C39" w:rsidP="004C4C39">
            <w:pPr>
              <w:rPr>
                <w:rFonts w:eastAsia="Calibri" w:cs="Arial"/>
                <w:sz w:val="22"/>
              </w:rPr>
            </w:pPr>
            <w:r w:rsidRPr="00A32EED">
              <w:rPr>
                <w:rFonts w:eastAsia="Calibri" w:cs="Arial"/>
                <w:sz w:val="22"/>
              </w:rPr>
              <w:t xml:space="preserve">At least 2 Maltreatments at Baseline </w:t>
            </w:r>
          </w:p>
        </w:tc>
        <w:tc>
          <w:tcPr>
            <w:tcW w:w="1363" w:type="pct"/>
          </w:tcPr>
          <w:p w14:paraId="6D36317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-.86%</w:t>
            </w:r>
          </w:p>
        </w:tc>
        <w:tc>
          <w:tcPr>
            <w:tcW w:w="707" w:type="pct"/>
          </w:tcPr>
          <w:p w14:paraId="5315BC5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.72</w:t>
            </w:r>
          </w:p>
        </w:tc>
        <w:tc>
          <w:tcPr>
            <w:tcW w:w="914" w:type="pct"/>
          </w:tcPr>
          <w:p w14:paraId="03E6278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p>
        </w:tc>
      </w:tr>
      <w:tr w:rsidR="004C4C39" w:rsidRPr="00A32EED" w14:paraId="0EB1AA62"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0FB12478" w14:textId="77777777" w:rsidR="004C4C39" w:rsidRPr="00A32EED" w:rsidRDefault="004C4C39" w:rsidP="004C4C39">
            <w:pPr>
              <w:rPr>
                <w:rFonts w:eastAsia="Calibri" w:cs="Arial"/>
                <w:sz w:val="22"/>
              </w:rPr>
            </w:pPr>
            <w:r w:rsidRPr="00A32EED">
              <w:rPr>
                <w:rFonts w:eastAsia="Calibri" w:cs="Arial"/>
                <w:sz w:val="22"/>
              </w:rPr>
              <w:t xml:space="preserve">Previous Child Welfare Involvement </w:t>
            </w:r>
          </w:p>
        </w:tc>
        <w:tc>
          <w:tcPr>
            <w:tcW w:w="1363" w:type="pct"/>
          </w:tcPr>
          <w:p w14:paraId="19D0CEB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-1.69%</w:t>
            </w:r>
          </w:p>
        </w:tc>
        <w:tc>
          <w:tcPr>
            <w:tcW w:w="707" w:type="pct"/>
          </w:tcPr>
          <w:p w14:paraId="7A95E72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A32EED">
              <w:rPr>
                <w:rFonts w:eastAsia="Calibri" w:cs="Arial"/>
                <w:sz w:val="22"/>
              </w:rPr>
              <w:t>2.12</w:t>
            </w:r>
          </w:p>
        </w:tc>
        <w:tc>
          <w:tcPr>
            <w:tcW w:w="914" w:type="pct"/>
          </w:tcPr>
          <w:p w14:paraId="63D21D0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r>
      <w:tr w:rsidR="004C4C39" w:rsidRPr="00A32EED" w14:paraId="0E6DC569"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50E23496" w14:textId="77777777" w:rsidR="004C4C39" w:rsidRPr="00A32EED" w:rsidRDefault="004C4C39" w:rsidP="004C4C39">
            <w:pPr>
              <w:rPr>
                <w:rFonts w:eastAsia="Calibri" w:cs="Arial"/>
                <w:sz w:val="22"/>
              </w:rPr>
            </w:pPr>
            <w:r w:rsidRPr="00A32EED">
              <w:rPr>
                <w:rFonts w:eastAsia="Calibri" w:cs="Arial"/>
                <w:sz w:val="22"/>
              </w:rPr>
              <w:t xml:space="preserve">Parent Arrest History </w:t>
            </w:r>
          </w:p>
        </w:tc>
        <w:tc>
          <w:tcPr>
            <w:tcW w:w="1363" w:type="pct"/>
          </w:tcPr>
          <w:p w14:paraId="1108472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r w:rsidRPr="00A32EED">
              <w:rPr>
                <w:rFonts w:eastAsia="Calibri" w:cs="Arial"/>
                <w:sz w:val="22"/>
              </w:rPr>
              <w:t>.92%</w:t>
            </w:r>
          </w:p>
        </w:tc>
        <w:tc>
          <w:tcPr>
            <w:tcW w:w="707" w:type="pct"/>
          </w:tcPr>
          <w:p w14:paraId="059F0CF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.61</w:t>
            </w:r>
          </w:p>
        </w:tc>
        <w:tc>
          <w:tcPr>
            <w:tcW w:w="914" w:type="pct"/>
          </w:tcPr>
          <w:p w14:paraId="41C06EF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p>
        </w:tc>
      </w:tr>
      <w:tr w:rsidR="004C4C39" w:rsidRPr="00A32EED" w14:paraId="4C24A5DA"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243B1228" w14:textId="77777777" w:rsidR="004C4C39" w:rsidRPr="00A32EED" w:rsidRDefault="004C4C39" w:rsidP="004C4C39">
            <w:pPr>
              <w:rPr>
                <w:rFonts w:eastAsia="Calibri" w:cs="Arial"/>
                <w:sz w:val="22"/>
              </w:rPr>
            </w:pPr>
            <w:r w:rsidRPr="00A32EED">
              <w:rPr>
                <w:rFonts w:eastAsia="Calibri" w:cs="Arial"/>
                <w:sz w:val="22"/>
              </w:rPr>
              <w:t xml:space="preserve">Baseline Placement </w:t>
            </w:r>
          </w:p>
        </w:tc>
        <w:tc>
          <w:tcPr>
            <w:tcW w:w="1363" w:type="pct"/>
          </w:tcPr>
          <w:p w14:paraId="0934472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c>
          <w:tcPr>
            <w:tcW w:w="707" w:type="pct"/>
          </w:tcPr>
          <w:p w14:paraId="359B372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c>
          <w:tcPr>
            <w:tcW w:w="914" w:type="pct"/>
          </w:tcPr>
          <w:p w14:paraId="1E9EC62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r>
      <w:tr w:rsidR="004C4C39" w:rsidRPr="00A32EED" w14:paraId="1349F1A3"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34FB7450" w14:textId="77777777" w:rsidR="004C4C39" w:rsidRPr="00A32EED" w:rsidRDefault="004C4C39" w:rsidP="004C4C39">
            <w:pPr>
              <w:rPr>
                <w:rFonts w:eastAsia="Times New Roman" w:cs="Arial"/>
                <w:color w:val="000000"/>
                <w:sz w:val="22"/>
              </w:rPr>
            </w:pPr>
            <w:r w:rsidRPr="00A32EED">
              <w:rPr>
                <w:rFonts w:eastAsia="Times New Roman" w:cs="Arial"/>
                <w:color w:val="000000"/>
                <w:sz w:val="22"/>
              </w:rPr>
              <w:t>In Home</w:t>
            </w:r>
          </w:p>
        </w:tc>
        <w:tc>
          <w:tcPr>
            <w:tcW w:w="1363" w:type="pct"/>
          </w:tcPr>
          <w:p w14:paraId="2DA9EBE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i/>
                <w:color w:val="000000"/>
                <w:sz w:val="22"/>
              </w:rPr>
            </w:pPr>
            <w:r w:rsidRPr="00A32EED">
              <w:rPr>
                <w:rFonts w:eastAsia="Times New Roman" w:cs="Arial"/>
                <w:b/>
                <w:i/>
                <w:color w:val="000000"/>
                <w:sz w:val="22"/>
              </w:rPr>
              <w:t>1.76%</w:t>
            </w:r>
          </w:p>
        </w:tc>
        <w:tc>
          <w:tcPr>
            <w:tcW w:w="707" w:type="pct"/>
          </w:tcPr>
          <w:p w14:paraId="6ACC5B7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i/>
                <w:color w:val="000000"/>
                <w:sz w:val="22"/>
              </w:rPr>
            </w:pPr>
            <w:r w:rsidRPr="00A32EED">
              <w:rPr>
                <w:rFonts w:eastAsia="Times New Roman" w:cs="Arial"/>
                <w:b/>
                <w:i/>
                <w:color w:val="000000"/>
                <w:sz w:val="22"/>
              </w:rPr>
              <w:t>3.84</w:t>
            </w:r>
          </w:p>
        </w:tc>
        <w:tc>
          <w:tcPr>
            <w:tcW w:w="914" w:type="pct"/>
          </w:tcPr>
          <w:p w14:paraId="3CDD5D1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i/>
                <w:color w:val="000000"/>
                <w:sz w:val="22"/>
              </w:rPr>
            </w:pPr>
            <w:r w:rsidRPr="00A32EED">
              <w:rPr>
                <w:rFonts w:eastAsia="Times New Roman" w:cs="Arial"/>
                <w:b/>
                <w:i/>
                <w:color w:val="000000"/>
                <w:sz w:val="22"/>
              </w:rPr>
              <w:t>*</w:t>
            </w:r>
          </w:p>
        </w:tc>
      </w:tr>
      <w:tr w:rsidR="004C4C39" w:rsidRPr="00A32EED" w14:paraId="04C6330C"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16C7B45D" w14:textId="77777777" w:rsidR="004C4C39" w:rsidRPr="00A32EED" w:rsidRDefault="004C4C39" w:rsidP="004C4C39">
            <w:pPr>
              <w:rPr>
                <w:rFonts w:eastAsia="Times New Roman" w:cs="Arial"/>
                <w:color w:val="000000"/>
                <w:sz w:val="22"/>
              </w:rPr>
            </w:pPr>
            <w:r w:rsidRPr="00A32EED">
              <w:rPr>
                <w:rFonts w:eastAsia="Times New Roman" w:cs="Arial"/>
                <w:color w:val="000000"/>
                <w:sz w:val="22"/>
              </w:rPr>
              <w:t>Kinship Care</w:t>
            </w:r>
          </w:p>
        </w:tc>
        <w:tc>
          <w:tcPr>
            <w:tcW w:w="1363" w:type="pct"/>
          </w:tcPr>
          <w:p w14:paraId="065F057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22"/>
              </w:rPr>
            </w:pPr>
            <w:r w:rsidRPr="00A32EED">
              <w:rPr>
                <w:rFonts w:eastAsia="Times New Roman" w:cs="Arial"/>
                <w:b/>
                <w:i/>
                <w:color w:val="000000"/>
                <w:sz w:val="22"/>
              </w:rPr>
              <w:t>-1.06%</w:t>
            </w:r>
          </w:p>
        </w:tc>
        <w:tc>
          <w:tcPr>
            <w:tcW w:w="707" w:type="pct"/>
          </w:tcPr>
          <w:p w14:paraId="06616A1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22"/>
              </w:rPr>
            </w:pPr>
            <w:r w:rsidRPr="00A32EED">
              <w:rPr>
                <w:rFonts w:eastAsia="Times New Roman" w:cs="Arial"/>
                <w:b/>
                <w:i/>
                <w:color w:val="000000"/>
                <w:sz w:val="22"/>
              </w:rPr>
              <w:t>2.92</w:t>
            </w:r>
          </w:p>
        </w:tc>
        <w:tc>
          <w:tcPr>
            <w:tcW w:w="914" w:type="pct"/>
          </w:tcPr>
          <w:p w14:paraId="6230CA1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22"/>
              </w:rPr>
            </w:pPr>
            <w:r w:rsidRPr="00A32EED">
              <w:rPr>
                <w:rFonts w:eastAsia="Times New Roman" w:cs="Arial"/>
                <w:b/>
                <w:i/>
                <w:color w:val="000000"/>
                <w:sz w:val="22"/>
              </w:rPr>
              <w:t>†</w:t>
            </w:r>
          </w:p>
        </w:tc>
      </w:tr>
      <w:tr w:rsidR="004C4C39" w:rsidRPr="00A32EED" w14:paraId="78845269"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42A1008B" w14:textId="77777777" w:rsidR="004C4C39" w:rsidRPr="00A32EED" w:rsidRDefault="004C4C39" w:rsidP="004C4C39">
            <w:pPr>
              <w:rPr>
                <w:rFonts w:eastAsia="Times New Roman" w:cs="Arial"/>
                <w:color w:val="000000"/>
                <w:sz w:val="22"/>
              </w:rPr>
            </w:pPr>
            <w:r w:rsidRPr="00A32EED">
              <w:rPr>
                <w:rFonts w:eastAsia="Times New Roman" w:cs="Arial"/>
                <w:color w:val="000000"/>
                <w:sz w:val="22"/>
              </w:rPr>
              <w:t>Foster Home</w:t>
            </w:r>
          </w:p>
        </w:tc>
        <w:tc>
          <w:tcPr>
            <w:tcW w:w="1363" w:type="pct"/>
          </w:tcPr>
          <w:p w14:paraId="359E9C4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-.36%</w:t>
            </w:r>
          </w:p>
        </w:tc>
        <w:tc>
          <w:tcPr>
            <w:tcW w:w="707" w:type="pct"/>
          </w:tcPr>
          <w:p w14:paraId="20DE2A1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.60</w:t>
            </w:r>
          </w:p>
        </w:tc>
        <w:tc>
          <w:tcPr>
            <w:tcW w:w="914" w:type="pct"/>
          </w:tcPr>
          <w:p w14:paraId="06013CC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p>
        </w:tc>
      </w:tr>
      <w:tr w:rsidR="004C4C39" w:rsidRPr="00A32EED" w14:paraId="26F943A4"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075A7CFC" w14:textId="77777777" w:rsidR="004C4C39" w:rsidRPr="00A32EED" w:rsidRDefault="004C4C39" w:rsidP="004C4C39">
            <w:pPr>
              <w:rPr>
                <w:rFonts w:eastAsia="Times New Roman" w:cs="Arial"/>
                <w:color w:val="000000"/>
                <w:sz w:val="22"/>
              </w:rPr>
            </w:pPr>
            <w:r w:rsidRPr="00A32EED">
              <w:rPr>
                <w:rFonts w:eastAsia="Times New Roman" w:cs="Arial"/>
                <w:color w:val="000000"/>
                <w:sz w:val="22"/>
              </w:rPr>
              <w:t>Group Home/ Other</w:t>
            </w:r>
          </w:p>
        </w:tc>
        <w:tc>
          <w:tcPr>
            <w:tcW w:w="1363" w:type="pct"/>
          </w:tcPr>
          <w:p w14:paraId="3579865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-.33%</w:t>
            </w:r>
          </w:p>
        </w:tc>
        <w:tc>
          <w:tcPr>
            <w:tcW w:w="707" w:type="pct"/>
          </w:tcPr>
          <w:p w14:paraId="1222C92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.56</w:t>
            </w:r>
          </w:p>
        </w:tc>
        <w:tc>
          <w:tcPr>
            <w:tcW w:w="914" w:type="pct"/>
          </w:tcPr>
          <w:p w14:paraId="5B8C0DC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p>
        </w:tc>
      </w:tr>
      <w:tr w:rsidR="004C4C39" w:rsidRPr="00A32EED" w14:paraId="0D10BA4E"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43A4B4D5" w14:textId="77777777" w:rsidR="004C4C39" w:rsidRPr="00A32EED" w:rsidRDefault="004C4C39" w:rsidP="004C4C39">
            <w:pPr>
              <w:rPr>
                <w:rFonts w:eastAsia="Calibri" w:cs="Arial"/>
                <w:sz w:val="22"/>
              </w:rPr>
            </w:pPr>
            <w:r w:rsidRPr="00A32EED">
              <w:rPr>
                <w:rFonts w:eastAsia="Calibri" w:cs="Arial"/>
                <w:sz w:val="22"/>
              </w:rPr>
              <w:t xml:space="preserve">Most Severe Maltreatment </w:t>
            </w:r>
          </w:p>
        </w:tc>
        <w:tc>
          <w:tcPr>
            <w:tcW w:w="1363" w:type="pct"/>
          </w:tcPr>
          <w:p w14:paraId="20BA297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p>
        </w:tc>
        <w:tc>
          <w:tcPr>
            <w:tcW w:w="707" w:type="pct"/>
          </w:tcPr>
          <w:p w14:paraId="20D4BAA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p>
        </w:tc>
        <w:tc>
          <w:tcPr>
            <w:tcW w:w="914" w:type="pct"/>
          </w:tcPr>
          <w:p w14:paraId="1C087F8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sz w:val="22"/>
              </w:rPr>
            </w:pPr>
          </w:p>
        </w:tc>
      </w:tr>
      <w:tr w:rsidR="004C4C39" w:rsidRPr="00A32EED" w14:paraId="7B74A209"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55C80386" w14:textId="77777777" w:rsidR="004C4C39" w:rsidRPr="00A32EED" w:rsidRDefault="004C4C39" w:rsidP="004C4C39">
            <w:pPr>
              <w:rPr>
                <w:rFonts w:eastAsia="Calibri" w:cs="Arial"/>
                <w:sz w:val="22"/>
              </w:rPr>
            </w:pPr>
            <w:r w:rsidRPr="00A32EED">
              <w:rPr>
                <w:rFonts w:eastAsia="Calibri" w:cs="Arial"/>
                <w:sz w:val="22"/>
              </w:rPr>
              <w:t>Neglect</w:t>
            </w:r>
          </w:p>
        </w:tc>
        <w:tc>
          <w:tcPr>
            <w:tcW w:w="1363" w:type="pct"/>
          </w:tcPr>
          <w:p w14:paraId="753C069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.96%</w:t>
            </w:r>
          </w:p>
        </w:tc>
        <w:tc>
          <w:tcPr>
            <w:tcW w:w="707" w:type="pct"/>
          </w:tcPr>
          <w:p w14:paraId="1AD4CF2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.61</w:t>
            </w:r>
          </w:p>
        </w:tc>
        <w:tc>
          <w:tcPr>
            <w:tcW w:w="914" w:type="pct"/>
          </w:tcPr>
          <w:p w14:paraId="711CDDC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p>
        </w:tc>
      </w:tr>
      <w:tr w:rsidR="004C4C39" w:rsidRPr="00A32EED" w14:paraId="3957C4EC"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44791A99" w14:textId="77777777" w:rsidR="004C4C39" w:rsidRPr="00A32EED" w:rsidRDefault="004C4C39" w:rsidP="004C4C39">
            <w:pPr>
              <w:rPr>
                <w:rFonts w:eastAsia="Calibri" w:cs="Arial"/>
                <w:sz w:val="22"/>
              </w:rPr>
            </w:pPr>
            <w:r w:rsidRPr="00A32EED">
              <w:rPr>
                <w:rFonts w:eastAsia="Calibri" w:cs="Arial"/>
                <w:sz w:val="22"/>
              </w:rPr>
              <w:t>Physical Abuse</w:t>
            </w:r>
          </w:p>
        </w:tc>
        <w:tc>
          <w:tcPr>
            <w:tcW w:w="1363" w:type="pct"/>
          </w:tcPr>
          <w:p w14:paraId="74FE25A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-1.06%</w:t>
            </w:r>
          </w:p>
        </w:tc>
        <w:tc>
          <w:tcPr>
            <w:tcW w:w="707" w:type="pct"/>
          </w:tcPr>
          <w:p w14:paraId="54F6D80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.84</w:t>
            </w:r>
          </w:p>
        </w:tc>
        <w:tc>
          <w:tcPr>
            <w:tcW w:w="914" w:type="pct"/>
          </w:tcPr>
          <w:p w14:paraId="1CCB2BB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p>
        </w:tc>
      </w:tr>
      <w:tr w:rsidR="004C4C39" w:rsidRPr="00A32EED" w14:paraId="63488707" w14:textId="77777777" w:rsidTr="00600B3B">
        <w:trPr>
          <w:trHeight w:val="290"/>
        </w:trPr>
        <w:tc>
          <w:tcPr>
            <w:cnfStyle w:val="001000000000" w:firstRow="0" w:lastRow="0" w:firstColumn="1" w:lastColumn="0" w:oddVBand="0" w:evenVBand="0" w:oddHBand="0" w:evenHBand="0" w:firstRowFirstColumn="0" w:firstRowLastColumn="0" w:lastRowFirstColumn="0" w:lastRowLastColumn="0"/>
            <w:tcW w:w="2017" w:type="pct"/>
          </w:tcPr>
          <w:p w14:paraId="772A5E3C" w14:textId="77777777" w:rsidR="004C4C39" w:rsidRPr="00A32EED" w:rsidRDefault="004C4C39" w:rsidP="004C4C39">
            <w:pPr>
              <w:rPr>
                <w:rFonts w:eastAsia="Calibri" w:cs="Arial"/>
                <w:sz w:val="22"/>
              </w:rPr>
            </w:pPr>
            <w:r w:rsidRPr="00A32EED">
              <w:rPr>
                <w:rFonts w:eastAsia="Calibri" w:cs="Arial"/>
                <w:sz w:val="22"/>
              </w:rPr>
              <w:t>Sexual Abuse</w:t>
            </w:r>
          </w:p>
        </w:tc>
        <w:tc>
          <w:tcPr>
            <w:tcW w:w="1363" w:type="pct"/>
          </w:tcPr>
          <w:p w14:paraId="2F6E0F1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-.66%</w:t>
            </w:r>
          </w:p>
        </w:tc>
        <w:tc>
          <w:tcPr>
            <w:tcW w:w="707" w:type="pct"/>
          </w:tcPr>
          <w:p w14:paraId="2C45E9C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.70</w:t>
            </w:r>
          </w:p>
        </w:tc>
        <w:tc>
          <w:tcPr>
            <w:tcW w:w="914" w:type="pct"/>
          </w:tcPr>
          <w:p w14:paraId="1125696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rPr>
            </w:pPr>
          </w:p>
        </w:tc>
      </w:tr>
      <w:tr w:rsidR="004C4C39" w:rsidRPr="00A32EED" w14:paraId="15B760B9" w14:textId="77777777" w:rsidTr="0060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17" w:type="pct"/>
          </w:tcPr>
          <w:p w14:paraId="7070FABF" w14:textId="77777777" w:rsidR="004C4C39" w:rsidRPr="00A32EED" w:rsidRDefault="004C4C39" w:rsidP="004C4C39">
            <w:pPr>
              <w:rPr>
                <w:rFonts w:eastAsia="Calibri" w:cs="Arial"/>
                <w:sz w:val="22"/>
              </w:rPr>
            </w:pPr>
            <w:r w:rsidRPr="00A32EED">
              <w:rPr>
                <w:rFonts w:eastAsia="Calibri" w:cs="Arial"/>
                <w:sz w:val="22"/>
              </w:rPr>
              <w:t>Other</w:t>
            </w:r>
          </w:p>
        </w:tc>
        <w:tc>
          <w:tcPr>
            <w:tcW w:w="1363" w:type="pct"/>
          </w:tcPr>
          <w:p w14:paraId="39505E1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.77%</w:t>
            </w:r>
          </w:p>
        </w:tc>
        <w:tc>
          <w:tcPr>
            <w:tcW w:w="707" w:type="pct"/>
          </w:tcPr>
          <w:p w14:paraId="5B37213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r w:rsidRPr="00A32EED">
              <w:rPr>
                <w:rFonts w:eastAsia="Times New Roman" w:cs="Arial"/>
                <w:color w:val="000000"/>
                <w:sz w:val="22"/>
              </w:rPr>
              <w:t>.88</w:t>
            </w:r>
          </w:p>
        </w:tc>
        <w:tc>
          <w:tcPr>
            <w:tcW w:w="914" w:type="pct"/>
          </w:tcPr>
          <w:p w14:paraId="6D028BB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rPr>
            </w:pPr>
          </w:p>
        </w:tc>
      </w:tr>
    </w:tbl>
    <w:p w14:paraId="37066051" w14:textId="77777777" w:rsidR="004C4C39" w:rsidRPr="00A32EED" w:rsidRDefault="004C4C39" w:rsidP="004C4C39">
      <w:pPr>
        <w:spacing w:after="0" w:line="480" w:lineRule="auto"/>
        <w:rPr>
          <w:rFonts w:eastAsia="Calibri"/>
          <w:iCs/>
          <w:color w:val="000000"/>
          <w:szCs w:val="18"/>
        </w:rPr>
      </w:pPr>
      <w:r w:rsidRPr="00A32EED">
        <w:rPr>
          <w:rFonts w:eastAsia="Calibri"/>
          <w:sz w:val="21"/>
        </w:rPr>
        <w:t>† p&lt;.10 * p&lt;.05  **p&lt;.01  ***p&lt;.001</w:t>
      </w:r>
    </w:p>
    <w:p w14:paraId="0AA9C55E" w14:textId="77777777" w:rsidR="004C4C39" w:rsidRPr="00A32EED" w:rsidRDefault="004C4C39" w:rsidP="004C4C39">
      <w:pPr>
        <w:spacing w:after="0" w:line="480" w:lineRule="auto"/>
        <w:outlineLvl w:val="0"/>
        <w:rPr>
          <w:rFonts w:eastAsia="Calibri"/>
        </w:rPr>
      </w:pPr>
    </w:p>
    <w:p w14:paraId="334FBD3F" w14:textId="77777777" w:rsidR="004C4C39" w:rsidRPr="00A32EED" w:rsidRDefault="004C4C39" w:rsidP="004C4C39">
      <w:pPr>
        <w:spacing w:after="0" w:line="480" w:lineRule="auto"/>
        <w:ind w:firstLine="720"/>
        <w:rPr>
          <w:rFonts w:eastAsia="Calibri"/>
        </w:rPr>
      </w:pPr>
      <w:r w:rsidRPr="00A32EED">
        <w:rPr>
          <w:rFonts w:eastAsia="Calibri"/>
        </w:rPr>
        <w:lastRenderedPageBreak/>
        <w:t xml:space="preserve">Most cases only had 1 alleged maltreatment at baseline (75% and 74.86% respectively). Approximately 7% of cases were missing information on the number of maltreatments alleged at baseline. This -.14% difference is not statistically significant. The most severe form of maltreatment reported for both samples was neglect (45.66% and 46.62% respectively), followed by physical abuse (30.79% and 29.73%), other (12.31% and 13.08%), and sexual abuse (11.23% and 10.57%). Approximately 7% of cases were missing information on the most severe form of alleged maltreatment. Differences between the two samples regarding the most severe form of maltreatment reported were examined by using the Pearson’s Chi-Square test for both one categorical variable for placement and individual dummy variables for each maltreatment type. Neither method yielded any significant differences between the two groups. For both samples, approximately 1/3 of cases had at least one of the maltreatment allegations substantiated (32.08% and 33.31% respectively). Despite this 1.23% difference, the two samples are not significantly different. </w:t>
      </w:r>
    </w:p>
    <w:p w14:paraId="151BF082" w14:textId="77777777" w:rsidR="004C4C39" w:rsidRPr="00A32EED" w:rsidRDefault="004C4C39" w:rsidP="004C4C39">
      <w:pPr>
        <w:spacing w:after="0" w:line="480" w:lineRule="auto"/>
        <w:ind w:firstLine="720"/>
        <w:rPr>
          <w:rFonts w:eastAsia="Calibri"/>
        </w:rPr>
      </w:pPr>
      <w:r w:rsidRPr="00A32EED">
        <w:rPr>
          <w:rFonts w:eastAsia="Calibri"/>
        </w:rPr>
        <w:t xml:space="preserve">For both samples, most cases did not receive any services at baseline (29.30% and 28.87% respectively). Once again, the difference between the two samples (-.43%) is not statistically significant. For both samples, most youth remained in their home (88.27% and 90.03% respectively), followed by kinship care (5.04% and 3.98%), foster care (4.14% and 3.78%) and group homes (2.55% and 2.22%). As with maltreatment type, differences between the two samples were examined using a categorical variable and individual dummy variables for placement type. While there are no significant differences when </w:t>
      </w:r>
      <w:r w:rsidRPr="00A32EED">
        <w:rPr>
          <w:rFonts w:eastAsia="Calibri"/>
        </w:rPr>
        <w:lastRenderedPageBreak/>
        <w:t xml:space="preserve">using one categorical variable, the individual dummy variables do reveal some statistically significant differences. Specifically, the analytical sample has a significantly higher percentage of children who remained in their own home (1.76%). This difference is significant at the p&lt;.05 level. The analytical sample also has a significantly lower percentage of children who were placed in kinship care (-1.06%). This difference is marginally significant (p&lt;.10). There are no significant differences between the two samples regarding foster and group home/other placements. </w:t>
      </w:r>
    </w:p>
    <w:p w14:paraId="6BE65DCD"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30" w:name="_Toc479938180"/>
      <w:bookmarkStart w:id="131" w:name="_Toc482112709"/>
      <w:r w:rsidRPr="00A32EED">
        <w:rPr>
          <w:rFonts w:eastAsia="ＭＳ ゴシック"/>
          <w:i/>
          <w:color w:val="000000"/>
          <w:szCs w:val="26"/>
          <w:u w:val="single"/>
        </w:rPr>
        <w:t>Bivariate Relationships of Criminal Justice Contact Analytic sample</w:t>
      </w:r>
      <w:bookmarkEnd w:id="130"/>
      <w:bookmarkEnd w:id="131"/>
      <w:r w:rsidRPr="00A32EED">
        <w:rPr>
          <w:rFonts w:eastAsia="ＭＳ ゴシック"/>
          <w:i/>
          <w:color w:val="000000"/>
          <w:szCs w:val="26"/>
          <w:u w:val="single"/>
        </w:rPr>
        <w:t xml:space="preserve"> </w:t>
      </w:r>
    </w:p>
    <w:p w14:paraId="04268A05" w14:textId="42EE13BD" w:rsidR="004C4C39" w:rsidRPr="00A32EED" w:rsidRDefault="00447DE8" w:rsidP="00BF087E">
      <w:pPr>
        <w:spacing w:after="0" w:line="480" w:lineRule="auto"/>
        <w:ind w:firstLine="720"/>
        <w:rPr>
          <w:rFonts w:eastAsia="Calibri"/>
        </w:rPr>
      </w:pPr>
      <w:r>
        <w:rPr>
          <w:rFonts w:eastAsia="Calibri"/>
        </w:rPr>
        <w:t>C</w:t>
      </w:r>
      <w:r w:rsidR="004C4C39" w:rsidRPr="00A32EED">
        <w:rPr>
          <w:rFonts w:eastAsia="Calibri"/>
        </w:rPr>
        <w:t xml:space="preserve">ollinearity among the independent variables in the final logistic regression model was assessed by calculating the variance inflation factors (VIF) and tolerance. Once again, the complex survey design of the NSCAW data presents some challenges regarding appropriate analyses. Specifically, there are no STATA programs currently designed to address the variance structures of survey data when calculating the VIF. However, there is some support among STATA users for using traditional VIF test despite their failure to account for the structure of complex survey data </w:t>
      </w:r>
      <w:r w:rsidR="004C4C39" w:rsidRPr="00A32EED">
        <w:rPr>
          <w:rFonts w:eastAsia="Calibri"/>
        </w:rPr>
        <w:fldChar w:fldCharType="begin"/>
      </w:r>
      <w:r w:rsidR="004C4C39" w:rsidRPr="00A32EED">
        <w:rPr>
          <w:rFonts w:eastAsia="Calibri"/>
        </w:rPr>
        <w:instrText xml:space="preserve"> ADDIN ZOTERO_ITEM CSL_CITATION {"citationID":"fvb50h18k","properties":{"formattedCitation":"(McIntosh 2009; Samuels 2011a, 2011b)","plainCitation":"(McIntosh 2009; Samuels 2011a, 2011b)"},"citationItems":[{"id":1449,"uris":["http://zotero.org/users/1165382/items/BDCR7FJJ"],"uri":["http://zotero.org/users/1165382/items/BDCR7FJJ"],"itemData":{"id":1449,"type":"post","title":"RE: st: VIFs under SVY command and -collin- command","URL":"http://www.stata.com/statalist/archive/2009-08/msg00640.html","note":"00000","author":[{"family":"McIntosh","given":""}],"issued":{"date-parts":[["2009"]]},"accessed":{"date-parts":[["2017",3,1]]}}},{"id":1447,"uris":["http://zotero.org/users/1165382/items/HGSZGVEI"],"uri":["http://zotero.org/users/1165382/items/HGSZGVEI"],"itemData":{"id":1447,"type":"post","title":"Re: st: multicollinearity with survey data","URL":"http://www.stata.com/statalist/archive/2011-02/msg01254.html","note":"00000","author":[{"family":"Samuels","given":"Steven"}],"issued":{"date-parts":[["2011"]]},"accessed":{"date-parts":[["2017",3,1]]}}},{"id":1443,"uris":["http://zotero.org/users/1165382/items/58E9SE8C"],"uri":["http://zotero.org/users/1165382/items/58E9SE8C"],"itemData":{"id":1443,"type":"post","title":"Re: st: svylogitgof after logistic using subpop option","URL":"http://www.stata.com/statalist/archive/2011-03/msg00550.html","note":"00000","author":[{"family":"Samuels","given":"Steven"}],"issued":{"date-parts":[["2011"]]},"accessed":{"date-parts":[["2017",2,27]]}}}],"schema":"https://github.com/citation-style-language/schema/raw/master/csl-citation.json"} </w:instrText>
      </w:r>
      <w:r w:rsidR="004C4C39" w:rsidRPr="00A32EED">
        <w:rPr>
          <w:rFonts w:eastAsia="Calibri"/>
        </w:rPr>
        <w:fldChar w:fldCharType="separate"/>
      </w:r>
      <w:r w:rsidR="004C4C39" w:rsidRPr="00A32EED">
        <w:rPr>
          <w:rFonts w:eastAsia="Calibri"/>
          <w:noProof/>
        </w:rPr>
        <w:t>(McIntosh 2009; Samuels 2011a, 2011b)</w:t>
      </w:r>
      <w:r w:rsidR="004C4C39" w:rsidRPr="00A32EED">
        <w:rPr>
          <w:rFonts w:eastAsia="Calibri"/>
        </w:rPr>
        <w:fldChar w:fldCharType="end"/>
      </w:r>
      <w:r w:rsidR="004C4C39" w:rsidRPr="00A32EED">
        <w:rPr>
          <w:rFonts w:eastAsia="Calibri"/>
        </w:rPr>
        <w:t xml:space="preserve">. Additionally, at least one study found that traditional methods for calculating VIF provided relatively similar estimates to more advanced methods designed to account for the structure of complex survey data </w:t>
      </w:r>
      <w:r w:rsidR="004C4C39" w:rsidRPr="00A32EED">
        <w:rPr>
          <w:rFonts w:eastAsia="Calibri"/>
        </w:rPr>
        <w:fldChar w:fldCharType="begin"/>
      </w:r>
      <w:r w:rsidR="004C4C39" w:rsidRPr="00A32EED">
        <w:rPr>
          <w:rFonts w:eastAsia="Calibri"/>
        </w:rPr>
        <w:instrText xml:space="preserve"> ADDIN ZOTERO_ITEM CSL_CITATION {"citationID":"1e9lp8tif1","properties":{"formattedCitation":"(Liao 2010)","plainCitation":"(Liao 2010)"},"citationItems":[{"id":1451,"uris":["http://zotero.org/users/1165382/items/F9U77JGP"],"uri":["http://zotero.org/users/1165382/items/F9U77JGP"],"itemData":{"id":1451,"type":"thesis","title":"Collinearity diagnostics for complex survey data","source":"Google Scholar","URL":"http://drum.lib.umd.edu/handle/1903/10881","note":"00013","author":[{"family":"Liao","given":"Dan"}],"issued":{"date-parts":[["2010"]]},"accessed":{"date-parts":[["2017",3,1]]}}}],"schema":"https://github.com/citation-style-language/schema/raw/master/csl-citation.json"} </w:instrText>
      </w:r>
      <w:r w:rsidR="004C4C39" w:rsidRPr="00A32EED">
        <w:rPr>
          <w:rFonts w:eastAsia="Calibri"/>
        </w:rPr>
        <w:fldChar w:fldCharType="separate"/>
      </w:r>
      <w:r w:rsidR="004C4C39" w:rsidRPr="00A32EED">
        <w:rPr>
          <w:rFonts w:eastAsia="Calibri"/>
          <w:noProof/>
        </w:rPr>
        <w:t>(Liao 2010)</w:t>
      </w:r>
      <w:r w:rsidR="004C4C39" w:rsidRPr="00A32EED">
        <w:rPr>
          <w:rFonts w:eastAsia="Calibri"/>
        </w:rPr>
        <w:fldChar w:fldCharType="end"/>
      </w:r>
      <w:r w:rsidR="004C4C39" w:rsidRPr="00A32EED">
        <w:rPr>
          <w:rFonts w:eastAsia="Calibri"/>
        </w:rPr>
        <w:t xml:space="preserve">. In this study, traditional methods only failed to identify one relationship that the more advanced methods did identify. Furthermore, the one relationship not identified by the traditional methods yielded a VIF of 9.13 while the more </w:t>
      </w:r>
      <w:r w:rsidR="004C4C39" w:rsidRPr="00A32EED">
        <w:rPr>
          <w:rFonts w:eastAsia="Calibri"/>
        </w:rPr>
        <w:lastRenderedPageBreak/>
        <w:t xml:space="preserve">advanced methods yielded VIFs of 11.4 and 11.1, suggesting that although the traditional test fell short of the commonly used cutoff of 10, the estimates were still relatively close. </w:t>
      </w:r>
    </w:p>
    <w:p w14:paraId="55898C99" w14:textId="5B31B2C6" w:rsidR="004C4C39" w:rsidRPr="00A32EED" w:rsidRDefault="004C4C39" w:rsidP="004C4C39">
      <w:pPr>
        <w:spacing w:after="0" w:line="480" w:lineRule="auto"/>
        <w:ind w:firstLine="720"/>
        <w:rPr>
          <w:rFonts w:eastAsia="Calibri"/>
        </w:rPr>
      </w:pPr>
      <w:r w:rsidRPr="00A32EED">
        <w:rPr>
          <w:rFonts w:eastAsia="Calibri"/>
        </w:rPr>
        <w:t xml:space="preserve">Using the above guidance VIF estimates were calculated using both the </w:t>
      </w:r>
      <w:r w:rsidRPr="00A32EED">
        <w:rPr>
          <w:rFonts w:eastAsia="Calibri"/>
          <w:i/>
        </w:rPr>
        <w:t>collin</w:t>
      </w:r>
      <w:r w:rsidRPr="00A32EED">
        <w:rPr>
          <w:rFonts w:eastAsia="Calibri"/>
        </w:rPr>
        <w:t xml:space="preserve"> and </w:t>
      </w:r>
      <w:r w:rsidRPr="00A32EED">
        <w:rPr>
          <w:rFonts w:eastAsia="Calibri"/>
          <w:i/>
        </w:rPr>
        <w:t xml:space="preserve">estat vif </w:t>
      </w:r>
      <w:r w:rsidRPr="00A32EED">
        <w:rPr>
          <w:rFonts w:eastAsia="Calibri"/>
        </w:rPr>
        <w:t>commands in STATA. The full results for both VIF calculations can be found in Table 6.</w:t>
      </w:r>
      <w:r w:rsidR="003F636D">
        <w:rPr>
          <w:rFonts w:eastAsia="Calibri"/>
        </w:rPr>
        <w:t>4</w:t>
      </w:r>
      <w:r w:rsidRPr="00A32EED">
        <w:rPr>
          <w:rFonts w:eastAsia="Calibri"/>
        </w:rPr>
        <w:t xml:space="preserve">. The highest VIF yielded by traditional methods for the final logistic regression model was 1.58 and 1.59 respectively. The mean VIF values for the two traditional methods was 1.19 and 1.18 respectively. Taken together, this precedence and low VIF values minimize concerns of multicollinearity in the final model. </w:t>
      </w:r>
    </w:p>
    <w:p w14:paraId="74202871" w14:textId="77777777" w:rsidR="004C4C39" w:rsidRPr="00A32EED" w:rsidRDefault="004C4C39" w:rsidP="0023176A">
      <w:pPr>
        <w:pStyle w:val="Caption1"/>
        <w:rPr>
          <w:rFonts w:eastAsia="Calibri"/>
        </w:rPr>
      </w:pPr>
      <w:bookmarkStart w:id="132" w:name="_Toc479941244"/>
      <w:r w:rsidRPr="00A32EED">
        <w:rPr>
          <w:rFonts w:eastAsia="Calibri"/>
        </w:rPr>
        <w:t>Table 6.</w:t>
      </w:r>
      <w:r w:rsidRPr="00A32EED">
        <w:rPr>
          <w:rFonts w:eastAsia="Calibri"/>
        </w:rPr>
        <w:fldChar w:fldCharType="begin"/>
      </w:r>
      <w:r w:rsidRPr="00A32EED">
        <w:rPr>
          <w:rFonts w:eastAsia="Calibri"/>
        </w:rPr>
        <w:instrText xml:space="preserve"> SEQ Table_6. \* ARABIC </w:instrText>
      </w:r>
      <w:r w:rsidRPr="00A32EED">
        <w:rPr>
          <w:rFonts w:eastAsia="Calibri"/>
        </w:rPr>
        <w:fldChar w:fldCharType="separate"/>
      </w:r>
      <w:r w:rsidR="00FA12E2">
        <w:rPr>
          <w:rFonts w:eastAsia="Calibri"/>
          <w:noProof/>
        </w:rPr>
        <w:t>4</w:t>
      </w:r>
      <w:r w:rsidRPr="00A32EED">
        <w:rPr>
          <w:rFonts w:eastAsia="Calibri"/>
          <w:noProof/>
        </w:rPr>
        <w:fldChar w:fldCharType="end"/>
      </w:r>
      <w:r w:rsidRPr="00A32EED">
        <w:rPr>
          <w:rFonts w:eastAsia="Calibri"/>
        </w:rPr>
        <w:t>: Variance Inflation Factors for Criminal Justice Contact Final Logistic Regression Model</w:t>
      </w:r>
      <w:bookmarkEnd w:id="132"/>
    </w:p>
    <w:tbl>
      <w:tblPr>
        <w:tblStyle w:val="ListTable21"/>
        <w:tblW w:w="4870" w:type="pct"/>
        <w:tblLook w:val="04A0" w:firstRow="1" w:lastRow="0" w:firstColumn="1" w:lastColumn="0" w:noHBand="0" w:noVBand="1"/>
      </w:tblPr>
      <w:tblGrid>
        <w:gridCol w:w="5114"/>
        <w:gridCol w:w="1597"/>
        <w:gridCol w:w="1564"/>
      </w:tblGrid>
      <w:tr w:rsidR="004C4C39" w:rsidRPr="00A32EED" w14:paraId="5E1F7AA7" w14:textId="77777777" w:rsidTr="00600B3B">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90" w:type="pct"/>
          </w:tcPr>
          <w:p w14:paraId="10BC668C" w14:textId="77777777" w:rsidR="004C4C39" w:rsidRPr="00A32EED" w:rsidRDefault="004C4C39" w:rsidP="004C4C39">
            <w:pPr>
              <w:rPr>
                <w:rFonts w:eastAsia="Calibri" w:cs="Arial"/>
              </w:rPr>
            </w:pPr>
            <w:r w:rsidRPr="00A32EED">
              <w:rPr>
                <w:rFonts w:eastAsia="Calibri" w:cs="Arial"/>
              </w:rPr>
              <w:t>Variable</w:t>
            </w:r>
          </w:p>
        </w:tc>
        <w:tc>
          <w:tcPr>
            <w:tcW w:w="965" w:type="pct"/>
          </w:tcPr>
          <w:p w14:paraId="26B6C720"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i/>
              </w:rPr>
              <w:t xml:space="preserve">collin </w:t>
            </w:r>
            <w:r w:rsidRPr="00A32EED">
              <w:rPr>
                <w:rFonts w:eastAsia="Calibri" w:cs="Arial"/>
              </w:rPr>
              <w:t>VIF</w:t>
            </w:r>
          </w:p>
        </w:tc>
        <w:tc>
          <w:tcPr>
            <w:tcW w:w="945" w:type="pct"/>
          </w:tcPr>
          <w:p w14:paraId="4D01EE4A"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A32EED">
              <w:rPr>
                <w:rFonts w:eastAsia="Calibri" w:cs="Arial"/>
                <w:i/>
              </w:rPr>
              <w:t xml:space="preserve">estat </w:t>
            </w:r>
            <w:r w:rsidRPr="00A32EED">
              <w:rPr>
                <w:rFonts w:eastAsia="Calibri" w:cs="Arial"/>
              </w:rPr>
              <w:t>VIF</w:t>
            </w:r>
          </w:p>
        </w:tc>
      </w:tr>
      <w:tr w:rsidR="004C4C39" w:rsidRPr="00A32EED" w14:paraId="090E42C3" w14:textId="77777777" w:rsidTr="00600B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90" w:type="pct"/>
          </w:tcPr>
          <w:p w14:paraId="78B1367A" w14:textId="77777777" w:rsidR="004C4C39" w:rsidRPr="00A32EED" w:rsidRDefault="004C4C39" w:rsidP="004C4C39">
            <w:pPr>
              <w:rPr>
                <w:rFonts w:eastAsia="Calibri" w:cs="Arial"/>
              </w:rPr>
            </w:pPr>
            <w:r w:rsidRPr="00A32EED">
              <w:rPr>
                <w:rFonts w:eastAsia="Times New Roman" w:cs="Arial"/>
                <w:color w:val="000000"/>
              </w:rPr>
              <w:t>Age</w:t>
            </w:r>
          </w:p>
        </w:tc>
        <w:tc>
          <w:tcPr>
            <w:tcW w:w="965" w:type="pct"/>
          </w:tcPr>
          <w:p w14:paraId="4183D00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1.05</w:t>
            </w:r>
          </w:p>
        </w:tc>
        <w:tc>
          <w:tcPr>
            <w:tcW w:w="945" w:type="pct"/>
          </w:tcPr>
          <w:p w14:paraId="78D11B3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1.09</w:t>
            </w:r>
          </w:p>
        </w:tc>
      </w:tr>
      <w:tr w:rsidR="004C4C39" w:rsidRPr="00A32EED" w14:paraId="5B4D374F" w14:textId="77777777" w:rsidTr="00600B3B">
        <w:trPr>
          <w:trHeight w:val="260"/>
        </w:trPr>
        <w:tc>
          <w:tcPr>
            <w:cnfStyle w:val="001000000000" w:firstRow="0" w:lastRow="0" w:firstColumn="1" w:lastColumn="0" w:oddVBand="0" w:evenVBand="0" w:oddHBand="0" w:evenHBand="0" w:firstRowFirstColumn="0" w:firstRowLastColumn="0" w:lastRowFirstColumn="0" w:lastRowLastColumn="0"/>
            <w:tcW w:w="3090" w:type="pct"/>
          </w:tcPr>
          <w:p w14:paraId="0323D96F" w14:textId="77777777" w:rsidR="004C4C39" w:rsidRPr="00A32EED" w:rsidRDefault="004C4C39" w:rsidP="004C4C39">
            <w:pPr>
              <w:rPr>
                <w:rFonts w:eastAsia="Calibri" w:cs="Arial"/>
              </w:rPr>
            </w:pPr>
            <w:r w:rsidRPr="00A32EED">
              <w:rPr>
                <w:rFonts w:eastAsia="Times New Roman" w:cs="Arial"/>
                <w:color w:val="000000"/>
              </w:rPr>
              <w:t>Non-White</w:t>
            </w:r>
          </w:p>
        </w:tc>
        <w:tc>
          <w:tcPr>
            <w:tcW w:w="965" w:type="pct"/>
          </w:tcPr>
          <w:p w14:paraId="1159195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1.03</w:t>
            </w:r>
          </w:p>
        </w:tc>
        <w:tc>
          <w:tcPr>
            <w:tcW w:w="945" w:type="pct"/>
          </w:tcPr>
          <w:p w14:paraId="222E0A4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1.04</w:t>
            </w:r>
          </w:p>
        </w:tc>
      </w:tr>
      <w:tr w:rsidR="004C4C39" w:rsidRPr="00A32EED" w14:paraId="55CF288F" w14:textId="77777777" w:rsidTr="00600B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90" w:type="pct"/>
          </w:tcPr>
          <w:p w14:paraId="3C4FB2A8" w14:textId="77777777" w:rsidR="004C4C39" w:rsidRPr="00A32EED" w:rsidRDefault="004C4C39" w:rsidP="004C4C39">
            <w:pPr>
              <w:rPr>
                <w:rFonts w:eastAsia="Calibri" w:cs="Arial"/>
              </w:rPr>
            </w:pPr>
            <w:r w:rsidRPr="00A32EED">
              <w:rPr>
                <w:rFonts w:eastAsia="Times New Roman" w:cs="Arial"/>
                <w:color w:val="000000"/>
              </w:rPr>
              <w:t>Male</w:t>
            </w:r>
          </w:p>
        </w:tc>
        <w:tc>
          <w:tcPr>
            <w:tcW w:w="965" w:type="pct"/>
          </w:tcPr>
          <w:p w14:paraId="5885B28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1.07</w:t>
            </w:r>
          </w:p>
        </w:tc>
        <w:tc>
          <w:tcPr>
            <w:tcW w:w="945" w:type="pct"/>
          </w:tcPr>
          <w:p w14:paraId="1C1E69D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1.06</w:t>
            </w:r>
          </w:p>
        </w:tc>
      </w:tr>
      <w:tr w:rsidR="004C4C39" w:rsidRPr="00A32EED" w14:paraId="1C3A016C" w14:textId="77777777" w:rsidTr="00600B3B">
        <w:trPr>
          <w:trHeight w:val="260"/>
        </w:trPr>
        <w:tc>
          <w:tcPr>
            <w:cnfStyle w:val="001000000000" w:firstRow="0" w:lastRow="0" w:firstColumn="1" w:lastColumn="0" w:oddVBand="0" w:evenVBand="0" w:oddHBand="0" w:evenHBand="0" w:firstRowFirstColumn="0" w:firstRowLastColumn="0" w:lastRowFirstColumn="0" w:lastRowLastColumn="0"/>
            <w:tcW w:w="3090" w:type="pct"/>
          </w:tcPr>
          <w:p w14:paraId="0753CC6C" w14:textId="77777777" w:rsidR="004C4C39" w:rsidRPr="00A32EED" w:rsidRDefault="004C4C39" w:rsidP="004C4C39">
            <w:pPr>
              <w:rPr>
                <w:rFonts w:eastAsia="Calibri" w:cs="Arial"/>
              </w:rPr>
            </w:pPr>
            <w:r w:rsidRPr="00A32EED">
              <w:rPr>
                <w:rFonts w:eastAsia="Times New Roman" w:cs="Arial"/>
                <w:color w:val="000000"/>
              </w:rPr>
              <w:t>Baseline Service</w:t>
            </w:r>
          </w:p>
        </w:tc>
        <w:tc>
          <w:tcPr>
            <w:tcW w:w="965" w:type="pct"/>
          </w:tcPr>
          <w:p w14:paraId="34D5EFE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1.21</w:t>
            </w:r>
          </w:p>
        </w:tc>
        <w:tc>
          <w:tcPr>
            <w:tcW w:w="945" w:type="pct"/>
          </w:tcPr>
          <w:p w14:paraId="0E60376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1.19</w:t>
            </w:r>
          </w:p>
        </w:tc>
      </w:tr>
      <w:tr w:rsidR="004C4C39" w:rsidRPr="00A32EED" w14:paraId="5E310961" w14:textId="77777777" w:rsidTr="00600B3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090" w:type="pct"/>
          </w:tcPr>
          <w:p w14:paraId="78555D01" w14:textId="77777777" w:rsidR="004C4C39" w:rsidRPr="00A32EED" w:rsidRDefault="004C4C39" w:rsidP="004C4C39">
            <w:pPr>
              <w:rPr>
                <w:rFonts w:eastAsia="Calibri" w:cs="Arial"/>
              </w:rPr>
            </w:pPr>
            <w:r w:rsidRPr="00A32EED">
              <w:rPr>
                <w:rFonts w:eastAsia="Times New Roman" w:cs="Arial"/>
                <w:color w:val="000000"/>
              </w:rPr>
              <w:t>Substantiated</w:t>
            </w:r>
          </w:p>
        </w:tc>
        <w:tc>
          <w:tcPr>
            <w:tcW w:w="965" w:type="pct"/>
          </w:tcPr>
          <w:p w14:paraId="7DDDE83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1.44</w:t>
            </w:r>
          </w:p>
        </w:tc>
        <w:tc>
          <w:tcPr>
            <w:tcW w:w="945" w:type="pct"/>
          </w:tcPr>
          <w:p w14:paraId="4522AC1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1.55</w:t>
            </w:r>
          </w:p>
        </w:tc>
      </w:tr>
      <w:tr w:rsidR="004C4C39" w:rsidRPr="00A32EED" w14:paraId="7C8FC88A" w14:textId="77777777" w:rsidTr="00600B3B">
        <w:trPr>
          <w:trHeight w:val="260"/>
        </w:trPr>
        <w:tc>
          <w:tcPr>
            <w:cnfStyle w:val="001000000000" w:firstRow="0" w:lastRow="0" w:firstColumn="1" w:lastColumn="0" w:oddVBand="0" w:evenVBand="0" w:oddHBand="0" w:evenHBand="0" w:firstRowFirstColumn="0" w:firstRowLastColumn="0" w:lastRowFirstColumn="0" w:lastRowLastColumn="0"/>
            <w:tcW w:w="3090" w:type="pct"/>
          </w:tcPr>
          <w:p w14:paraId="1A41C753" w14:textId="77777777" w:rsidR="004C4C39" w:rsidRPr="00A32EED" w:rsidRDefault="004C4C39" w:rsidP="004C4C39">
            <w:pPr>
              <w:rPr>
                <w:rFonts w:eastAsia="Calibri" w:cs="Arial"/>
              </w:rPr>
            </w:pPr>
            <w:r w:rsidRPr="00A32EED">
              <w:rPr>
                <w:rFonts w:eastAsia="Times New Roman" w:cs="Arial"/>
                <w:color w:val="000000"/>
              </w:rPr>
              <w:t>Level of Harm</w:t>
            </w:r>
          </w:p>
        </w:tc>
        <w:tc>
          <w:tcPr>
            <w:tcW w:w="965" w:type="pct"/>
          </w:tcPr>
          <w:p w14:paraId="6888830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1.58</w:t>
            </w:r>
          </w:p>
        </w:tc>
        <w:tc>
          <w:tcPr>
            <w:tcW w:w="945" w:type="pct"/>
          </w:tcPr>
          <w:p w14:paraId="5816C4F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1.59</w:t>
            </w:r>
          </w:p>
        </w:tc>
      </w:tr>
      <w:tr w:rsidR="004C4C39" w:rsidRPr="00A32EED" w14:paraId="46B9CFFB" w14:textId="77777777" w:rsidTr="00600B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90" w:type="pct"/>
          </w:tcPr>
          <w:p w14:paraId="330D63E6" w14:textId="77777777" w:rsidR="004C4C39" w:rsidRPr="00A32EED" w:rsidRDefault="004C4C39" w:rsidP="004C4C39">
            <w:pPr>
              <w:rPr>
                <w:rFonts w:eastAsia="Calibri" w:cs="Arial"/>
              </w:rPr>
            </w:pPr>
            <w:r w:rsidRPr="00A32EED">
              <w:rPr>
                <w:rFonts w:eastAsia="Times New Roman" w:cs="Arial"/>
                <w:color w:val="000000"/>
              </w:rPr>
              <w:t>More than 1 Maltreatment</w:t>
            </w:r>
          </w:p>
        </w:tc>
        <w:tc>
          <w:tcPr>
            <w:tcW w:w="965" w:type="pct"/>
          </w:tcPr>
          <w:p w14:paraId="23BE3B8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1.16</w:t>
            </w:r>
          </w:p>
        </w:tc>
        <w:tc>
          <w:tcPr>
            <w:tcW w:w="945" w:type="pct"/>
          </w:tcPr>
          <w:p w14:paraId="53FDB29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1.12</w:t>
            </w:r>
          </w:p>
        </w:tc>
      </w:tr>
      <w:tr w:rsidR="004C4C39" w:rsidRPr="00A32EED" w14:paraId="2AC20F8B" w14:textId="77777777" w:rsidTr="00600B3B">
        <w:trPr>
          <w:trHeight w:val="260"/>
        </w:trPr>
        <w:tc>
          <w:tcPr>
            <w:cnfStyle w:val="001000000000" w:firstRow="0" w:lastRow="0" w:firstColumn="1" w:lastColumn="0" w:oddVBand="0" w:evenVBand="0" w:oddHBand="0" w:evenHBand="0" w:firstRowFirstColumn="0" w:firstRowLastColumn="0" w:lastRowFirstColumn="0" w:lastRowLastColumn="0"/>
            <w:tcW w:w="3090" w:type="pct"/>
          </w:tcPr>
          <w:p w14:paraId="616CAAB2" w14:textId="77777777" w:rsidR="004C4C39" w:rsidRPr="00A32EED" w:rsidRDefault="004C4C39" w:rsidP="004C4C39">
            <w:pPr>
              <w:rPr>
                <w:rFonts w:eastAsia="Calibri" w:cs="Arial"/>
              </w:rPr>
            </w:pPr>
            <w:r w:rsidRPr="00A32EED">
              <w:rPr>
                <w:rFonts w:eastAsia="Times New Roman" w:cs="Arial"/>
                <w:color w:val="000000"/>
              </w:rPr>
              <w:t>Child Welfare History</w:t>
            </w:r>
          </w:p>
        </w:tc>
        <w:tc>
          <w:tcPr>
            <w:tcW w:w="965" w:type="pct"/>
          </w:tcPr>
          <w:p w14:paraId="20DD58B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1.09</w:t>
            </w:r>
          </w:p>
        </w:tc>
        <w:tc>
          <w:tcPr>
            <w:tcW w:w="945" w:type="pct"/>
          </w:tcPr>
          <w:p w14:paraId="66A0329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1.10</w:t>
            </w:r>
          </w:p>
        </w:tc>
      </w:tr>
      <w:tr w:rsidR="004C4C39" w:rsidRPr="00A32EED" w14:paraId="7CE1EE26" w14:textId="77777777" w:rsidTr="00600B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90" w:type="pct"/>
          </w:tcPr>
          <w:p w14:paraId="71DB19EA" w14:textId="77777777" w:rsidR="004C4C39" w:rsidRPr="00A32EED" w:rsidRDefault="004C4C39" w:rsidP="004C4C39">
            <w:pPr>
              <w:rPr>
                <w:rFonts w:eastAsia="Calibri" w:cs="Arial"/>
              </w:rPr>
            </w:pPr>
            <w:r w:rsidRPr="00A32EED">
              <w:rPr>
                <w:rFonts w:eastAsia="Times New Roman" w:cs="Arial"/>
                <w:color w:val="000000"/>
              </w:rPr>
              <w:t>Parent Arrest</w:t>
            </w:r>
          </w:p>
        </w:tc>
        <w:tc>
          <w:tcPr>
            <w:tcW w:w="965" w:type="pct"/>
          </w:tcPr>
          <w:p w14:paraId="7D7E1EB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1.12</w:t>
            </w:r>
          </w:p>
        </w:tc>
        <w:tc>
          <w:tcPr>
            <w:tcW w:w="945" w:type="pct"/>
          </w:tcPr>
          <w:p w14:paraId="6A6D444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1.11</w:t>
            </w:r>
          </w:p>
        </w:tc>
      </w:tr>
      <w:tr w:rsidR="004C4C39" w:rsidRPr="00A32EED" w14:paraId="65B79922" w14:textId="77777777" w:rsidTr="00600B3B">
        <w:trPr>
          <w:trHeight w:val="260"/>
        </w:trPr>
        <w:tc>
          <w:tcPr>
            <w:cnfStyle w:val="001000000000" w:firstRow="0" w:lastRow="0" w:firstColumn="1" w:lastColumn="0" w:oddVBand="0" w:evenVBand="0" w:oddHBand="0" w:evenHBand="0" w:firstRowFirstColumn="0" w:firstRowLastColumn="0" w:lastRowFirstColumn="0" w:lastRowLastColumn="0"/>
            <w:tcW w:w="3090" w:type="pct"/>
          </w:tcPr>
          <w:p w14:paraId="027A2025" w14:textId="77777777" w:rsidR="004C4C39" w:rsidRPr="00A32EED" w:rsidRDefault="004C4C39" w:rsidP="004C4C39">
            <w:pPr>
              <w:rPr>
                <w:rFonts w:eastAsia="Calibri" w:cs="Arial"/>
              </w:rPr>
            </w:pPr>
            <w:r w:rsidRPr="00A32EED">
              <w:rPr>
                <w:rFonts w:eastAsia="Times New Roman" w:cs="Arial"/>
                <w:color w:val="000000"/>
              </w:rPr>
              <w:t>Self-Control</w:t>
            </w:r>
          </w:p>
        </w:tc>
        <w:tc>
          <w:tcPr>
            <w:tcW w:w="965" w:type="pct"/>
          </w:tcPr>
          <w:p w14:paraId="222FD42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1.06</w:t>
            </w:r>
          </w:p>
        </w:tc>
        <w:tc>
          <w:tcPr>
            <w:tcW w:w="945" w:type="pct"/>
          </w:tcPr>
          <w:p w14:paraId="1FE9C1A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1.07</w:t>
            </w:r>
          </w:p>
        </w:tc>
      </w:tr>
      <w:tr w:rsidR="004C4C39" w:rsidRPr="00A32EED" w14:paraId="32EBED3C" w14:textId="77777777" w:rsidTr="00600B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90" w:type="pct"/>
          </w:tcPr>
          <w:p w14:paraId="4F7A894A" w14:textId="77777777" w:rsidR="004C4C39" w:rsidRPr="00A32EED" w:rsidRDefault="004C4C39" w:rsidP="004C4C39">
            <w:pPr>
              <w:rPr>
                <w:rFonts w:eastAsia="Calibri" w:cs="Arial"/>
              </w:rPr>
            </w:pPr>
            <w:r w:rsidRPr="00A32EED">
              <w:rPr>
                <w:rFonts w:eastAsia="Times New Roman" w:cs="Arial"/>
                <w:color w:val="000000"/>
              </w:rPr>
              <w:t>Physical Abuse</w:t>
            </w:r>
          </w:p>
        </w:tc>
        <w:tc>
          <w:tcPr>
            <w:tcW w:w="965" w:type="pct"/>
          </w:tcPr>
          <w:p w14:paraId="2AF1B0D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1.22</w:t>
            </w:r>
          </w:p>
        </w:tc>
        <w:tc>
          <w:tcPr>
            <w:tcW w:w="945" w:type="pct"/>
          </w:tcPr>
          <w:p w14:paraId="151A744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1.22</w:t>
            </w:r>
          </w:p>
        </w:tc>
      </w:tr>
      <w:tr w:rsidR="004C4C39" w:rsidRPr="00A32EED" w14:paraId="55EC4D45" w14:textId="77777777" w:rsidTr="00600B3B">
        <w:trPr>
          <w:trHeight w:val="260"/>
        </w:trPr>
        <w:tc>
          <w:tcPr>
            <w:cnfStyle w:val="001000000000" w:firstRow="0" w:lastRow="0" w:firstColumn="1" w:lastColumn="0" w:oddVBand="0" w:evenVBand="0" w:oddHBand="0" w:evenHBand="0" w:firstRowFirstColumn="0" w:firstRowLastColumn="0" w:lastRowFirstColumn="0" w:lastRowLastColumn="0"/>
            <w:tcW w:w="3090" w:type="pct"/>
          </w:tcPr>
          <w:p w14:paraId="1FF8F309" w14:textId="77777777" w:rsidR="004C4C39" w:rsidRPr="00A32EED" w:rsidRDefault="004C4C39" w:rsidP="004C4C39">
            <w:pPr>
              <w:rPr>
                <w:rFonts w:eastAsia="Calibri" w:cs="Arial"/>
              </w:rPr>
            </w:pPr>
            <w:r w:rsidRPr="00A32EED">
              <w:rPr>
                <w:rFonts w:eastAsia="Times New Roman" w:cs="Arial"/>
                <w:color w:val="000000"/>
              </w:rPr>
              <w:t>Sexual Abuse</w:t>
            </w:r>
          </w:p>
        </w:tc>
        <w:tc>
          <w:tcPr>
            <w:tcW w:w="965" w:type="pct"/>
          </w:tcPr>
          <w:p w14:paraId="2C906AC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1.27</w:t>
            </w:r>
          </w:p>
        </w:tc>
        <w:tc>
          <w:tcPr>
            <w:tcW w:w="945" w:type="pct"/>
          </w:tcPr>
          <w:p w14:paraId="3B5C105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1.22</w:t>
            </w:r>
          </w:p>
        </w:tc>
      </w:tr>
      <w:tr w:rsidR="004C4C39" w:rsidRPr="00A32EED" w14:paraId="1A13D552" w14:textId="77777777" w:rsidTr="00600B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90" w:type="pct"/>
          </w:tcPr>
          <w:p w14:paraId="655D4494" w14:textId="77777777" w:rsidR="004C4C39" w:rsidRPr="00A32EED" w:rsidRDefault="004C4C39" w:rsidP="004C4C39">
            <w:pPr>
              <w:rPr>
                <w:rFonts w:eastAsia="Calibri" w:cs="Arial"/>
              </w:rPr>
            </w:pPr>
            <w:r w:rsidRPr="00A32EED">
              <w:rPr>
                <w:rFonts w:eastAsia="Times New Roman" w:cs="Arial"/>
                <w:color w:val="000000"/>
              </w:rPr>
              <w:t>Other Maltreatment</w:t>
            </w:r>
          </w:p>
        </w:tc>
        <w:tc>
          <w:tcPr>
            <w:tcW w:w="965" w:type="pct"/>
          </w:tcPr>
          <w:p w14:paraId="461CCCE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1.18</w:t>
            </w:r>
          </w:p>
        </w:tc>
        <w:tc>
          <w:tcPr>
            <w:tcW w:w="945" w:type="pct"/>
          </w:tcPr>
          <w:p w14:paraId="59EDFD1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1.24</w:t>
            </w:r>
          </w:p>
        </w:tc>
      </w:tr>
      <w:tr w:rsidR="004C4C39" w:rsidRPr="00A32EED" w14:paraId="684FAE0F" w14:textId="77777777" w:rsidTr="00600B3B">
        <w:trPr>
          <w:trHeight w:val="260"/>
        </w:trPr>
        <w:tc>
          <w:tcPr>
            <w:cnfStyle w:val="001000000000" w:firstRow="0" w:lastRow="0" w:firstColumn="1" w:lastColumn="0" w:oddVBand="0" w:evenVBand="0" w:oddHBand="0" w:evenHBand="0" w:firstRowFirstColumn="0" w:firstRowLastColumn="0" w:lastRowFirstColumn="0" w:lastRowLastColumn="0"/>
            <w:tcW w:w="3090" w:type="pct"/>
          </w:tcPr>
          <w:p w14:paraId="05EB5C78" w14:textId="77777777" w:rsidR="004C4C39" w:rsidRPr="00A32EED" w:rsidRDefault="004C4C39" w:rsidP="004C4C39">
            <w:pPr>
              <w:rPr>
                <w:rFonts w:eastAsia="Calibri" w:cs="Arial"/>
              </w:rPr>
            </w:pPr>
            <w:r w:rsidRPr="00A32EED">
              <w:rPr>
                <w:rFonts w:eastAsia="Times New Roman" w:cs="Arial"/>
                <w:color w:val="000000"/>
              </w:rPr>
              <w:t>Kinship Placement</w:t>
            </w:r>
          </w:p>
        </w:tc>
        <w:tc>
          <w:tcPr>
            <w:tcW w:w="965" w:type="pct"/>
          </w:tcPr>
          <w:p w14:paraId="31472B7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1.16</w:t>
            </w:r>
          </w:p>
        </w:tc>
        <w:tc>
          <w:tcPr>
            <w:tcW w:w="945" w:type="pct"/>
          </w:tcPr>
          <w:p w14:paraId="125BD6E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1.09</w:t>
            </w:r>
          </w:p>
        </w:tc>
      </w:tr>
      <w:tr w:rsidR="004C4C39" w:rsidRPr="00A32EED" w14:paraId="74DDAED4" w14:textId="77777777" w:rsidTr="00600B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90" w:type="pct"/>
          </w:tcPr>
          <w:p w14:paraId="53D56F5B" w14:textId="77777777" w:rsidR="004C4C39" w:rsidRPr="00A32EED" w:rsidRDefault="004C4C39" w:rsidP="004C4C39">
            <w:pPr>
              <w:rPr>
                <w:rFonts w:eastAsia="Calibri" w:cs="Arial"/>
              </w:rPr>
            </w:pPr>
            <w:r w:rsidRPr="00A32EED">
              <w:rPr>
                <w:rFonts w:eastAsia="Times New Roman" w:cs="Arial"/>
                <w:color w:val="000000"/>
              </w:rPr>
              <w:t>Foster Placement</w:t>
            </w:r>
          </w:p>
        </w:tc>
        <w:tc>
          <w:tcPr>
            <w:tcW w:w="965" w:type="pct"/>
          </w:tcPr>
          <w:p w14:paraId="3E1DE43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1.24</w:t>
            </w:r>
          </w:p>
        </w:tc>
        <w:tc>
          <w:tcPr>
            <w:tcW w:w="945" w:type="pct"/>
          </w:tcPr>
          <w:p w14:paraId="1BC8792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1.15</w:t>
            </w:r>
          </w:p>
        </w:tc>
      </w:tr>
      <w:tr w:rsidR="004C4C39" w:rsidRPr="00A32EED" w14:paraId="7965E953" w14:textId="77777777" w:rsidTr="00600B3B">
        <w:trPr>
          <w:trHeight w:val="279"/>
        </w:trPr>
        <w:tc>
          <w:tcPr>
            <w:cnfStyle w:val="001000000000" w:firstRow="0" w:lastRow="0" w:firstColumn="1" w:lastColumn="0" w:oddVBand="0" w:evenVBand="0" w:oddHBand="0" w:evenHBand="0" w:firstRowFirstColumn="0" w:firstRowLastColumn="0" w:lastRowFirstColumn="0" w:lastRowLastColumn="0"/>
            <w:tcW w:w="3090" w:type="pct"/>
          </w:tcPr>
          <w:p w14:paraId="7788E20A" w14:textId="77777777" w:rsidR="004C4C39" w:rsidRPr="00A32EED" w:rsidRDefault="004C4C39" w:rsidP="004C4C39">
            <w:pPr>
              <w:rPr>
                <w:rFonts w:eastAsia="Calibri" w:cs="Arial"/>
              </w:rPr>
            </w:pPr>
            <w:r w:rsidRPr="00A32EED">
              <w:rPr>
                <w:rFonts w:eastAsia="Times New Roman" w:cs="Arial"/>
                <w:color w:val="000000"/>
              </w:rPr>
              <w:t>Group Home/Other Placement</w:t>
            </w:r>
          </w:p>
        </w:tc>
        <w:tc>
          <w:tcPr>
            <w:tcW w:w="965" w:type="pct"/>
          </w:tcPr>
          <w:p w14:paraId="5954908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Times New Roman" w:cs="Arial"/>
                <w:color w:val="000000"/>
              </w:rPr>
              <w:t>1.08</w:t>
            </w:r>
          </w:p>
        </w:tc>
        <w:tc>
          <w:tcPr>
            <w:tcW w:w="945" w:type="pct"/>
          </w:tcPr>
          <w:p w14:paraId="1C3A088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32EED">
              <w:rPr>
                <w:rFonts w:eastAsia="Calibri" w:cs="Arial"/>
              </w:rPr>
              <w:t>1.07</w:t>
            </w:r>
          </w:p>
        </w:tc>
      </w:tr>
      <w:tr w:rsidR="004C4C39" w:rsidRPr="00A32EED" w14:paraId="2EE187CA" w14:textId="77777777" w:rsidTr="00600B3B">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090" w:type="pct"/>
          </w:tcPr>
          <w:p w14:paraId="55B4FD87" w14:textId="77777777" w:rsidR="004C4C39" w:rsidRPr="00A32EED" w:rsidRDefault="004C4C39" w:rsidP="004C4C39">
            <w:pPr>
              <w:rPr>
                <w:rFonts w:eastAsia="Calibri" w:cs="Arial"/>
              </w:rPr>
            </w:pPr>
            <w:r w:rsidRPr="00A32EED">
              <w:rPr>
                <w:rFonts w:eastAsia="Times New Roman" w:cs="Arial"/>
                <w:color w:val="000000"/>
              </w:rPr>
              <w:t>Mean VIF</w:t>
            </w:r>
          </w:p>
        </w:tc>
        <w:tc>
          <w:tcPr>
            <w:tcW w:w="965" w:type="pct"/>
          </w:tcPr>
          <w:p w14:paraId="1B6EFEE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Times New Roman" w:cs="Arial"/>
                <w:color w:val="000000"/>
              </w:rPr>
              <w:t>1.19</w:t>
            </w:r>
          </w:p>
        </w:tc>
        <w:tc>
          <w:tcPr>
            <w:tcW w:w="945" w:type="pct"/>
          </w:tcPr>
          <w:p w14:paraId="0C36D6F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A32EED">
              <w:rPr>
                <w:rFonts w:eastAsia="Calibri" w:cs="Arial"/>
              </w:rPr>
              <w:t>1.18</w:t>
            </w:r>
          </w:p>
        </w:tc>
      </w:tr>
    </w:tbl>
    <w:p w14:paraId="1D2323DB" w14:textId="77777777" w:rsidR="004C4C39" w:rsidRPr="00A32EED" w:rsidRDefault="004C4C39" w:rsidP="004C4C39">
      <w:pPr>
        <w:spacing w:after="0" w:line="480" w:lineRule="auto"/>
        <w:rPr>
          <w:rFonts w:eastAsia="Calibri"/>
        </w:rPr>
      </w:pPr>
    </w:p>
    <w:p w14:paraId="6823495F" w14:textId="7F402139" w:rsidR="004C4C39" w:rsidRPr="00A32EED" w:rsidRDefault="004C4C39" w:rsidP="004C4C39">
      <w:pPr>
        <w:spacing w:after="0" w:line="480" w:lineRule="auto"/>
        <w:ind w:firstLine="720"/>
        <w:rPr>
          <w:rFonts w:eastAsia="Calibri"/>
        </w:rPr>
      </w:pPr>
      <w:r w:rsidRPr="00A32EED">
        <w:rPr>
          <w:rFonts w:eastAsia="Calibri"/>
        </w:rPr>
        <w:lastRenderedPageBreak/>
        <w:t>The same adjusted Pearson Chi-Square test used for analyses of the age-eligible and analytical sample was used to examine significant bivariate relationships between eventual Criminal Justice contact and categorical independent variables. The frequency of Criminal Justice contact broken down by independent var</w:t>
      </w:r>
      <w:r w:rsidR="00321A58">
        <w:rPr>
          <w:rFonts w:eastAsia="Calibri"/>
        </w:rPr>
        <w:t>iables can be found in Table 6.5</w:t>
      </w:r>
      <w:r w:rsidRPr="00A32EED">
        <w:rPr>
          <w:rFonts w:eastAsia="Calibri"/>
        </w:rPr>
        <w:t xml:space="preserve">. Significant relationships or </w:t>
      </w:r>
      <w:r w:rsidRPr="00A32EED">
        <w:rPr>
          <w:rFonts w:eastAsia="Calibri"/>
          <w:i/>
        </w:rPr>
        <w:t xml:space="preserve">p&lt;.10 </w:t>
      </w:r>
      <w:r w:rsidRPr="00A32EED">
        <w:rPr>
          <w:rFonts w:eastAsia="Calibri"/>
        </w:rPr>
        <w:t xml:space="preserve">or less are denoted by the traditional symbols. As with the comparisons of the age-eligible and analytical sample, percentages reported in the table are the weighted percentages that represent the complex sample design of the NSCAW data. There are no significant relationships between criminal justice contact and the child demographics of gender and race/ethnicity. </w:t>
      </w:r>
    </w:p>
    <w:p w14:paraId="417DF57A" w14:textId="77777777" w:rsidR="004C4C39" w:rsidRPr="00A32EED" w:rsidRDefault="004C4C39" w:rsidP="0023176A">
      <w:pPr>
        <w:pStyle w:val="Caption1"/>
        <w:rPr>
          <w:rFonts w:eastAsia="Calibri"/>
        </w:rPr>
      </w:pPr>
      <w:bookmarkStart w:id="133" w:name="_Toc479941245"/>
      <w:r w:rsidRPr="00A32EED">
        <w:rPr>
          <w:rFonts w:eastAsia="Calibri"/>
        </w:rPr>
        <w:t>Table 6.</w:t>
      </w:r>
      <w:r w:rsidRPr="00A32EED">
        <w:rPr>
          <w:rFonts w:eastAsia="Calibri"/>
        </w:rPr>
        <w:fldChar w:fldCharType="begin"/>
      </w:r>
      <w:r w:rsidRPr="00A32EED">
        <w:rPr>
          <w:rFonts w:eastAsia="Calibri"/>
        </w:rPr>
        <w:instrText xml:space="preserve"> SEQ Table_6. \* ARABIC </w:instrText>
      </w:r>
      <w:r w:rsidRPr="00A32EED">
        <w:rPr>
          <w:rFonts w:eastAsia="Calibri"/>
        </w:rPr>
        <w:fldChar w:fldCharType="separate"/>
      </w:r>
      <w:r w:rsidR="00FA12E2">
        <w:rPr>
          <w:rFonts w:eastAsia="Calibri"/>
          <w:noProof/>
        </w:rPr>
        <w:t>5</w:t>
      </w:r>
      <w:r w:rsidRPr="00A32EED">
        <w:rPr>
          <w:rFonts w:eastAsia="Calibri"/>
          <w:noProof/>
        </w:rPr>
        <w:fldChar w:fldCharType="end"/>
      </w:r>
      <w:r w:rsidRPr="00A32EED">
        <w:rPr>
          <w:rFonts w:eastAsia="Calibri"/>
        </w:rPr>
        <w:t>: Bivariate Relationships between Independent Variables and Criminal Justice Contact</w:t>
      </w:r>
      <w:bookmarkEnd w:id="133"/>
    </w:p>
    <w:tbl>
      <w:tblPr>
        <w:tblStyle w:val="ListTable21"/>
        <w:tblW w:w="4901" w:type="pct"/>
        <w:tblLook w:val="04A0" w:firstRow="1" w:lastRow="0" w:firstColumn="1" w:lastColumn="0" w:noHBand="0" w:noVBand="1"/>
      </w:tblPr>
      <w:tblGrid>
        <w:gridCol w:w="2377"/>
        <w:gridCol w:w="2215"/>
        <w:gridCol w:w="1030"/>
        <w:gridCol w:w="1194"/>
        <w:gridCol w:w="1512"/>
      </w:tblGrid>
      <w:tr w:rsidR="004C4C39" w:rsidRPr="00A32EED" w14:paraId="0D93E61A" w14:textId="77777777" w:rsidTr="00600B3B">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183F33DF" w14:textId="77777777" w:rsidR="004C4C39" w:rsidRPr="00A32EED" w:rsidRDefault="004C4C39" w:rsidP="004C4C39">
            <w:pPr>
              <w:rPr>
                <w:rFonts w:eastAsia="Calibri" w:cs="Arial"/>
                <w:sz w:val="20"/>
                <w:szCs w:val="20"/>
              </w:rPr>
            </w:pPr>
          </w:p>
        </w:tc>
        <w:tc>
          <w:tcPr>
            <w:tcW w:w="1330" w:type="pct"/>
            <w:noWrap/>
            <w:hideMark/>
          </w:tcPr>
          <w:p w14:paraId="4BB5B0BA" w14:textId="77777777" w:rsidR="004C4C39" w:rsidRPr="007073E8"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rPr>
            </w:pPr>
            <w:r w:rsidRPr="007073E8">
              <w:rPr>
                <w:rFonts w:eastAsia="Times New Roman" w:cs="Arial"/>
                <w:color w:val="000000"/>
                <w:sz w:val="22"/>
              </w:rPr>
              <w:t>CJ Contact (n=224)</w:t>
            </w:r>
          </w:p>
        </w:tc>
        <w:tc>
          <w:tcPr>
            <w:tcW w:w="618" w:type="pct"/>
            <w:noWrap/>
            <w:hideMark/>
          </w:tcPr>
          <w:p w14:paraId="1449AAB0" w14:textId="77777777" w:rsidR="004C4C39" w:rsidRPr="007073E8"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rPr>
            </w:pPr>
            <w:r w:rsidRPr="007073E8">
              <w:rPr>
                <w:rFonts w:eastAsia="Times New Roman" w:cs="Arial"/>
                <w:color w:val="000000"/>
                <w:sz w:val="22"/>
              </w:rPr>
              <w:t>% of IV</w:t>
            </w:r>
          </w:p>
        </w:tc>
        <w:tc>
          <w:tcPr>
            <w:tcW w:w="717" w:type="pct"/>
            <w:noWrap/>
            <w:hideMark/>
          </w:tcPr>
          <w:p w14:paraId="6925D09E" w14:textId="77777777" w:rsidR="004C4C39" w:rsidRPr="007073E8"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rPr>
            </w:pPr>
            <w:r w:rsidRPr="007073E8">
              <w:rPr>
                <w:rFonts w:eastAsia="Times New Roman" w:cs="Arial"/>
                <w:color w:val="000000"/>
                <w:sz w:val="22"/>
              </w:rPr>
              <w:t>f-statistic</w:t>
            </w:r>
          </w:p>
        </w:tc>
        <w:tc>
          <w:tcPr>
            <w:tcW w:w="908" w:type="pct"/>
            <w:noWrap/>
            <w:hideMark/>
          </w:tcPr>
          <w:p w14:paraId="6AC11D74" w14:textId="77777777" w:rsidR="004C4C39" w:rsidRPr="007073E8"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rPr>
            </w:pPr>
            <w:r w:rsidRPr="007073E8">
              <w:rPr>
                <w:rFonts w:eastAsia="Times New Roman" w:cs="Arial"/>
                <w:color w:val="000000"/>
                <w:sz w:val="22"/>
              </w:rPr>
              <w:t>Significance</w:t>
            </w:r>
          </w:p>
        </w:tc>
      </w:tr>
      <w:tr w:rsidR="004C4C39" w:rsidRPr="00A32EED" w14:paraId="6ED4493A"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7DEF29B1" w14:textId="77777777" w:rsidR="004C4C39" w:rsidRPr="00A32EED" w:rsidRDefault="004C4C39" w:rsidP="004C4C39">
            <w:pPr>
              <w:rPr>
                <w:rFonts w:eastAsia="Times New Roman" w:cs="Arial"/>
                <w:color w:val="000000"/>
              </w:rPr>
            </w:pPr>
            <w:r w:rsidRPr="00A32EED">
              <w:rPr>
                <w:rFonts w:eastAsia="Times New Roman" w:cs="Arial"/>
                <w:color w:val="000000"/>
              </w:rPr>
              <w:t xml:space="preserve">Male </w:t>
            </w:r>
          </w:p>
        </w:tc>
        <w:tc>
          <w:tcPr>
            <w:tcW w:w="1330" w:type="pct"/>
            <w:noWrap/>
            <w:hideMark/>
          </w:tcPr>
          <w:p w14:paraId="5B1F589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115 (56.31%)</w:t>
            </w:r>
          </w:p>
        </w:tc>
        <w:tc>
          <w:tcPr>
            <w:tcW w:w="618" w:type="pct"/>
            <w:noWrap/>
            <w:hideMark/>
          </w:tcPr>
          <w:p w14:paraId="5C97A63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19.09%</w:t>
            </w:r>
          </w:p>
        </w:tc>
        <w:tc>
          <w:tcPr>
            <w:tcW w:w="717" w:type="pct"/>
            <w:noWrap/>
            <w:hideMark/>
          </w:tcPr>
          <w:p w14:paraId="40CFD59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1.61</w:t>
            </w:r>
          </w:p>
        </w:tc>
        <w:tc>
          <w:tcPr>
            <w:tcW w:w="908" w:type="pct"/>
            <w:noWrap/>
          </w:tcPr>
          <w:p w14:paraId="004193E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r>
      <w:tr w:rsidR="004C4C39" w:rsidRPr="00A32EED" w14:paraId="27BC62E4" w14:textId="77777777" w:rsidTr="00600B3B">
        <w:trPr>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610A3260" w14:textId="77777777" w:rsidR="004C4C39" w:rsidRPr="00A32EED" w:rsidRDefault="004C4C39" w:rsidP="004C4C39">
            <w:pPr>
              <w:rPr>
                <w:rFonts w:eastAsia="Times New Roman" w:cs="Arial"/>
                <w:color w:val="000000"/>
              </w:rPr>
            </w:pPr>
            <w:r w:rsidRPr="00A32EED">
              <w:rPr>
                <w:rFonts w:eastAsia="Times New Roman" w:cs="Arial"/>
                <w:color w:val="000000"/>
              </w:rPr>
              <w:t>Non-White</w:t>
            </w:r>
          </w:p>
        </w:tc>
        <w:tc>
          <w:tcPr>
            <w:tcW w:w="1330" w:type="pct"/>
            <w:noWrap/>
            <w:hideMark/>
          </w:tcPr>
          <w:p w14:paraId="5F3B824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124 (61.08%)</w:t>
            </w:r>
          </w:p>
        </w:tc>
        <w:tc>
          <w:tcPr>
            <w:tcW w:w="618" w:type="pct"/>
            <w:noWrap/>
            <w:hideMark/>
          </w:tcPr>
          <w:p w14:paraId="09021C9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18.43%</w:t>
            </w:r>
          </w:p>
        </w:tc>
        <w:tc>
          <w:tcPr>
            <w:tcW w:w="717" w:type="pct"/>
            <w:noWrap/>
            <w:hideMark/>
          </w:tcPr>
          <w:p w14:paraId="310E855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1.45</w:t>
            </w:r>
          </w:p>
        </w:tc>
        <w:tc>
          <w:tcPr>
            <w:tcW w:w="908" w:type="pct"/>
            <w:noWrap/>
          </w:tcPr>
          <w:p w14:paraId="151D7FC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p>
        </w:tc>
      </w:tr>
      <w:tr w:rsidR="004C4C39" w:rsidRPr="00A32EED" w14:paraId="5E0D5C6D"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012A9DFF" w14:textId="77777777" w:rsidR="004C4C39" w:rsidRPr="00A32EED" w:rsidRDefault="004C4C39" w:rsidP="004C4C39">
            <w:pPr>
              <w:rPr>
                <w:rFonts w:eastAsia="Times New Roman" w:cs="Arial"/>
                <w:color w:val="000000"/>
              </w:rPr>
            </w:pPr>
            <w:r w:rsidRPr="00A32EED">
              <w:rPr>
                <w:rFonts w:eastAsia="Times New Roman" w:cs="Arial"/>
                <w:color w:val="000000"/>
              </w:rPr>
              <w:t>Substantiated</w:t>
            </w:r>
          </w:p>
        </w:tc>
        <w:tc>
          <w:tcPr>
            <w:tcW w:w="1330" w:type="pct"/>
            <w:noWrap/>
            <w:hideMark/>
          </w:tcPr>
          <w:p w14:paraId="5AFBF8F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138 (35.00%)</w:t>
            </w:r>
          </w:p>
        </w:tc>
        <w:tc>
          <w:tcPr>
            <w:tcW w:w="618" w:type="pct"/>
            <w:noWrap/>
            <w:hideMark/>
          </w:tcPr>
          <w:p w14:paraId="0F8AA72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16.82%</w:t>
            </w:r>
          </w:p>
        </w:tc>
        <w:tc>
          <w:tcPr>
            <w:tcW w:w="717" w:type="pct"/>
            <w:noWrap/>
            <w:hideMark/>
          </w:tcPr>
          <w:p w14:paraId="553A269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0.11</w:t>
            </w:r>
          </w:p>
        </w:tc>
        <w:tc>
          <w:tcPr>
            <w:tcW w:w="908" w:type="pct"/>
            <w:noWrap/>
          </w:tcPr>
          <w:p w14:paraId="32E6DF3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r>
      <w:tr w:rsidR="004C4C39" w:rsidRPr="00A32EED" w14:paraId="6B20FE47" w14:textId="77777777" w:rsidTr="00600B3B">
        <w:trPr>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419FA494" w14:textId="77777777" w:rsidR="004C4C39" w:rsidRPr="00A32EED" w:rsidRDefault="004C4C39" w:rsidP="004C4C39">
            <w:pPr>
              <w:rPr>
                <w:rFonts w:eastAsia="Times New Roman" w:cs="Arial"/>
                <w:color w:val="000000"/>
              </w:rPr>
            </w:pPr>
            <w:r w:rsidRPr="00A32EED">
              <w:rPr>
                <w:rFonts w:eastAsia="Times New Roman" w:cs="Arial"/>
                <w:color w:val="000000"/>
              </w:rPr>
              <w:t>Baseline Service</w:t>
            </w:r>
          </w:p>
        </w:tc>
        <w:tc>
          <w:tcPr>
            <w:tcW w:w="1330" w:type="pct"/>
            <w:noWrap/>
            <w:hideMark/>
          </w:tcPr>
          <w:p w14:paraId="2479999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179 (37.32%)</w:t>
            </w:r>
          </w:p>
        </w:tc>
        <w:tc>
          <w:tcPr>
            <w:tcW w:w="618" w:type="pct"/>
            <w:noWrap/>
            <w:hideMark/>
          </w:tcPr>
          <w:p w14:paraId="6805BE7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20.69%</w:t>
            </w:r>
          </w:p>
        </w:tc>
        <w:tc>
          <w:tcPr>
            <w:tcW w:w="717" w:type="pct"/>
            <w:noWrap/>
            <w:hideMark/>
          </w:tcPr>
          <w:p w14:paraId="3F68FD8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3.73</w:t>
            </w:r>
          </w:p>
        </w:tc>
        <w:tc>
          <w:tcPr>
            <w:tcW w:w="908" w:type="pct"/>
            <w:noWrap/>
            <w:hideMark/>
          </w:tcPr>
          <w:p w14:paraId="39D2E82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w:t>
            </w:r>
          </w:p>
        </w:tc>
      </w:tr>
      <w:tr w:rsidR="004C4C39" w:rsidRPr="00A32EED" w14:paraId="59C302D1"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6BC7C906" w14:textId="77777777" w:rsidR="004C4C39" w:rsidRPr="00A32EED" w:rsidRDefault="004C4C39" w:rsidP="004C4C39">
            <w:pPr>
              <w:rPr>
                <w:rFonts w:eastAsia="Times New Roman" w:cs="Arial"/>
                <w:color w:val="000000"/>
              </w:rPr>
            </w:pPr>
            <w:r w:rsidRPr="00A32EED">
              <w:rPr>
                <w:rFonts w:eastAsia="Times New Roman" w:cs="Arial"/>
                <w:color w:val="000000"/>
              </w:rPr>
              <w:t>More than 1 Mal</w:t>
            </w:r>
          </w:p>
        </w:tc>
        <w:tc>
          <w:tcPr>
            <w:tcW w:w="1330" w:type="pct"/>
            <w:noWrap/>
            <w:hideMark/>
          </w:tcPr>
          <w:p w14:paraId="6A77E64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67 (22.88%)</w:t>
            </w:r>
          </w:p>
        </w:tc>
        <w:tc>
          <w:tcPr>
            <w:tcW w:w="618" w:type="pct"/>
            <w:noWrap/>
            <w:hideMark/>
          </w:tcPr>
          <w:p w14:paraId="14CA692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15.16%</w:t>
            </w:r>
          </w:p>
        </w:tc>
        <w:tc>
          <w:tcPr>
            <w:tcW w:w="717" w:type="pct"/>
            <w:noWrap/>
            <w:hideMark/>
          </w:tcPr>
          <w:p w14:paraId="3430762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0.06</w:t>
            </w:r>
          </w:p>
        </w:tc>
        <w:tc>
          <w:tcPr>
            <w:tcW w:w="908" w:type="pct"/>
            <w:noWrap/>
          </w:tcPr>
          <w:p w14:paraId="4230809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r>
      <w:tr w:rsidR="004C4C39" w:rsidRPr="00A32EED" w14:paraId="54EF6DFB" w14:textId="77777777" w:rsidTr="00600B3B">
        <w:trPr>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294FE877" w14:textId="77777777" w:rsidR="004C4C39" w:rsidRPr="00A32EED" w:rsidRDefault="004C4C39" w:rsidP="004C4C39">
            <w:pPr>
              <w:rPr>
                <w:rFonts w:eastAsia="Times New Roman" w:cs="Arial"/>
                <w:color w:val="000000"/>
              </w:rPr>
            </w:pPr>
            <w:r w:rsidRPr="00A32EED">
              <w:rPr>
                <w:rFonts w:eastAsia="Times New Roman" w:cs="Arial"/>
                <w:color w:val="000000"/>
              </w:rPr>
              <w:t>CW History</w:t>
            </w:r>
          </w:p>
        </w:tc>
        <w:tc>
          <w:tcPr>
            <w:tcW w:w="1330" w:type="pct"/>
            <w:noWrap/>
            <w:hideMark/>
          </w:tcPr>
          <w:p w14:paraId="7995DD3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161 (67.48%)</w:t>
            </w:r>
          </w:p>
        </w:tc>
        <w:tc>
          <w:tcPr>
            <w:tcW w:w="618" w:type="pct"/>
            <w:noWrap/>
            <w:hideMark/>
          </w:tcPr>
          <w:p w14:paraId="05548BD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18.72%</w:t>
            </w:r>
          </w:p>
        </w:tc>
        <w:tc>
          <w:tcPr>
            <w:tcW w:w="717" w:type="pct"/>
            <w:noWrap/>
            <w:hideMark/>
          </w:tcPr>
          <w:p w14:paraId="17851FC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2.6</w:t>
            </w:r>
          </w:p>
        </w:tc>
        <w:tc>
          <w:tcPr>
            <w:tcW w:w="908" w:type="pct"/>
            <w:noWrap/>
          </w:tcPr>
          <w:p w14:paraId="6921E8D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p>
        </w:tc>
      </w:tr>
      <w:tr w:rsidR="004C4C39" w:rsidRPr="00A32EED" w14:paraId="1E5514E8"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005B0E27" w14:textId="77777777" w:rsidR="004C4C39" w:rsidRPr="00A32EED" w:rsidRDefault="004C4C39" w:rsidP="004C4C39">
            <w:pPr>
              <w:rPr>
                <w:rFonts w:eastAsia="Times New Roman" w:cs="Arial"/>
                <w:color w:val="000000"/>
              </w:rPr>
            </w:pPr>
            <w:r w:rsidRPr="00A32EED">
              <w:rPr>
                <w:rFonts w:eastAsia="Times New Roman" w:cs="Arial"/>
                <w:color w:val="000000"/>
              </w:rPr>
              <w:t>Parent Arrest</w:t>
            </w:r>
          </w:p>
        </w:tc>
        <w:tc>
          <w:tcPr>
            <w:tcW w:w="1330" w:type="pct"/>
            <w:noWrap/>
            <w:hideMark/>
          </w:tcPr>
          <w:p w14:paraId="403AAB1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69 (37.57%)</w:t>
            </w:r>
          </w:p>
        </w:tc>
        <w:tc>
          <w:tcPr>
            <w:tcW w:w="618" w:type="pct"/>
            <w:noWrap/>
            <w:hideMark/>
          </w:tcPr>
          <w:p w14:paraId="25C2385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19.72%</w:t>
            </w:r>
          </w:p>
        </w:tc>
        <w:tc>
          <w:tcPr>
            <w:tcW w:w="717" w:type="pct"/>
            <w:noWrap/>
            <w:hideMark/>
          </w:tcPr>
          <w:p w14:paraId="26F7750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1.68</w:t>
            </w:r>
          </w:p>
        </w:tc>
        <w:tc>
          <w:tcPr>
            <w:tcW w:w="908" w:type="pct"/>
            <w:noWrap/>
          </w:tcPr>
          <w:p w14:paraId="7E51AC8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r>
      <w:tr w:rsidR="004C4C39" w:rsidRPr="00A32EED" w14:paraId="226FA161" w14:textId="77777777" w:rsidTr="00600B3B">
        <w:trPr>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410FDBFA" w14:textId="77777777" w:rsidR="004C4C39" w:rsidRPr="00A32EED" w:rsidRDefault="004C4C39" w:rsidP="004C4C39">
            <w:pPr>
              <w:rPr>
                <w:rFonts w:eastAsia="Times New Roman" w:cs="Arial"/>
                <w:color w:val="000000"/>
              </w:rPr>
            </w:pPr>
            <w:r w:rsidRPr="00A32EED">
              <w:rPr>
                <w:rFonts w:eastAsia="Times New Roman" w:cs="Arial"/>
                <w:color w:val="000000"/>
              </w:rPr>
              <w:t>Maltreatment Type</w:t>
            </w:r>
          </w:p>
        </w:tc>
        <w:tc>
          <w:tcPr>
            <w:tcW w:w="1330" w:type="pct"/>
            <w:noWrap/>
            <w:hideMark/>
          </w:tcPr>
          <w:p w14:paraId="1876DB8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618" w:type="pct"/>
            <w:noWrap/>
            <w:hideMark/>
          </w:tcPr>
          <w:p w14:paraId="22D10F2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717" w:type="pct"/>
            <w:noWrap/>
            <w:hideMark/>
          </w:tcPr>
          <w:p w14:paraId="49402D9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908" w:type="pct"/>
            <w:noWrap/>
            <w:hideMark/>
          </w:tcPr>
          <w:p w14:paraId="3E2166C0"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4C4C39" w:rsidRPr="00A32EED" w14:paraId="6B0252D0"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2F8EC09C" w14:textId="77777777" w:rsidR="004C4C39" w:rsidRPr="00A32EED" w:rsidRDefault="004C4C39" w:rsidP="004C4C39">
            <w:pPr>
              <w:rPr>
                <w:rFonts w:eastAsia="Times New Roman" w:cs="Arial"/>
                <w:color w:val="000000"/>
              </w:rPr>
            </w:pPr>
            <w:r w:rsidRPr="00A32EED">
              <w:rPr>
                <w:rFonts w:eastAsia="Times New Roman" w:cs="Arial"/>
                <w:color w:val="000000"/>
              </w:rPr>
              <w:t>Neglect</w:t>
            </w:r>
          </w:p>
        </w:tc>
        <w:tc>
          <w:tcPr>
            <w:tcW w:w="1330" w:type="pct"/>
            <w:noWrap/>
            <w:hideMark/>
          </w:tcPr>
          <w:p w14:paraId="127FE74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79 (51.17%)</w:t>
            </w:r>
          </w:p>
        </w:tc>
        <w:tc>
          <w:tcPr>
            <w:tcW w:w="618" w:type="pct"/>
            <w:noWrap/>
            <w:hideMark/>
          </w:tcPr>
          <w:p w14:paraId="4FD7867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17.56%</w:t>
            </w:r>
          </w:p>
        </w:tc>
        <w:tc>
          <w:tcPr>
            <w:tcW w:w="717" w:type="pct"/>
            <w:noWrap/>
            <w:hideMark/>
          </w:tcPr>
          <w:p w14:paraId="1A4FA6D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0.6</w:t>
            </w:r>
          </w:p>
        </w:tc>
        <w:tc>
          <w:tcPr>
            <w:tcW w:w="908" w:type="pct"/>
            <w:noWrap/>
          </w:tcPr>
          <w:p w14:paraId="7CBFF40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r>
      <w:tr w:rsidR="004C4C39" w:rsidRPr="00A32EED" w14:paraId="6A2139F3" w14:textId="77777777" w:rsidTr="00600B3B">
        <w:trPr>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532FE97A" w14:textId="77777777" w:rsidR="004C4C39" w:rsidRPr="00A32EED" w:rsidRDefault="004C4C39" w:rsidP="004C4C39">
            <w:pPr>
              <w:rPr>
                <w:rFonts w:eastAsia="Times New Roman" w:cs="Arial"/>
                <w:color w:val="000000"/>
              </w:rPr>
            </w:pPr>
            <w:r w:rsidRPr="00A32EED">
              <w:rPr>
                <w:rFonts w:eastAsia="Times New Roman" w:cs="Arial"/>
                <w:color w:val="000000"/>
              </w:rPr>
              <w:t>Physical Abuse</w:t>
            </w:r>
          </w:p>
        </w:tc>
        <w:tc>
          <w:tcPr>
            <w:tcW w:w="1330" w:type="pct"/>
            <w:noWrap/>
            <w:hideMark/>
          </w:tcPr>
          <w:p w14:paraId="701CC72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67 (28.52%)</w:t>
            </w:r>
          </w:p>
        </w:tc>
        <w:tc>
          <w:tcPr>
            <w:tcW w:w="618" w:type="pct"/>
            <w:noWrap/>
            <w:hideMark/>
          </w:tcPr>
          <w:p w14:paraId="1B11419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15.35%</w:t>
            </w:r>
          </w:p>
        </w:tc>
        <w:tc>
          <w:tcPr>
            <w:tcW w:w="717" w:type="pct"/>
            <w:noWrap/>
            <w:hideMark/>
          </w:tcPr>
          <w:p w14:paraId="000D313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0.06</w:t>
            </w:r>
          </w:p>
        </w:tc>
        <w:tc>
          <w:tcPr>
            <w:tcW w:w="908" w:type="pct"/>
            <w:noWrap/>
          </w:tcPr>
          <w:p w14:paraId="1525E72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p>
        </w:tc>
      </w:tr>
      <w:tr w:rsidR="004C4C39" w:rsidRPr="00A32EED" w14:paraId="72B39D1A"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17B92007" w14:textId="77777777" w:rsidR="004C4C39" w:rsidRPr="00A32EED" w:rsidRDefault="004C4C39" w:rsidP="004C4C39">
            <w:pPr>
              <w:rPr>
                <w:rFonts w:eastAsia="Times New Roman" w:cs="Arial"/>
                <w:color w:val="000000"/>
              </w:rPr>
            </w:pPr>
            <w:r w:rsidRPr="00A32EED">
              <w:rPr>
                <w:rFonts w:eastAsia="Times New Roman" w:cs="Arial"/>
                <w:color w:val="000000"/>
              </w:rPr>
              <w:t>Sexual Abuse</w:t>
            </w:r>
          </w:p>
        </w:tc>
        <w:tc>
          <w:tcPr>
            <w:tcW w:w="1330" w:type="pct"/>
            <w:noWrap/>
            <w:hideMark/>
          </w:tcPr>
          <w:p w14:paraId="340E5A6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51 (12.20%)</w:t>
            </w:r>
          </w:p>
        </w:tc>
        <w:tc>
          <w:tcPr>
            <w:tcW w:w="618" w:type="pct"/>
            <w:noWrap/>
            <w:hideMark/>
          </w:tcPr>
          <w:p w14:paraId="25AEDB3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18.48%</w:t>
            </w:r>
          </w:p>
        </w:tc>
        <w:tc>
          <w:tcPr>
            <w:tcW w:w="717" w:type="pct"/>
            <w:noWrap/>
            <w:hideMark/>
          </w:tcPr>
          <w:p w14:paraId="401B9C0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0.27</w:t>
            </w:r>
          </w:p>
        </w:tc>
        <w:tc>
          <w:tcPr>
            <w:tcW w:w="908" w:type="pct"/>
            <w:noWrap/>
          </w:tcPr>
          <w:p w14:paraId="7E3C847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r>
      <w:tr w:rsidR="004C4C39" w:rsidRPr="00A32EED" w14:paraId="7F877FFF" w14:textId="77777777" w:rsidTr="00600B3B">
        <w:trPr>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6F9EEBA6" w14:textId="77777777" w:rsidR="004C4C39" w:rsidRPr="00A32EED" w:rsidRDefault="004C4C39" w:rsidP="004C4C39">
            <w:pPr>
              <w:rPr>
                <w:rFonts w:eastAsia="Times New Roman" w:cs="Arial"/>
                <w:color w:val="000000"/>
              </w:rPr>
            </w:pPr>
            <w:r w:rsidRPr="00A32EED">
              <w:rPr>
                <w:rFonts w:eastAsia="Times New Roman" w:cs="Arial"/>
                <w:color w:val="000000"/>
              </w:rPr>
              <w:t>Other</w:t>
            </w:r>
          </w:p>
        </w:tc>
        <w:tc>
          <w:tcPr>
            <w:tcW w:w="1330" w:type="pct"/>
            <w:noWrap/>
            <w:hideMark/>
          </w:tcPr>
          <w:p w14:paraId="3EC32D3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27 (8.11%)</w:t>
            </w:r>
          </w:p>
        </w:tc>
        <w:tc>
          <w:tcPr>
            <w:tcW w:w="618" w:type="pct"/>
            <w:noWrap/>
            <w:hideMark/>
          </w:tcPr>
          <w:p w14:paraId="60AACF8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9.92%</w:t>
            </w:r>
          </w:p>
        </w:tc>
        <w:tc>
          <w:tcPr>
            <w:tcW w:w="717" w:type="pct"/>
            <w:noWrap/>
            <w:hideMark/>
          </w:tcPr>
          <w:p w14:paraId="13E8567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2.03</w:t>
            </w:r>
          </w:p>
        </w:tc>
        <w:tc>
          <w:tcPr>
            <w:tcW w:w="908" w:type="pct"/>
            <w:noWrap/>
          </w:tcPr>
          <w:p w14:paraId="534B018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p>
        </w:tc>
      </w:tr>
      <w:tr w:rsidR="004C4C39" w:rsidRPr="00A32EED" w14:paraId="3D495F6F"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0C464A8F" w14:textId="77777777" w:rsidR="004C4C39" w:rsidRPr="00A32EED" w:rsidRDefault="004C4C39" w:rsidP="004C4C39">
            <w:pPr>
              <w:rPr>
                <w:rFonts w:eastAsia="Times New Roman" w:cs="Arial"/>
                <w:color w:val="000000"/>
              </w:rPr>
            </w:pPr>
            <w:r w:rsidRPr="00A32EED">
              <w:rPr>
                <w:rFonts w:eastAsia="Times New Roman" w:cs="Arial"/>
                <w:color w:val="000000"/>
              </w:rPr>
              <w:t>Placement Type</w:t>
            </w:r>
          </w:p>
        </w:tc>
        <w:tc>
          <w:tcPr>
            <w:tcW w:w="1330" w:type="pct"/>
            <w:noWrap/>
            <w:hideMark/>
          </w:tcPr>
          <w:p w14:paraId="7FA6F93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618" w:type="pct"/>
            <w:noWrap/>
            <w:hideMark/>
          </w:tcPr>
          <w:p w14:paraId="43B44FD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717" w:type="pct"/>
            <w:noWrap/>
            <w:hideMark/>
          </w:tcPr>
          <w:p w14:paraId="7768757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908" w:type="pct"/>
            <w:noWrap/>
            <w:hideMark/>
          </w:tcPr>
          <w:p w14:paraId="7D6F98E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4C4C39" w:rsidRPr="00A32EED" w14:paraId="524656B0" w14:textId="77777777" w:rsidTr="00600B3B">
        <w:trPr>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42DF01DC" w14:textId="77777777" w:rsidR="004C4C39" w:rsidRPr="00A32EED" w:rsidRDefault="004C4C39" w:rsidP="004C4C39">
            <w:pPr>
              <w:rPr>
                <w:rFonts w:eastAsia="Times New Roman" w:cs="Arial"/>
                <w:color w:val="000000"/>
              </w:rPr>
            </w:pPr>
            <w:r w:rsidRPr="00A32EED">
              <w:rPr>
                <w:rFonts w:eastAsia="Times New Roman" w:cs="Arial"/>
                <w:color w:val="000000"/>
              </w:rPr>
              <w:t>In Home</w:t>
            </w:r>
          </w:p>
        </w:tc>
        <w:tc>
          <w:tcPr>
            <w:tcW w:w="1330" w:type="pct"/>
            <w:noWrap/>
            <w:hideMark/>
          </w:tcPr>
          <w:p w14:paraId="00573B4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164 (84.45%)</w:t>
            </w:r>
          </w:p>
        </w:tc>
        <w:tc>
          <w:tcPr>
            <w:tcW w:w="618" w:type="pct"/>
            <w:noWrap/>
            <w:hideMark/>
          </w:tcPr>
          <w:p w14:paraId="2D89CAE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15.01%</w:t>
            </w:r>
          </w:p>
        </w:tc>
        <w:tc>
          <w:tcPr>
            <w:tcW w:w="717" w:type="pct"/>
            <w:noWrap/>
            <w:hideMark/>
          </w:tcPr>
          <w:p w14:paraId="1A3A4EB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3.93</w:t>
            </w:r>
          </w:p>
        </w:tc>
        <w:tc>
          <w:tcPr>
            <w:tcW w:w="908" w:type="pct"/>
            <w:noWrap/>
            <w:hideMark/>
          </w:tcPr>
          <w:p w14:paraId="49EADDA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w:t>
            </w:r>
          </w:p>
        </w:tc>
      </w:tr>
      <w:tr w:rsidR="004C4C39" w:rsidRPr="00A32EED" w14:paraId="3717BCF8"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6F7883EA" w14:textId="77777777" w:rsidR="004C4C39" w:rsidRPr="00A32EED" w:rsidRDefault="004C4C39" w:rsidP="004C4C39">
            <w:pPr>
              <w:rPr>
                <w:rFonts w:eastAsia="Times New Roman" w:cs="Arial"/>
                <w:color w:val="000000"/>
              </w:rPr>
            </w:pPr>
            <w:r w:rsidRPr="00A32EED">
              <w:rPr>
                <w:rFonts w:eastAsia="Times New Roman" w:cs="Arial"/>
                <w:color w:val="000000"/>
              </w:rPr>
              <w:t>Kinship</w:t>
            </w:r>
          </w:p>
        </w:tc>
        <w:tc>
          <w:tcPr>
            <w:tcW w:w="1330" w:type="pct"/>
            <w:noWrap/>
            <w:hideMark/>
          </w:tcPr>
          <w:p w14:paraId="7D698A0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21 (4.28%)</w:t>
            </w:r>
          </w:p>
        </w:tc>
        <w:tc>
          <w:tcPr>
            <w:tcW w:w="618" w:type="pct"/>
            <w:noWrap/>
            <w:hideMark/>
          </w:tcPr>
          <w:p w14:paraId="54E0856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17.24%</w:t>
            </w:r>
          </w:p>
        </w:tc>
        <w:tc>
          <w:tcPr>
            <w:tcW w:w="717" w:type="pct"/>
            <w:noWrap/>
            <w:hideMark/>
          </w:tcPr>
          <w:p w14:paraId="446ACB6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0.05</w:t>
            </w:r>
          </w:p>
        </w:tc>
        <w:tc>
          <w:tcPr>
            <w:tcW w:w="908" w:type="pct"/>
            <w:noWrap/>
          </w:tcPr>
          <w:p w14:paraId="500A52C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p>
        </w:tc>
      </w:tr>
      <w:tr w:rsidR="004C4C39" w:rsidRPr="00A32EED" w14:paraId="50C92717" w14:textId="77777777" w:rsidTr="00600B3B">
        <w:trPr>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24B953E8" w14:textId="77777777" w:rsidR="004C4C39" w:rsidRPr="00A32EED" w:rsidRDefault="004C4C39" w:rsidP="004C4C39">
            <w:pPr>
              <w:rPr>
                <w:rFonts w:eastAsia="Times New Roman" w:cs="Arial"/>
                <w:color w:val="000000"/>
              </w:rPr>
            </w:pPr>
            <w:r w:rsidRPr="00A32EED">
              <w:rPr>
                <w:rFonts w:eastAsia="Times New Roman" w:cs="Arial"/>
                <w:color w:val="000000"/>
              </w:rPr>
              <w:t>Foster Care</w:t>
            </w:r>
          </w:p>
        </w:tc>
        <w:tc>
          <w:tcPr>
            <w:tcW w:w="1330" w:type="pct"/>
            <w:noWrap/>
            <w:hideMark/>
          </w:tcPr>
          <w:p w14:paraId="74D4AEA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21 (2.75%)</w:t>
            </w:r>
          </w:p>
        </w:tc>
        <w:tc>
          <w:tcPr>
            <w:tcW w:w="618" w:type="pct"/>
            <w:noWrap/>
            <w:hideMark/>
          </w:tcPr>
          <w:p w14:paraId="1E3CAEB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11.63%</w:t>
            </w:r>
          </w:p>
        </w:tc>
        <w:tc>
          <w:tcPr>
            <w:tcW w:w="717" w:type="pct"/>
            <w:noWrap/>
            <w:hideMark/>
          </w:tcPr>
          <w:p w14:paraId="19081E2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A32EED">
              <w:rPr>
                <w:rFonts w:eastAsia="Times New Roman" w:cs="Arial"/>
                <w:color w:val="000000"/>
              </w:rPr>
              <w:t>0.94</w:t>
            </w:r>
          </w:p>
        </w:tc>
        <w:tc>
          <w:tcPr>
            <w:tcW w:w="908" w:type="pct"/>
            <w:noWrap/>
          </w:tcPr>
          <w:p w14:paraId="677A101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p>
        </w:tc>
      </w:tr>
      <w:tr w:rsidR="004C4C39" w:rsidRPr="00A32EED" w14:paraId="32FA0F4E" w14:textId="77777777" w:rsidTr="00600B3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27" w:type="pct"/>
            <w:noWrap/>
            <w:hideMark/>
          </w:tcPr>
          <w:p w14:paraId="4FED6F2D" w14:textId="77777777" w:rsidR="004C4C39" w:rsidRPr="00A32EED" w:rsidRDefault="004C4C39" w:rsidP="004C4C39">
            <w:pPr>
              <w:rPr>
                <w:rFonts w:eastAsia="Times New Roman" w:cs="Arial"/>
                <w:color w:val="000000"/>
              </w:rPr>
            </w:pPr>
            <w:r w:rsidRPr="00A32EED">
              <w:rPr>
                <w:rFonts w:eastAsia="Times New Roman" w:cs="Arial"/>
                <w:color w:val="000000"/>
              </w:rPr>
              <w:t>Group Home/Other</w:t>
            </w:r>
          </w:p>
        </w:tc>
        <w:tc>
          <w:tcPr>
            <w:tcW w:w="1330" w:type="pct"/>
            <w:noWrap/>
            <w:hideMark/>
          </w:tcPr>
          <w:p w14:paraId="62CEF8A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18 (8.52%)</w:t>
            </w:r>
          </w:p>
        </w:tc>
        <w:tc>
          <w:tcPr>
            <w:tcW w:w="618" w:type="pct"/>
            <w:noWrap/>
            <w:hideMark/>
          </w:tcPr>
          <w:p w14:paraId="3926CAD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61.49%</w:t>
            </w:r>
          </w:p>
        </w:tc>
        <w:tc>
          <w:tcPr>
            <w:tcW w:w="717" w:type="pct"/>
            <w:noWrap/>
            <w:hideMark/>
          </w:tcPr>
          <w:p w14:paraId="204019E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21.13</w:t>
            </w:r>
          </w:p>
        </w:tc>
        <w:tc>
          <w:tcPr>
            <w:tcW w:w="908" w:type="pct"/>
            <w:noWrap/>
            <w:hideMark/>
          </w:tcPr>
          <w:p w14:paraId="562DB80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A32EED">
              <w:rPr>
                <w:rFonts w:eastAsia="Times New Roman" w:cs="Arial"/>
                <w:color w:val="000000"/>
              </w:rPr>
              <w:t>***</w:t>
            </w:r>
          </w:p>
        </w:tc>
      </w:tr>
    </w:tbl>
    <w:p w14:paraId="3E29FB9A" w14:textId="77777777" w:rsidR="004C4C39" w:rsidRPr="00A32EED" w:rsidRDefault="004C4C39" w:rsidP="004C4C39">
      <w:pPr>
        <w:spacing w:after="0" w:line="480" w:lineRule="auto"/>
        <w:rPr>
          <w:rFonts w:eastAsia="Calibri"/>
          <w:sz w:val="21"/>
        </w:rPr>
      </w:pPr>
      <w:r w:rsidRPr="00A32EED">
        <w:rPr>
          <w:rFonts w:eastAsia="Calibri"/>
          <w:sz w:val="21"/>
        </w:rPr>
        <w:t xml:space="preserve"> † p&lt;.10 * p&lt;.05  **p&lt;.01  ***p&lt;.001</w:t>
      </w:r>
    </w:p>
    <w:p w14:paraId="6BA61BBC" w14:textId="77777777" w:rsidR="004C4C39" w:rsidRPr="00A32EED" w:rsidRDefault="004C4C39" w:rsidP="004C4C39">
      <w:pPr>
        <w:spacing w:after="0" w:line="480" w:lineRule="auto"/>
        <w:ind w:firstLine="720"/>
        <w:rPr>
          <w:rFonts w:eastAsia="Calibri"/>
        </w:rPr>
      </w:pPr>
      <w:r w:rsidRPr="00A32EED">
        <w:rPr>
          <w:rFonts w:eastAsia="Calibri"/>
        </w:rPr>
        <w:lastRenderedPageBreak/>
        <w:t>Regarding baseline case characteristics, there are no significant bivariate relationships between eventual criminal justice contact and more than one alleged maltreatments, previous child welfare history, case substantiation, or the caregiver at baseline having been arrested. However, the bivariate relationship between receiving services at baseline and eventual criminal justice contact is marginally significant (</w:t>
      </w:r>
      <w:r w:rsidRPr="00A32EED">
        <w:rPr>
          <w:rFonts w:eastAsia="Calibri"/>
          <w:i/>
        </w:rPr>
        <w:t>f-</w:t>
      </w:r>
      <w:r w:rsidRPr="00A32EED">
        <w:rPr>
          <w:rFonts w:eastAsia="Calibri"/>
        </w:rPr>
        <w:t xml:space="preserve">statistic=3.73, </w:t>
      </w:r>
      <w:r w:rsidRPr="00A32EED">
        <w:rPr>
          <w:rFonts w:eastAsia="Calibri"/>
          <w:i/>
        </w:rPr>
        <w:t>p</w:t>
      </w:r>
      <w:r w:rsidRPr="00A32EED">
        <w:rPr>
          <w:rFonts w:eastAsia="Calibri"/>
        </w:rPr>
        <w:t xml:space="preserve">&lt;.10). Specifically, of the 224 youth who eventually had criminal justice contact, 179 (37.32%) received services at baseline. Stated otherwise, of the 974 who received services at baseline, 179 (20.69%) had eventual criminal justice contact. In sum, many youth who received baseline services did not have contact with the criminal justice system, and many of the youth who had eventual contact with the criminal justice system did not receive services at baseline. On the surface, this suggests that receiving services at baseline may be a protective factor against eventual criminal justice contact, however, given the correlation between baseline services and other case characteristics such as case substantiation, this relationship may not hold at the multivariate level. </w:t>
      </w:r>
    </w:p>
    <w:p w14:paraId="5E82DE80" w14:textId="77777777" w:rsidR="004C4C39" w:rsidRPr="00A32EED" w:rsidRDefault="004C4C39" w:rsidP="004C4C39">
      <w:pPr>
        <w:spacing w:after="0" w:line="480" w:lineRule="auto"/>
        <w:ind w:firstLine="720"/>
        <w:rPr>
          <w:rFonts w:eastAsia="Calibri"/>
        </w:rPr>
      </w:pPr>
      <w:r w:rsidRPr="00A32EED">
        <w:rPr>
          <w:rFonts w:eastAsia="Calibri"/>
        </w:rPr>
        <w:t>There are no significant relationships between the most severe form of alleged maltreatment at baseline and eventual criminal justice contact. However, two different forms of placement at baseline are significantly related to eventual criminal justice contact. First, having an in-home placement at baseline is significantly related to later criminal justice contact (</w:t>
      </w:r>
      <w:r w:rsidRPr="00A32EED">
        <w:rPr>
          <w:rFonts w:eastAsia="Calibri"/>
          <w:i/>
        </w:rPr>
        <w:t>p</w:t>
      </w:r>
      <w:r w:rsidRPr="00A32EED">
        <w:rPr>
          <w:rFonts w:eastAsia="Calibri"/>
        </w:rPr>
        <w:t xml:space="preserve">&lt;.05). Specifically, of the 224 youth who eventually had contact with the criminal justice system, 164 (84.45%) were in an in-home placement at baseline. Given </w:t>
      </w:r>
      <w:r w:rsidRPr="00A32EED">
        <w:rPr>
          <w:rFonts w:eastAsia="Calibri"/>
        </w:rPr>
        <w:lastRenderedPageBreak/>
        <w:t xml:space="preserve">that 90.03% of the analytical sample were in an in-home placement at baseline, this is not surprising. When examining the breakdown of criminal justice contact for those in an in-home placement, we find that of the 1,000 youth in the analytical sample who remained in their own home at baseline, only 164 (15.01%) had eventual criminal justice contact. In sum, bivariate analyses show that although many those with eventual criminal justice contact remained in the home at baseline, the vast majority of those who remained in the home at baseline did not have any criminal justice contact. </w:t>
      </w:r>
    </w:p>
    <w:p w14:paraId="5D9EC138" w14:textId="77777777" w:rsidR="004C4C39" w:rsidRPr="00A32EED" w:rsidRDefault="004C4C39" w:rsidP="004C4C39">
      <w:pPr>
        <w:spacing w:after="0" w:line="480" w:lineRule="auto"/>
        <w:ind w:firstLine="720"/>
        <w:rPr>
          <w:rFonts w:eastAsia="Calibri"/>
        </w:rPr>
      </w:pPr>
      <w:r w:rsidRPr="00A32EED">
        <w:rPr>
          <w:rFonts w:eastAsia="Calibri"/>
        </w:rPr>
        <w:t>Additionally, placement in a group home/other placement at baseline is significantly related to eventual criminal justice contact at the bivariate level (</w:t>
      </w:r>
      <w:r w:rsidRPr="00A32EED">
        <w:rPr>
          <w:rFonts w:eastAsia="Calibri"/>
          <w:i/>
        </w:rPr>
        <w:t>p</w:t>
      </w:r>
      <w:r w:rsidRPr="00A32EED">
        <w:rPr>
          <w:rFonts w:eastAsia="Calibri"/>
        </w:rPr>
        <w:t>&lt;.001). Specifically, of the 224 youth with eventual criminal justice contact, 18 (8.52%) were placed in a group home at baseline. Although 8.52% is low, only 2.22% of the analytical sample were placed in a group home at baseline. Stated differently, of the 53 youth placed in a group home at baseline, 18 (61.49%) had eventual criminal justice contact. Placements in kinship or foster home settings were not significantly related to criminal justice contact at the bivariate level. These findings taken together suggest that those who remain in the home at baseline are underrepresented among those with eventual criminal justice contact and those in a group home/other placement at baseline are overrepresented among those with eventual criminal justice contact. These findings are not surprising given that both placements are likely linked with other important factors such as family supports, the severity of abuse, and potential criminal propensity (self-control) of the youth.</w:t>
      </w:r>
    </w:p>
    <w:p w14:paraId="2E6770B0" w14:textId="3F4AC451" w:rsidR="004C4C39" w:rsidRPr="00A32EED" w:rsidRDefault="004C4C39" w:rsidP="004C4C39">
      <w:pPr>
        <w:spacing w:after="0" w:line="480" w:lineRule="auto"/>
        <w:ind w:firstLine="720"/>
        <w:rPr>
          <w:rFonts w:eastAsia="Calibri"/>
          <w:b/>
          <w:i/>
          <w:iCs/>
          <w:color w:val="000000"/>
          <w:szCs w:val="18"/>
        </w:rPr>
      </w:pPr>
      <w:r w:rsidRPr="00A32EED">
        <w:rPr>
          <w:rFonts w:eastAsia="Calibri"/>
        </w:rPr>
        <w:lastRenderedPageBreak/>
        <w:t xml:space="preserve">A process outlined by Heeringa </w:t>
      </w:r>
      <w:r w:rsidRPr="00A32EED">
        <w:rPr>
          <w:rFonts w:eastAsia="Calibri"/>
        </w:rPr>
        <w:fldChar w:fldCharType="begin"/>
      </w:r>
      <w:r w:rsidRPr="00A32EED">
        <w:rPr>
          <w:rFonts w:eastAsia="Calibri"/>
        </w:rPr>
        <w:instrText xml:space="preserve"> ADDIN ZOTERO_ITEM CSL_CITATION {"citationID":"go4o82mo2","properties":{"formattedCitation":"(2010)","plainCitation":"(2010)"},"citationItems":[{"id":1416,"uris":["http://zotero.org/users/1165382/items/ARS6WQME"],"uri":["http://zotero.org/users/1165382/items/ARS6WQME"],"itemData":{"id":1416,"type":"book","title":"Applied survey data analysis","collection-title":"Chapman &amp; Hall/CRC statistics in the social and behavioral sciences series","publisher":"Chapman &amp; Hall/CRC","publisher-place":"Boca Raton, FL","number-of-pages":"467","source":"Library of Congress ISBN","event-place":"Boca Raton, FL","ISBN":"978-1-4200-8066-7","call-number":"HA29 .H428 2010","note":"00443 \nOCLC: ocn226357307","author":[{"family":"Heeringa","given":"Steven"},{"family":"West","given":"Brady T."},{"family":"Berglund","given":"Patricia A."}],"issued":{"date-parts":[["2010"]]}},"suppress-author":true}],"schema":"https://github.com/citation-style-language/schema/raw/master/csl-citation.json"} </w:instrText>
      </w:r>
      <w:r w:rsidRPr="00A32EED">
        <w:rPr>
          <w:rFonts w:eastAsia="Calibri"/>
        </w:rPr>
        <w:fldChar w:fldCharType="separate"/>
      </w:r>
      <w:r w:rsidRPr="00A32EED">
        <w:rPr>
          <w:rFonts w:eastAsia="Calibri"/>
          <w:noProof/>
        </w:rPr>
        <w:t>(2010)</w:t>
      </w:r>
      <w:r w:rsidRPr="00A32EED">
        <w:rPr>
          <w:rFonts w:eastAsia="Calibri"/>
        </w:rPr>
        <w:fldChar w:fldCharType="end"/>
      </w:r>
      <w:r w:rsidRPr="00A32EED">
        <w:rPr>
          <w:rFonts w:eastAsia="Calibri"/>
        </w:rPr>
        <w:t xml:space="preserve"> was used to examine bivariate relationships between continuous independent variables and eventual criminal justice contact. The process involves producing weighted means accounting for the complex survey design of the data followed by the </w:t>
      </w:r>
      <w:r w:rsidRPr="00A32EED">
        <w:rPr>
          <w:rFonts w:eastAsia="Calibri"/>
          <w:i/>
        </w:rPr>
        <w:t>lincom</w:t>
      </w:r>
      <w:r w:rsidRPr="00A32EED">
        <w:rPr>
          <w:rFonts w:eastAsia="Calibri"/>
        </w:rPr>
        <w:t xml:space="preserve"> command to estimate the difference in means between the age-eligible and analytical samples. In addition to providing mean differences, the </w:t>
      </w:r>
      <w:r w:rsidRPr="00A32EED">
        <w:rPr>
          <w:rFonts w:eastAsia="Calibri"/>
          <w:i/>
        </w:rPr>
        <w:t>lincom</w:t>
      </w:r>
      <w:r w:rsidRPr="00A32EED">
        <w:rPr>
          <w:rFonts w:eastAsia="Calibri"/>
        </w:rPr>
        <w:t xml:space="preserve"> command also provides a t-statistic to determine if there is a significant difference between those with and without eventual criminal justice contact. Results of this process for age at baseline, self-control, an</w:t>
      </w:r>
      <w:r w:rsidR="00321A58">
        <w:rPr>
          <w:rFonts w:eastAsia="Calibri"/>
        </w:rPr>
        <w:t>d level of harm are in Table 6.6</w:t>
      </w:r>
      <w:r w:rsidR="0042705D">
        <w:rPr>
          <w:rFonts w:eastAsia="Calibri"/>
        </w:rPr>
        <w:t>. T</w:t>
      </w:r>
      <w:r w:rsidRPr="00A32EED">
        <w:rPr>
          <w:rFonts w:eastAsia="Calibri"/>
        </w:rPr>
        <w:t>he level of harm</w:t>
      </w:r>
      <w:r w:rsidR="0042705D">
        <w:rPr>
          <w:rFonts w:eastAsia="Calibri"/>
        </w:rPr>
        <w:t xml:space="preserve"> variable</w:t>
      </w:r>
      <w:r w:rsidRPr="00A32EED">
        <w:rPr>
          <w:rFonts w:eastAsia="Calibri"/>
        </w:rPr>
        <w:t xml:space="preserve"> is </w:t>
      </w:r>
      <w:r w:rsidR="00EA3F2F">
        <w:rPr>
          <w:rFonts w:eastAsia="Calibri"/>
        </w:rPr>
        <w:t>ordinal</w:t>
      </w:r>
      <w:r w:rsidRPr="00A32EED">
        <w:rPr>
          <w:rFonts w:eastAsia="Calibri"/>
        </w:rPr>
        <w:t xml:space="preserve">, </w:t>
      </w:r>
      <w:r w:rsidR="0042705D">
        <w:rPr>
          <w:rFonts w:eastAsia="Calibri"/>
        </w:rPr>
        <w:t>and its</w:t>
      </w:r>
      <w:r w:rsidRPr="00A32EED">
        <w:rPr>
          <w:rFonts w:eastAsia="Calibri"/>
        </w:rPr>
        <w:t xml:space="preserve"> relationship with criminal justice contact was tested treating it as a continuous and a categorical variable. Neither test revealed any significant difference between those with and without eventual criminal justice contact regarding the level of harm for the most severe form of maltreatment.</w:t>
      </w:r>
    </w:p>
    <w:p w14:paraId="515AE6A1" w14:textId="77777777" w:rsidR="004C4C39" w:rsidRPr="00A32EED" w:rsidRDefault="004C4C39" w:rsidP="0023176A">
      <w:pPr>
        <w:pStyle w:val="Caption1"/>
        <w:rPr>
          <w:rFonts w:eastAsia="Calibri"/>
        </w:rPr>
      </w:pPr>
      <w:bookmarkStart w:id="134" w:name="_Toc479941246"/>
      <w:r w:rsidRPr="00A32EED">
        <w:rPr>
          <w:rFonts w:eastAsia="Calibri"/>
        </w:rPr>
        <w:t>Table 6.</w:t>
      </w:r>
      <w:r w:rsidRPr="00A32EED">
        <w:rPr>
          <w:rFonts w:eastAsia="Calibri"/>
        </w:rPr>
        <w:fldChar w:fldCharType="begin"/>
      </w:r>
      <w:r w:rsidRPr="00A32EED">
        <w:rPr>
          <w:rFonts w:eastAsia="Calibri"/>
        </w:rPr>
        <w:instrText xml:space="preserve"> SEQ Table_6. \* ARABIC </w:instrText>
      </w:r>
      <w:r w:rsidRPr="00A32EED">
        <w:rPr>
          <w:rFonts w:eastAsia="Calibri"/>
        </w:rPr>
        <w:fldChar w:fldCharType="separate"/>
      </w:r>
      <w:r w:rsidR="00FA12E2">
        <w:rPr>
          <w:rFonts w:eastAsia="Calibri"/>
          <w:noProof/>
        </w:rPr>
        <w:t>6</w:t>
      </w:r>
      <w:r w:rsidRPr="00A32EED">
        <w:rPr>
          <w:rFonts w:eastAsia="Calibri"/>
        </w:rPr>
        <w:fldChar w:fldCharType="end"/>
      </w:r>
      <w:r w:rsidRPr="00A32EED">
        <w:rPr>
          <w:rFonts w:eastAsia="Calibri"/>
        </w:rPr>
        <w:t>: Comparison of Means for Future Criminal Justice Contact</w:t>
      </w:r>
      <w:bookmarkEnd w:id="134"/>
    </w:p>
    <w:tbl>
      <w:tblPr>
        <w:tblStyle w:val="ListTable6Colorful1"/>
        <w:tblW w:w="8268" w:type="dxa"/>
        <w:tblLayout w:type="fixed"/>
        <w:tblLook w:val="04A0" w:firstRow="1" w:lastRow="0" w:firstColumn="1" w:lastColumn="0" w:noHBand="0" w:noVBand="1"/>
      </w:tblPr>
      <w:tblGrid>
        <w:gridCol w:w="1351"/>
        <w:gridCol w:w="247"/>
        <w:gridCol w:w="1343"/>
        <w:gridCol w:w="794"/>
        <w:gridCol w:w="1192"/>
        <w:gridCol w:w="903"/>
        <w:gridCol w:w="1092"/>
        <w:gridCol w:w="73"/>
        <w:gridCol w:w="1273"/>
      </w:tblGrid>
      <w:tr w:rsidR="00600B3B" w:rsidRPr="00A32EED" w14:paraId="74BDCED9" w14:textId="77777777" w:rsidTr="00600B3B">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351" w:type="dxa"/>
            <w:noWrap/>
            <w:hideMark/>
          </w:tcPr>
          <w:p w14:paraId="274E8E66" w14:textId="77777777" w:rsidR="004C4C39" w:rsidRPr="00600B3B" w:rsidRDefault="004C4C39" w:rsidP="004C4C39">
            <w:pPr>
              <w:rPr>
                <w:rFonts w:eastAsia="Calibri" w:cs="Arial"/>
                <w:sz w:val="22"/>
              </w:rPr>
            </w:pPr>
          </w:p>
        </w:tc>
        <w:tc>
          <w:tcPr>
            <w:tcW w:w="1590" w:type="dxa"/>
            <w:gridSpan w:val="2"/>
            <w:noWrap/>
            <w:hideMark/>
          </w:tcPr>
          <w:p w14:paraId="0BB9A5B7" w14:textId="77777777" w:rsidR="004C4C39" w:rsidRPr="00600B3B"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C.J. Contact</w:t>
            </w:r>
          </w:p>
        </w:tc>
        <w:tc>
          <w:tcPr>
            <w:tcW w:w="794" w:type="dxa"/>
            <w:noWrap/>
            <w:hideMark/>
          </w:tcPr>
          <w:p w14:paraId="6C171BF8" w14:textId="77777777" w:rsidR="004C4C39" w:rsidRPr="00600B3B"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Mean</w:t>
            </w:r>
          </w:p>
        </w:tc>
        <w:tc>
          <w:tcPr>
            <w:tcW w:w="1192" w:type="dxa"/>
            <w:noWrap/>
            <w:hideMark/>
          </w:tcPr>
          <w:p w14:paraId="4D98E5AA" w14:textId="77777777" w:rsidR="004C4C39" w:rsidRPr="00600B3B"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Std. Error</w:t>
            </w:r>
          </w:p>
        </w:tc>
        <w:tc>
          <w:tcPr>
            <w:tcW w:w="1995" w:type="dxa"/>
            <w:gridSpan w:val="2"/>
            <w:noWrap/>
            <w:hideMark/>
          </w:tcPr>
          <w:p w14:paraId="7DAF8C3C" w14:textId="77777777" w:rsidR="004C4C39" w:rsidRPr="00600B3B"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95% Confidence Intervals</w:t>
            </w:r>
          </w:p>
        </w:tc>
        <w:tc>
          <w:tcPr>
            <w:tcW w:w="1346" w:type="dxa"/>
            <w:gridSpan w:val="2"/>
            <w:noWrap/>
            <w:hideMark/>
          </w:tcPr>
          <w:p w14:paraId="52A3E610" w14:textId="77777777" w:rsidR="004C4C39" w:rsidRPr="00600B3B"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Difference</w:t>
            </w:r>
          </w:p>
        </w:tc>
      </w:tr>
      <w:tr w:rsidR="00600B3B" w:rsidRPr="00A32EED" w14:paraId="36412FCE" w14:textId="77777777" w:rsidTr="00600B3B">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598" w:type="dxa"/>
            <w:gridSpan w:val="2"/>
            <w:noWrap/>
            <w:hideMark/>
          </w:tcPr>
          <w:p w14:paraId="30B54F46" w14:textId="77777777" w:rsidR="004C4C39" w:rsidRPr="00600B3B" w:rsidRDefault="004C4C39" w:rsidP="004C4C39">
            <w:pPr>
              <w:rPr>
                <w:rFonts w:eastAsia="Times New Roman" w:cs="Arial"/>
                <w:sz w:val="22"/>
              </w:rPr>
            </w:pPr>
            <w:r w:rsidRPr="00600B3B">
              <w:rPr>
                <w:rFonts w:eastAsia="Times New Roman" w:cs="Arial"/>
                <w:sz w:val="22"/>
              </w:rPr>
              <w:t>Age</w:t>
            </w:r>
          </w:p>
        </w:tc>
        <w:tc>
          <w:tcPr>
            <w:tcW w:w="1343" w:type="dxa"/>
            <w:noWrap/>
            <w:hideMark/>
          </w:tcPr>
          <w:p w14:paraId="36AEEE65"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794" w:type="dxa"/>
            <w:noWrap/>
            <w:hideMark/>
          </w:tcPr>
          <w:p w14:paraId="6FFC7AD8"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1192" w:type="dxa"/>
            <w:noWrap/>
            <w:hideMark/>
          </w:tcPr>
          <w:p w14:paraId="4401AEB9"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903" w:type="dxa"/>
            <w:noWrap/>
            <w:hideMark/>
          </w:tcPr>
          <w:p w14:paraId="0F98CB99"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1092" w:type="dxa"/>
            <w:noWrap/>
            <w:hideMark/>
          </w:tcPr>
          <w:p w14:paraId="73C75EA2" w14:textId="77777777" w:rsidR="004C4C39" w:rsidRPr="00600B3B"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1346" w:type="dxa"/>
            <w:gridSpan w:val="2"/>
            <w:noWrap/>
            <w:hideMark/>
          </w:tcPr>
          <w:p w14:paraId="42865394"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r>
      <w:tr w:rsidR="00600B3B" w:rsidRPr="00A32EED" w14:paraId="53793B51" w14:textId="77777777" w:rsidTr="00600B3B">
        <w:trPr>
          <w:trHeight w:val="307"/>
        </w:trPr>
        <w:tc>
          <w:tcPr>
            <w:cnfStyle w:val="001000000000" w:firstRow="0" w:lastRow="0" w:firstColumn="1" w:lastColumn="0" w:oddVBand="0" w:evenVBand="0" w:oddHBand="0" w:evenHBand="0" w:firstRowFirstColumn="0" w:firstRowLastColumn="0" w:lastRowFirstColumn="0" w:lastRowLastColumn="0"/>
            <w:tcW w:w="1598" w:type="dxa"/>
            <w:gridSpan w:val="2"/>
            <w:noWrap/>
            <w:hideMark/>
          </w:tcPr>
          <w:p w14:paraId="7DD3BFE8" w14:textId="77777777" w:rsidR="004C4C39" w:rsidRPr="00600B3B" w:rsidRDefault="004C4C39" w:rsidP="004C4C39">
            <w:pPr>
              <w:rPr>
                <w:rFonts w:eastAsia="Times New Roman" w:cs="Arial"/>
                <w:sz w:val="22"/>
              </w:rPr>
            </w:pPr>
          </w:p>
        </w:tc>
        <w:tc>
          <w:tcPr>
            <w:tcW w:w="1343" w:type="dxa"/>
            <w:noWrap/>
            <w:hideMark/>
          </w:tcPr>
          <w:p w14:paraId="3F7631D3"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No</w:t>
            </w:r>
          </w:p>
        </w:tc>
        <w:tc>
          <w:tcPr>
            <w:tcW w:w="794" w:type="dxa"/>
            <w:noWrap/>
            <w:hideMark/>
          </w:tcPr>
          <w:p w14:paraId="34623FF3"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9.72</w:t>
            </w:r>
          </w:p>
        </w:tc>
        <w:tc>
          <w:tcPr>
            <w:tcW w:w="1192" w:type="dxa"/>
            <w:noWrap/>
            <w:hideMark/>
          </w:tcPr>
          <w:p w14:paraId="383C0E04"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0.156</w:t>
            </w:r>
          </w:p>
        </w:tc>
        <w:tc>
          <w:tcPr>
            <w:tcW w:w="903" w:type="dxa"/>
            <w:noWrap/>
            <w:hideMark/>
          </w:tcPr>
          <w:p w14:paraId="72F286E4"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9.42</w:t>
            </w:r>
          </w:p>
        </w:tc>
        <w:tc>
          <w:tcPr>
            <w:tcW w:w="1092" w:type="dxa"/>
            <w:noWrap/>
            <w:hideMark/>
          </w:tcPr>
          <w:p w14:paraId="5D2DD80E" w14:textId="77777777" w:rsidR="004C4C39" w:rsidRPr="00600B3B"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10.03</w:t>
            </w:r>
          </w:p>
        </w:tc>
        <w:tc>
          <w:tcPr>
            <w:tcW w:w="1346" w:type="dxa"/>
            <w:gridSpan w:val="2"/>
            <w:noWrap/>
            <w:hideMark/>
          </w:tcPr>
          <w:p w14:paraId="42C67B69"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p>
        </w:tc>
      </w:tr>
      <w:tr w:rsidR="00600B3B" w:rsidRPr="00A32EED" w14:paraId="669664E1" w14:textId="77777777" w:rsidTr="00600B3B">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598" w:type="dxa"/>
            <w:gridSpan w:val="2"/>
            <w:noWrap/>
            <w:hideMark/>
          </w:tcPr>
          <w:p w14:paraId="6CE579E6" w14:textId="77777777" w:rsidR="004C4C39" w:rsidRPr="00600B3B" w:rsidRDefault="004C4C39" w:rsidP="004C4C39">
            <w:pPr>
              <w:rPr>
                <w:rFonts w:eastAsia="Times New Roman" w:cs="Arial"/>
                <w:sz w:val="22"/>
              </w:rPr>
            </w:pPr>
          </w:p>
        </w:tc>
        <w:tc>
          <w:tcPr>
            <w:tcW w:w="1343" w:type="dxa"/>
            <w:noWrap/>
            <w:hideMark/>
          </w:tcPr>
          <w:p w14:paraId="3A8266D7"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Yes</w:t>
            </w:r>
          </w:p>
        </w:tc>
        <w:tc>
          <w:tcPr>
            <w:tcW w:w="794" w:type="dxa"/>
            <w:noWrap/>
            <w:hideMark/>
          </w:tcPr>
          <w:p w14:paraId="37B00A5E"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11.57</w:t>
            </w:r>
          </w:p>
        </w:tc>
        <w:tc>
          <w:tcPr>
            <w:tcW w:w="1192" w:type="dxa"/>
            <w:noWrap/>
            <w:hideMark/>
          </w:tcPr>
          <w:p w14:paraId="778A7DD4"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0.334</w:t>
            </w:r>
          </w:p>
        </w:tc>
        <w:tc>
          <w:tcPr>
            <w:tcW w:w="903" w:type="dxa"/>
            <w:noWrap/>
            <w:hideMark/>
          </w:tcPr>
          <w:p w14:paraId="170A2B60"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10.91</w:t>
            </w:r>
          </w:p>
        </w:tc>
        <w:tc>
          <w:tcPr>
            <w:tcW w:w="1092" w:type="dxa"/>
            <w:noWrap/>
            <w:hideMark/>
          </w:tcPr>
          <w:p w14:paraId="7C2EB100" w14:textId="77777777" w:rsidR="004C4C39" w:rsidRPr="00600B3B"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12.24</w:t>
            </w:r>
          </w:p>
        </w:tc>
        <w:tc>
          <w:tcPr>
            <w:tcW w:w="1346" w:type="dxa"/>
            <w:gridSpan w:val="2"/>
            <w:noWrap/>
            <w:hideMark/>
          </w:tcPr>
          <w:p w14:paraId="264956DF"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2"/>
              </w:rPr>
            </w:pPr>
            <w:r w:rsidRPr="00600B3B">
              <w:rPr>
                <w:rFonts w:eastAsia="Times New Roman" w:cs="Arial"/>
                <w:b/>
                <w:sz w:val="22"/>
              </w:rPr>
              <w:t>1.85***</w:t>
            </w:r>
          </w:p>
        </w:tc>
      </w:tr>
      <w:tr w:rsidR="00600B3B" w:rsidRPr="00A32EED" w14:paraId="43BDF065" w14:textId="77777777" w:rsidTr="00600B3B">
        <w:trPr>
          <w:trHeight w:val="307"/>
        </w:trPr>
        <w:tc>
          <w:tcPr>
            <w:cnfStyle w:val="001000000000" w:firstRow="0" w:lastRow="0" w:firstColumn="1" w:lastColumn="0" w:oddVBand="0" w:evenVBand="0" w:oddHBand="0" w:evenHBand="0" w:firstRowFirstColumn="0" w:firstRowLastColumn="0" w:lastRowFirstColumn="0" w:lastRowLastColumn="0"/>
            <w:tcW w:w="1598" w:type="dxa"/>
            <w:gridSpan w:val="2"/>
            <w:noWrap/>
            <w:hideMark/>
          </w:tcPr>
          <w:p w14:paraId="32A8EA99" w14:textId="77777777" w:rsidR="004C4C39" w:rsidRPr="00600B3B" w:rsidRDefault="004C4C39" w:rsidP="004C4C39">
            <w:pPr>
              <w:rPr>
                <w:rFonts w:eastAsia="Times New Roman" w:cs="Arial"/>
                <w:sz w:val="22"/>
              </w:rPr>
            </w:pPr>
            <w:r w:rsidRPr="00600B3B">
              <w:rPr>
                <w:rFonts w:eastAsia="Times New Roman" w:cs="Arial"/>
                <w:sz w:val="22"/>
              </w:rPr>
              <w:t>Self-Control</w:t>
            </w:r>
          </w:p>
        </w:tc>
        <w:tc>
          <w:tcPr>
            <w:tcW w:w="1343" w:type="dxa"/>
            <w:noWrap/>
            <w:hideMark/>
          </w:tcPr>
          <w:p w14:paraId="153CC7C7"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p>
        </w:tc>
        <w:tc>
          <w:tcPr>
            <w:tcW w:w="794" w:type="dxa"/>
            <w:noWrap/>
            <w:hideMark/>
          </w:tcPr>
          <w:p w14:paraId="57C8C8C0"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p>
        </w:tc>
        <w:tc>
          <w:tcPr>
            <w:tcW w:w="1192" w:type="dxa"/>
            <w:noWrap/>
            <w:hideMark/>
          </w:tcPr>
          <w:p w14:paraId="4CCA5513"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p>
        </w:tc>
        <w:tc>
          <w:tcPr>
            <w:tcW w:w="903" w:type="dxa"/>
            <w:noWrap/>
            <w:hideMark/>
          </w:tcPr>
          <w:p w14:paraId="092EA641"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p>
        </w:tc>
        <w:tc>
          <w:tcPr>
            <w:tcW w:w="1092" w:type="dxa"/>
            <w:noWrap/>
            <w:hideMark/>
          </w:tcPr>
          <w:p w14:paraId="5DACB1C0" w14:textId="77777777" w:rsidR="004C4C39" w:rsidRPr="00600B3B"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rPr>
            </w:pPr>
          </w:p>
        </w:tc>
        <w:tc>
          <w:tcPr>
            <w:tcW w:w="1346" w:type="dxa"/>
            <w:gridSpan w:val="2"/>
            <w:noWrap/>
            <w:hideMark/>
          </w:tcPr>
          <w:p w14:paraId="452BFE0C"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p>
        </w:tc>
      </w:tr>
      <w:tr w:rsidR="00600B3B" w:rsidRPr="00A32EED" w14:paraId="66D49D2D" w14:textId="77777777" w:rsidTr="00600B3B">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598" w:type="dxa"/>
            <w:gridSpan w:val="2"/>
            <w:noWrap/>
            <w:hideMark/>
          </w:tcPr>
          <w:p w14:paraId="68BC2AF4" w14:textId="77777777" w:rsidR="004C4C39" w:rsidRPr="00600B3B" w:rsidRDefault="004C4C39" w:rsidP="004C4C39">
            <w:pPr>
              <w:rPr>
                <w:rFonts w:eastAsia="Times New Roman" w:cs="Arial"/>
                <w:sz w:val="22"/>
              </w:rPr>
            </w:pPr>
          </w:p>
        </w:tc>
        <w:tc>
          <w:tcPr>
            <w:tcW w:w="1343" w:type="dxa"/>
            <w:noWrap/>
            <w:hideMark/>
          </w:tcPr>
          <w:p w14:paraId="15C8D1CC"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 xml:space="preserve">No </w:t>
            </w:r>
          </w:p>
        </w:tc>
        <w:tc>
          <w:tcPr>
            <w:tcW w:w="794" w:type="dxa"/>
            <w:noWrap/>
            <w:hideMark/>
          </w:tcPr>
          <w:p w14:paraId="54253BF3"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14.36</w:t>
            </w:r>
          </w:p>
        </w:tc>
        <w:tc>
          <w:tcPr>
            <w:tcW w:w="1192" w:type="dxa"/>
            <w:noWrap/>
            <w:hideMark/>
          </w:tcPr>
          <w:p w14:paraId="3379C600"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0.283</w:t>
            </w:r>
          </w:p>
        </w:tc>
        <w:tc>
          <w:tcPr>
            <w:tcW w:w="903" w:type="dxa"/>
            <w:noWrap/>
            <w:hideMark/>
          </w:tcPr>
          <w:p w14:paraId="61ADB6FA"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13.8</w:t>
            </w:r>
          </w:p>
        </w:tc>
        <w:tc>
          <w:tcPr>
            <w:tcW w:w="1092" w:type="dxa"/>
            <w:noWrap/>
            <w:hideMark/>
          </w:tcPr>
          <w:p w14:paraId="605191E0" w14:textId="77777777" w:rsidR="004C4C39" w:rsidRPr="00600B3B"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rPr>
            </w:pPr>
            <w:r w:rsidRPr="00600B3B">
              <w:rPr>
                <w:rFonts w:eastAsia="Times New Roman" w:cs="Arial"/>
                <w:sz w:val="22"/>
              </w:rPr>
              <w:t>14.93</w:t>
            </w:r>
          </w:p>
        </w:tc>
        <w:tc>
          <w:tcPr>
            <w:tcW w:w="1346" w:type="dxa"/>
            <w:gridSpan w:val="2"/>
            <w:noWrap/>
            <w:hideMark/>
          </w:tcPr>
          <w:p w14:paraId="34561E49" w14:textId="77777777" w:rsidR="004C4C39" w:rsidRPr="00600B3B"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r>
      <w:tr w:rsidR="00600B3B" w:rsidRPr="00A32EED" w14:paraId="25B1820B" w14:textId="77777777" w:rsidTr="00600B3B">
        <w:trPr>
          <w:trHeight w:val="307"/>
        </w:trPr>
        <w:tc>
          <w:tcPr>
            <w:cnfStyle w:val="001000000000" w:firstRow="0" w:lastRow="0" w:firstColumn="1" w:lastColumn="0" w:oddVBand="0" w:evenVBand="0" w:oddHBand="0" w:evenHBand="0" w:firstRowFirstColumn="0" w:firstRowLastColumn="0" w:lastRowFirstColumn="0" w:lastRowLastColumn="0"/>
            <w:tcW w:w="1598" w:type="dxa"/>
            <w:gridSpan w:val="2"/>
            <w:noWrap/>
            <w:hideMark/>
          </w:tcPr>
          <w:p w14:paraId="059EAC34" w14:textId="77777777" w:rsidR="004C4C39" w:rsidRPr="00600B3B" w:rsidRDefault="004C4C39" w:rsidP="004C4C39">
            <w:pPr>
              <w:rPr>
                <w:rFonts w:eastAsia="Times New Roman" w:cs="Arial"/>
                <w:sz w:val="22"/>
              </w:rPr>
            </w:pPr>
          </w:p>
        </w:tc>
        <w:tc>
          <w:tcPr>
            <w:tcW w:w="1343" w:type="dxa"/>
            <w:noWrap/>
            <w:hideMark/>
          </w:tcPr>
          <w:p w14:paraId="33410D19"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Yes</w:t>
            </w:r>
          </w:p>
        </w:tc>
        <w:tc>
          <w:tcPr>
            <w:tcW w:w="794" w:type="dxa"/>
            <w:noWrap/>
            <w:hideMark/>
          </w:tcPr>
          <w:p w14:paraId="61A0597D"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12.82</w:t>
            </w:r>
          </w:p>
        </w:tc>
        <w:tc>
          <w:tcPr>
            <w:tcW w:w="1192" w:type="dxa"/>
            <w:noWrap/>
            <w:hideMark/>
          </w:tcPr>
          <w:p w14:paraId="5F95EF58"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0.571</w:t>
            </w:r>
          </w:p>
        </w:tc>
        <w:tc>
          <w:tcPr>
            <w:tcW w:w="903" w:type="dxa"/>
            <w:noWrap/>
            <w:hideMark/>
          </w:tcPr>
          <w:p w14:paraId="160BE221"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11.68</w:t>
            </w:r>
          </w:p>
        </w:tc>
        <w:tc>
          <w:tcPr>
            <w:tcW w:w="1092" w:type="dxa"/>
            <w:noWrap/>
            <w:hideMark/>
          </w:tcPr>
          <w:p w14:paraId="60EED9B0" w14:textId="77777777" w:rsidR="004C4C39" w:rsidRPr="00600B3B"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13.96</w:t>
            </w:r>
          </w:p>
        </w:tc>
        <w:tc>
          <w:tcPr>
            <w:tcW w:w="1346" w:type="dxa"/>
            <w:gridSpan w:val="2"/>
            <w:noWrap/>
            <w:hideMark/>
          </w:tcPr>
          <w:p w14:paraId="46221CA3"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b/>
                <w:sz w:val="22"/>
              </w:rPr>
            </w:pPr>
            <w:r w:rsidRPr="00600B3B">
              <w:rPr>
                <w:rFonts w:eastAsia="Times New Roman" w:cs="Arial"/>
                <w:b/>
                <w:sz w:val="22"/>
              </w:rPr>
              <w:t>-1.54**</w:t>
            </w:r>
          </w:p>
        </w:tc>
      </w:tr>
      <w:tr w:rsidR="00600B3B" w:rsidRPr="00A32EED" w14:paraId="162977CC" w14:textId="77777777" w:rsidTr="00FC6BE7">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941" w:type="dxa"/>
            <w:gridSpan w:val="3"/>
            <w:noWrap/>
            <w:hideMark/>
          </w:tcPr>
          <w:p w14:paraId="348DF300" w14:textId="337C06C4" w:rsidR="00600B3B" w:rsidRPr="00600B3B" w:rsidRDefault="00600B3B" w:rsidP="00600B3B">
            <w:pPr>
              <w:rPr>
                <w:rFonts w:eastAsia="Times New Roman" w:cs="Arial"/>
                <w:sz w:val="22"/>
              </w:rPr>
            </w:pPr>
            <w:r w:rsidRPr="00600B3B">
              <w:rPr>
                <w:rFonts w:eastAsia="Times New Roman" w:cs="Arial"/>
                <w:sz w:val="22"/>
              </w:rPr>
              <w:t>Level of Harm</w:t>
            </w:r>
          </w:p>
        </w:tc>
        <w:tc>
          <w:tcPr>
            <w:tcW w:w="794" w:type="dxa"/>
            <w:noWrap/>
            <w:hideMark/>
          </w:tcPr>
          <w:p w14:paraId="44B0136D" w14:textId="77777777" w:rsidR="00600B3B" w:rsidRPr="00600B3B" w:rsidRDefault="00600B3B"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1192" w:type="dxa"/>
            <w:noWrap/>
            <w:hideMark/>
          </w:tcPr>
          <w:p w14:paraId="31E620EE" w14:textId="77777777" w:rsidR="00600B3B" w:rsidRPr="00600B3B" w:rsidRDefault="00600B3B"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903" w:type="dxa"/>
            <w:noWrap/>
            <w:hideMark/>
          </w:tcPr>
          <w:p w14:paraId="648A0640" w14:textId="77777777" w:rsidR="00600B3B" w:rsidRPr="00600B3B" w:rsidRDefault="00600B3B"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1092" w:type="dxa"/>
            <w:noWrap/>
            <w:hideMark/>
          </w:tcPr>
          <w:p w14:paraId="1E1EC382" w14:textId="77777777" w:rsidR="00600B3B" w:rsidRPr="00600B3B" w:rsidRDefault="00600B3B"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c>
          <w:tcPr>
            <w:tcW w:w="1346" w:type="dxa"/>
            <w:gridSpan w:val="2"/>
            <w:noWrap/>
            <w:hideMark/>
          </w:tcPr>
          <w:p w14:paraId="1D3F082D" w14:textId="77777777" w:rsidR="00600B3B" w:rsidRPr="00600B3B" w:rsidRDefault="00600B3B"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rPr>
            </w:pPr>
          </w:p>
        </w:tc>
      </w:tr>
      <w:tr w:rsidR="00600B3B" w:rsidRPr="00A32EED" w14:paraId="1A5B3921" w14:textId="77777777" w:rsidTr="00600B3B">
        <w:trPr>
          <w:trHeight w:val="307"/>
        </w:trPr>
        <w:tc>
          <w:tcPr>
            <w:cnfStyle w:val="001000000000" w:firstRow="0" w:lastRow="0" w:firstColumn="1" w:lastColumn="0" w:oddVBand="0" w:evenVBand="0" w:oddHBand="0" w:evenHBand="0" w:firstRowFirstColumn="0" w:firstRowLastColumn="0" w:lastRowFirstColumn="0" w:lastRowLastColumn="0"/>
            <w:tcW w:w="1598" w:type="dxa"/>
            <w:gridSpan w:val="2"/>
            <w:noWrap/>
            <w:hideMark/>
          </w:tcPr>
          <w:p w14:paraId="4FE59198" w14:textId="77777777" w:rsidR="004C4C39" w:rsidRPr="00600B3B" w:rsidRDefault="004C4C39" w:rsidP="004C4C39">
            <w:pPr>
              <w:rPr>
                <w:rFonts w:eastAsia="Times New Roman" w:cs="Arial"/>
                <w:sz w:val="22"/>
              </w:rPr>
            </w:pPr>
          </w:p>
        </w:tc>
        <w:tc>
          <w:tcPr>
            <w:tcW w:w="1343" w:type="dxa"/>
            <w:noWrap/>
            <w:hideMark/>
          </w:tcPr>
          <w:p w14:paraId="350F4ECF"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No</w:t>
            </w:r>
          </w:p>
        </w:tc>
        <w:tc>
          <w:tcPr>
            <w:tcW w:w="794" w:type="dxa"/>
            <w:noWrap/>
            <w:hideMark/>
          </w:tcPr>
          <w:p w14:paraId="274F25D4"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1.89</w:t>
            </w:r>
          </w:p>
        </w:tc>
        <w:tc>
          <w:tcPr>
            <w:tcW w:w="1192" w:type="dxa"/>
            <w:noWrap/>
            <w:hideMark/>
          </w:tcPr>
          <w:p w14:paraId="226B0C8F"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0.053</w:t>
            </w:r>
          </w:p>
        </w:tc>
        <w:tc>
          <w:tcPr>
            <w:tcW w:w="903" w:type="dxa"/>
            <w:noWrap/>
            <w:hideMark/>
          </w:tcPr>
          <w:p w14:paraId="7FCD9BEB"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1.78</w:t>
            </w:r>
          </w:p>
        </w:tc>
        <w:tc>
          <w:tcPr>
            <w:tcW w:w="1092" w:type="dxa"/>
            <w:noWrap/>
            <w:hideMark/>
          </w:tcPr>
          <w:p w14:paraId="0DE37BA3" w14:textId="77777777" w:rsidR="004C4C39" w:rsidRPr="00600B3B" w:rsidRDefault="004C4C39"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2"/>
              </w:rPr>
            </w:pPr>
            <w:r w:rsidRPr="00600B3B">
              <w:rPr>
                <w:rFonts w:eastAsia="Times New Roman" w:cs="Arial"/>
                <w:sz w:val="22"/>
              </w:rPr>
              <w:t>1.99</w:t>
            </w:r>
          </w:p>
        </w:tc>
        <w:tc>
          <w:tcPr>
            <w:tcW w:w="1346" w:type="dxa"/>
            <w:gridSpan w:val="2"/>
            <w:noWrap/>
            <w:hideMark/>
          </w:tcPr>
          <w:p w14:paraId="6B0ADA07" w14:textId="77777777" w:rsidR="004C4C39" w:rsidRPr="00600B3B"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rPr>
            </w:pPr>
          </w:p>
        </w:tc>
      </w:tr>
      <w:tr w:rsidR="00600B3B" w:rsidRPr="00A32EED" w14:paraId="4C8E0FB5" w14:textId="77777777" w:rsidTr="00600B3B">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598" w:type="dxa"/>
            <w:gridSpan w:val="2"/>
            <w:noWrap/>
            <w:hideMark/>
          </w:tcPr>
          <w:p w14:paraId="38AB60C2" w14:textId="77777777" w:rsidR="004C4C39" w:rsidRPr="00A32EED" w:rsidRDefault="004C4C39" w:rsidP="004C4C39">
            <w:pPr>
              <w:rPr>
                <w:rFonts w:eastAsia="Times New Roman" w:cs="Arial"/>
              </w:rPr>
            </w:pPr>
          </w:p>
        </w:tc>
        <w:tc>
          <w:tcPr>
            <w:tcW w:w="1343" w:type="dxa"/>
            <w:noWrap/>
            <w:hideMark/>
          </w:tcPr>
          <w:p w14:paraId="21ABCE0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Yes</w:t>
            </w:r>
          </w:p>
        </w:tc>
        <w:tc>
          <w:tcPr>
            <w:tcW w:w="794" w:type="dxa"/>
            <w:noWrap/>
            <w:hideMark/>
          </w:tcPr>
          <w:p w14:paraId="570C2E1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1.9</w:t>
            </w:r>
          </w:p>
        </w:tc>
        <w:tc>
          <w:tcPr>
            <w:tcW w:w="1192" w:type="dxa"/>
            <w:noWrap/>
            <w:hideMark/>
          </w:tcPr>
          <w:p w14:paraId="095248F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0.11</w:t>
            </w:r>
          </w:p>
        </w:tc>
        <w:tc>
          <w:tcPr>
            <w:tcW w:w="903" w:type="dxa"/>
            <w:noWrap/>
            <w:hideMark/>
          </w:tcPr>
          <w:p w14:paraId="34C5B5D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1.68</w:t>
            </w:r>
          </w:p>
        </w:tc>
        <w:tc>
          <w:tcPr>
            <w:tcW w:w="1165" w:type="dxa"/>
            <w:gridSpan w:val="2"/>
            <w:noWrap/>
            <w:hideMark/>
          </w:tcPr>
          <w:p w14:paraId="1FDE0D51"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2.12</w:t>
            </w:r>
          </w:p>
        </w:tc>
        <w:tc>
          <w:tcPr>
            <w:tcW w:w="1273" w:type="dxa"/>
            <w:noWrap/>
            <w:hideMark/>
          </w:tcPr>
          <w:p w14:paraId="24B19AD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32EED">
              <w:rPr>
                <w:rFonts w:eastAsia="Times New Roman" w:cs="Arial"/>
              </w:rPr>
              <w:t>0.014</w:t>
            </w:r>
          </w:p>
        </w:tc>
      </w:tr>
    </w:tbl>
    <w:p w14:paraId="00FD7849" w14:textId="77777777" w:rsidR="004C4C39" w:rsidRPr="00A32EED" w:rsidRDefault="004C4C39" w:rsidP="004C4C39">
      <w:pPr>
        <w:spacing w:after="0" w:line="480" w:lineRule="auto"/>
        <w:rPr>
          <w:rFonts w:eastAsia="Calibri"/>
          <w:sz w:val="21"/>
        </w:rPr>
      </w:pPr>
      <w:r w:rsidRPr="00A32EED">
        <w:rPr>
          <w:rFonts w:eastAsia="Calibri"/>
          <w:sz w:val="21"/>
        </w:rPr>
        <w:t>* p&lt;.05  **p&lt;.01  ***p&lt;.001</w:t>
      </w:r>
    </w:p>
    <w:p w14:paraId="16FC40B8" w14:textId="77777777" w:rsidR="004C4C39" w:rsidRPr="00A32EED" w:rsidRDefault="004C4C39" w:rsidP="004C4C39">
      <w:pPr>
        <w:spacing w:after="0" w:line="480" w:lineRule="auto"/>
        <w:rPr>
          <w:rFonts w:eastAsia="Calibri"/>
        </w:rPr>
      </w:pPr>
      <w:r w:rsidRPr="00A32EED">
        <w:rPr>
          <w:rFonts w:eastAsia="Calibri"/>
        </w:rPr>
        <w:lastRenderedPageBreak/>
        <w:tab/>
        <w:t xml:space="preserve">Both self-control and age were significantly difference among those with and without eventual criminal justice contact. Specifically, those with eventual criminal justice contact were on average 1.85 years older as baseline than those without criminal justice contact. This difference is significant at </w:t>
      </w:r>
      <w:r w:rsidRPr="00A32EED">
        <w:rPr>
          <w:rFonts w:eastAsia="Calibri"/>
          <w:i/>
        </w:rPr>
        <w:t>p</w:t>
      </w:r>
      <w:r w:rsidRPr="00A32EED">
        <w:rPr>
          <w:rFonts w:eastAsia="Calibri"/>
        </w:rPr>
        <w:t xml:space="preserve">&lt;.01. As with early sexual initiation, this findings is not surprising given previous research linking being older at removal to various negative outcomes such as juvenile justice involvement </w:t>
      </w:r>
      <w:r w:rsidRPr="00A32EED">
        <w:rPr>
          <w:rFonts w:eastAsia="Calibri"/>
        </w:rPr>
        <w:fldChar w:fldCharType="begin"/>
      </w:r>
      <w:r w:rsidRPr="00A32EED">
        <w:rPr>
          <w:rFonts w:eastAsia="Calibri"/>
        </w:rPr>
        <w:instrText xml:space="preserve"> ADDIN ZOTERO_ITEM CSL_CITATION {"citationID":"tTdCMpKb","properties":{"formattedCitation":"(Widom 1991b)","plainCitation":"(Widom 1991b)"},"citationItems":[{"id":1314,"uris":["http://zotero.org/users/1165382/items/Z3UMV487"],"uri":["http://zotero.org/users/1165382/items/Z3UMV487"],"itemData":{"id":1314,"type":"article-journal","title":"The role of placement experiences in mediating the criminal consequences of early childhood victimization","container-title":"American Journal of Orthopsychiatry","page":"195-209","volume":"61","issue":"2","source":"EBSCOhost","archive_location":"1991-25522-001","abstract":"Examined foster-home placement experiences in 709 juvenile court cases (aged 18–33 yrs) of child abuse and neglect in relation to delinquent, adult criminal, and violent criminal outcomes. More males than females and more White than Black Ss were placed in foster care. Ss with indications of behavior problems were significantly more likely to be placed than Ss without such problems. Out-of-home placement did not necessarily have negative effects. A small group of abused and neglected children with behavior problems may experience frequent placement moves. The presence of these children may account for the high rates of delinquency, adult criminality, and violent criminal behavior associated with children in foster care. (PsycINFO Database Record (c) 2015 APA, all rights reserved)","DOI":"10.1037/h0079252","ISSN":"0002-9432","journalAbbreviation":"American Journal of Orthopsychiatry","author":[{"family":"Widom","given":"Cathy Spatz"}],"issued":{"date-parts":[["1991",4]]}}}],"schema":"https://github.com/citation-style-language/schema/raw/master/csl-citation.json"} </w:instrText>
      </w:r>
      <w:r w:rsidRPr="00A32EED">
        <w:rPr>
          <w:rFonts w:eastAsia="Calibri"/>
        </w:rPr>
        <w:fldChar w:fldCharType="separate"/>
      </w:r>
      <w:r w:rsidRPr="00A32EED">
        <w:rPr>
          <w:rFonts w:eastAsia="Calibri"/>
          <w:noProof/>
        </w:rPr>
        <w:t>(Widom 1991b)</w:t>
      </w:r>
      <w:r w:rsidRPr="00A32EED">
        <w:rPr>
          <w:rFonts w:eastAsia="Calibri"/>
        </w:rPr>
        <w:fldChar w:fldCharType="end"/>
      </w:r>
      <w:r w:rsidRPr="00A32EED">
        <w:rPr>
          <w:rFonts w:eastAsia="Calibri"/>
        </w:rPr>
        <w:t xml:space="preserve">, removal </w:t>
      </w:r>
      <w:r w:rsidRPr="00A32EED">
        <w:rPr>
          <w:rFonts w:eastAsia="Calibri"/>
        </w:rPr>
        <w:fldChar w:fldCharType="begin"/>
      </w:r>
      <w:r w:rsidRPr="00A32EED">
        <w:rPr>
          <w:rFonts w:eastAsia="Calibri"/>
        </w:rPr>
        <w:instrText xml:space="preserve"> ADDIN ZOTERO_ITEM CSL_CITATION {"citationID":"gTjy4gEp","properties":{"formattedCitation":"(J. Ryan et al. 2008)","plainCitation":"(J. Ryan et al. 2008)"},"citationItems":[{"id":1318,"uris":["http://zotero.org/users/1165382/items/SV4SKN5D"],"uri":["http://zotero.org/users/1165382/items/SV4SKN5D"],"itemData":{"id":1318,"type":"article-journal","title":"African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F."},{"family":"Zhai","given":"Fuhua"}],"issued":{"date-parts":[["2008"]]}}}],"schema":"https://github.com/citation-style-language/schema/raw/master/csl-citation.json"} </w:instrText>
      </w:r>
      <w:r w:rsidRPr="00A32EED">
        <w:rPr>
          <w:rFonts w:eastAsia="Calibri"/>
        </w:rPr>
        <w:fldChar w:fldCharType="separate"/>
      </w:r>
      <w:r w:rsidRPr="00A32EED">
        <w:rPr>
          <w:rFonts w:eastAsia="Calibri"/>
          <w:noProof/>
        </w:rPr>
        <w:t>(J. Ryan et al. 2008)</w:t>
      </w:r>
      <w:r w:rsidRPr="00A32EED">
        <w:rPr>
          <w:rFonts w:eastAsia="Calibri"/>
        </w:rPr>
        <w:fldChar w:fldCharType="end"/>
      </w:r>
      <w:r w:rsidRPr="00A32EED">
        <w:rPr>
          <w:rFonts w:eastAsia="Calibri"/>
        </w:rPr>
        <w:t xml:space="preserve">, and experiencing homelessness </w:t>
      </w:r>
      <w:r w:rsidRPr="00A32EED">
        <w:rPr>
          <w:rFonts w:eastAsia="Calibri"/>
        </w:rPr>
        <w:fldChar w:fldCharType="begin"/>
      </w:r>
      <w:r w:rsidRPr="00A32EED">
        <w:rPr>
          <w:rFonts w:eastAsia="Calibri"/>
        </w:rPr>
        <w:instrText xml:space="preserve"> ADDIN ZOTERO_ITEM CSL_CITATION {"citationID":"1tiSjTHw","properties":{"formattedCitation":"(Crawford et al. 2017)","plainCitation":"(Crawford et al. 2017)"},"citationItems":[{"id":562,"uris":["http://zotero.org/users/1165382/items/XTK6EPTA"],"uri":["http://zotero.org/users/1165382/items/XTK6EPTA"],"itemData":{"id":562,"type":"article-journal","title":"Factors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schema":"https://github.com/citation-style-language/schema/raw/master/csl-citation.json"} </w:instrText>
      </w:r>
      <w:r w:rsidRPr="00A32EED">
        <w:rPr>
          <w:rFonts w:eastAsia="Calibri"/>
        </w:rPr>
        <w:fldChar w:fldCharType="separate"/>
      </w:r>
      <w:r w:rsidRPr="00A32EED">
        <w:rPr>
          <w:rFonts w:eastAsia="Calibri"/>
          <w:noProof/>
        </w:rPr>
        <w:t>(Crawford et al. 2017)</w:t>
      </w:r>
      <w:r w:rsidRPr="00A32EED">
        <w:rPr>
          <w:rFonts w:eastAsia="Calibri"/>
        </w:rPr>
        <w:fldChar w:fldCharType="end"/>
      </w:r>
      <w:r w:rsidRPr="00A32EED">
        <w:rPr>
          <w:rFonts w:eastAsia="Calibri"/>
        </w:rPr>
        <w:t xml:space="preserve">. Those with eventual criminal justice contact also scored on average 1.54 points lower on the self-control scale. Once again, given Gottfredson and Hirschi’s </w:t>
      </w:r>
      <w:r w:rsidRPr="00A32EED">
        <w:rPr>
          <w:rFonts w:eastAsia="Calibri"/>
        </w:rPr>
        <w:fldChar w:fldCharType="begin"/>
      </w:r>
      <w:r w:rsidRPr="00A32EED">
        <w:rPr>
          <w:rFonts w:eastAsia="Calibri"/>
        </w:rPr>
        <w:instrText xml:space="preserve"> ADDIN ZOTERO_ITEM CSL_CITATION {"citationID":"26cuaga8tp","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assertion that low self-control is the individual-cause of criminal offending, this relationship is not surprising. </w:t>
      </w:r>
    </w:p>
    <w:p w14:paraId="664B8F29"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35" w:name="_Toc479938181"/>
      <w:bookmarkStart w:id="136" w:name="_Toc482112710"/>
      <w:r w:rsidRPr="00A32EED">
        <w:rPr>
          <w:rFonts w:eastAsia="ＭＳ ゴシック"/>
          <w:i/>
          <w:color w:val="000000"/>
          <w:szCs w:val="26"/>
          <w:u w:val="single"/>
        </w:rPr>
        <w:t>Binary Logistic Regression of Criminal Justice Contact</w:t>
      </w:r>
      <w:bookmarkEnd w:id="135"/>
      <w:bookmarkEnd w:id="136"/>
      <w:r w:rsidRPr="00A32EED">
        <w:rPr>
          <w:rFonts w:eastAsia="ＭＳ ゴシック"/>
          <w:i/>
          <w:color w:val="000000"/>
          <w:szCs w:val="26"/>
          <w:u w:val="single"/>
        </w:rPr>
        <w:t xml:space="preserve"> </w:t>
      </w:r>
    </w:p>
    <w:p w14:paraId="7BC005B3" w14:textId="7A715B31" w:rsidR="004C4C39" w:rsidRPr="00A32EED" w:rsidRDefault="004C4C39" w:rsidP="004C4C39">
      <w:pPr>
        <w:spacing w:after="0" w:line="480" w:lineRule="auto"/>
        <w:rPr>
          <w:rFonts w:eastAsia="Calibri"/>
        </w:rPr>
      </w:pPr>
      <w:r w:rsidRPr="00A32EED">
        <w:rPr>
          <w:rFonts w:eastAsia="Calibri"/>
          <w:i/>
        </w:rPr>
        <w:tab/>
      </w:r>
      <w:r w:rsidRPr="00A32EED">
        <w:rPr>
          <w:rFonts w:eastAsia="Calibri"/>
        </w:rPr>
        <w:t>The relationships between criminal justice contact and various demographic, case, and personal characteristics were assessed using binary logistic regression. Model 1 begins with only child demographics, Model 2 adds background and case information (potential state dependent effects), Model 3 adds the population heterogeneity measure of self-control, and Models 4 and 5 add various interaction terms to the model. Results for all of the models are reported in Table 6.</w:t>
      </w:r>
      <w:r w:rsidR="00865DAD">
        <w:rPr>
          <w:rFonts w:eastAsia="Calibri"/>
        </w:rPr>
        <w:t>7</w:t>
      </w:r>
      <w:r w:rsidRPr="00A32EED">
        <w:rPr>
          <w:rFonts w:eastAsia="Calibri"/>
        </w:rPr>
        <w:t>. Coefficients for all models are presented as odds ratios. Due to the complex survey design, the goodness of fit estimators are not included but are addressed in the text.</w:t>
      </w:r>
    </w:p>
    <w:p w14:paraId="10A79878" w14:textId="77777777" w:rsidR="004C4C39" w:rsidRPr="00A32EED" w:rsidRDefault="004C4C39" w:rsidP="004C4C39">
      <w:pPr>
        <w:spacing w:after="0" w:line="480" w:lineRule="auto"/>
        <w:rPr>
          <w:rFonts w:eastAsia="Calibri"/>
        </w:rPr>
      </w:pPr>
      <w:r w:rsidRPr="00A32EED">
        <w:rPr>
          <w:rFonts w:eastAsia="Calibri"/>
        </w:rPr>
        <w:lastRenderedPageBreak/>
        <w:tab/>
        <w:t>For Model 1 (child demographics), age at baseline and gender are both significant, although the relationship between gender and criminal justice contact is only marginally significant. Results show that for every year older a child is at baseline, their odds of criminal justice contact increase 36% (</w:t>
      </w:r>
      <w:r w:rsidRPr="00A32EED">
        <w:rPr>
          <w:rFonts w:eastAsia="Calibri"/>
          <w:i/>
        </w:rPr>
        <w:t>p</w:t>
      </w:r>
      <w:r w:rsidRPr="00A32EED">
        <w:rPr>
          <w:rFonts w:eastAsia="Calibri"/>
        </w:rPr>
        <w:t>&lt;.001). For gender, the results suggest that the odds of criminal justice contact are 92% higher for males when compared to females (</w:t>
      </w:r>
      <w:r w:rsidRPr="00A32EED">
        <w:rPr>
          <w:rFonts w:eastAsia="Calibri"/>
          <w:i/>
        </w:rPr>
        <w:t>p</w:t>
      </w:r>
      <w:r w:rsidRPr="00A32EED">
        <w:rPr>
          <w:rFonts w:eastAsia="Calibri"/>
        </w:rPr>
        <w:t xml:space="preserve">&lt;.10). In Model 2, variables for the background characteristics of previous parent arrest, previous child welfare involvement, the level of harm for the most severe maltreatment, receipt of services at baseline, having more than one alleged form of maltreatment, most severe form of maltreatment and baseline placement are added. The addition of these variables decreases the coefficients for age at baseline and gender by 1%, however, neither the significance level or the direction of the relationship changes. No forms of maltreatment are significantly different from one another. For placement, the only significant relationship to criminal justice contact is for those placed in a group home/other placement at baseline. Specifically, the odds of having later criminal justice contact are 6.48 times higher for those placed in a group home/other placement when compared to those who remain in their own home at baseline. This finding is not surprising given prior research and the bivariate tests conducted prior to the final regression model. </w:t>
      </w:r>
    </w:p>
    <w:p w14:paraId="0890F190" w14:textId="77777777" w:rsidR="004C4C39" w:rsidRPr="00A32EED" w:rsidRDefault="004C4C39" w:rsidP="004C4C39">
      <w:pPr>
        <w:spacing w:after="0" w:line="480" w:lineRule="auto"/>
        <w:ind w:firstLine="720"/>
        <w:rPr>
          <w:rFonts w:eastAsia="Calibri"/>
        </w:rPr>
      </w:pPr>
      <w:r w:rsidRPr="00A32EED">
        <w:rPr>
          <w:rFonts w:eastAsia="Calibri"/>
        </w:rPr>
        <w:t xml:space="preserve">The addition of self-control in Model 3 results in some changes for age at baseline, gender, race/ethnicity, and group home/other placements. Specifically, the coefficient for age at baseline decreases 1%, and the coefficient for gender returns to the level of Model 1. The level of significance </w:t>
      </w:r>
      <w:r w:rsidRPr="00A32EED">
        <w:rPr>
          <w:rFonts w:eastAsia="Calibri"/>
        </w:rPr>
        <w:lastRenderedPageBreak/>
        <w:t>and direction of the relationships remain unchanged. For the first time, a significant relationship between race/ethnicity and criminal justice contact emerges with the odds of criminal justice contact being 87% higher for non-white youth when compared to white youth. This relationship is marginally significant (</w:t>
      </w:r>
      <w:r w:rsidRPr="00A32EED">
        <w:rPr>
          <w:rFonts w:eastAsia="Calibri"/>
          <w:i/>
        </w:rPr>
        <w:t xml:space="preserve">p&lt;.10). </w:t>
      </w:r>
      <w:r w:rsidRPr="00A32EED">
        <w:rPr>
          <w:rFonts w:eastAsia="Calibri"/>
        </w:rPr>
        <w:t>None of the baseline characteristics or maltreatment types are significantly related to odds of criminal justice exposure. A Wald test for joint significance among the maltreatment variables was also performed and yielded non-significant results for maltreatment types (</w:t>
      </w:r>
      <w:r w:rsidRPr="00A32EED">
        <w:rPr>
          <w:rFonts w:eastAsia="Calibri"/>
          <w:i/>
        </w:rPr>
        <w:t>p</w:t>
      </w:r>
      <w:r w:rsidRPr="00A32EED">
        <w:rPr>
          <w:rFonts w:eastAsia="Calibri"/>
        </w:rPr>
        <w:t xml:space="preserve">=.63). </w:t>
      </w:r>
    </w:p>
    <w:p w14:paraId="3B8FDD1B" w14:textId="77777777" w:rsidR="004C4C39" w:rsidRPr="00A32EED" w:rsidRDefault="004C4C39" w:rsidP="004C4C39">
      <w:pPr>
        <w:spacing w:after="0" w:line="480" w:lineRule="auto"/>
        <w:rPr>
          <w:rFonts w:eastAsia="Calibri"/>
        </w:rPr>
      </w:pPr>
    </w:p>
    <w:p w14:paraId="19222CB4" w14:textId="77777777" w:rsidR="004C4C39" w:rsidRPr="00A32EED" w:rsidRDefault="004C4C39" w:rsidP="004C4C39">
      <w:pPr>
        <w:spacing w:after="0"/>
        <w:rPr>
          <w:rFonts w:eastAsia="Calibri"/>
          <w:i/>
          <w:iCs/>
          <w:color w:val="000000"/>
          <w:szCs w:val="18"/>
        </w:rPr>
      </w:pPr>
      <w:r w:rsidRPr="00A32EED">
        <w:rPr>
          <w:rFonts w:eastAsia="Calibri"/>
        </w:rPr>
        <w:br w:type="page"/>
      </w:r>
    </w:p>
    <w:p w14:paraId="4F19AB57" w14:textId="77777777" w:rsidR="004C4C39" w:rsidRPr="00A32EED" w:rsidRDefault="004C4C39" w:rsidP="0023176A">
      <w:pPr>
        <w:pStyle w:val="Caption1"/>
        <w:rPr>
          <w:rFonts w:eastAsia="Calibri"/>
        </w:rPr>
      </w:pPr>
      <w:bookmarkStart w:id="137" w:name="_Toc479941247"/>
      <w:r w:rsidRPr="00A32EED">
        <w:rPr>
          <w:rFonts w:eastAsia="Calibri"/>
        </w:rPr>
        <w:lastRenderedPageBreak/>
        <w:t>Table 6.</w:t>
      </w:r>
      <w:r w:rsidRPr="00A32EED">
        <w:rPr>
          <w:rFonts w:eastAsia="Calibri"/>
        </w:rPr>
        <w:fldChar w:fldCharType="begin"/>
      </w:r>
      <w:r w:rsidRPr="00A32EED">
        <w:rPr>
          <w:rFonts w:eastAsia="Calibri"/>
        </w:rPr>
        <w:instrText xml:space="preserve"> SEQ Table_6. \* ARABIC </w:instrText>
      </w:r>
      <w:r w:rsidRPr="00A32EED">
        <w:rPr>
          <w:rFonts w:eastAsia="Calibri"/>
        </w:rPr>
        <w:fldChar w:fldCharType="separate"/>
      </w:r>
      <w:r w:rsidR="00FA12E2">
        <w:rPr>
          <w:rFonts w:eastAsia="Calibri"/>
          <w:noProof/>
        </w:rPr>
        <w:t>7</w:t>
      </w:r>
      <w:r w:rsidRPr="00A32EED">
        <w:rPr>
          <w:rFonts w:eastAsia="Calibri"/>
          <w:noProof/>
        </w:rPr>
        <w:fldChar w:fldCharType="end"/>
      </w:r>
      <w:r w:rsidRPr="00A32EED">
        <w:rPr>
          <w:rFonts w:eastAsia="Calibri"/>
        </w:rPr>
        <w:t>: Logistic Regression of Criminal Justice Contact on Child and Case Predictors</w:t>
      </w:r>
      <w:bookmarkEnd w:id="137"/>
    </w:p>
    <w:tbl>
      <w:tblPr>
        <w:tblStyle w:val="ListTable21"/>
        <w:tblW w:w="4871" w:type="pct"/>
        <w:tblLook w:val="06A0" w:firstRow="1" w:lastRow="0" w:firstColumn="1" w:lastColumn="0" w:noHBand="1" w:noVBand="1"/>
      </w:tblPr>
      <w:tblGrid>
        <w:gridCol w:w="3456"/>
        <w:gridCol w:w="965"/>
        <w:gridCol w:w="964"/>
        <w:gridCol w:w="964"/>
        <w:gridCol w:w="964"/>
        <w:gridCol w:w="964"/>
      </w:tblGrid>
      <w:tr w:rsidR="004C4C39" w:rsidRPr="00A32EED" w14:paraId="5DBF8E2C" w14:textId="77777777" w:rsidTr="00421E41">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088" w:type="pct"/>
            <w:tcBorders>
              <w:bottom w:val="thinThickSmallGap" w:sz="24" w:space="0" w:color="auto"/>
            </w:tcBorders>
          </w:tcPr>
          <w:p w14:paraId="26CEFA0E" w14:textId="77777777" w:rsidR="004C4C39" w:rsidRPr="00A32EED" w:rsidRDefault="004C4C39" w:rsidP="004C4C39">
            <w:pPr>
              <w:widowControl w:val="0"/>
              <w:autoSpaceDE w:val="0"/>
              <w:autoSpaceDN w:val="0"/>
              <w:adjustRightInd w:val="0"/>
              <w:rPr>
                <w:rFonts w:eastAsia="Times New Roman" w:cs="Arial"/>
              </w:rPr>
            </w:pPr>
          </w:p>
        </w:tc>
        <w:tc>
          <w:tcPr>
            <w:tcW w:w="582" w:type="pct"/>
            <w:tcBorders>
              <w:bottom w:val="thinThickSmallGap" w:sz="24" w:space="0" w:color="auto"/>
            </w:tcBorders>
          </w:tcPr>
          <w:p w14:paraId="6D5BAF91" w14:textId="77777777" w:rsidR="004C4C39" w:rsidRPr="003574FE" w:rsidRDefault="004C4C39" w:rsidP="004C4C39">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3574FE">
              <w:rPr>
                <w:rFonts w:eastAsia="Times New Roman" w:cs="Arial"/>
                <w:sz w:val="20"/>
              </w:rPr>
              <w:t>Model 1</w:t>
            </w:r>
          </w:p>
        </w:tc>
        <w:tc>
          <w:tcPr>
            <w:tcW w:w="582" w:type="pct"/>
            <w:tcBorders>
              <w:bottom w:val="thinThickSmallGap" w:sz="24" w:space="0" w:color="auto"/>
            </w:tcBorders>
          </w:tcPr>
          <w:p w14:paraId="716B4EA0" w14:textId="77777777" w:rsidR="004C4C39" w:rsidRPr="003574FE" w:rsidRDefault="004C4C39" w:rsidP="004C4C39">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3574FE">
              <w:rPr>
                <w:rFonts w:eastAsia="Times New Roman" w:cs="Arial"/>
                <w:sz w:val="20"/>
              </w:rPr>
              <w:t>Model 2</w:t>
            </w:r>
          </w:p>
        </w:tc>
        <w:tc>
          <w:tcPr>
            <w:tcW w:w="582" w:type="pct"/>
            <w:tcBorders>
              <w:bottom w:val="thinThickSmallGap" w:sz="24" w:space="0" w:color="auto"/>
            </w:tcBorders>
          </w:tcPr>
          <w:p w14:paraId="3CB44131" w14:textId="77777777" w:rsidR="004C4C39" w:rsidRPr="003574FE" w:rsidRDefault="004C4C39" w:rsidP="004C4C39">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3574FE">
              <w:rPr>
                <w:rFonts w:eastAsia="Times New Roman" w:cs="Arial"/>
                <w:sz w:val="20"/>
              </w:rPr>
              <w:t>Model 3</w:t>
            </w:r>
          </w:p>
        </w:tc>
        <w:tc>
          <w:tcPr>
            <w:tcW w:w="582" w:type="pct"/>
            <w:tcBorders>
              <w:bottom w:val="thinThickSmallGap" w:sz="24" w:space="0" w:color="auto"/>
            </w:tcBorders>
          </w:tcPr>
          <w:p w14:paraId="6A35D262" w14:textId="77777777" w:rsidR="004C4C39" w:rsidRPr="003574FE" w:rsidRDefault="004C4C39" w:rsidP="004C4C39">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3574FE">
              <w:rPr>
                <w:rFonts w:eastAsia="Times New Roman" w:cs="Arial"/>
                <w:sz w:val="20"/>
              </w:rPr>
              <w:t>Model 4</w:t>
            </w:r>
          </w:p>
        </w:tc>
        <w:tc>
          <w:tcPr>
            <w:tcW w:w="582" w:type="pct"/>
            <w:tcBorders>
              <w:bottom w:val="thinThickSmallGap" w:sz="24" w:space="0" w:color="auto"/>
            </w:tcBorders>
          </w:tcPr>
          <w:p w14:paraId="2DD4F4C9" w14:textId="77777777" w:rsidR="004C4C39" w:rsidRPr="003574FE" w:rsidRDefault="004C4C39" w:rsidP="004C4C39">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rPr>
            </w:pPr>
            <w:r w:rsidRPr="003574FE">
              <w:rPr>
                <w:rFonts w:eastAsia="Times New Roman" w:cs="Arial"/>
                <w:sz w:val="20"/>
              </w:rPr>
              <w:t>Model 5</w:t>
            </w:r>
          </w:p>
        </w:tc>
      </w:tr>
      <w:tr w:rsidR="004C4C39" w:rsidRPr="00A32EED" w14:paraId="4C55F46A"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Borders>
              <w:top w:val="thinThickSmallGap" w:sz="24" w:space="0" w:color="auto"/>
            </w:tcBorders>
            <w:shd w:val="clear" w:color="auto" w:fill="A5A5A5"/>
          </w:tcPr>
          <w:p w14:paraId="18BE0EF2"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Child Demographics</w:t>
            </w:r>
          </w:p>
        </w:tc>
        <w:tc>
          <w:tcPr>
            <w:tcW w:w="582" w:type="pct"/>
            <w:tcBorders>
              <w:top w:val="thinThickSmallGap" w:sz="24" w:space="0" w:color="auto"/>
            </w:tcBorders>
            <w:shd w:val="clear" w:color="auto" w:fill="A5A5A5"/>
          </w:tcPr>
          <w:p w14:paraId="4E500F0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Borders>
              <w:top w:val="thinThickSmallGap" w:sz="24" w:space="0" w:color="auto"/>
            </w:tcBorders>
            <w:shd w:val="clear" w:color="auto" w:fill="A5A5A5"/>
          </w:tcPr>
          <w:p w14:paraId="705DC42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Borders>
              <w:top w:val="thinThickSmallGap" w:sz="24" w:space="0" w:color="auto"/>
            </w:tcBorders>
            <w:shd w:val="clear" w:color="auto" w:fill="A5A5A5"/>
          </w:tcPr>
          <w:p w14:paraId="583AFDFC"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Borders>
              <w:top w:val="thinThickSmallGap" w:sz="24" w:space="0" w:color="auto"/>
            </w:tcBorders>
            <w:shd w:val="clear" w:color="auto" w:fill="A5A5A5"/>
          </w:tcPr>
          <w:p w14:paraId="6A2E8316"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Borders>
              <w:top w:val="thinThickSmallGap" w:sz="24" w:space="0" w:color="auto"/>
            </w:tcBorders>
            <w:shd w:val="clear" w:color="auto" w:fill="A5A5A5"/>
          </w:tcPr>
          <w:p w14:paraId="1567DB5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185A961A" w14:textId="77777777" w:rsidTr="00421E41">
        <w:trPr>
          <w:trHeight w:val="283"/>
        </w:trPr>
        <w:tc>
          <w:tcPr>
            <w:cnfStyle w:val="001000000000" w:firstRow="0" w:lastRow="0" w:firstColumn="1" w:lastColumn="0" w:oddVBand="0" w:evenVBand="0" w:oddHBand="0" w:evenHBand="0" w:firstRowFirstColumn="0" w:firstRowLastColumn="0" w:lastRowFirstColumn="0" w:lastRowLastColumn="0"/>
            <w:tcW w:w="2088" w:type="pct"/>
          </w:tcPr>
          <w:p w14:paraId="188E6A9D"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Age at Baseline</w:t>
            </w:r>
          </w:p>
        </w:tc>
        <w:tc>
          <w:tcPr>
            <w:tcW w:w="582" w:type="pct"/>
          </w:tcPr>
          <w:p w14:paraId="2A9CD64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1.36***</w:t>
            </w:r>
          </w:p>
        </w:tc>
        <w:tc>
          <w:tcPr>
            <w:tcW w:w="582" w:type="pct"/>
          </w:tcPr>
          <w:p w14:paraId="5DD592C6"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1.35***</w:t>
            </w:r>
          </w:p>
        </w:tc>
        <w:tc>
          <w:tcPr>
            <w:tcW w:w="582" w:type="pct"/>
          </w:tcPr>
          <w:p w14:paraId="656C911E"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1.34***</w:t>
            </w:r>
          </w:p>
        </w:tc>
        <w:tc>
          <w:tcPr>
            <w:tcW w:w="582" w:type="pct"/>
          </w:tcPr>
          <w:p w14:paraId="110807E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1.34***</w:t>
            </w:r>
          </w:p>
        </w:tc>
        <w:tc>
          <w:tcPr>
            <w:tcW w:w="582" w:type="pct"/>
          </w:tcPr>
          <w:p w14:paraId="7C24519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1.34***</w:t>
            </w:r>
          </w:p>
        </w:tc>
      </w:tr>
      <w:tr w:rsidR="004C4C39" w:rsidRPr="00A32EED" w14:paraId="6A600434"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663D1652"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Male</w:t>
            </w:r>
          </w:p>
        </w:tc>
        <w:tc>
          <w:tcPr>
            <w:tcW w:w="582" w:type="pct"/>
          </w:tcPr>
          <w:p w14:paraId="508E2E71"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1.92†</w:t>
            </w:r>
          </w:p>
        </w:tc>
        <w:tc>
          <w:tcPr>
            <w:tcW w:w="582" w:type="pct"/>
          </w:tcPr>
          <w:p w14:paraId="7998790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1.91†</w:t>
            </w:r>
          </w:p>
        </w:tc>
        <w:tc>
          <w:tcPr>
            <w:tcW w:w="582" w:type="pct"/>
          </w:tcPr>
          <w:p w14:paraId="69688C96"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1.92†</w:t>
            </w:r>
          </w:p>
        </w:tc>
        <w:tc>
          <w:tcPr>
            <w:tcW w:w="582" w:type="pct"/>
          </w:tcPr>
          <w:p w14:paraId="6AE63E6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1.44</w:t>
            </w:r>
          </w:p>
        </w:tc>
        <w:tc>
          <w:tcPr>
            <w:tcW w:w="582" w:type="pct"/>
          </w:tcPr>
          <w:p w14:paraId="1DF5663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1.59</w:t>
            </w:r>
          </w:p>
        </w:tc>
      </w:tr>
      <w:tr w:rsidR="004C4C39" w:rsidRPr="00A32EED" w14:paraId="36C9D4B7"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008E3B20"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Non-White</w:t>
            </w:r>
          </w:p>
        </w:tc>
        <w:tc>
          <w:tcPr>
            <w:tcW w:w="582" w:type="pct"/>
          </w:tcPr>
          <w:p w14:paraId="6B7EF43E"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1.68</w:t>
            </w:r>
          </w:p>
        </w:tc>
        <w:tc>
          <w:tcPr>
            <w:tcW w:w="582" w:type="pct"/>
          </w:tcPr>
          <w:p w14:paraId="006CE285"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1.74</w:t>
            </w:r>
          </w:p>
        </w:tc>
        <w:tc>
          <w:tcPr>
            <w:tcW w:w="582" w:type="pct"/>
          </w:tcPr>
          <w:p w14:paraId="6C3AA7DC"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1.87†</w:t>
            </w:r>
          </w:p>
        </w:tc>
        <w:tc>
          <w:tcPr>
            <w:tcW w:w="582" w:type="pct"/>
          </w:tcPr>
          <w:p w14:paraId="21468ED2"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1.91†</w:t>
            </w:r>
          </w:p>
        </w:tc>
        <w:tc>
          <w:tcPr>
            <w:tcW w:w="582" w:type="pct"/>
          </w:tcPr>
          <w:p w14:paraId="2AE1E2E2"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2.00*</w:t>
            </w:r>
          </w:p>
        </w:tc>
      </w:tr>
      <w:tr w:rsidR="004C4C39" w:rsidRPr="00A32EED" w14:paraId="184D7213" w14:textId="77777777" w:rsidTr="00421E41">
        <w:trPr>
          <w:trHeight w:val="530"/>
        </w:trPr>
        <w:tc>
          <w:tcPr>
            <w:cnfStyle w:val="001000000000" w:firstRow="0" w:lastRow="0" w:firstColumn="1" w:lastColumn="0" w:oddVBand="0" w:evenVBand="0" w:oddHBand="0" w:evenHBand="0" w:firstRowFirstColumn="0" w:firstRowLastColumn="0" w:lastRowFirstColumn="0" w:lastRowLastColumn="0"/>
            <w:tcW w:w="2088" w:type="pct"/>
            <w:shd w:val="clear" w:color="auto" w:fill="A5A5A5"/>
          </w:tcPr>
          <w:p w14:paraId="77F2376F"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Baseline Case Characteristics</w:t>
            </w:r>
          </w:p>
        </w:tc>
        <w:tc>
          <w:tcPr>
            <w:tcW w:w="582" w:type="pct"/>
            <w:shd w:val="clear" w:color="auto" w:fill="A5A5A5"/>
          </w:tcPr>
          <w:p w14:paraId="22459E0E"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63CD34F5"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52758BD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0282CC71"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6EE9BEE6"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116F6BBD"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6E1DF853"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Parent Prev. Arrest</w:t>
            </w:r>
          </w:p>
        </w:tc>
        <w:tc>
          <w:tcPr>
            <w:tcW w:w="582" w:type="pct"/>
          </w:tcPr>
          <w:p w14:paraId="0ECC758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54C65D31"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1.73</w:t>
            </w:r>
          </w:p>
        </w:tc>
        <w:tc>
          <w:tcPr>
            <w:tcW w:w="582" w:type="pct"/>
          </w:tcPr>
          <w:p w14:paraId="58F1F8C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1.66</w:t>
            </w:r>
          </w:p>
        </w:tc>
        <w:tc>
          <w:tcPr>
            <w:tcW w:w="582" w:type="pct"/>
          </w:tcPr>
          <w:p w14:paraId="55E15A7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1.65</w:t>
            </w:r>
          </w:p>
        </w:tc>
        <w:tc>
          <w:tcPr>
            <w:tcW w:w="582" w:type="pct"/>
          </w:tcPr>
          <w:p w14:paraId="41591460"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1.67</w:t>
            </w:r>
          </w:p>
        </w:tc>
      </w:tr>
      <w:tr w:rsidR="004C4C39" w:rsidRPr="00A32EED" w14:paraId="48C9EA51" w14:textId="77777777" w:rsidTr="00421E41">
        <w:trPr>
          <w:trHeight w:val="283"/>
        </w:trPr>
        <w:tc>
          <w:tcPr>
            <w:cnfStyle w:val="001000000000" w:firstRow="0" w:lastRow="0" w:firstColumn="1" w:lastColumn="0" w:oddVBand="0" w:evenVBand="0" w:oddHBand="0" w:evenHBand="0" w:firstRowFirstColumn="0" w:firstRowLastColumn="0" w:lastRowFirstColumn="0" w:lastRowLastColumn="0"/>
            <w:tcW w:w="2088" w:type="pct"/>
          </w:tcPr>
          <w:p w14:paraId="7A84E25C"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Previous CW Involvement</w:t>
            </w:r>
          </w:p>
        </w:tc>
        <w:tc>
          <w:tcPr>
            <w:tcW w:w="582" w:type="pct"/>
          </w:tcPr>
          <w:p w14:paraId="56ECE62C"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5946FE79"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1.38</w:t>
            </w:r>
          </w:p>
        </w:tc>
        <w:tc>
          <w:tcPr>
            <w:tcW w:w="582" w:type="pct"/>
          </w:tcPr>
          <w:p w14:paraId="139D55A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1.43</w:t>
            </w:r>
          </w:p>
        </w:tc>
        <w:tc>
          <w:tcPr>
            <w:tcW w:w="582" w:type="pct"/>
          </w:tcPr>
          <w:p w14:paraId="15EBBE8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1.47</w:t>
            </w:r>
          </w:p>
        </w:tc>
        <w:tc>
          <w:tcPr>
            <w:tcW w:w="582" w:type="pct"/>
          </w:tcPr>
          <w:p w14:paraId="0FF86F1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1.42</w:t>
            </w:r>
          </w:p>
        </w:tc>
      </w:tr>
      <w:tr w:rsidR="004C4C39" w:rsidRPr="00A32EED" w14:paraId="30EA26D7"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052F0B08"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Level of Harm</w:t>
            </w:r>
          </w:p>
        </w:tc>
        <w:tc>
          <w:tcPr>
            <w:tcW w:w="582" w:type="pct"/>
          </w:tcPr>
          <w:p w14:paraId="78C6F111"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031B1E1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0.94</w:t>
            </w:r>
          </w:p>
        </w:tc>
        <w:tc>
          <w:tcPr>
            <w:tcW w:w="582" w:type="pct"/>
          </w:tcPr>
          <w:p w14:paraId="425E87E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0.91</w:t>
            </w:r>
          </w:p>
        </w:tc>
        <w:tc>
          <w:tcPr>
            <w:tcW w:w="582" w:type="pct"/>
          </w:tcPr>
          <w:p w14:paraId="3F90E5E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0.90</w:t>
            </w:r>
          </w:p>
        </w:tc>
        <w:tc>
          <w:tcPr>
            <w:tcW w:w="582" w:type="pct"/>
          </w:tcPr>
          <w:p w14:paraId="34D02A0E"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0.78</w:t>
            </w:r>
          </w:p>
        </w:tc>
      </w:tr>
      <w:tr w:rsidR="004C4C39" w:rsidRPr="00A32EED" w14:paraId="6F78AA4D"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21E0D216"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 xml:space="preserve">Received Baseline Services </w:t>
            </w:r>
          </w:p>
        </w:tc>
        <w:tc>
          <w:tcPr>
            <w:tcW w:w="582" w:type="pct"/>
          </w:tcPr>
          <w:p w14:paraId="48E8508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1365861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1.32</w:t>
            </w:r>
          </w:p>
        </w:tc>
        <w:tc>
          <w:tcPr>
            <w:tcW w:w="582" w:type="pct"/>
          </w:tcPr>
          <w:p w14:paraId="38D6B5D1"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1.28</w:t>
            </w:r>
          </w:p>
        </w:tc>
        <w:tc>
          <w:tcPr>
            <w:tcW w:w="582" w:type="pct"/>
          </w:tcPr>
          <w:p w14:paraId="2009DE02"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1.34</w:t>
            </w:r>
          </w:p>
        </w:tc>
        <w:tc>
          <w:tcPr>
            <w:tcW w:w="582" w:type="pct"/>
          </w:tcPr>
          <w:p w14:paraId="3596A65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1.37</w:t>
            </w:r>
          </w:p>
        </w:tc>
      </w:tr>
      <w:tr w:rsidR="004C4C39" w:rsidRPr="00A32EED" w14:paraId="45F97625"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032A437D"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More than 1 Mal. Type</w:t>
            </w:r>
          </w:p>
        </w:tc>
        <w:tc>
          <w:tcPr>
            <w:tcW w:w="582" w:type="pct"/>
          </w:tcPr>
          <w:p w14:paraId="076BBB1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4AF579C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0.92</w:t>
            </w:r>
          </w:p>
        </w:tc>
        <w:tc>
          <w:tcPr>
            <w:tcW w:w="582" w:type="pct"/>
          </w:tcPr>
          <w:p w14:paraId="464D09D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0.93</w:t>
            </w:r>
          </w:p>
        </w:tc>
        <w:tc>
          <w:tcPr>
            <w:tcW w:w="582" w:type="pct"/>
          </w:tcPr>
          <w:p w14:paraId="147F7020"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0.94</w:t>
            </w:r>
          </w:p>
        </w:tc>
        <w:tc>
          <w:tcPr>
            <w:tcW w:w="582" w:type="pct"/>
          </w:tcPr>
          <w:p w14:paraId="77FD2821"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0.98</w:t>
            </w:r>
          </w:p>
        </w:tc>
      </w:tr>
      <w:tr w:rsidR="004C4C39" w:rsidRPr="00A32EED" w14:paraId="2B6298BC"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0E364289"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Substantiated</w:t>
            </w:r>
          </w:p>
        </w:tc>
        <w:tc>
          <w:tcPr>
            <w:tcW w:w="582" w:type="pct"/>
          </w:tcPr>
          <w:p w14:paraId="52A3341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5A13657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1.14</w:t>
            </w:r>
          </w:p>
        </w:tc>
        <w:tc>
          <w:tcPr>
            <w:tcW w:w="582" w:type="pct"/>
          </w:tcPr>
          <w:p w14:paraId="3529A9F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1.11</w:t>
            </w:r>
          </w:p>
        </w:tc>
        <w:tc>
          <w:tcPr>
            <w:tcW w:w="582" w:type="pct"/>
          </w:tcPr>
          <w:p w14:paraId="1A6ACAC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1.14</w:t>
            </w:r>
          </w:p>
        </w:tc>
        <w:tc>
          <w:tcPr>
            <w:tcW w:w="582" w:type="pct"/>
          </w:tcPr>
          <w:p w14:paraId="0DF2819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1.14</w:t>
            </w:r>
          </w:p>
        </w:tc>
      </w:tr>
      <w:tr w:rsidR="004C4C39" w:rsidRPr="00A32EED" w14:paraId="719907F7" w14:textId="77777777" w:rsidTr="00600B3B">
        <w:trPr>
          <w:trHeight w:val="548"/>
        </w:trPr>
        <w:tc>
          <w:tcPr>
            <w:cnfStyle w:val="001000000000" w:firstRow="0" w:lastRow="0" w:firstColumn="1" w:lastColumn="0" w:oddVBand="0" w:evenVBand="0" w:oddHBand="0" w:evenHBand="0" w:firstRowFirstColumn="0" w:firstRowLastColumn="0" w:lastRowFirstColumn="0" w:lastRowLastColumn="0"/>
            <w:tcW w:w="2671" w:type="pct"/>
            <w:gridSpan w:val="2"/>
            <w:shd w:val="clear" w:color="auto" w:fill="A5A5A5"/>
          </w:tcPr>
          <w:p w14:paraId="008A2916"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Maltreatment Type (compared to neglect)</w:t>
            </w:r>
          </w:p>
        </w:tc>
        <w:tc>
          <w:tcPr>
            <w:tcW w:w="582" w:type="pct"/>
            <w:shd w:val="clear" w:color="auto" w:fill="A5A5A5"/>
          </w:tcPr>
          <w:p w14:paraId="4F56DAB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5211F21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1580CCC6"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093C83C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3566ED18"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16D38D4A"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Physical Abuse</w:t>
            </w:r>
          </w:p>
        </w:tc>
        <w:tc>
          <w:tcPr>
            <w:tcW w:w="582" w:type="pct"/>
          </w:tcPr>
          <w:p w14:paraId="4CDFFB6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47BCFFC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0.77</w:t>
            </w:r>
          </w:p>
        </w:tc>
        <w:tc>
          <w:tcPr>
            <w:tcW w:w="582" w:type="pct"/>
          </w:tcPr>
          <w:p w14:paraId="38AE43B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0.76</w:t>
            </w:r>
          </w:p>
        </w:tc>
        <w:tc>
          <w:tcPr>
            <w:tcW w:w="582" w:type="pct"/>
          </w:tcPr>
          <w:p w14:paraId="1067F6E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0.75</w:t>
            </w:r>
          </w:p>
        </w:tc>
        <w:tc>
          <w:tcPr>
            <w:tcW w:w="582" w:type="pct"/>
          </w:tcPr>
          <w:p w14:paraId="7F77E3B1"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0.77</w:t>
            </w:r>
          </w:p>
        </w:tc>
      </w:tr>
      <w:tr w:rsidR="004C4C39" w:rsidRPr="00A32EED" w14:paraId="3A26F627"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48A28BDB"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Sexual Abuse</w:t>
            </w:r>
          </w:p>
        </w:tc>
        <w:tc>
          <w:tcPr>
            <w:tcW w:w="582" w:type="pct"/>
          </w:tcPr>
          <w:p w14:paraId="1EDC3E1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02475AB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0.89</w:t>
            </w:r>
          </w:p>
        </w:tc>
        <w:tc>
          <w:tcPr>
            <w:tcW w:w="582" w:type="pct"/>
          </w:tcPr>
          <w:p w14:paraId="066FEE35"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0.97</w:t>
            </w:r>
          </w:p>
        </w:tc>
        <w:tc>
          <w:tcPr>
            <w:tcW w:w="582" w:type="pct"/>
          </w:tcPr>
          <w:p w14:paraId="0F1224E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0.92</w:t>
            </w:r>
          </w:p>
        </w:tc>
        <w:tc>
          <w:tcPr>
            <w:tcW w:w="582" w:type="pct"/>
          </w:tcPr>
          <w:p w14:paraId="461F4F0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0.18*</w:t>
            </w:r>
          </w:p>
        </w:tc>
      </w:tr>
      <w:tr w:rsidR="004C4C39" w:rsidRPr="00A32EED" w14:paraId="77301748"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03BE000D"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 xml:space="preserve">Other Maltreatment </w:t>
            </w:r>
          </w:p>
        </w:tc>
        <w:tc>
          <w:tcPr>
            <w:tcW w:w="582" w:type="pct"/>
          </w:tcPr>
          <w:p w14:paraId="2B14A9F2"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52C87DB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0.54</w:t>
            </w:r>
          </w:p>
        </w:tc>
        <w:tc>
          <w:tcPr>
            <w:tcW w:w="582" w:type="pct"/>
          </w:tcPr>
          <w:p w14:paraId="708C607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0.58</w:t>
            </w:r>
          </w:p>
        </w:tc>
        <w:tc>
          <w:tcPr>
            <w:tcW w:w="582" w:type="pct"/>
          </w:tcPr>
          <w:p w14:paraId="545CFCBC"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0.59</w:t>
            </w:r>
          </w:p>
        </w:tc>
        <w:tc>
          <w:tcPr>
            <w:tcW w:w="582" w:type="pct"/>
          </w:tcPr>
          <w:p w14:paraId="0E5893F0"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0.62</w:t>
            </w:r>
          </w:p>
        </w:tc>
      </w:tr>
      <w:tr w:rsidR="004C4C39" w:rsidRPr="00A32EED" w14:paraId="66A31192" w14:textId="77777777" w:rsidTr="00600B3B">
        <w:trPr>
          <w:trHeight w:val="548"/>
        </w:trPr>
        <w:tc>
          <w:tcPr>
            <w:cnfStyle w:val="001000000000" w:firstRow="0" w:lastRow="0" w:firstColumn="1" w:lastColumn="0" w:oddVBand="0" w:evenVBand="0" w:oddHBand="0" w:evenHBand="0" w:firstRowFirstColumn="0" w:firstRowLastColumn="0" w:lastRowFirstColumn="0" w:lastRowLastColumn="0"/>
            <w:tcW w:w="3253" w:type="pct"/>
            <w:gridSpan w:val="3"/>
            <w:shd w:val="clear" w:color="auto" w:fill="A5A5A5"/>
          </w:tcPr>
          <w:p w14:paraId="0AFA0EBC"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Baseline Placement Type (compared to no removal)</w:t>
            </w:r>
          </w:p>
        </w:tc>
        <w:tc>
          <w:tcPr>
            <w:tcW w:w="582" w:type="pct"/>
            <w:shd w:val="clear" w:color="auto" w:fill="A5A5A5"/>
          </w:tcPr>
          <w:p w14:paraId="3613F33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3666C300"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1F53A30E"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3FDC38D7"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18E604CE"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 xml:space="preserve">Kinship Placement </w:t>
            </w:r>
          </w:p>
        </w:tc>
        <w:tc>
          <w:tcPr>
            <w:tcW w:w="582" w:type="pct"/>
          </w:tcPr>
          <w:p w14:paraId="4B53027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4A93635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0.98</w:t>
            </w:r>
          </w:p>
        </w:tc>
        <w:tc>
          <w:tcPr>
            <w:tcW w:w="582" w:type="pct"/>
          </w:tcPr>
          <w:p w14:paraId="1356794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0.95</w:t>
            </w:r>
          </w:p>
        </w:tc>
        <w:tc>
          <w:tcPr>
            <w:tcW w:w="582" w:type="pct"/>
          </w:tcPr>
          <w:p w14:paraId="7776E0D2"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0.91</w:t>
            </w:r>
          </w:p>
        </w:tc>
        <w:tc>
          <w:tcPr>
            <w:tcW w:w="582" w:type="pct"/>
          </w:tcPr>
          <w:p w14:paraId="269BBE32"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0.93</w:t>
            </w:r>
          </w:p>
        </w:tc>
      </w:tr>
      <w:tr w:rsidR="004C4C39" w:rsidRPr="00A32EED" w14:paraId="59CADFDE"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7E7D5E2D"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Foster Home Placement</w:t>
            </w:r>
          </w:p>
        </w:tc>
        <w:tc>
          <w:tcPr>
            <w:tcW w:w="582" w:type="pct"/>
          </w:tcPr>
          <w:p w14:paraId="2A92EEE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61E3751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0.62</w:t>
            </w:r>
          </w:p>
        </w:tc>
        <w:tc>
          <w:tcPr>
            <w:tcW w:w="582" w:type="pct"/>
          </w:tcPr>
          <w:p w14:paraId="6E110D5C"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0.60</w:t>
            </w:r>
          </w:p>
        </w:tc>
        <w:tc>
          <w:tcPr>
            <w:tcW w:w="582" w:type="pct"/>
          </w:tcPr>
          <w:p w14:paraId="1F3A803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0.57</w:t>
            </w:r>
          </w:p>
        </w:tc>
        <w:tc>
          <w:tcPr>
            <w:tcW w:w="582" w:type="pct"/>
          </w:tcPr>
          <w:p w14:paraId="22560A0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0.63</w:t>
            </w:r>
          </w:p>
        </w:tc>
      </w:tr>
      <w:tr w:rsidR="004C4C39" w:rsidRPr="00A32EED" w14:paraId="004EC398" w14:textId="77777777" w:rsidTr="00421E41">
        <w:trPr>
          <w:trHeight w:val="530"/>
        </w:trPr>
        <w:tc>
          <w:tcPr>
            <w:cnfStyle w:val="001000000000" w:firstRow="0" w:lastRow="0" w:firstColumn="1" w:lastColumn="0" w:oddVBand="0" w:evenVBand="0" w:oddHBand="0" w:evenHBand="0" w:firstRowFirstColumn="0" w:firstRowLastColumn="0" w:lastRowFirstColumn="0" w:lastRowLastColumn="0"/>
            <w:tcW w:w="2088" w:type="pct"/>
          </w:tcPr>
          <w:p w14:paraId="56FB2C20"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Group Home/Other Placement</w:t>
            </w:r>
          </w:p>
        </w:tc>
        <w:tc>
          <w:tcPr>
            <w:tcW w:w="582" w:type="pct"/>
          </w:tcPr>
          <w:p w14:paraId="7CD8B7B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210CDD7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7.48**</w:t>
            </w:r>
          </w:p>
        </w:tc>
        <w:tc>
          <w:tcPr>
            <w:tcW w:w="582" w:type="pct"/>
          </w:tcPr>
          <w:p w14:paraId="059A07E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7.81**</w:t>
            </w:r>
          </w:p>
        </w:tc>
        <w:tc>
          <w:tcPr>
            <w:tcW w:w="582" w:type="pct"/>
          </w:tcPr>
          <w:p w14:paraId="012E4705"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0.36</w:t>
            </w:r>
          </w:p>
        </w:tc>
        <w:tc>
          <w:tcPr>
            <w:tcW w:w="582" w:type="pct"/>
          </w:tcPr>
          <w:p w14:paraId="67674855"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0.39</w:t>
            </w:r>
          </w:p>
        </w:tc>
      </w:tr>
      <w:tr w:rsidR="004C4C39" w:rsidRPr="00A32EED" w14:paraId="068A4AE0"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shd w:val="clear" w:color="auto" w:fill="A5A5A5"/>
          </w:tcPr>
          <w:p w14:paraId="68B24D92"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Propensity</w:t>
            </w:r>
          </w:p>
        </w:tc>
        <w:tc>
          <w:tcPr>
            <w:tcW w:w="582" w:type="pct"/>
            <w:shd w:val="clear" w:color="auto" w:fill="A5A5A5"/>
          </w:tcPr>
          <w:p w14:paraId="1B56D27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6CD46A0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2BF4901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6048C4CE"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62B2F5B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086234CC" w14:textId="77777777" w:rsidTr="00421E41">
        <w:trPr>
          <w:trHeight w:val="283"/>
        </w:trPr>
        <w:tc>
          <w:tcPr>
            <w:cnfStyle w:val="001000000000" w:firstRow="0" w:lastRow="0" w:firstColumn="1" w:lastColumn="0" w:oddVBand="0" w:evenVBand="0" w:oddHBand="0" w:evenHBand="0" w:firstRowFirstColumn="0" w:firstRowLastColumn="0" w:lastRowFirstColumn="0" w:lastRowLastColumn="0"/>
            <w:tcW w:w="2088" w:type="pct"/>
          </w:tcPr>
          <w:p w14:paraId="0267267B"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Self-Control</w:t>
            </w:r>
          </w:p>
        </w:tc>
        <w:tc>
          <w:tcPr>
            <w:tcW w:w="582" w:type="pct"/>
          </w:tcPr>
          <w:p w14:paraId="4A3BEB83"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77C6EE95"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25BBD3D9"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0.94*</w:t>
            </w:r>
          </w:p>
        </w:tc>
        <w:tc>
          <w:tcPr>
            <w:tcW w:w="582" w:type="pct"/>
          </w:tcPr>
          <w:p w14:paraId="31BB004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0.92*</w:t>
            </w:r>
          </w:p>
        </w:tc>
        <w:tc>
          <w:tcPr>
            <w:tcW w:w="582" w:type="pct"/>
          </w:tcPr>
          <w:p w14:paraId="6E06727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0.92*</w:t>
            </w:r>
          </w:p>
        </w:tc>
      </w:tr>
      <w:tr w:rsidR="004C4C39" w:rsidRPr="00A32EED" w14:paraId="32757796"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shd w:val="clear" w:color="auto" w:fill="A5A5A5"/>
          </w:tcPr>
          <w:p w14:paraId="3A902970"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Two-Way Interaction Effects</w:t>
            </w:r>
          </w:p>
        </w:tc>
        <w:tc>
          <w:tcPr>
            <w:tcW w:w="582" w:type="pct"/>
            <w:shd w:val="clear" w:color="auto" w:fill="A5A5A5"/>
          </w:tcPr>
          <w:p w14:paraId="4792716C"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58161DD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63849B1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713FED6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3C84170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106DAFFD"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5F7986DD"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Male * Group Home</w:t>
            </w:r>
          </w:p>
        </w:tc>
        <w:tc>
          <w:tcPr>
            <w:tcW w:w="582" w:type="pct"/>
          </w:tcPr>
          <w:p w14:paraId="5437B02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776E19F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55E70959"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1B5E7579"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1.73</w:t>
            </w:r>
          </w:p>
        </w:tc>
        <w:tc>
          <w:tcPr>
            <w:tcW w:w="582" w:type="pct"/>
          </w:tcPr>
          <w:p w14:paraId="11CD6A2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6CC13D35"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5B052645"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Male * Self-Control</w:t>
            </w:r>
          </w:p>
        </w:tc>
        <w:tc>
          <w:tcPr>
            <w:tcW w:w="582" w:type="pct"/>
          </w:tcPr>
          <w:p w14:paraId="6F9A091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035BCA5E"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736F3A4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0D1CD174"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1.02</w:t>
            </w:r>
          </w:p>
        </w:tc>
        <w:tc>
          <w:tcPr>
            <w:tcW w:w="582" w:type="pct"/>
          </w:tcPr>
          <w:p w14:paraId="259C003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7F15433D" w14:textId="77777777" w:rsidTr="00421E41">
        <w:trPr>
          <w:trHeight w:val="264"/>
        </w:trPr>
        <w:tc>
          <w:tcPr>
            <w:cnfStyle w:val="001000000000" w:firstRow="0" w:lastRow="0" w:firstColumn="1" w:lastColumn="0" w:oddVBand="0" w:evenVBand="0" w:oddHBand="0" w:evenHBand="0" w:firstRowFirstColumn="0" w:firstRowLastColumn="0" w:lastRowFirstColumn="0" w:lastRowLastColumn="0"/>
            <w:tcW w:w="2088" w:type="pct"/>
          </w:tcPr>
          <w:p w14:paraId="4C56046D"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Group Home * Self-Control</w:t>
            </w:r>
          </w:p>
        </w:tc>
        <w:tc>
          <w:tcPr>
            <w:tcW w:w="582" w:type="pct"/>
          </w:tcPr>
          <w:p w14:paraId="1AF4B246"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3867F7C1"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0798762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7EF9F4E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1.24</w:t>
            </w:r>
          </w:p>
        </w:tc>
        <w:tc>
          <w:tcPr>
            <w:tcW w:w="582" w:type="pct"/>
          </w:tcPr>
          <w:p w14:paraId="56366032"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7E463E52" w14:textId="77777777" w:rsidTr="00421E41">
        <w:trPr>
          <w:trHeight w:val="548"/>
        </w:trPr>
        <w:tc>
          <w:tcPr>
            <w:cnfStyle w:val="001000000000" w:firstRow="0" w:lastRow="0" w:firstColumn="1" w:lastColumn="0" w:oddVBand="0" w:evenVBand="0" w:oddHBand="0" w:evenHBand="0" w:firstRowFirstColumn="0" w:firstRowLastColumn="0" w:lastRowFirstColumn="0" w:lastRowLastColumn="0"/>
            <w:tcW w:w="2088" w:type="pct"/>
          </w:tcPr>
          <w:p w14:paraId="6DC17CA2"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Sexual Abuse * Level of Harm</w:t>
            </w:r>
          </w:p>
        </w:tc>
        <w:tc>
          <w:tcPr>
            <w:tcW w:w="582" w:type="pct"/>
          </w:tcPr>
          <w:p w14:paraId="32D74E42"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08E21A1D"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65107FBB"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450127CA"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2.05*</w:t>
            </w:r>
          </w:p>
        </w:tc>
        <w:tc>
          <w:tcPr>
            <w:tcW w:w="582" w:type="pct"/>
          </w:tcPr>
          <w:p w14:paraId="586037B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2.05**</w:t>
            </w:r>
          </w:p>
        </w:tc>
      </w:tr>
      <w:tr w:rsidR="004C4C39" w:rsidRPr="00A32EED" w14:paraId="0BCDF86E" w14:textId="77777777" w:rsidTr="00421E41">
        <w:trPr>
          <w:trHeight w:val="530"/>
        </w:trPr>
        <w:tc>
          <w:tcPr>
            <w:cnfStyle w:val="001000000000" w:firstRow="0" w:lastRow="0" w:firstColumn="1" w:lastColumn="0" w:oddVBand="0" w:evenVBand="0" w:oddHBand="0" w:evenHBand="0" w:firstRowFirstColumn="0" w:firstRowLastColumn="0" w:lastRowFirstColumn="0" w:lastRowLastColumn="0"/>
            <w:tcW w:w="2088" w:type="pct"/>
            <w:shd w:val="clear" w:color="auto" w:fill="A5A5A5"/>
          </w:tcPr>
          <w:p w14:paraId="67D1BDA2"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Three-Way Interaction Effects</w:t>
            </w:r>
          </w:p>
        </w:tc>
        <w:tc>
          <w:tcPr>
            <w:tcW w:w="582" w:type="pct"/>
            <w:shd w:val="clear" w:color="auto" w:fill="A5A5A5"/>
          </w:tcPr>
          <w:p w14:paraId="7464D4C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5B43C9D5"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52A2CDD0"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4ABE91C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shd w:val="clear" w:color="auto" w:fill="A5A5A5"/>
          </w:tcPr>
          <w:p w14:paraId="0BEC8599"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4C4C39" w:rsidRPr="00A32EED" w14:paraId="477DC2D7" w14:textId="77777777" w:rsidTr="00421E41">
        <w:trPr>
          <w:trHeight w:val="548"/>
        </w:trPr>
        <w:tc>
          <w:tcPr>
            <w:cnfStyle w:val="001000000000" w:firstRow="0" w:lastRow="0" w:firstColumn="1" w:lastColumn="0" w:oddVBand="0" w:evenVBand="0" w:oddHBand="0" w:evenHBand="0" w:firstRowFirstColumn="0" w:firstRowLastColumn="0" w:lastRowFirstColumn="0" w:lastRowLastColumn="0"/>
            <w:tcW w:w="2088" w:type="pct"/>
          </w:tcPr>
          <w:p w14:paraId="77C05020" w14:textId="77777777" w:rsidR="004C4C39" w:rsidRPr="00A32EED" w:rsidRDefault="004C4C39" w:rsidP="004C4C39">
            <w:pPr>
              <w:widowControl w:val="0"/>
              <w:autoSpaceDE w:val="0"/>
              <w:autoSpaceDN w:val="0"/>
              <w:adjustRightInd w:val="0"/>
              <w:rPr>
                <w:rFonts w:eastAsia="Times New Roman" w:cs="Arial"/>
              </w:rPr>
            </w:pPr>
            <w:r w:rsidRPr="00A32EED">
              <w:rPr>
                <w:rFonts w:eastAsia="Times New Roman" w:cs="Arial"/>
              </w:rPr>
              <w:t>Female * Group Home * Self-Control</w:t>
            </w:r>
          </w:p>
        </w:tc>
        <w:tc>
          <w:tcPr>
            <w:tcW w:w="582" w:type="pct"/>
          </w:tcPr>
          <w:p w14:paraId="27CED65C"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45024F47"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04A8380E"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447B1BB8"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41E3493F" w14:textId="77777777" w:rsidR="004C4C39" w:rsidRPr="00A32EED" w:rsidRDefault="004C4C39"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1.22†</w:t>
            </w:r>
          </w:p>
        </w:tc>
      </w:tr>
      <w:tr w:rsidR="00421E41" w:rsidRPr="00A32EED" w14:paraId="42DA2EA2" w14:textId="77777777" w:rsidTr="00421E41">
        <w:trPr>
          <w:trHeight w:val="548"/>
        </w:trPr>
        <w:tc>
          <w:tcPr>
            <w:cnfStyle w:val="001000000000" w:firstRow="0" w:lastRow="0" w:firstColumn="1" w:lastColumn="0" w:oddVBand="0" w:evenVBand="0" w:oddHBand="0" w:evenHBand="0" w:firstRowFirstColumn="0" w:firstRowLastColumn="0" w:lastRowFirstColumn="0" w:lastRowLastColumn="0"/>
            <w:tcW w:w="2671" w:type="pct"/>
            <w:gridSpan w:val="2"/>
          </w:tcPr>
          <w:p w14:paraId="606FD2B8" w14:textId="5FFE3F3F" w:rsidR="00421E41" w:rsidRPr="00A32EED" w:rsidRDefault="00421E41" w:rsidP="004C4C39">
            <w:pPr>
              <w:widowControl w:val="0"/>
              <w:autoSpaceDE w:val="0"/>
              <w:autoSpaceDN w:val="0"/>
              <w:adjustRightInd w:val="0"/>
              <w:jc w:val="center"/>
              <w:rPr>
                <w:rFonts w:eastAsia="Times New Roman" w:cs="Arial"/>
              </w:rPr>
            </w:pPr>
            <w:r w:rsidRPr="00A32EED">
              <w:rPr>
                <w:rFonts w:eastAsia="Times New Roman" w:cs="Arial"/>
              </w:rPr>
              <w:t>Male * No Group Home * Self-Control</w:t>
            </w:r>
          </w:p>
        </w:tc>
        <w:tc>
          <w:tcPr>
            <w:tcW w:w="582" w:type="pct"/>
          </w:tcPr>
          <w:p w14:paraId="3CF3B75C" w14:textId="77777777" w:rsidR="00421E41" w:rsidRPr="00A32EED" w:rsidRDefault="00421E41"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6CCE0814" w14:textId="77777777" w:rsidR="00421E41" w:rsidRPr="00A32EED" w:rsidRDefault="00421E41"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3718E84B" w14:textId="77777777" w:rsidR="00421E41" w:rsidRPr="00A32EED" w:rsidRDefault="00421E41"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Pr>
          <w:p w14:paraId="519456FE" w14:textId="77777777" w:rsidR="00421E41" w:rsidRPr="00A32EED" w:rsidRDefault="00421E41"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1.02</w:t>
            </w:r>
          </w:p>
        </w:tc>
      </w:tr>
      <w:tr w:rsidR="00421E41" w:rsidRPr="00A32EED" w14:paraId="5E0A2F18" w14:textId="77777777" w:rsidTr="00421E41">
        <w:trPr>
          <w:trHeight w:val="530"/>
        </w:trPr>
        <w:tc>
          <w:tcPr>
            <w:cnfStyle w:val="001000000000" w:firstRow="0" w:lastRow="0" w:firstColumn="1" w:lastColumn="0" w:oddVBand="0" w:evenVBand="0" w:oddHBand="0" w:evenHBand="0" w:firstRowFirstColumn="0" w:firstRowLastColumn="0" w:lastRowFirstColumn="0" w:lastRowLastColumn="0"/>
            <w:tcW w:w="2671" w:type="pct"/>
            <w:gridSpan w:val="2"/>
            <w:tcBorders>
              <w:bottom w:val="thickThinSmallGap" w:sz="24" w:space="0" w:color="auto"/>
            </w:tcBorders>
          </w:tcPr>
          <w:p w14:paraId="5B4C7121" w14:textId="370DFC69" w:rsidR="00421E41" w:rsidRPr="00A32EED" w:rsidRDefault="00421E41" w:rsidP="00421E41">
            <w:pPr>
              <w:widowControl w:val="0"/>
              <w:autoSpaceDE w:val="0"/>
              <w:autoSpaceDN w:val="0"/>
              <w:adjustRightInd w:val="0"/>
              <w:rPr>
                <w:rFonts w:eastAsia="Times New Roman" w:cs="Arial"/>
              </w:rPr>
            </w:pPr>
            <w:r w:rsidRPr="00A32EED">
              <w:rPr>
                <w:rFonts w:eastAsia="Times New Roman" w:cs="Arial"/>
              </w:rPr>
              <w:t>Male * Group Home * Self-Control</w:t>
            </w:r>
          </w:p>
        </w:tc>
        <w:tc>
          <w:tcPr>
            <w:tcW w:w="582" w:type="pct"/>
            <w:tcBorders>
              <w:bottom w:val="thickThinSmallGap" w:sz="24" w:space="0" w:color="auto"/>
            </w:tcBorders>
          </w:tcPr>
          <w:p w14:paraId="1E9CEDCF" w14:textId="77777777" w:rsidR="00421E41" w:rsidRPr="00A32EED" w:rsidRDefault="00421E41"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Borders>
              <w:bottom w:val="thickThinSmallGap" w:sz="24" w:space="0" w:color="auto"/>
            </w:tcBorders>
          </w:tcPr>
          <w:p w14:paraId="055BEA7B" w14:textId="77777777" w:rsidR="00421E41" w:rsidRPr="00A32EED" w:rsidRDefault="00421E41"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Borders>
              <w:bottom w:val="thickThinSmallGap" w:sz="24" w:space="0" w:color="auto"/>
            </w:tcBorders>
          </w:tcPr>
          <w:p w14:paraId="323F20B7" w14:textId="77777777" w:rsidR="00421E41" w:rsidRPr="00A32EED" w:rsidRDefault="00421E41"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582" w:type="pct"/>
            <w:tcBorders>
              <w:bottom w:val="thickThinSmallGap" w:sz="24" w:space="0" w:color="auto"/>
            </w:tcBorders>
          </w:tcPr>
          <w:p w14:paraId="3AD6D084" w14:textId="77777777" w:rsidR="00421E41" w:rsidRPr="00A32EED" w:rsidRDefault="00421E41" w:rsidP="004C4C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32EED">
              <w:rPr>
                <w:rFonts w:eastAsia="Times New Roman" w:cs="Arial"/>
              </w:rPr>
              <w:t>1.35†</w:t>
            </w:r>
          </w:p>
        </w:tc>
      </w:tr>
    </w:tbl>
    <w:p w14:paraId="47BD8F13" w14:textId="77777777" w:rsidR="004C4C39" w:rsidRPr="00A32EED" w:rsidRDefault="004C4C39" w:rsidP="004C4C39">
      <w:pPr>
        <w:spacing w:after="0"/>
        <w:rPr>
          <w:rFonts w:eastAsia="Calibri"/>
          <w:sz w:val="20"/>
          <w:szCs w:val="20"/>
        </w:rPr>
      </w:pPr>
      <w:r w:rsidRPr="00A32EED">
        <w:rPr>
          <w:rFonts w:eastAsia="Calibri"/>
          <w:sz w:val="20"/>
          <w:szCs w:val="20"/>
        </w:rPr>
        <w:t xml:space="preserve">Coefficients presented are odds ratios </w:t>
      </w:r>
      <w:r w:rsidRPr="00A32EED">
        <w:rPr>
          <w:rFonts w:eastAsia="Calibri"/>
          <w:sz w:val="20"/>
          <w:szCs w:val="20"/>
        </w:rPr>
        <w:tab/>
      </w:r>
      <w:r w:rsidRPr="00A32EED">
        <w:rPr>
          <w:rFonts w:eastAsia="Calibri"/>
          <w:sz w:val="20"/>
          <w:szCs w:val="20"/>
        </w:rPr>
        <w:tab/>
      </w:r>
      <w:r w:rsidRPr="00A32EED">
        <w:rPr>
          <w:rFonts w:eastAsia="Calibri"/>
          <w:sz w:val="20"/>
          <w:szCs w:val="20"/>
        </w:rPr>
        <w:tab/>
        <w:t xml:space="preserve">        * p&lt;.05  **p&lt;.01  ***p&lt;.001</w:t>
      </w:r>
    </w:p>
    <w:p w14:paraId="38F15925" w14:textId="7B1BA0CE" w:rsidR="004C4C39" w:rsidRPr="00A32EED" w:rsidRDefault="004C4C39" w:rsidP="004C4C39">
      <w:pPr>
        <w:spacing w:after="0" w:line="480" w:lineRule="auto"/>
        <w:rPr>
          <w:rFonts w:eastAsia="Calibri"/>
        </w:rPr>
      </w:pPr>
      <w:r w:rsidRPr="00A32EED">
        <w:rPr>
          <w:rFonts w:eastAsia="Calibri"/>
        </w:rPr>
        <w:lastRenderedPageBreak/>
        <w:tab/>
        <w:t xml:space="preserve">Despite the addition of a control for propensity (self-control) placement in a group home remains significant. In fact, the coefficient increases 33% with the odds of criminal justice exposure rising to 6.81 time the odds of those youth who remain in their own home at baseline. The relationship remains significant at the </w:t>
      </w:r>
      <w:r w:rsidRPr="00A32EED">
        <w:rPr>
          <w:rFonts w:eastAsia="Calibri"/>
          <w:i/>
        </w:rPr>
        <w:t>p</w:t>
      </w:r>
      <w:r w:rsidRPr="00A32EED">
        <w:rPr>
          <w:rFonts w:eastAsia="Calibri"/>
        </w:rPr>
        <w:t>&lt;.01 level. As with most severe maltreatment art baseline, a Wald test of joint significance was performed and revealed that the different placement types are significantly related to criminal justice contact (</w:t>
      </w:r>
      <w:r w:rsidRPr="00A32EED">
        <w:rPr>
          <w:rFonts w:eastAsia="Calibri"/>
          <w:i/>
        </w:rPr>
        <w:t>p</w:t>
      </w:r>
      <w:r w:rsidRPr="00A32EED">
        <w:rPr>
          <w:rFonts w:eastAsia="Calibri"/>
        </w:rPr>
        <w:t xml:space="preserve">=.04). Although not significant, it is interesting that youth in both kinship and foster placements have lower odds of criminal justice contact within the sample when controlling for other variables. Finally, self-control is significantly related to criminal justice contact in that those with higher levels of self-control being less likely to experience criminal justice contact. Specifically, a one unit increase in self-control results in an 8% decrease in the odds of criminal justice contact. </w:t>
      </w:r>
    </w:p>
    <w:p w14:paraId="1DF5B94F" w14:textId="77777777" w:rsidR="004C4C39" w:rsidRPr="00A32EED" w:rsidRDefault="004C4C39" w:rsidP="004C4C39">
      <w:pPr>
        <w:spacing w:after="0" w:line="480" w:lineRule="auto"/>
        <w:ind w:firstLine="720"/>
        <w:rPr>
          <w:rFonts w:eastAsia="Calibri"/>
          <w:iCs/>
          <w:color w:val="000000"/>
          <w:szCs w:val="18"/>
        </w:rPr>
      </w:pPr>
      <w:r w:rsidRPr="00A32EED">
        <w:rPr>
          <w:rFonts w:eastAsia="Calibri"/>
        </w:rPr>
        <w:t xml:space="preserve">Upon the addition of self-control, the goodness of fit tests for the model were performed. Due to the complex survey design and use of a subpopulation, the goodness of fit tests should be interpreted with caution as no test currently available fully account for the survey design and/or the variance in standard errors as a result of the use of a subpopulation. Specifically, although the </w:t>
      </w:r>
      <w:r w:rsidRPr="00A32EED">
        <w:rPr>
          <w:rFonts w:eastAsia="Calibri"/>
          <w:i/>
          <w:iCs/>
          <w:color w:val="000000"/>
          <w:szCs w:val="18"/>
        </w:rPr>
        <w:t>svylogitgof</w:t>
      </w:r>
      <w:r w:rsidRPr="00A32EED">
        <w:rPr>
          <w:rFonts w:eastAsia="Calibri"/>
        </w:rPr>
        <w:t xml:space="preserve"> program has been designed to use an F-adjusted mean residual test to assess model goodness of fit when using complex survey data, </w:t>
      </w:r>
      <w:r w:rsidRPr="00A32EED">
        <w:rPr>
          <w:rFonts w:eastAsia="Calibri"/>
          <w:iCs/>
          <w:color w:val="000000"/>
          <w:szCs w:val="18"/>
        </w:rPr>
        <w:t xml:space="preserve">it cannot be used when using the </w:t>
      </w:r>
      <w:r w:rsidRPr="00A32EED">
        <w:rPr>
          <w:rFonts w:eastAsia="Calibri"/>
          <w:i/>
          <w:iCs/>
          <w:color w:val="000000"/>
          <w:szCs w:val="18"/>
        </w:rPr>
        <w:t xml:space="preserve">subpopulation </w:t>
      </w:r>
      <w:r w:rsidRPr="00A32EED">
        <w:rPr>
          <w:rFonts w:eastAsia="Calibri"/>
          <w:iCs/>
          <w:color w:val="000000"/>
          <w:szCs w:val="18"/>
        </w:rPr>
        <w:t xml:space="preserve">command. Additionally, as of STATA 13, the </w:t>
      </w:r>
      <w:r w:rsidRPr="00A32EED">
        <w:rPr>
          <w:rFonts w:eastAsia="Calibri"/>
          <w:i/>
          <w:iCs/>
          <w:color w:val="000000"/>
          <w:szCs w:val="18"/>
        </w:rPr>
        <w:t>estat gof</w:t>
      </w:r>
      <w:r w:rsidRPr="00A32EED">
        <w:rPr>
          <w:rFonts w:eastAsia="Calibri"/>
          <w:iCs/>
          <w:color w:val="000000"/>
          <w:szCs w:val="18"/>
        </w:rPr>
        <w:t xml:space="preserve"> command will now run following analyses using the </w:t>
      </w:r>
      <w:r w:rsidRPr="00A32EED">
        <w:rPr>
          <w:rFonts w:eastAsia="Calibri"/>
          <w:i/>
          <w:iCs/>
          <w:color w:val="000000"/>
          <w:szCs w:val="18"/>
        </w:rPr>
        <w:t>svy</w:t>
      </w:r>
      <w:r w:rsidRPr="00A32EED">
        <w:rPr>
          <w:rFonts w:eastAsia="Calibri"/>
          <w:iCs/>
          <w:color w:val="000000"/>
          <w:szCs w:val="18"/>
        </w:rPr>
        <w:t xml:space="preserve"> module in STATA. However, it also cannot be used when using the </w:t>
      </w:r>
      <w:r w:rsidRPr="00A32EED">
        <w:rPr>
          <w:rFonts w:eastAsia="Calibri"/>
          <w:i/>
          <w:iCs/>
          <w:color w:val="000000"/>
          <w:szCs w:val="18"/>
        </w:rPr>
        <w:t xml:space="preserve">subpopulation </w:t>
      </w:r>
      <w:r w:rsidRPr="00A32EED">
        <w:rPr>
          <w:rFonts w:eastAsia="Calibri"/>
          <w:iCs/>
          <w:color w:val="000000"/>
          <w:szCs w:val="18"/>
        </w:rPr>
        <w:lastRenderedPageBreak/>
        <w:t xml:space="preserve">command.  In the absence of available procedures that account for complex survey data and the use of subpopulations, there has been some support for estimating the final model with the use of an </w:t>
      </w:r>
      <w:r w:rsidRPr="00A32EED">
        <w:rPr>
          <w:rFonts w:eastAsia="Calibri"/>
          <w:i/>
          <w:iCs/>
          <w:color w:val="000000"/>
          <w:szCs w:val="18"/>
        </w:rPr>
        <w:t>if</w:t>
      </w:r>
      <w:r w:rsidRPr="00A32EED">
        <w:rPr>
          <w:rFonts w:eastAsia="Calibri"/>
          <w:iCs/>
          <w:color w:val="000000"/>
          <w:szCs w:val="18"/>
        </w:rPr>
        <w:t xml:space="preserve"> statement in place of the subpopulation solely for the purpose of assessing goodness of fit </w:t>
      </w:r>
      <w:r w:rsidRPr="00A32EED">
        <w:rPr>
          <w:rFonts w:eastAsia="Calibri"/>
          <w:iCs/>
          <w:color w:val="000000"/>
          <w:szCs w:val="18"/>
        </w:rPr>
        <w:fldChar w:fldCharType="begin"/>
      </w:r>
      <w:r w:rsidRPr="00A32EED">
        <w:rPr>
          <w:rFonts w:eastAsia="Calibri"/>
          <w:iCs/>
          <w:color w:val="000000"/>
          <w:szCs w:val="18"/>
        </w:rPr>
        <w:instrText xml:space="preserve"> ADDIN ZOTERO_ITEM CSL_CITATION {"citationID":"28c4r4ive9","properties":{"formattedCitation":"(Archer et al. 2006; Long and Freese 2005; Samuels 2011b)","plainCitation":"(Archer et al. 2006; Long and Freese 2005; Samuels 2011b)"},"citationItems":[{"id":1439,"uris":["http://zotero.org/users/1165382/items/IRTCXANS"],"uri":["http://zotero.org/users/1165382/items/IRTCXANS"],"itemData":{"id":1439,"type":"article-journal","title":"Goodness-of-fit test for a logistic regression model fitted using survey sample data","container-title":"Stata Journal","page":"97–105","volume":"6","issue":"1","source":"Google Scholar","note":"00249","author":[{"family":"Archer","given":"Kellie J."},{"family":"Lemeshow","given":"Stanley"},{"literal":"others"}],"issued":{"date-parts":[["2006"]]}}},{"id":453,"uris":["http://zotero.org/users/1165382/items/TMZ75N7E"],"uri":["http://zotero.org/users/1165382/items/TMZ75N7E"],"itemData":{"id":453,"type":"book","title":"Regression Models for Categorical Dependent Variables Using Stata, Second Edition","publisher":"Stata Press","publisher-place":"College Station, Tex","number-of-pages":"527","edition":"2 edition","source":"Amazon.com","event-place":"College Station, Tex","abstract":"Although regression models for categorical dependent variables are common, few texts explain how to interpret such models. Regression Models for Categorical Dependent Variables Using Stata, Second Edition, fills this void, showing how to fit and interpret regression models for categorical data with Stata. The authors also provide a suite of commands for hypothesis testing and model diagnostics to accompany the book. The book begins with an excellent introduction to Stata and then provides a general treatment of estimation, testing, fit, and interpretation in this class of models. It covers in detail binary, ordinal, nominal, and count outcomes in separate chapters. The final chapter discusses how to fit and interpret models with special characteristics, such as ordinal and nominal independent variables, interaction, and nonlinear terms. One appendix discusses the syntax of the author-written commands, and a second gives details of the datasets used by the authors in the book. Nearly 50% longer than the previous edition, the book covers new topics for fitting and interpreting models included in Stata 9, such as multinomial probit models, the stereotype logistic model, and zero-truncated count models. Many of the interpretation techniques have been updated to include interval as well as point estimates. New to the Second Edition:Regression models, including the zero-truncated Poisson and the zero-truncated negative binomial models, the hurdle model for counts, the stereotype logistic regression model, the rank-ordered logit model, and the multinomial probit modelStata commands, such as estat, which provides a uniform way to access statistics useful for postestimation interpretation.Expanded suite of programs known as SPostInclusion of confidence intervals for predictions computed by prvalue and prgenBecause all the examples, datasets, and author-written commands are available from the authors' Web site, readers can easily replicate the concrete examples using Stata, making it ideal for students or applied researchers who want to know how to fit and interpret models for categorical data.","ISBN":"978-1-59718-011-5","language":"English","author":[{"family":"Long","given":"J. Scott"},{"family":"Freese","given":"Jeremy"}],"issued":{"date-parts":[["2005",11,15]]}}},{"id":1443,"uris":["http://zotero.org/users/1165382/items/58E9SE8C"],"uri":["http://zotero.org/users/1165382/items/58E9SE8C"],"itemData":{"id":1443,"type":"post","title":"Re: st: svylogitgof after logistic using subpop option","URL":"http://www.stata.com/statalist/archive/2011-03/msg00550.html","note":"00000","author":[{"family":"Samuels","given":"Steven"}],"issued":{"date-parts":[["2011"]]},"accessed":{"date-parts":[["2017",2,27]]}}}],"schema":"https://github.com/citation-style-language/schema/raw/master/csl-citation.json"} </w:instrText>
      </w:r>
      <w:r w:rsidRPr="00A32EED">
        <w:rPr>
          <w:rFonts w:eastAsia="Calibri"/>
          <w:iCs/>
          <w:color w:val="000000"/>
          <w:szCs w:val="18"/>
        </w:rPr>
        <w:fldChar w:fldCharType="separate"/>
      </w:r>
      <w:r w:rsidRPr="00A32EED">
        <w:rPr>
          <w:rFonts w:eastAsia="Calibri"/>
          <w:iCs/>
          <w:noProof/>
          <w:color w:val="000000"/>
          <w:szCs w:val="18"/>
        </w:rPr>
        <w:t>(Archer et al. 2006; Long and Freese 2005; Samuels 2011b)</w:t>
      </w:r>
      <w:r w:rsidRPr="00A32EED">
        <w:rPr>
          <w:rFonts w:eastAsia="Calibri"/>
          <w:iCs/>
          <w:color w:val="000000"/>
          <w:szCs w:val="18"/>
        </w:rPr>
        <w:fldChar w:fldCharType="end"/>
      </w:r>
      <w:r w:rsidRPr="00A32EED">
        <w:rPr>
          <w:rFonts w:eastAsia="Calibri"/>
          <w:iCs/>
          <w:color w:val="000000"/>
          <w:szCs w:val="18"/>
        </w:rPr>
        <w:t>. The results of these procedures for Model 3 all indicate that the model is misspecified (</w:t>
      </w:r>
      <w:r w:rsidRPr="00A32EED">
        <w:rPr>
          <w:rFonts w:eastAsia="Calibri"/>
          <w:i/>
          <w:iCs/>
          <w:color w:val="000000"/>
          <w:szCs w:val="18"/>
        </w:rPr>
        <w:t>F</w:t>
      </w:r>
      <w:r w:rsidRPr="00A32EED">
        <w:rPr>
          <w:rFonts w:eastAsia="Calibri"/>
          <w:iCs/>
          <w:color w:val="000000"/>
          <w:szCs w:val="18"/>
        </w:rPr>
        <w:t>-statistic=19.05;</w:t>
      </w:r>
      <w:r w:rsidRPr="00A32EED">
        <w:rPr>
          <w:rFonts w:eastAsia="Calibri"/>
          <w:i/>
          <w:iCs/>
          <w:color w:val="000000"/>
          <w:szCs w:val="18"/>
        </w:rPr>
        <w:t xml:space="preserve"> p</w:t>
      </w:r>
      <w:r w:rsidRPr="00A32EED">
        <w:rPr>
          <w:rFonts w:eastAsia="Calibri"/>
          <w:iCs/>
          <w:color w:val="000000"/>
          <w:szCs w:val="18"/>
        </w:rPr>
        <w:t xml:space="preserve">&lt;.001 respectively. </w:t>
      </w:r>
    </w:p>
    <w:p w14:paraId="76D2CF82"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To correct for this misspecification, a series of interaction terms were added. The first interaction is a three-way interaction between gender, being placed in a group home, and self-control. This combination was chosen because these three variables were significant in previous models and are consistent correlates of crime in previous research. This three-way interaction was first added through a series of two-way interactions (Model 4). The addition of this three-way interaction still did not correct the model misspecification as the F-test still was significant indicating some form of misspecification. To address potential issues regarding functional forms, quadratic terms were added for all the continuous variables; however, none of the relationships were significant, nor did the fix the issues of misspecification. The next step was to attempt an interaction between level of harm and forms of abuse. Given that sexual abuse is arguably a very different form of abuse, an interaction between level of harm and having sexual abuse as the most severe form of maltreatment was added. Not only was this interaction significant, but it also fixed the model specification and resulted in a nonsignificant F-statistic of .93 (</w:t>
      </w:r>
      <w:r w:rsidRPr="00A32EED">
        <w:rPr>
          <w:rFonts w:eastAsia="Calibri"/>
          <w:i/>
          <w:iCs/>
          <w:color w:val="000000"/>
          <w:szCs w:val="18"/>
        </w:rPr>
        <w:t>p</w:t>
      </w:r>
      <w:r w:rsidRPr="00A32EED">
        <w:rPr>
          <w:rFonts w:eastAsia="Calibri"/>
          <w:iCs/>
          <w:color w:val="000000"/>
          <w:szCs w:val="18"/>
        </w:rPr>
        <w:t>=.50).</w:t>
      </w:r>
    </w:p>
    <w:p w14:paraId="106F96D4"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lastRenderedPageBreak/>
        <w:t>Model 5 is the final model containing every variable of interest. The coefficient, direction, and level of significance for age at baseline is unchanged in the final model. The coefficient for race/ethnicity increases 9% and exceeds it previous marginal level of significance (</w:t>
      </w:r>
      <w:r w:rsidRPr="00A32EED">
        <w:rPr>
          <w:rFonts w:eastAsia="Calibri"/>
          <w:i/>
          <w:iCs/>
          <w:color w:val="000000"/>
          <w:szCs w:val="18"/>
        </w:rPr>
        <w:t>p&lt;</w:t>
      </w:r>
      <w:r w:rsidRPr="00A32EED">
        <w:rPr>
          <w:rFonts w:eastAsia="Calibri"/>
          <w:iCs/>
          <w:color w:val="000000"/>
          <w:szCs w:val="18"/>
        </w:rPr>
        <w:t>.05). The direction of the relationship remains the odds of criminal justice contact two times higher for non-white youth when compared to white youth. For most severe maltreatment type at baseline, physical abuse and other forms of maltreatment are not statistically different from neglect regarding criminal justice contact.</w:t>
      </w:r>
    </w:p>
    <w:p w14:paraId="23FA0C5F"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 xml:space="preserve">However, the addition of the interaction term between the level of harm and sexual abuse results in a 74% reduction in the coefficient of sexual abuse. This change results in the relationship between criminal justice contact and sexual abuse becoming significant (p&lt;.05). The coefficient for sexual abuse is .18 indicating that the odds of criminal justice contact for those whose most significant form of alleged maltreatment at baseline are sexual abuse are 82% lower when compared to those whose most severe form of maltreatment was neglect. Furthermore, the interaction term between the level of harm and sexual abuse is significant and positive. Specifically, Model 5 suggests that as the level of harm increases, as do the odds of criminal justice contact, but only in cases where sexual abuse is the most severe form of alleged maltreatment. Taken together, these findings reveal that the odds of criminal justice contact are very low in cases of sexual abuse when the abuse is indicated as minimal harm or less. This relationship will be explained more and visualized in the Predictive Margins section of the chapter. </w:t>
      </w:r>
    </w:p>
    <w:p w14:paraId="4AB96BAF"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lastRenderedPageBreak/>
        <w:t>In Model 5, the coefficient, direction, and significance level for self-control remains unchanged and continue to show that for every unit increase of self-control scores, there is a .08% reduction in the odds of criminal justice contact later in life. Interestingly, the addition of interaction terms to the models suggests that self-control may, in fact, operate differently across placement types. The three-way interaction between gender, group home/other placement, and self-control results in three interaction terms being added to the model: self-control for females placed in group homes, self-control for males placed in group homes, and males not placed in group homes. As a result, the reference group for the model is then self-control for females not placed in a group home. For both males and females placed in group homes, results show that increases in self-control are related to an increase in odds of criminal justice. This relationship is marginally significant (</w:t>
      </w:r>
      <w:r w:rsidRPr="00A32EED">
        <w:rPr>
          <w:rFonts w:eastAsia="Calibri"/>
          <w:i/>
          <w:iCs/>
          <w:color w:val="000000"/>
          <w:szCs w:val="18"/>
        </w:rPr>
        <w:t>p</w:t>
      </w:r>
      <w:r w:rsidRPr="00A32EED">
        <w:rPr>
          <w:rFonts w:eastAsia="Calibri"/>
          <w:iCs/>
          <w:color w:val="000000"/>
          <w:szCs w:val="18"/>
        </w:rPr>
        <w:t xml:space="preserve">&lt;.10) and in the opposite direction of the main effect for self-control. Although this seems at odds with previous research on self-control and criminal justice contact on the surface, it is possible that what these results indicate is that being placed in a group home has a higher impact on children that had higher self-control scores. This relationship will be examined further in the Predictive Margins section. </w:t>
      </w:r>
    </w:p>
    <w:p w14:paraId="4664E3E1"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38" w:name="_Toc479938182"/>
      <w:bookmarkStart w:id="139" w:name="_Toc482112711"/>
      <w:r w:rsidRPr="00A32EED">
        <w:rPr>
          <w:rFonts w:eastAsia="ＭＳ ゴシック"/>
          <w:i/>
          <w:color w:val="000000"/>
          <w:szCs w:val="26"/>
          <w:u w:val="single"/>
        </w:rPr>
        <w:t>Predictive Margins for the Criminal Justice Contact Final Logistic Regression Model</w:t>
      </w:r>
      <w:bookmarkEnd w:id="138"/>
      <w:bookmarkEnd w:id="139"/>
    </w:p>
    <w:p w14:paraId="2786F745" w14:textId="2F31BD38" w:rsidR="004C4C39" w:rsidRPr="00A32EED" w:rsidRDefault="004C4C39" w:rsidP="004C4C39">
      <w:pPr>
        <w:spacing w:after="0" w:line="480" w:lineRule="auto"/>
        <w:rPr>
          <w:rFonts w:eastAsia="Calibri"/>
          <w:iCs/>
          <w:color w:val="000000"/>
          <w:szCs w:val="18"/>
        </w:rPr>
      </w:pPr>
      <w:r w:rsidRPr="00A32EED">
        <w:rPr>
          <w:rFonts w:eastAsia="Calibri"/>
          <w:iCs/>
          <w:color w:val="000000"/>
          <w:szCs w:val="18"/>
        </w:rPr>
        <w:tab/>
        <w:t xml:space="preserve">To help further interpret and visualize the relationships between predictors and odds of criminal justice contact, the </w:t>
      </w:r>
      <w:r w:rsidRPr="00A32EED">
        <w:rPr>
          <w:rFonts w:eastAsia="Calibri"/>
          <w:i/>
          <w:iCs/>
          <w:color w:val="000000"/>
          <w:szCs w:val="18"/>
        </w:rPr>
        <w:t xml:space="preserve">margins </w:t>
      </w:r>
      <w:r w:rsidRPr="00A32EED">
        <w:rPr>
          <w:rFonts w:eastAsia="Calibri"/>
          <w:iCs/>
          <w:color w:val="000000"/>
          <w:szCs w:val="18"/>
        </w:rPr>
        <w:t xml:space="preserve">and </w:t>
      </w:r>
      <w:r w:rsidRPr="00A32EED">
        <w:rPr>
          <w:rFonts w:eastAsia="Calibri"/>
          <w:i/>
          <w:iCs/>
          <w:color w:val="000000"/>
          <w:szCs w:val="18"/>
        </w:rPr>
        <w:t>marginsplot</w:t>
      </w:r>
      <w:r w:rsidRPr="00A32EED">
        <w:rPr>
          <w:rFonts w:eastAsia="Calibri"/>
          <w:iCs/>
          <w:color w:val="000000"/>
          <w:szCs w:val="18"/>
        </w:rPr>
        <w:t xml:space="preserve"> commands were used to obtain various predictive margins. A table containing </w:t>
      </w:r>
      <w:r w:rsidRPr="00A32EED">
        <w:rPr>
          <w:rFonts w:eastAsia="Calibri"/>
          <w:iCs/>
          <w:color w:val="000000"/>
          <w:szCs w:val="18"/>
        </w:rPr>
        <w:lastRenderedPageBreak/>
        <w:t>the average adjusted predictions (AAPs) and average marginal effects (AMEs) of categorical var</w:t>
      </w:r>
      <w:r w:rsidR="00865DAD">
        <w:rPr>
          <w:rFonts w:eastAsia="Calibri"/>
          <w:iCs/>
          <w:color w:val="000000"/>
          <w:szCs w:val="18"/>
        </w:rPr>
        <w:t>iables can be found in Table 6.8</w:t>
      </w:r>
      <w:r w:rsidRPr="00A32EED">
        <w:rPr>
          <w:rFonts w:eastAsia="Calibri"/>
          <w:iCs/>
          <w:color w:val="000000"/>
          <w:szCs w:val="18"/>
        </w:rPr>
        <w:t xml:space="preserve">. The average adjusted predictions (AAPs) represent the average probability if everyone in the data were treated as each category for that particular variable when controlling for the other variable in the model </w:t>
      </w:r>
      <w:r w:rsidRPr="00A32EED">
        <w:rPr>
          <w:rFonts w:eastAsia="Calibri"/>
          <w:iCs/>
          <w:color w:val="000000"/>
          <w:szCs w:val="18"/>
        </w:rPr>
        <w:fldChar w:fldCharType="begin"/>
      </w:r>
      <w:r w:rsidRPr="00A32EED">
        <w:rPr>
          <w:rFonts w:eastAsia="Calibri"/>
          <w:iCs/>
          <w:color w:val="000000"/>
          <w:szCs w:val="18"/>
        </w:rPr>
        <w:instrText xml:space="preserve"> ADDIN ZOTERO_ITEM CSL_CITATION {"citationID":"p0f5hHbS","properties":{"formattedCitation":"(Williams 2012)","plainCitation":"(Williams 2012)"},"citationItems":[{"id":1454,"uris":["http://zotero.org/users/1165382/items/PXGMINDJ"],"uri":["http://zotero.org/users/1165382/items/PXGMINDJ"],"itemData":{"id":1454,"type":"article-journal","title":"Using the margins command to estimate and interpret adjusted predictions and marginal effects","container-title":"Stata Journal","page":"308","volume":"12","issue":"2","source":"Google Scholar","note":"00310","author":[{"family":"Williams","given":"Richard"}],"issued":{"date-parts":[["2012"]]}}}],"schema":"https://github.com/citation-style-language/schema/raw/master/csl-citation.json"} </w:instrText>
      </w:r>
      <w:r w:rsidRPr="00A32EED">
        <w:rPr>
          <w:rFonts w:eastAsia="Calibri"/>
          <w:iCs/>
          <w:color w:val="000000"/>
          <w:szCs w:val="18"/>
        </w:rPr>
        <w:fldChar w:fldCharType="separate"/>
      </w:r>
      <w:r w:rsidRPr="00A32EED">
        <w:rPr>
          <w:rFonts w:eastAsia="Calibri"/>
          <w:iCs/>
          <w:noProof/>
          <w:color w:val="000000"/>
          <w:szCs w:val="18"/>
        </w:rPr>
        <w:t>(Williams 2012)</w:t>
      </w:r>
      <w:r w:rsidRPr="00A32EED">
        <w:rPr>
          <w:rFonts w:eastAsia="Calibri"/>
          <w:iCs/>
          <w:color w:val="000000"/>
          <w:szCs w:val="18"/>
        </w:rPr>
        <w:fldChar w:fldCharType="end"/>
      </w:r>
      <w:r w:rsidRPr="00A32EED">
        <w:rPr>
          <w:rFonts w:eastAsia="Calibri"/>
          <w:iCs/>
          <w:color w:val="000000"/>
          <w:szCs w:val="18"/>
        </w:rPr>
        <w:t xml:space="preserve">. The average marginal effects (AMEs) represent the difference in probabilities if you averaged the probability of everyone in the dataset if they belonged in each of the different categories for a variable </w:t>
      </w:r>
      <w:r w:rsidRPr="00A32EED">
        <w:rPr>
          <w:rFonts w:eastAsia="Calibri"/>
          <w:iCs/>
          <w:color w:val="000000"/>
          <w:szCs w:val="18"/>
        </w:rPr>
        <w:fldChar w:fldCharType="begin"/>
      </w:r>
      <w:r w:rsidRPr="00A32EED">
        <w:rPr>
          <w:rFonts w:eastAsia="Calibri"/>
          <w:iCs/>
          <w:color w:val="000000"/>
          <w:szCs w:val="18"/>
        </w:rPr>
        <w:instrText xml:space="preserve"> ADDIN ZOTERO_ITEM CSL_CITATION {"citationID":"tIyqYUcL","properties":{"formattedCitation":"(Williams 2012)","plainCitation":"(Williams 2012)"},"citationItems":[{"id":1454,"uris":["http://zotero.org/users/1165382/items/PXGMINDJ"],"uri":["http://zotero.org/users/1165382/items/PXGMINDJ"],"itemData":{"id":1454,"type":"article-journal","title":"Using the margins command to estimate and interpret adjusted predictions and marginal effects","container-title":"Stata Journal","page":"308","volume":"12","issue":"2","source":"Google Scholar","note":"00310","author":[{"family":"Williams","given":"Richard"}],"issued":{"date-parts":[["2012"]]}}}],"schema":"https://github.com/citation-style-language/schema/raw/master/csl-citation.json"} </w:instrText>
      </w:r>
      <w:r w:rsidRPr="00A32EED">
        <w:rPr>
          <w:rFonts w:eastAsia="Calibri"/>
          <w:iCs/>
          <w:color w:val="000000"/>
          <w:szCs w:val="18"/>
        </w:rPr>
        <w:fldChar w:fldCharType="separate"/>
      </w:r>
      <w:r w:rsidRPr="00A32EED">
        <w:rPr>
          <w:rFonts w:eastAsia="Calibri"/>
          <w:iCs/>
          <w:noProof/>
          <w:color w:val="000000"/>
          <w:szCs w:val="18"/>
        </w:rPr>
        <w:t>(Williams 2012)</w:t>
      </w:r>
      <w:r w:rsidRPr="00A32EED">
        <w:rPr>
          <w:rFonts w:eastAsia="Calibri"/>
          <w:iCs/>
          <w:color w:val="000000"/>
          <w:szCs w:val="18"/>
        </w:rPr>
        <w:fldChar w:fldCharType="end"/>
      </w:r>
      <w:r w:rsidRPr="00A32EED">
        <w:rPr>
          <w:rFonts w:eastAsia="Calibri"/>
          <w:iCs/>
          <w:color w:val="000000"/>
          <w:szCs w:val="18"/>
        </w:rPr>
        <w:t xml:space="preserve">. These AAP and AMEs are those for Model 5 which includes the interaction terms. However, the margins command does not provide AAPs for any continuous variables or interactions with continuous variables. Therefore, while the interactions between sexual abuse and the three-way interaction are not included in the table, their presence in the final model is being accounted for. </w:t>
      </w:r>
    </w:p>
    <w:p w14:paraId="7FC8E54F" w14:textId="77777777" w:rsidR="004C4C39" w:rsidRPr="00A32EED" w:rsidRDefault="004C4C39" w:rsidP="004C4C39">
      <w:pPr>
        <w:spacing w:after="0" w:line="480" w:lineRule="auto"/>
        <w:rPr>
          <w:rFonts w:eastAsia="Calibri"/>
          <w:iCs/>
          <w:color w:val="000000"/>
          <w:szCs w:val="18"/>
        </w:rPr>
      </w:pPr>
      <w:r w:rsidRPr="00A32EED">
        <w:rPr>
          <w:rFonts w:eastAsia="Calibri"/>
          <w:iCs/>
          <w:color w:val="000000"/>
          <w:szCs w:val="18"/>
        </w:rPr>
        <w:tab/>
        <w:t>For gender, the average adjusted probability (AAP) for males versus female is .12 and .21 respectively. This results in an average marginal effect of .09 for being male. This difference is significant (</w:t>
      </w:r>
      <w:r w:rsidRPr="00A32EED">
        <w:rPr>
          <w:rFonts w:eastAsia="Calibri"/>
          <w:i/>
          <w:iCs/>
          <w:color w:val="000000"/>
          <w:szCs w:val="18"/>
        </w:rPr>
        <w:t>p</w:t>
      </w:r>
      <w:r w:rsidRPr="00A32EED">
        <w:rPr>
          <w:rFonts w:eastAsia="Calibri"/>
          <w:iCs/>
          <w:color w:val="000000"/>
          <w:szCs w:val="18"/>
        </w:rPr>
        <w:t>&lt;.05) with males having a higher probability of criminal justice contact than females. The AAPs for white and non-white children is .12 vs .20 respectively for an AME of .08. This AME is significant (</w:t>
      </w:r>
      <w:r w:rsidRPr="00A32EED">
        <w:rPr>
          <w:rFonts w:eastAsia="Calibri"/>
          <w:i/>
          <w:iCs/>
          <w:color w:val="000000"/>
          <w:szCs w:val="18"/>
        </w:rPr>
        <w:t>p</w:t>
      </w:r>
      <w:r w:rsidRPr="00A32EED">
        <w:rPr>
          <w:rFonts w:eastAsia="Calibri"/>
          <w:iCs/>
          <w:color w:val="000000"/>
          <w:szCs w:val="18"/>
        </w:rPr>
        <w:t xml:space="preserve">&lt;.05) with non-white children having a higher probability of having criminal justice contact than white children. For most severe maltreatment type at baseline, neglect has the highest AAP (.20) followed by physical abuse (.17), other forms of maltreatment (.15), and sexual abuse (.06). The only </w:t>
      </w:r>
      <w:r w:rsidRPr="00A32EED">
        <w:rPr>
          <w:rFonts w:eastAsia="Calibri"/>
          <w:iCs/>
          <w:color w:val="000000"/>
          <w:szCs w:val="18"/>
        </w:rPr>
        <w:lastRenderedPageBreak/>
        <w:t>maltreatment type with a significant AME (compared to neglect) is sexual abuse at -.14 (</w:t>
      </w:r>
      <w:r w:rsidRPr="00A32EED">
        <w:rPr>
          <w:rFonts w:eastAsia="Calibri"/>
          <w:i/>
          <w:iCs/>
          <w:color w:val="000000"/>
          <w:szCs w:val="18"/>
        </w:rPr>
        <w:t>p</w:t>
      </w:r>
      <w:r w:rsidRPr="00A32EED">
        <w:rPr>
          <w:rFonts w:eastAsia="Calibri"/>
          <w:iCs/>
          <w:color w:val="000000"/>
          <w:szCs w:val="18"/>
        </w:rPr>
        <w:t xml:space="preserve">&lt;.05). No other variables have significant AMEs. </w:t>
      </w:r>
    </w:p>
    <w:p w14:paraId="59120055" w14:textId="77777777" w:rsidR="004C4C39" w:rsidRPr="00A32EED" w:rsidRDefault="004C4C39" w:rsidP="004C4C39">
      <w:pPr>
        <w:spacing w:after="0" w:line="480" w:lineRule="auto"/>
        <w:ind w:firstLine="720"/>
        <w:rPr>
          <w:rFonts w:eastAsia="Calibri"/>
          <w:iCs/>
          <w:color w:val="000000"/>
          <w:szCs w:val="18"/>
        </w:rPr>
      </w:pPr>
      <w:r w:rsidRPr="00A32EED">
        <w:rPr>
          <w:rFonts w:eastAsia="Calibri"/>
          <w:iCs/>
          <w:color w:val="000000"/>
          <w:szCs w:val="18"/>
        </w:rPr>
        <w:t>Typically, adjusted predictions at different values are used to examine the predictive margins for continuous variables. These simply present the AAPs at set values for a continuous variable. Although the margins command does not return AMEs for continuous variables, a similar value can be calculated by either subtracting the reference value from a common set value (such as the lowest value of the continuous variable) or by subtracting the previous value from the current set value. The first method essentially provides the AME of a set value compared to a reference group and the second method provides the AME from one value to the next. For all continuous variables in the final model, AAPs and both forms of AMEs were included and can be found in Table 6.10.</w:t>
      </w:r>
    </w:p>
    <w:p w14:paraId="22A3A7CE" w14:textId="77777777" w:rsidR="004C4C39" w:rsidRPr="00A32EED" w:rsidRDefault="004C4C39" w:rsidP="004C4C39">
      <w:pPr>
        <w:spacing w:after="0"/>
        <w:rPr>
          <w:rFonts w:eastAsia="Calibri"/>
          <w:iCs/>
          <w:color w:val="000000"/>
          <w:szCs w:val="18"/>
        </w:rPr>
      </w:pPr>
      <w:r w:rsidRPr="00A32EED">
        <w:rPr>
          <w:rFonts w:eastAsia="Calibri"/>
          <w:iCs/>
          <w:color w:val="000000"/>
          <w:szCs w:val="18"/>
        </w:rPr>
        <w:br w:type="page"/>
      </w:r>
    </w:p>
    <w:p w14:paraId="7B694507" w14:textId="77777777" w:rsidR="004C4C39" w:rsidRPr="00A32EED" w:rsidRDefault="004C4C39" w:rsidP="0023176A">
      <w:pPr>
        <w:pStyle w:val="Caption1"/>
        <w:rPr>
          <w:rFonts w:eastAsia="Calibri"/>
        </w:rPr>
      </w:pPr>
      <w:bookmarkStart w:id="140" w:name="_Toc479941248"/>
      <w:r w:rsidRPr="00A32EED">
        <w:rPr>
          <w:rFonts w:eastAsia="Calibri"/>
        </w:rPr>
        <w:lastRenderedPageBreak/>
        <w:t>Table 6.</w:t>
      </w:r>
      <w:r w:rsidRPr="00A32EED">
        <w:rPr>
          <w:rFonts w:eastAsia="Calibri"/>
        </w:rPr>
        <w:fldChar w:fldCharType="begin"/>
      </w:r>
      <w:r w:rsidRPr="00A32EED">
        <w:rPr>
          <w:rFonts w:eastAsia="Calibri"/>
        </w:rPr>
        <w:instrText xml:space="preserve"> SEQ Table_6. \* ARABIC </w:instrText>
      </w:r>
      <w:r w:rsidRPr="00A32EED">
        <w:rPr>
          <w:rFonts w:eastAsia="Calibri"/>
        </w:rPr>
        <w:fldChar w:fldCharType="separate"/>
      </w:r>
      <w:r w:rsidR="00FA12E2">
        <w:rPr>
          <w:rFonts w:eastAsia="Calibri"/>
          <w:noProof/>
        </w:rPr>
        <w:t>8</w:t>
      </w:r>
      <w:r w:rsidRPr="00A32EED">
        <w:rPr>
          <w:rFonts w:eastAsia="Calibri"/>
          <w:noProof/>
        </w:rPr>
        <w:fldChar w:fldCharType="end"/>
      </w:r>
      <w:r w:rsidRPr="00A32EED">
        <w:rPr>
          <w:rFonts w:eastAsia="Calibri"/>
        </w:rPr>
        <w:t>: Average Adjusted Predictions for Age, Level of Harm and Self-Control</w:t>
      </w:r>
      <w:bookmarkEnd w:id="140"/>
    </w:p>
    <w:tbl>
      <w:tblPr>
        <w:tblStyle w:val="ListTable21"/>
        <w:tblW w:w="8374" w:type="dxa"/>
        <w:tblLayout w:type="fixed"/>
        <w:tblLook w:val="04A0" w:firstRow="1" w:lastRow="0" w:firstColumn="1" w:lastColumn="0" w:noHBand="0" w:noVBand="1"/>
      </w:tblPr>
      <w:tblGrid>
        <w:gridCol w:w="634"/>
        <w:gridCol w:w="540"/>
        <w:gridCol w:w="810"/>
        <w:gridCol w:w="270"/>
        <w:gridCol w:w="2790"/>
        <w:gridCol w:w="3330"/>
      </w:tblGrid>
      <w:tr w:rsidR="00035E37" w:rsidRPr="00A32EED" w14:paraId="07A1B3A3" w14:textId="77777777" w:rsidTr="00035E37">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34" w:type="dxa"/>
            <w:noWrap/>
            <w:hideMark/>
          </w:tcPr>
          <w:p w14:paraId="108A0A6B" w14:textId="77777777" w:rsidR="004C4C39" w:rsidRPr="00A32EED" w:rsidRDefault="004C4C39" w:rsidP="004C4C39">
            <w:pPr>
              <w:rPr>
                <w:rFonts w:eastAsia="Times New Roman" w:cs="Arial"/>
                <w:color w:val="000000"/>
                <w:sz w:val="21"/>
              </w:rPr>
            </w:pPr>
            <w:r w:rsidRPr="00A32EED">
              <w:rPr>
                <w:rFonts w:eastAsia="Times New Roman" w:cs="Arial"/>
                <w:color w:val="000000"/>
                <w:sz w:val="21"/>
              </w:rPr>
              <w:t>Age</w:t>
            </w:r>
          </w:p>
        </w:tc>
        <w:tc>
          <w:tcPr>
            <w:tcW w:w="1350" w:type="dxa"/>
            <w:gridSpan w:val="2"/>
            <w:noWrap/>
            <w:hideMark/>
          </w:tcPr>
          <w:p w14:paraId="1ABE5B81"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0"/>
              </w:rPr>
              <w:t xml:space="preserve">          AAP</w:t>
            </w:r>
          </w:p>
        </w:tc>
        <w:tc>
          <w:tcPr>
            <w:tcW w:w="3060" w:type="dxa"/>
            <w:gridSpan w:val="2"/>
            <w:noWrap/>
            <w:hideMark/>
          </w:tcPr>
          <w:p w14:paraId="13C912EC"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1"/>
                <w:szCs w:val="20"/>
              </w:rPr>
            </w:pPr>
            <w:r w:rsidRPr="00A32EED">
              <w:rPr>
                <w:rFonts w:eastAsia="Times New Roman" w:cs="Arial"/>
                <w:color w:val="000000"/>
                <w:sz w:val="20"/>
              </w:rPr>
              <w:t>AME from Lowest Value of X</w:t>
            </w:r>
          </w:p>
        </w:tc>
        <w:tc>
          <w:tcPr>
            <w:tcW w:w="3330" w:type="dxa"/>
            <w:noWrap/>
            <w:hideMark/>
          </w:tcPr>
          <w:p w14:paraId="23E79DE9" w14:textId="77777777" w:rsidR="004C4C39" w:rsidRPr="00A32EED" w:rsidRDefault="004C4C39" w:rsidP="004C4C3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1"/>
                <w:szCs w:val="20"/>
              </w:rPr>
            </w:pPr>
            <w:r w:rsidRPr="00A32EED">
              <w:rPr>
                <w:rFonts w:eastAsia="Times New Roman" w:cs="Arial"/>
                <w:color w:val="000000"/>
                <w:sz w:val="20"/>
              </w:rPr>
              <w:t>AME from Previous Value of X</w:t>
            </w:r>
          </w:p>
        </w:tc>
      </w:tr>
      <w:tr w:rsidR="00035E37" w:rsidRPr="00A32EED" w14:paraId="55861614"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61752C56"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6</w:t>
            </w:r>
          </w:p>
        </w:tc>
        <w:tc>
          <w:tcPr>
            <w:tcW w:w="1080" w:type="dxa"/>
            <w:gridSpan w:val="2"/>
            <w:noWrap/>
            <w:hideMark/>
          </w:tcPr>
          <w:p w14:paraId="6732BAF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0.05</w:t>
            </w:r>
          </w:p>
        </w:tc>
        <w:tc>
          <w:tcPr>
            <w:tcW w:w="2790" w:type="dxa"/>
            <w:noWrap/>
            <w:hideMark/>
          </w:tcPr>
          <w:p w14:paraId="203B091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p>
        </w:tc>
        <w:tc>
          <w:tcPr>
            <w:tcW w:w="3330" w:type="dxa"/>
            <w:noWrap/>
            <w:hideMark/>
          </w:tcPr>
          <w:p w14:paraId="13D7B6A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szCs w:val="20"/>
              </w:rPr>
            </w:pPr>
          </w:p>
        </w:tc>
      </w:tr>
      <w:tr w:rsidR="00035E37" w:rsidRPr="00A32EED" w14:paraId="657A5393"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1409E412"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7</w:t>
            </w:r>
          </w:p>
        </w:tc>
        <w:tc>
          <w:tcPr>
            <w:tcW w:w="1080" w:type="dxa"/>
            <w:gridSpan w:val="2"/>
            <w:noWrap/>
            <w:hideMark/>
          </w:tcPr>
          <w:p w14:paraId="5A7F421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0.07</w:t>
            </w:r>
          </w:p>
        </w:tc>
        <w:tc>
          <w:tcPr>
            <w:tcW w:w="2790" w:type="dxa"/>
            <w:noWrap/>
            <w:hideMark/>
          </w:tcPr>
          <w:p w14:paraId="5F17EF2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c>
          <w:tcPr>
            <w:tcW w:w="3330" w:type="dxa"/>
            <w:noWrap/>
            <w:hideMark/>
          </w:tcPr>
          <w:p w14:paraId="343EBA3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r>
      <w:tr w:rsidR="00035E37" w:rsidRPr="00A32EED" w14:paraId="1F96931C"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20E523D1"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8</w:t>
            </w:r>
          </w:p>
        </w:tc>
        <w:tc>
          <w:tcPr>
            <w:tcW w:w="1080" w:type="dxa"/>
            <w:gridSpan w:val="2"/>
            <w:noWrap/>
            <w:hideMark/>
          </w:tcPr>
          <w:p w14:paraId="119BD49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0.09</w:t>
            </w:r>
          </w:p>
        </w:tc>
        <w:tc>
          <w:tcPr>
            <w:tcW w:w="2790" w:type="dxa"/>
            <w:noWrap/>
            <w:hideMark/>
          </w:tcPr>
          <w:p w14:paraId="2238035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0.04</w:t>
            </w:r>
          </w:p>
        </w:tc>
        <w:tc>
          <w:tcPr>
            <w:tcW w:w="3330" w:type="dxa"/>
            <w:noWrap/>
            <w:hideMark/>
          </w:tcPr>
          <w:p w14:paraId="59E41F6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r>
      <w:tr w:rsidR="00035E37" w:rsidRPr="00A32EED" w14:paraId="0C3E83CB"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6E964BF9"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9</w:t>
            </w:r>
          </w:p>
        </w:tc>
        <w:tc>
          <w:tcPr>
            <w:tcW w:w="1080" w:type="dxa"/>
            <w:gridSpan w:val="2"/>
            <w:noWrap/>
            <w:hideMark/>
          </w:tcPr>
          <w:p w14:paraId="16ED6F2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0.11</w:t>
            </w:r>
          </w:p>
        </w:tc>
        <w:tc>
          <w:tcPr>
            <w:tcW w:w="2790" w:type="dxa"/>
            <w:noWrap/>
            <w:hideMark/>
          </w:tcPr>
          <w:p w14:paraId="2DCD904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0.06</w:t>
            </w:r>
          </w:p>
        </w:tc>
        <w:tc>
          <w:tcPr>
            <w:tcW w:w="3330" w:type="dxa"/>
            <w:noWrap/>
            <w:hideMark/>
          </w:tcPr>
          <w:p w14:paraId="422478E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r>
      <w:tr w:rsidR="00035E37" w:rsidRPr="00A32EED" w14:paraId="30FBCE60"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5552C8BA"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10</w:t>
            </w:r>
          </w:p>
        </w:tc>
        <w:tc>
          <w:tcPr>
            <w:tcW w:w="1080" w:type="dxa"/>
            <w:gridSpan w:val="2"/>
            <w:noWrap/>
            <w:hideMark/>
          </w:tcPr>
          <w:p w14:paraId="63EB7A6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0.14</w:t>
            </w:r>
          </w:p>
        </w:tc>
        <w:tc>
          <w:tcPr>
            <w:tcW w:w="2790" w:type="dxa"/>
            <w:noWrap/>
            <w:hideMark/>
          </w:tcPr>
          <w:p w14:paraId="5BC4DF9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0.09</w:t>
            </w:r>
          </w:p>
        </w:tc>
        <w:tc>
          <w:tcPr>
            <w:tcW w:w="3330" w:type="dxa"/>
            <w:noWrap/>
            <w:hideMark/>
          </w:tcPr>
          <w:p w14:paraId="2AC3B4C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0.03</w:t>
            </w:r>
          </w:p>
        </w:tc>
      </w:tr>
      <w:tr w:rsidR="00035E37" w:rsidRPr="00A32EED" w14:paraId="3CF86FEF"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472911AA"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11</w:t>
            </w:r>
          </w:p>
        </w:tc>
        <w:tc>
          <w:tcPr>
            <w:tcW w:w="1080" w:type="dxa"/>
            <w:gridSpan w:val="2"/>
            <w:noWrap/>
            <w:hideMark/>
          </w:tcPr>
          <w:p w14:paraId="0D9789F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0.18</w:t>
            </w:r>
          </w:p>
        </w:tc>
        <w:tc>
          <w:tcPr>
            <w:tcW w:w="2790" w:type="dxa"/>
            <w:noWrap/>
            <w:hideMark/>
          </w:tcPr>
          <w:p w14:paraId="09948F1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0.13</w:t>
            </w:r>
          </w:p>
        </w:tc>
        <w:tc>
          <w:tcPr>
            <w:tcW w:w="3330" w:type="dxa"/>
            <w:noWrap/>
            <w:hideMark/>
          </w:tcPr>
          <w:p w14:paraId="23422E5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0.04</w:t>
            </w:r>
          </w:p>
        </w:tc>
      </w:tr>
      <w:tr w:rsidR="00035E37" w:rsidRPr="00A32EED" w14:paraId="7060F173"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21EB03BC"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12</w:t>
            </w:r>
          </w:p>
        </w:tc>
        <w:tc>
          <w:tcPr>
            <w:tcW w:w="1080" w:type="dxa"/>
            <w:gridSpan w:val="2"/>
            <w:noWrap/>
            <w:hideMark/>
          </w:tcPr>
          <w:p w14:paraId="4FFB09F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0.22</w:t>
            </w:r>
          </w:p>
        </w:tc>
        <w:tc>
          <w:tcPr>
            <w:tcW w:w="2790" w:type="dxa"/>
            <w:noWrap/>
            <w:hideMark/>
          </w:tcPr>
          <w:p w14:paraId="6CB9BA7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0.17</w:t>
            </w:r>
          </w:p>
        </w:tc>
        <w:tc>
          <w:tcPr>
            <w:tcW w:w="3330" w:type="dxa"/>
            <w:noWrap/>
            <w:hideMark/>
          </w:tcPr>
          <w:p w14:paraId="2C34605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0.04</w:t>
            </w:r>
          </w:p>
        </w:tc>
      </w:tr>
      <w:tr w:rsidR="00035E37" w:rsidRPr="00A32EED" w14:paraId="6539162C"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521BAEAE"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13</w:t>
            </w:r>
          </w:p>
        </w:tc>
        <w:tc>
          <w:tcPr>
            <w:tcW w:w="1080" w:type="dxa"/>
            <w:gridSpan w:val="2"/>
            <w:noWrap/>
            <w:hideMark/>
          </w:tcPr>
          <w:p w14:paraId="0B09244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0.27</w:t>
            </w:r>
          </w:p>
        </w:tc>
        <w:tc>
          <w:tcPr>
            <w:tcW w:w="2790" w:type="dxa"/>
            <w:noWrap/>
            <w:hideMark/>
          </w:tcPr>
          <w:p w14:paraId="78C07952"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0.22</w:t>
            </w:r>
          </w:p>
        </w:tc>
        <w:tc>
          <w:tcPr>
            <w:tcW w:w="3330" w:type="dxa"/>
            <w:noWrap/>
            <w:hideMark/>
          </w:tcPr>
          <w:p w14:paraId="0AFB495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0.05</w:t>
            </w:r>
          </w:p>
        </w:tc>
      </w:tr>
      <w:tr w:rsidR="00035E37" w:rsidRPr="00A32EED" w14:paraId="25166759"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5A147D16"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14</w:t>
            </w:r>
          </w:p>
        </w:tc>
        <w:tc>
          <w:tcPr>
            <w:tcW w:w="1080" w:type="dxa"/>
            <w:gridSpan w:val="2"/>
            <w:noWrap/>
            <w:hideMark/>
          </w:tcPr>
          <w:p w14:paraId="5F0F8C6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0.32</w:t>
            </w:r>
          </w:p>
        </w:tc>
        <w:tc>
          <w:tcPr>
            <w:tcW w:w="2790" w:type="dxa"/>
            <w:noWrap/>
            <w:hideMark/>
          </w:tcPr>
          <w:p w14:paraId="728B573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0.27</w:t>
            </w:r>
          </w:p>
        </w:tc>
        <w:tc>
          <w:tcPr>
            <w:tcW w:w="3330" w:type="dxa"/>
            <w:noWrap/>
            <w:hideMark/>
          </w:tcPr>
          <w:p w14:paraId="669CB69C"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0.05</w:t>
            </w:r>
          </w:p>
        </w:tc>
      </w:tr>
      <w:tr w:rsidR="00035E37" w:rsidRPr="00A32EED" w14:paraId="072DD9C3"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678791A7"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15</w:t>
            </w:r>
          </w:p>
        </w:tc>
        <w:tc>
          <w:tcPr>
            <w:tcW w:w="1080" w:type="dxa"/>
            <w:gridSpan w:val="2"/>
            <w:noWrap/>
            <w:hideMark/>
          </w:tcPr>
          <w:p w14:paraId="56EBA91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0.38</w:t>
            </w:r>
          </w:p>
        </w:tc>
        <w:tc>
          <w:tcPr>
            <w:tcW w:w="2790" w:type="dxa"/>
            <w:noWrap/>
            <w:hideMark/>
          </w:tcPr>
          <w:p w14:paraId="29C2564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0.33</w:t>
            </w:r>
          </w:p>
        </w:tc>
        <w:tc>
          <w:tcPr>
            <w:tcW w:w="3330" w:type="dxa"/>
            <w:noWrap/>
            <w:hideMark/>
          </w:tcPr>
          <w:p w14:paraId="1F75D9B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0.06</w:t>
            </w:r>
          </w:p>
        </w:tc>
      </w:tr>
      <w:tr w:rsidR="00035E37" w:rsidRPr="00A32EED" w14:paraId="25767AC6"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254" w:type="dxa"/>
            <w:gridSpan w:val="4"/>
            <w:noWrap/>
            <w:hideMark/>
          </w:tcPr>
          <w:p w14:paraId="0507BBA0" w14:textId="77777777" w:rsidR="004C4C39" w:rsidRPr="00A32EED" w:rsidRDefault="004C4C39" w:rsidP="004C4C39">
            <w:pPr>
              <w:rPr>
                <w:rFonts w:eastAsia="Times New Roman" w:cs="Arial"/>
                <w:color w:val="000000"/>
                <w:sz w:val="21"/>
              </w:rPr>
            </w:pPr>
            <w:r w:rsidRPr="00A32EED">
              <w:rPr>
                <w:rFonts w:eastAsia="Times New Roman" w:cs="Arial"/>
                <w:color w:val="000000"/>
                <w:sz w:val="21"/>
              </w:rPr>
              <w:t>Level of Harm</w:t>
            </w:r>
          </w:p>
        </w:tc>
        <w:tc>
          <w:tcPr>
            <w:tcW w:w="2790" w:type="dxa"/>
            <w:noWrap/>
            <w:hideMark/>
          </w:tcPr>
          <w:p w14:paraId="14B59BEE"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p>
        </w:tc>
        <w:tc>
          <w:tcPr>
            <w:tcW w:w="3330" w:type="dxa"/>
            <w:noWrap/>
            <w:hideMark/>
          </w:tcPr>
          <w:p w14:paraId="162BB2C9" w14:textId="77777777" w:rsidR="004C4C39" w:rsidRPr="00A32EED" w:rsidRDefault="004C4C39" w:rsidP="004C4C39">
            <w:pPr>
              <w:cnfStyle w:val="000000100000" w:firstRow="0" w:lastRow="0" w:firstColumn="0" w:lastColumn="0" w:oddVBand="0" w:evenVBand="0" w:oddHBand="1" w:evenHBand="0" w:firstRowFirstColumn="0" w:firstRowLastColumn="0" w:lastRowFirstColumn="0" w:lastRowLastColumn="0"/>
              <w:rPr>
                <w:rFonts w:eastAsia="Times New Roman" w:cs="Arial"/>
                <w:sz w:val="21"/>
                <w:szCs w:val="20"/>
              </w:rPr>
            </w:pPr>
          </w:p>
        </w:tc>
      </w:tr>
      <w:tr w:rsidR="00035E37" w:rsidRPr="00A32EED" w14:paraId="6B9C77BA"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4D50C8C8"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w:t>
            </w:r>
          </w:p>
        </w:tc>
        <w:tc>
          <w:tcPr>
            <w:tcW w:w="1080" w:type="dxa"/>
            <w:gridSpan w:val="2"/>
            <w:noWrap/>
            <w:hideMark/>
          </w:tcPr>
          <w:p w14:paraId="2F338C1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0.24</w:t>
            </w:r>
          </w:p>
        </w:tc>
        <w:tc>
          <w:tcPr>
            <w:tcW w:w="2790" w:type="dxa"/>
            <w:noWrap/>
            <w:hideMark/>
          </w:tcPr>
          <w:p w14:paraId="6792AD6A"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p>
        </w:tc>
        <w:tc>
          <w:tcPr>
            <w:tcW w:w="3330" w:type="dxa"/>
            <w:noWrap/>
            <w:hideMark/>
          </w:tcPr>
          <w:p w14:paraId="0113B1E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1"/>
                <w:szCs w:val="20"/>
              </w:rPr>
            </w:pPr>
          </w:p>
        </w:tc>
      </w:tr>
      <w:tr w:rsidR="00035E37" w:rsidRPr="00A32EED" w14:paraId="4B62920D"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6CAA1D18"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2</w:t>
            </w:r>
          </w:p>
        </w:tc>
        <w:tc>
          <w:tcPr>
            <w:tcW w:w="1080" w:type="dxa"/>
            <w:gridSpan w:val="2"/>
            <w:noWrap/>
            <w:hideMark/>
          </w:tcPr>
          <w:p w14:paraId="552B172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0.22</w:t>
            </w:r>
          </w:p>
        </w:tc>
        <w:tc>
          <w:tcPr>
            <w:tcW w:w="2790" w:type="dxa"/>
            <w:noWrap/>
            <w:hideMark/>
          </w:tcPr>
          <w:p w14:paraId="71233F1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c>
          <w:tcPr>
            <w:tcW w:w="3330" w:type="dxa"/>
            <w:noWrap/>
            <w:hideMark/>
          </w:tcPr>
          <w:p w14:paraId="7038BAC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r>
      <w:tr w:rsidR="00035E37" w:rsidRPr="00A32EED" w14:paraId="70120110"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1F89DF41"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3</w:t>
            </w:r>
          </w:p>
        </w:tc>
        <w:tc>
          <w:tcPr>
            <w:tcW w:w="1080" w:type="dxa"/>
            <w:gridSpan w:val="2"/>
            <w:noWrap/>
            <w:hideMark/>
          </w:tcPr>
          <w:p w14:paraId="074694F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0.20</w:t>
            </w:r>
          </w:p>
        </w:tc>
        <w:tc>
          <w:tcPr>
            <w:tcW w:w="2790" w:type="dxa"/>
            <w:noWrap/>
            <w:hideMark/>
          </w:tcPr>
          <w:p w14:paraId="39CE4F4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-0.04</w:t>
            </w:r>
          </w:p>
        </w:tc>
        <w:tc>
          <w:tcPr>
            <w:tcW w:w="3330" w:type="dxa"/>
            <w:noWrap/>
            <w:hideMark/>
          </w:tcPr>
          <w:p w14:paraId="3AC343E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r>
      <w:tr w:rsidR="00035E37" w:rsidRPr="00A32EED" w14:paraId="54794A6E"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7DBFA976"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4</w:t>
            </w:r>
          </w:p>
        </w:tc>
        <w:tc>
          <w:tcPr>
            <w:tcW w:w="1080" w:type="dxa"/>
            <w:gridSpan w:val="2"/>
            <w:noWrap/>
            <w:hideMark/>
          </w:tcPr>
          <w:p w14:paraId="3CD50E6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0.18</w:t>
            </w:r>
          </w:p>
        </w:tc>
        <w:tc>
          <w:tcPr>
            <w:tcW w:w="2790" w:type="dxa"/>
            <w:noWrap/>
            <w:hideMark/>
          </w:tcPr>
          <w:p w14:paraId="5495521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-0.06</w:t>
            </w:r>
          </w:p>
        </w:tc>
        <w:tc>
          <w:tcPr>
            <w:tcW w:w="3330" w:type="dxa"/>
            <w:noWrap/>
            <w:hideMark/>
          </w:tcPr>
          <w:p w14:paraId="7F7C092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r>
      <w:tr w:rsidR="00035E37" w:rsidRPr="00A32EED" w14:paraId="3759DF67"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2254" w:type="dxa"/>
            <w:gridSpan w:val="4"/>
            <w:noWrap/>
            <w:hideMark/>
          </w:tcPr>
          <w:p w14:paraId="67E09C04" w14:textId="5D5E5646" w:rsidR="00197BED" w:rsidRPr="00A32EED" w:rsidRDefault="00197BED" w:rsidP="004C4C39">
            <w:pPr>
              <w:rPr>
                <w:rFonts w:eastAsia="Times New Roman" w:cs="Arial"/>
                <w:color w:val="000000"/>
                <w:sz w:val="21"/>
              </w:rPr>
            </w:pPr>
            <w:r w:rsidRPr="00A32EED">
              <w:rPr>
                <w:rFonts w:eastAsia="Times New Roman" w:cs="Arial"/>
                <w:color w:val="000000"/>
                <w:sz w:val="21"/>
              </w:rPr>
              <w:t>Self-Control</w:t>
            </w:r>
          </w:p>
        </w:tc>
        <w:tc>
          <w:tcPr>
            <w:tcW w:w="2790" w:type="dxa"/>
            <w:noWrap/>
            <w:hideMark/>
          </w:tcPr>
          <w:p w14:paraId="2ECE3F10" w14:textId="77777777" w:rsidR="00197BED" w:rsidRPr="00A32EED" w:rsidRDefault="00197BED"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1"/>
                <w:szCs w:val="20"/>
              </w:rPr>
            </w:pPr>
          </w:p>
        </w:tc>
        <w:tc>
          <w:tcPr>
            <w:tcW w:w="3330" w:type="dxa"/>
            <w:noWrap/>
            <w:hideMark/>
          </w:tcPr>
          <w:p w14:paraId="39561B16" w14:textId="77777777" w:rsidR="00197BED" w:rsidRPr="00A32EED" w:rsidRDefault="00197BED" w:rsidP="004C4C39">
            <w:pPr>
              <w:cnfStyle w:val="000000000000" w:firstRow="0" w:lastRow="0" w:firstColumn="0" w:lastColumn="0" w:oddVBand="0" w:evenVBand="0" w:oddHBand="0" w:evenHBand="0" w:firstRowFirstColumn="0" w:firstRowLastColumn="0" w:lastRowFirstColumn="0" w:lastRowLastColumn="0"/>
              <w:rPr>
                <w:rFonts w:eastAsia="Times New Roman" w:cs="Arial"/>
                <w:sz w:val="21"/>
                <w:szCs w:val="20"/>
              </w:rPr>
            </w:pPr>
          </w:p>
        </w:tc>
      </w:tr>
      <w:tr w:rsidR="00035E37" w:rsidRPr="00A32EED" w14:paraId="46F74AF4"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0DDC460B"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0</w:t>
            </w:r>
          </w:p>
        </w:tc>
        <w:tc>
          <w:tcPr>
            <w:tcW w:w="1080" w:type="dxa"/>
            <w:gridSpan w:val="2"/>
            <w:noWrap/>
            <w:hideMark/>
          </w:tcPr>
          <w:p w14:paraId="5677BC6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0.38</w:t>
            </w:r>
          </w:p>
        </w:tc>
        <w:tc>
          <w:tcPr>
            <w:tcW w:w="2790" w:type="dxa"/>
            <w:noWrap/>
            <w:hideMark/>
          </w:tcPr>
          <w:p w14:paraId="4A82D1C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p>
        </w:tc>
        <w:tc>
          <w:tcPr>
            <w:tcW w:w="3330" w:type="dxa"/>
            <w:noWrap/>
            <w:hideMark/>
          </w:tcPr>
          <w:p w14:paraId="17B6481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1"/>
                <w:szCs w:val="20"/>
              </w:rPr>
            </w:pPr>
          </w:p>
        </w:tc>
      </w:tr>
      <w:tr w:rsidR="00035E37" w:rsidRPr="00A32EED" w14:paraId="4A097571"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180354E0"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w:t>
            </w:r>
          </w:p>
        </w:tc>
        <w:tc>
          <w:tcPr>
            <w:tcW w:w="1080" w:type="dxa"/>
            <w:gridSpan w:val="2"/>
            <w:noWrap/>
            <w:hideMark/>
          </w:tcPr>
          <w:p w14:paraId="52DBCDDF"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0.36</w:t>
            </w:r>
          </w:p>
        </w:tc>
        <w:tc>
          <w:tcPr>
            <w:tcW w:w="2790" w:type="dxa"/>
            <w:noWrap/>
            <w:hideMark/>
          </w:tcPr>
          <w:p w14:paraId="5575BC3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0.00</w:t>
            </w:r>
          </w:p>
        </w:tc>
        <w:tc>
          <w:tcPr>
            <w:tcW w:w="3330" w:type="dxa"/>
            <w:noWrap/>
            <w:hideMark/>
          </w:tcPr>
          <w:p w14:paraId="20C1E8B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r>
      <w:tr w:rsidR="00035E37" w:rsidRPr="00A32EED" w14:paraId="15D629FC"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67EB5C65"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2</w:t>
            </w:r>
          </w:p>
        </w:tc>
        <w:tc>
          <w:tcPr>
            <w:tcW w:w="1080" w:type="dxa"/>
            <w:gridSpan w:val="2"/>
            <w:noWrap/>
            <w:hideMark/>
          </w:tcPr>
          <w:p w14:paraId="4B44818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0.35</w:t>
            </w:r>
          </w:p>
        </w:tc>
        <w:tc>
          <w:tcPr>
            <w:tcW w:w="2790" w:type="dxa"/>
            <w:noWrap/>
            <w:hideMark/>
          </w:tcPr>
          <w:p w14:paraId="1E2B0FE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c>
          <w:tcPr>
            <w:tcW w:w="3330" w:type="dxa"/>
            <w:noWrap/>
            <w:hideMark/>
          </w:tcPr>
          <w:p w14:paraId="750D2F2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2200C12C"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54155B1F"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3</w:t>
            </w:r>
          </w:p>
        </w:tc>
        <w:tc>
          <w:tcPr>
            <w:tcW w:w="1080" w:type="dxa"/>
            <w:gridSpan w:val="2"/>
            <w:noWrap/>
            <w:hideMark/>
          </w:tcPr>
          <w:p w14:paraId="5255A56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0.34</w:t>
            </w:r>
          </w:p>
        </w:tc>
        <w:tc>
          <w:tcPr>
            <w:tcW w:w="2790" w:type="dxa"/>
            <w:noWrap/>
            <w:hideMark/>
          </w:tcPr>
          <w:p w14:paraId="3AB744E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-0.03</w:t>
            </w:r>
          </w:p>
        </w:tc>
        <w:tc>
          <w:tcPr>
            <w:tcW w:w="3330" w:type="dxa"/>
            <w:noWrap/>
            <w:hideMark/>
          </w:tcPr>
          <w:p w14:paraId="23DAF54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0BA43DE7"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11FF6BAF"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4</w:t>
            </w:r>
          </w:p>
        </w:tc>
        <w:tc>
          <w:tcPr>
            <w:tcW w:w="1080" w:type="dxa"/>
            <w:gridSpan w:val="2"/>
            <w:noWrap/>
            <w:hideMark/>
          </w:tcPr>
          <w:p w14:paraId="0ED2E2FB"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0.32</w:t>
            </w:r>
          </w:p>
        </w:tc>
        <w:tc>
          <w:tcPr>
            <w:tcW w:w="2790" w:type="dxa"/>
            <w:noWrap/>
            <w:hideMark/>
          </w:tcPr>
          <w:p w14:paraId="4B5A78D2"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-0.04</w:t>
            </w:r>
          </w:p>
        </w:tc>
        <w:tc>
          <w:tcPr>
            <w:tcW w:w="3330" w:type="dxa"/>
            <w:noWrap/>
            <w:hideMark/>
          </w:tcPr>
          <w:p w14:paraId="68D9EE9F"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-0.02</w:t>
            </w:r>
          </w:p>
        </w:tc>
      </w:tr>
      <w:tr w:rsidR="00035E37" w:rsidRPr="00A32EED" w14:paraId="3F5A9E9B"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36E78F3A"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5</w:t>
            </w:r>
          </w:p>
        </w:tc>
        <w:tc>
          <w:tcPr>
            <w:tcW w:w="1080" w:type="dxa"/>
            <w:gridSpan w:val="2"/>
            <w:noWrap/>
            <w:hideMark/>
          </w:tcPr>
          <w:p w14:paraId="6C6E6269"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0.31</w:t>
            </w:r>
          </w:p>
        </w:tc>
        <w:tc>
          <w:tcPr>
            <w:tcW w:w="2790" w:type="dxa"/>
            <w:noWrap/>
            <w:hideMark/>
          </w:tcPr>
          <w:p w14:paraId="61C234C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-0.06</w:t>
            </w:r>
          </w:p>
        </w:tc>
        <w:tc>
          <w:tcPr>
            <w:tcW w:w="3330" w:type="dxa"/>
            <w:noWrap/>
            <w:hideMark/>
          </w:tcPr>
          <w:p w14:paraId="726FA00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71EE8B0C"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1283828B"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6</w:t>
            </w:r>
          </w:p>
        </w:tc>
        <w:tc>
          <w:tcPr>
            <w:tcW w:w="1080" w:type="dxa"/>
            <w:gridSpan w:val="2"/>
            <w:noWrap/>
            <w:hideMark/>
          </w:tcPr>
          <w:p w14:paraId="5A33C6F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0.30</w:t>
            </w:r>
          </w:p>
        </w:tc>
        <w:tc>
          <w:tcPr>
            <w:tcW w:w="2790" w:type="dxa"/>
            <w:noWrap/>
            <w:hideMark/>
          </w:tcPr>
          <w:p w14:paraId="0F65D67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-0.07</w:t>
            </w:r>
          </w:p>
        </w:tc>
        <w:tc>
          <w:tcPr>
            <w:tcW w:w="3330" w:type="dxa"/>
            <w:noWrap/>
            <w:hideMark/>
          </w:tcPr>
          <w:p w14:paraId="50E1650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51BB9EF5"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675937B4"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7</w:t>
            </w:r>
          </w:p>
        </w:tc>
        <w:tc>
          <w:tcPr>
            <w:tcW w:w="1080" w:type="dxa"/>
            <w:gridSpan w:val="2"/>
            <w:noWrap/>
            <w:hideMark/>
          </w:tcPr>
          <w:p w14:paraId="64BAE76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0.29</w:t>
            </w:r>
          </w:p>
        </w:tc>
        <w:tc>
          <w:tcPr>
            <w:tcW w:w="2790" w:type="dxa"/>
            <w:noWrap/>
            <w:hideMark/>
          </w:tcPr>
          <w:p w14:paraId="714C53A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-0.08</w:t>
            </w:r>
          </w:p>
        </w:tc>
        <w:tc>
          <w:tcPr>
            <w:tcW w:w="3330" w:type="dxa"/>
            <w:noWrap/>
            <w:hideMark/>
          </w:tcPr>
          <w:p w14:paraId="1832037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7F5F1E81"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25CDF5B9"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8</w:t>
            </w:r>
          </w:p>
        </w:tc>
        <w:tc>
          <w:tcPr>
            <w:tcW w:w="1080" w:type="dxa"/>
            <w:gridSpan w:val="2"/>
            <w:noWrap/>
            <w:hideMark/>
          </w:tcPr>
          <w:p w14:paraId="6958701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0.28</w:t>
            </w:r>
          </w:p>
        </w:tc>
        <w:tc>
          <w:tcPr>
            <w:tcW w:w="2790" w:type="dxa"/>
            <w:noWrap/>
            <w:hideMark/>
          </w:tcPr>
          <w:p w14:paraId="00D0A01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-0.09</w:t>
            </w:r>
          </w:p>
        </w:tc>
        <w:tc>
          <w:tcPr>
            <w:tcW w:w="3330" w:type="dxa"/>
            <w:noWrap/>
            <w:hideMark/>
          </w:tcPr>
          <w:p w14:paraId="5E9B1AC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0E0E425D"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7F223AD6"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9</w:t>
            </w:r>
          </w:p>
        </w:tc>
        <w:tc>
          <w:tcPr>
            <w:tcW w:w="1080" w:type="dxa"/>
            <w:gridSpan w:val="2"/>
            <w:noWrap/>
            <w:hideMark/>
          </w:tcPr>
          <w:p w14:paraId="5F382D3C"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0.27</w:t>
            </w:r>
          </w:p>
        </w:tc>
        <w:tc>
          <w:tcPr>
            <w:tcW w:w="2790" w:type="dxa"/>
            <w:noWrap/>
            <w:hideMark/>
          </w:tcPr>
          <w:p w14:paraId="092C3CA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-0.10</w:t>
            </w:r>
          </w:p>
        </w:tc>
        <w:tc>
          <w:tcPr>
            <w:tcW w:w="3330" w:type="dxa"/>
            <w:noWrap/>
            <w:hideMark/>
          </w:tcPr>
          <w:p w14:paraId="011E9A3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0543D78D"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5414A73A"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10</w:t>
            </w:r>
          </w:p>
        </w:tc>
        <w:tc>
          <w:tcPr>
            <w:tcW w:w="1080" w:type="dxa"/>
            <w:gridSpan w:val="2"/>
            <w:noWrap/>
            <w:hideMark/>
          </w:tcPr>
          <w:p w14:paraId="37603F50"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0.26</w:t>
            </w:r>
          </w:p>
        </w:tc>
        <w:tc>
          <w:tcPr>
            <w:tcW w:w="2790" w:type="dxa"/>
            <w:noWrap/>
            <w:hideMark/>
          </w:tcPr>
          <w:p w14:paraId="0269BD2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-0.11</w:t>
            </w:r>
          </w:p>
        </w:tc>
        <w:tc>
          <w:tcPr>
            <w:tcW w:w="3330" w:type="dxa"/>
            <w:noWrap/>
            <w:hideMark/>
          </w:tcPr>
          <w:p w14:paraId="2D893F08"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2DFF0855"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16B0E4D6"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11</w:t>
            </w:r>
          </w:p>
        </w:tc>
        <w:tc>
          <w:tcPr>
            <w:tcW w:w="1080" w:type="dxa"/>
            <w:gridSpan w:val="2"/>
            <w:noWrap/>
            <w:hideMark/>
          </w:tcPr>
          <w:p w14:paraId="1B47AA7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0.25</w:t>
            </w:r>
          </w:p>
        </w:tc>
        <w:tc>
          <w:tcPr>
            <w:tcW w:w="2790" w:type="dxa"/>
            <w:noWrap/>
            <w:hideMark/>
          </w:tcPr>
          <w:p w14:paraId="2762ED46"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-0.12</w:t>
            </w:r>
          </w:p>
        </w:tc>
        <w:tc>
          <w:tcPr>
            <w:tcW w:w="3330" w:type="dxa"/>
            <w:noWrap/>
            <w:hideMark/>
          </w:tcPr>
          <w:p w14:paraId="193554B3"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6F47D624"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2BEF6C4A"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12</w:t>
            </w:r>
          </w:p>
        </w:tc>
        <w:tc>
          <w:tcPr>
            <w:tcW w:w="1080" w:type="dxa"/>
            <w:gridSpan w:val="2"/>
            <w:noWrap/>
            <w:hideMark/>
          </w:tcPr>
          <w:p w14:paraId="1B1A0A5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0.24</w:t>
            </w:r>
          </w:p>
        </w:tc>
        <w:tc>
          <w:tcPr>
            <w:tcW w:w="2790" w:type="dxa"/>
            <w:noWrap/>
            <w:hideMark/>
          </w:tcPr>
          <w:p w14:paraId="510B223D"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-0.13</w:t>
            </w:r>
          </w:p>
        </w:tc>
        <w:tc>
          <w:tcPr>
            <w:tcW w:w="3330" w:type="dxa"/>
            <w:noWrap/>
            <w:hideMark/>
          </w:tcPr>
          <w:p w14:paraId="332D635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53FDF791"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31EF1A5D"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13</w:t>
            </w:r>
          </w:p>
        </w:tc>
        <w:tc>
          <w:tcPr>
            <w:tcW w:w="1080" w:type="dxa"/>
            <w:gridSpan w:val="2"/>
            <w:noWrap/>
            <w:hideMark/>
          </w:tcPr>
          <w:p w14:paraId="3CD3423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0.23</w:t>
            </w:r>
          </w:p>
        </w:tc>
        <w:tc>
          <w:tcPr>
            <w:tcW w:w="2790" w:type="dxa"/>
            <w:noWrap/>
            <w:hideMark/>
          </w:tcPr>
          <w:p w14:paraId="0FA02F6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-0.14</w:t>
            </w:r>
          </w:p>
        </w:tc>
        <w:tc>
          <w:tcPr>
            <w:tcW w:w="3330" w:type="dxa"/>
            <w:noWrap/>
            <w:hideMark/>
          </w:tcPr>
          <w:p w14:paraId="0F47E3E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63C14242"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510F64CB"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14</w:t>
            </w:r>
          </w:p>
        </w:tc>
        <w:tc>
          <w:tcPr>
            <w:tcW w:w="1080" w:type="dxa"/>
            <w:gridSpan w:val="2"/>
            <w:noWrap/>
            <w:hideMark/>
          </w:tcPr>
          <w:p w14:paraId="569AA7E5"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0.22</w:t>
            </w:r>
          </w:p>
        </w:tc>
        <w:tc>
          <w:tcPr>
            <w:tcW w:w="2790" w:type="dxa"/>
            <w:noWrap/>
            <w:hideMark/>
          </w:tcPr>
          <w:p w14:paraId="0627E877"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-0.15</w:t>
            </w:r>
          </w:p>
        </w:tc>
        <w:tc>
          <w:tcPr>
            <w:tcW w:w="3330" w:type="dxa"/>
            <w:noWrap/>
            <w:hideMark/>
          </w:tcPr>
          <w:p w14:paraId="440DE2C4"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13515F26"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0817BBA4"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15</w:t>
            </w:r>
          </w:p>
        </w:tc>
        <w:tc>
          <w:tcPr>
            <w:tcW w:w="1080" w:type="dxa"/>
            <w:gridSpan w:val="2"/>
            <w:noWrap/>
            <w:hideMark/>
          </w:tcPr>
          <w:p w14:paraId="11863801"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0.21</w:t>
            </w:r>
          </w:p>
        </w:tc>
        <w:tc>
          <w:tcPr>
            <w:tcW w:w="2790" w:type="dxa"/>
            <w:noWrap/>
            <w:hideMark/>
          </w:tcPr>
          <w:p w14:paraId="651F456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-0.16</w:t>
            </w:r>
          </w:p>
        </w:tc>
        <w:tc>
          <w:tcPr>
            <w:tcW w:w="3330" w:type="dxa"/>
            <w:noWrap/>
            <w:hideMark/>
          </w:tcPr>
          <w:p w14:paraId="7BB61505"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349D98B6"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33BBF1DF"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16</w:t>
            </w:r>
          </w:p>
        </w:tc>
        <w:tc>
          <w:tcPr>
            <w:tcW w:w="1080" w:type="dxa"/>
            <w:gridSpan w:val="2"/>
            <w:noWrap/>
            <w:hideMark/>
          </w:tcPr>
          <w:p w14:paraId="4C3AD34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0.20</w:t>
            </w:r>
          </w:p>
        </w:tc>
        <w:tc>
          <w:tcPr>
            <w:tcW w:w="2790" w:type="dxa"/>
            <w:noWrap/>
            <w:hideMark/>
          </w:tcPr>
          <w:p w14:paraId="07C8076A"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-0.17</w:t>
            </w:r>
          </w:p>
        </w:tc>
        <w:tc>
          <w:tcPr>
            <w:tcW w:w="3330" w:type="dxa"/>
            <w:noWrap/>
            <w:hideMark/>
          </w:tcPr>
          <w:p w14:paraId="1FD11EF6"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29C7BCB0"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1CF853B0"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17</w:t>
            </w:r>
          </w:p>
        </w:tc>
        <w:tc>
          <w:tcPr>
            <w:tcW w:w="1080" w:type="dxa"/>
            <w:gridSpan w:val="2"/>
            <w:noWrap/>
            <w:hideMark/>
          </w:tcPr>
          <w:p w14:paraId="7DAF4B0B"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0.19</w:t>
            </w:r>
          </w:p>
        </w:tc>
        <w:tc>
          <w:tcPr>
            <w:tcW w:w="2790" w:type="dxa"/>
            <w:noWrap/>
            <w:hideMark/>
          </w:tcPr>
          <w:p w14:paraId="48DEE978"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-0.18</w:t>
            </w:r>
          </w:p>
        </w:tc>
        <w:tc>
          <w:tcPr>
            <w:tcW w:w="3330" w:type="dxa"/>
            <w:noWrap/>
            <w:hideMark/>
          </w:tcPr>
          <w:p w14:paraId="2AAF7FD4"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17F13836"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6E9E6927"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18</w:t>
            </w:r>
          </w:p>
        </w:tc>
        <w:tc>
          <w:tcPr>
            <w:tcW w:w="1080" w:type="dxa"/>
            <w:gridSpan w:val="2"/>
            <w:noWrap/>
            <w:hideMark/>
          </w:tcPr>
          <w:p w14:paraId="4E34E65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0.19</w:t>
            </w:r>
          </w:p>
        </w:tc>
        <w:tc>
          <w:tcPr>
            <w:tcW w:w="2790" w:type="dxa"/>
            <w:noWrap/>
            <w:hideMark/>
          </w:tcPr>
          <w:p w14:paraId="5E767EE3"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-0.19</w:t>
            </w:r>
          </w:p>
        </w:tc>
        <w:tc>
          <w:tcPr>
            <w:tcW w:w="3330" w:type="dxa"/>
            <w:noWrap/>
            <w:hideMark/>
          </w:tcPr>
          <w:p w14:paraId="02EEA30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0.00</w:t>
            </w:r>
          </w:p>
        </w:tc>
      </w:tr>
      <w:tr w:rsidR="00035E37" w:rsidRPr="00A32EED" w14:paraId="2749DF7D" w14:textId="77777777" w:rsidTr="00035E37">
        <w:trPr>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1C061BFB"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19</w:t>
            </w:r>
          </w:p>
        </w:tc>
        <w:tc>
          <w:tcPr>
            <w:tcW w:w="1080" w:type="dxa"/>
            <w:gridSpan w:val="2"/>
            <w:noWrap/>
            <w:hideMark/>
          </w:tcPr>
          <w:p w14:paraId="316C24AE"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0.18</w:t>
            </w:r>
          </w:p>
        </w:tc>
        <w:tc>
          <w:tcPr>
            <w:tcW w:w="2790" w:type="dxa"/>
            <w:noWrap/>
            <w:hideMark/>
          </w:tcPr>
          <w:p w14:paraId="1CC7FF67"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-0.19</w:t>
            </w:r>
          </w:p>
        </w:tc>
        <w:tc>
          <w:tcPr>
            <w:tcW w:w="3330" w:type="dxa"/>
            <w:noWrap/>
            <w:hideMark/>
          </w:tcPr>
          <w:p w14:paraId="3F9DE43D" w14:textId="77777777" w:rsidR="004C4C39" w:rsidRPr="00A32EED" w:rsidRDefault="004C4C39" w:rsidP="004C4C39">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r w:rsidR="00035E37" w:rsidRPr="00A32EED" w14:paraId="16D26A2B" w14:textId="77777777" w:rsidTr="00035E3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4" w:type="dxa"/>
            <w:gridSpan w:val="2"/>
            <w:noWrap/>
            <w:hideMark/>
          </w:tcPr>
          <w:p w14:paraId="580F8464" w14:textId="77777777" w:rsidR="004C4C39" w:rsidRPr="00A32EED" w:rsidRDefault="004C4C39" w:rsidP="004C4C39">
            <w:pPr>
              <w:jc w:val="center"/>
              <w:rPr>
                <w:rFonts w:eastAsia="Times New Roman" w:cs="Arial"/>
                <w:color w:val="000000"/>
                <w:sz w:val="21"/>
              </w:rPr>
            </w:pPr>
            <w:r w:rsidRPr="00A32EED">
              <w:rPr>
                <w:rFonts w:eastAsia="Times New Roman" w:cs="Arial"/>
                <w:color w:val="000000"/>
                <w:sz w:val="21"/>
              </w:rPr>
              <w:t>20</w:t>
            </w:r>
          </w:p>
        </w:tc>
        <w:tc>
          <w:tcPr>
            <w:tcW w:w="1080" w:type="dxa"/>
            <w:gridSpan w:val="2"/>
            <w:noWrap/>
            <w:hideMark/>
          </w:tcPr>
          <w:p w14:paraId="6656E331"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0.17</w:t>
            </w:r>
          </w:p>
        </w:tc>
        <w:tc>
          <w:tcPr>
            <w:tcW w:w="2790" w:type="dxa"/>
            <w:noWrap/>
            <w:hideMark/>
          </w:tcPr>
          <w:p w14:paraId="2E56BA19"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-0.21</w:t>
            </w:r>
          </w:p>
        </w:tc>
        <w:tc>
          <w:tcPr>
            <w:tcW w:w="3330" w:type="dxa"/>
            <w:noWrap/>
            <w:hideMark/>
          </w:tcPr>
          <w:p w14:paraId="502E2F1E" w14:textId="77777777" w:rsidR="004C4C39" w:rsidRPr="00A32EED" w:rsidRDefault="004C4C39" w:rsidP="004C4C3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1"/>
              </w:rPr>
            </w:pPr>
            <w:r w:rsidRPr="00A32EED">
              <w:rPr>
                <w:rFonts w:eastAsia="Times New Roman" w:cs="Arial"/>
                <w:color w:val="000000"/>
                <w:sz w:val="21"/>
              </w:rPr>
              <w:t>-0.01</w:t>
            </w:r>
          </w:p>
        </w:tc>
      </w:tr>
    </w:tbl>
    <w:p w14:paraId="213FA60D" w14:textId="77777777" w:rsidR="004C4C39" w:rsidRPr="00A32EED" w:rsidRDefault="004C4C39" w:rsidP="004C4C39">
      <w:pPr>
        <w:spacing w:after="0" w:line="480" w:lineRule="auto"/>
        <w:rPr>
          <w:rFonts w:eastAsia="Calibri"/>
          <w:iCs/>
          <w:color w:val="000000"/>
          <w:szCs w:val="18"/>
        </w:rPr>
      </w:pPr>
      <w:r w:rsidRPr="00A32EED">
        <w:rPr>
          <w:rFonts w:eastAsia="Calibri"/>
          <w:iCs/>
          <w:color w:val="000000"/>
          <w:szCs w:val="18"/>
        </w:rPr>
        <w:lastRenderedPageBreak/>
        <w:tab/>
        <w:t xml:space="preserve">The AAPs range from .05 at six years old to .38 at 15 years old, which represents an AME of .33 when comparing the youngest at baseline to the oldest. The table also shows that the AME from one value to the next slightly increases with age. Specifically, each year from ages 6-9 is associated with a .02 increase, age 10 a .03, ages 11-12 .04, age 13-14 .05, and finally age 15 .06. The AAPs for age at baseline overall and by gender can be found in Figure 6.1. In addition to showing the growing AME for each year older at baseline, the graph also shows that as age at baseline increases, the difference between males and females increases. Specifically, at age 6, they are within nearly .02 of each other, and this difference grows to over .15. In other words, although 6-year-old male and female children have similar levels of criminal justice contact, the odds grow at a faster rate for males than females. </w:t>
      </w:r>
    </w:p>
    <w:p w14:paraId="21D1FD91" w14:textId="77777777" w:rsidR="004C4C39" w:rsidRPr="00A32EED" w:rsidRDefault="004C4C39" w:rsidP="004C4C39">
      <w:pPr>
        <w:spacing w:after="0" w:line="480" w:lineRule="auto"/>
        <w:rPr>
          <w:rFonts w:eastAsia="Calibri"/>
          <w:iCs/>
          <w:color w:val="000000"/>
          <w:szCs w:val="18"/>
        </w:rPr>
      </w:pPr>
      <w:r w:rsidRPr="00A32EED">
        <w:rPr>
          <w:rFonts w:eastAsia="Calibri"/>
          <w:iCs/>
          <w:color w:val="000000"/>
          <w:szCs w:val="18"/>
        </w:rPr>
        <w:tab/>
        <w:t>The AAPs for the level of harm range from .24 at the lowest level of harm, to .18 at the most severe level of harm. This represents an AME of .06 from the least severe cases to the most severe. Regarding AMEs from preceding level of harm, every increase in the level of harm is associated with AME of .02. Figure 6.2 presents the overall AAPs and AAPs by gender. Overall, we see that males have a higher probability of criminal justice contact across all levels of harm and unlike with age, the difference does not appear to be linked to the level of harm. Although the relationship is not significant, it is interesting that as the level of harm increases, the odds of criminal justice contact decreases. This decrease became more pronounced with the addition of the interaction between level of harm and sexual abuse.</w:t>
      </w:r>
    </w:p>
    <w:p w14:paraId="0FF96A09" w14:textId="77777777" w:rsidR="004C4C39" w:rsidRPr="00A32EED" w:rsidRDefault="004C4C39" w:rsidP="0023176A">
      <w:pPr>
        <w:pStyle w:val="Caption1"/>
        <w:rPr>
          <w:rFonts w:eastAsia="Calibri"/>
        </w:rPr>
      </w:pPr>
      <w:bookmarkStart w:id="141" w:name="_Toc479941249"/>
      <w:r w:rsidRPr="00A32EED">
        <w:rPr>
          <w:rFonts w:eastAsia="Calibri"/>
        </w:rPr>
        <w:lastRenderedPageBreak/>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1</w:t>
      </w:r>
      <w:r w:rsidRPr="00A32EED">
        <w:rPr>
          <w:rFonts w:eastAsia="Calibri"/>
          <w:noProof/>
        </w:rPr>
        <w:fldChar w:fldCharType="end"/>
      </w:r>
      <w:r w:rsidRPr="00A32EED">
        <w:rPr>
          <w:rFonts w:eastAsia="Calibri"/>
        </w:rPr>
        <w:t>: Average Adjusted Probabilities of Criminal Justice Contact by Age and Gender</w:t>
      </w:r>
      <w:bookmarkEnd w:id="141"/>
    </w:p>
    <w:p w14:paraId="6E65A43F" w14:textId="77777777" w:rsidR="004C4C39" w:rsidRPr="00A32EED" w:rsidRDefault="004C4C39" w:rsidP="004C4C39">
      <w:pPr>
        <w:keepNext/>
        <w:spacing w:after="0" w:line="480" w:lineRule="auto"/>
        <w:rPr>
          <w:rFonts w:eastAsia="Calibri"/>
        </w:rPr>
      </w:pPr>
      <w:r w:rsidRPr="00A32EED">
        <w:rPr>
          <w:rFonts w:eastAsia="Calibri"/>
          <w:iCs/>
          <w:noProof/>
          <w:color w:val="000000"/>
          <w:szCs w:val="18"/>
        </w:rPr>
        <w:drawing>
          <wp:inline distT="0" distB="0" distL="0" distR="0" wp14:anchorId="4CC3D119" wp14:editId="0F3995BC">
            <wp:extent cx="5029402" cy="3657371"/>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6503" name="CJ_AAP_ag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402" cy="3657371"/>
                    </a:xfrm>
                    <a:prstGeom prst="rect">
                      <a:avLst/>
                    </a:prstGeom>
                  </pic:spPr>
                </pic:pic>
              </a:graphicData>
            </a:graphic>
          </wp:inline>
        </w:drawing>
      </w:r>
    </w:p>
    <w:p w14:paraId="4C5B01F1" w14:textId="77777777" w:rsidR="004C4C39" w:rsidRPr="00A32EED" w:rsidRDefault="004C4C39" w:rsidP="004C4C39">
      <w:pPr>
        <w:keepNext/>
        <w:rPr>
          <w:rFonts w:eastAsia="Calibri"/>
          <w:i/>
          <w:iCs/>
          <w:color w:val="000000"/>
          <w:szCs w:val="18"/>
        </w:rPr>
      </w:pPr>
    </w:p>
    <w:p w14:paraId="5A665A88" w14:textId="77777777" w:rsidR="004C4C39" w:rsidRPr="00A32EED" w:rsidRDefault="004C4C39" w:rsidP="004C4C39">
      <w:pPr>
        <w:keepNext/>
        <w:rPr>
          <w:rFonts w:eastAsia="Calibri"/>
          <w:i/>
          <w:iCs/>
          <w:color w:val="000000"/>
          <w:szCs w:val="18"/>
        </w:rPr>
      </w:pPr>
    </w:p>
    <w:p w14:paraId="23AC0766" w14:textId="77777777" w:rsidR="004C4C39" w:rsidRPr="00A32EED" w:rsidRDefault="004C4C39" w:rsidP="004C4C39">
      <w:pPr>
        <w:keepNext/>
        <w:rPr>
          <w:rFonts w:eastAsia="Calibri"/>
          <w:i/>
          <w:iCs/>
          <w:color w:val="000000"/>
          <w:szCs w:val="18"/>
        </w:rPr>
      </w:pPr>
    </w:p>
    <w:p w14:paraId="19A48E6D" w14:textId="77777777" w:rsidR="004C4C39" w:rsidRPr="00A32EED" w:rsidRDefault="004C4C39" w:rsidP="004C4C39">
      <w:pPr>
        <w:keepNext/>
        <w:rPr>
          <w:rFonts w:eastAsia="Calibri"/>
          <w:i/>
          <w:iCs/>
          <w:color w:val="000000"/>
          <w:szCs w:val="18"/>
        </w:rPr>
      </w:pPr>
    </w:p>
    <w:p w14:paraId="58F8B22E" w14:textId="77777777" w:rsidR="004C4C39" w:rsidRPr="00A32EED" w:rsidRDefault="004C4C39" w:rsidP="004C4C39">
      <w:pPr>
        <w:keepNext/>
        <w:rPr>
          <w:rFonts w:eastAsia="Calibri"/>
          <w:i/>
          <w:iCs/>
          <w:color w:val="000000"/>
          <w:szCs w:val="18"/>
        </w:rPr>
      </w:pPr>
    </w:p>
    <w:p w14:paraId="57D86C98" w14:textId="77777777" w:rsidR="004C4C39" w:rsidRPr="00A32EED" w:rsidRDefault="004C4C39" w:rsidP="004C4C39">
      <w:pPr>
        <w:keepNext/>
        <w:rPr>
          <w:rFonts w:eastAsia="Calibri"/>
          <w:i/>
          <w:iCs/>
          <w:color w:val="000000"/>
          <w:szCs w:val="18"/>
        </w:rPr>
      </w:pPr>
    </w:p>
    <w:p w14:paraId="24CAF3EA" w14:textId="77777777" w:rsidR="004C4C39" w:rsidRPr="00A32EED" w:rsidRDefault="004C4C39" w:rsidP="004C4C39">
      <w:pPr>
        <w:keepNext/>
        <w:rPr>
          <w:rFonts w:eastAsia="Calibri"/>
          <w:i/>
          <w:iCs/>
          <w:color w:val="000000"/>
          <w:szCs w:val="18"/>
        </w:rPr>
      </w:pPr>
    </w:p>
    <w:p w14:paraId="18FC12AE" w14:textId="77777777" w:rsidR="004C4C39" w:rsidRPr="00A32EED" w:rsidRDefault="004C4C39" w:rsidP="004C4C39">
      <w:pPr>
        <w:keepNext/>
        <w:rPr>
          <w:rFonts w:eastAsia="Calibri"/>
          <w:i/>
          <w:iCs/>
          <w:color w:val="000000"/>
          <w:szCs w:val="18"/>
        </w:rPr>
      </w:pPr>
    </w:p>
    <w:p w14:paraId="1965594E" w14:textId="77777777" w:rsidR="004C4C39" w:rsidRPr="00A32EED" w:rsidRDefault="004C4C39" w:rsidP="004C4C39">
      <w:pPr>
        <w:keepNext/>
        <w:rPr>
          <w:rFonts w:eastAsia="Calibri"/>
          <w:i/>
          <w:iCs/>
          <w:color w:val="000000"/>
          <w:szCs w:val="18"/>
        </w:rPr>
      </w:pPr>
    </w:p>
    <w:p w14:paraId="601FD2BC" w14:textId="77777777" w:rsidR="004C4C39" w:rsidRPr="00A32EED" w:rsidRDefault="004C4C39" w:rsidP="004C4C39">
      <w:pPr>
        <w:keepNext/>
        <w:rPr>
          <w:rFonts w:eastAsia="Calibri"/>
          <w:i/>
          <w:iCs/>
          <w:color w:val="000000"/>
          <w:szCs w:val="18"/>
        </w:rPr>
      </w:pPr>
    </w:p>
    <w:p w14:paraId="3FE4687D" w14:textId="77777777" w:rsidR="004C4C39" w:rsidRPr="00A32EED" w:rsidRDefault="004C4C39" w:rsidP="004C4C39">
      <w:pPr>
        <w:keepNext/>
        <w:rPr>
          <w:rFonts w:eastAsia="Calibri"/>
          <w:i/>
          <w:iCs/>
          <w:color w:val="000000"/>
          <w:szCs w:val="18"/>
        </w:rPr>
      </w:pPr>
    </w:p>
    <w:p w14:paraId="3889565B" w14:textId="77777777" w:rsidR="004C4C39" w:rsidRPr="00A32EED" w:rsidRDefault="004C4C39" w:rsidP="004C4C39">
      <w:pPr>
        <w:keepNext/>
        <w:rPr>
          <w:rFonts w:eastAsia="Calibri"/>
          <w:i/>
          <w:iCs/>
          <w:color w:val="000000"/>
          <w:szCs w:val="18"/>
        </w:rPr>
      </w:pPr>
    </w:p>
    <w:p w14:paraId="07C2BDD3" w14:textId="77777777" w:rsidR="004C4C39" w:rsidRPr="00A32EED" w:rsidRDefault="004C4C39" w:rsidP="0023176A">
      <w:pPr>
        <w:pStyle w:val="Caption1"/>
        <w:rPr>
          <w:rFonts w:eastAsia="Calibri"/>
        </w:rPr>
      </w:pPr>
      <w:bookmarkStart w:id="142" w:name="_Toc479941250"/>
      <w:r w:rsidRPr="00A32EED">
        <w:rPr>
          <w:rFonts w:eastAsia="Calibri"/>
        </w:rPr>
        <w:lastRenderedPageBreak/>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2</w:t>
      </w:r>
      <w:r w:rsidRPr="00A32EED">
        <w:rPr>
          <w:rFonts w:eastAsia="Calibri"/>
          <w:noProof/>
        </w:rPr>
        <w:fldChar w:fldCharType="end"/>
      </w:r>
      <w:r w:rsidRPr="00A32EED">
        <w:rPr>
          <w:rFonts w:eastAsia="Calibri"/>
        </w:rPr>
        <w:t>: Average Adjusted Probabilities of Criminal Justice Contact by Level of Harm and Gender</w:t>
      </w:r>
      <w:bookmarkEnd w:id="142"/>
    </w:p>
    <w:p w14:paraId="54F8F62F" w14:textId="77777777" w:rsidR="004C4C39" w:rsidRPr="00A32EED" w:rsidRDefault="004C4C39" w:rsidP="004C4C39">
      <w:pPr>
        <w:spacing w:after="0" w:line="480" w:lineRule="auto"/>
        <w:rPr>
          <w:rFonts w:eastAsia="Calibri"/>
          <w:iCs/>
          <w:color w:val="000000"/>
          <w:szCs w:val="18"/>
        </w:rPr>
      </w:pPr>
      <w:r w:rsidRPr="00A32EED">
        <w:rPr>
          <w:rFonts w:eastAsia="Calibri"/>
          <w:iCs/>
          <w:noProof/>
          <w:color w:val="000000"/>
          <w:szCs w:val="18"/>
        </w:rPr>
        <w:drawing>
          <wp:inline distT="0" distB="0" distL="0" distR="0" wp14:anchorId="2F32051F" wp14:editId="2CFB361A">
            <wp:extent cx="5029402" cy="3655860"/>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5139" name="CJ_AAP_loh.png"/>
                    <pic:cNvPicPr/>
                  </pic:nvPicPr>
                  <pic:blipFill>
                    <a:blip r:embed="rId22">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65B94AE2" w14:textId="77777777" w:rsidR="003574FE" w:rsidRDefault="003574FE" w:rsidP="004C4C39">
      <w:pPr>
        <w:spacing w:after="0" w:line="480" w:lineRule="auto"/>
        <w:ind w:firstLine="720"/>
        <w:rPr>
          <w:rFonts w:eastAsia="Calibri"/>
        </w:rPr>
      </w:pPr>
    </w:p>
    <w:p w14:paraId="6E093B31" w14:textId="77777777" w:rsidR="004C4C39" w:rsidRPr="00A32EED" w:rsidRDefault="004C4C39" w:rsidP="004C4C39">
      <w:pPr>
        <w:spacing w:after="0" w:line="480" w:lineRule="auto"/>
        <w:ind w:firstLine="720"/>
        <w:rPr>
          <w:rFonts w:eastAsia="Calibri"/>
        </w:rPr>
      </w:pPr>
      <w:r w:rsidRPr="00A32EED">
        <w:rPr>
          <w:rFonts w:eastAsia="Calibri"/>
        </w:rPr>
        <w:t xml:space="preserve">The same process was used to explore the relationship between self-control and the odds of criminal justice contact. Predictive margins reveal the expected relationship that the odds of criminal justice contact decrease as self-control increases. The AAP for those with the lowest self-control score is .38, while the AAP for those with the highest score is .17. This represents an AME from the lowest score (0) to highest score (20) of -.21. Apart from the changes from 0-1 and 3-4 in self-control scores, each unit increase results in an AME of -.01 on criminal justice contact. A graph showing the AAPs of criminal justice contact for self-control scores can be found in Figure 6.3. Results show that across all self-control scores, males exhibit a higher probability of criminal </w:t>
      </w:r>
      <w:r w:rsidRPr="00A32EED">
        <w:rPr>
          <w:rFonts w:eastAsia="Calibri"/>
        </w:rPr>
        <w:lastRenderedPageBreak/>
        <w:t xml:space="preserve">justice contact than females. Despite a small widening of the gap between males and females for scores between 10-16, the gap between genders remains relatively consistent. </w:t>
      </w:r>
    </w:p>
    <w:p w14:paraId="7330C9FF" w14:textId="77777777" w:rsidR="004C4C39" w:rsidRPr="00A32EED" w:rsidRDefault="004C4C39" w:rsidP="0023176A">
      <w:pPr>
        <w:pStyle w:val="Caption1"/>
        <w:rPr>
          <w:rFonts w:eastAsia="Calibri"/>
        </w:rPr>
      </w:pPr>
      <w:bookmarkStart w:id="143" w:name="_Toc479941251"/>
      <w:r w:rsidRPr="00A32EED">
        <w:rPr>
          <w:rFonts w:eastAsia="Calibri"/>
        </w:rPr>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3</w:t>
      </w:r>
      <w:r w:rsidRPr="00A32EED">
        <w:rPr>
          <w:rFonts w:eastAsia="Calibri"/>
          <w:noProof/>
        </w:rPr>
        <w:fldChar w:fldCharType="end"/>
      </w:r>
      <w:r w:rsidRPr="00A32EED">
        <w:rPr>
          <w:rFonts w:eastAsia="Calibri"/>
        </w:rPr>
        <w:t>: Average Adjusted Probabilities of Criminal Justice Contact by Self-Control and Gender</w:t>
      </w:r>
      <w:bookmarkEnd w:id="143"/>
    </w:p>
    <w:p w14:paraId="31C23DF0"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3C5753FE" wp14:editId="7D3E1B39">
            <wp:extent cx="5029402" cy="3655860"/>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11448" name="CJ_AAP_SC.png"/>
                    <pic:cNvPicPr/>
                  </pic:nvPicPr>
                  <pic:blipFill>
                    <a:blip r:embed="rId23">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03CEF53C" w14:textId="77777777" w:rsidR="004C4C39" w:rsidRPr="00A32EED" w:rsidRDefault="004C4C39" w:rsidP="004C4C39">
      <w:pPr>
        <w:spacing w:after="0" w:line="480" w:lineRule="auto"/>
        <w:rPr>
          <w:rFonts w:eastAsia="Calibri"/>
        </w:rPr>
      </w:pPr>
      <w:r w:rsidRPr="00A32EED">
        <w:rPr>
          <w:rFonts w:eastAsia="Calibri"/>
        </w:rPr>
        <w:tab/>
        <w:t xml:space="preserve">To examine any differences in the probability of criminal justice contact across age and self-control, a contour plot of the predictive margins for age and self-control can be found in Figure 6.4. The contour plot shows that the highest probabilities for criminal justice contact are among those with low self-control who were older at baseline, with their average probabilities approaching .6. Interestingly, the graph also shows that even age and self-control continue to be risk factors, even across the more protective categories of the respective variables (i.e. high self-control and older at baseline). In other words, while the </w:t>
      </w:r>
      <w:r w:rsidRPr="00A32EED">
        <w:rPr>
          <w:rFonts w:eastAsia="Calibri"/>
        </w:rPr>
        <w:lastRenderedPageBreak/>
        <w:t xml:space="preserve">AAP for a 9-year-old is .11, youth with self-control scores less than 16 all have AAPs closer to .2. Conversely, the AAP for someone with a self-control score of 20 has an AAP of .17 in the final model; however, even a youth with a self-control score of 20 who is 15 at baseline still has an AAP approaching .4. </w:t>
      </w:r>
    </w:p>
    <w:p w14:paraId="35A2B87E" w14:textId="77777777" w:rsidR="004C4C39" w:rsidRPr="00A32EED" w:rsidRDefault="004C4C39" w:rsidP="0023176A">
      <w:pPr>
        <w:pStyle w:val="Caption1"/>
        <w:rPr>
          <w:rFonts w:eastAsia="Calibri"/>
        </w:rPr>
      </w:pPr>
      <w:bookmarkStart w:id="144" w:name="_Toc479941252"/>
      <w:r w:rsidRPr="00A32EED">
        <w:rPr>
          <w:rFonts w:eastAsia="Calibri"/>
        </w:rPr>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4</w:t>
      </w:r>
      <w:r w:rsidRPr="00A32EED">
        <w:rPr>
          <w:rFonts w:eastAsia="Calibri"/>
          <w:noProof/>
        </w:rPr>
        <w:fldChar w:fldCharType="end"/>
      </w:r>
      <w:r w:rsidRPr="00A32EED">
        <w:rPr>
          <w:rFonts w:eastAsia="Calibri"/>
        </w:rPr>
        <w:t>: Contour Plot for Average Probability of Criminal Justice Contact by Age and Self-Control</w:t>
      </w:r>
      <w:bookmarkEnd w:id="144"/>
    </w:p>
    <w:p w14:paraId="3E8C8E5E"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52A765BF" wp14:editId="7AF73CF4">
            <wp:extent cx="5029402" cy="3657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67108" name="ageSCcountou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402" cy="3657600"/>
                    </a:xfrm>
                    <a:prstGeom prst="rect">
                      <a:avLst/>
                    </a:prstGeom>
                  </pic:spPr>
                </pic:pic>
              </a:graphicData>
            </a:graphic>
          </wp:inline>
        </w:drawing>
      </w:r>
    </w:p>
    <w:p w14:paraId="107AB2F8" w14:textId="77777777" w:rsidR="003574FE" w:rsidRDefault="004C4C39" w:rsidP="004C4C39">
      <w:pPr>
        <w:spacing w:after="0" w:line="480" w:lineRule="auto"/>
        <w:rPr>
          <w:rFonts w:eastAsia="Calibri"/>
        </w:rPr>
      </w:pPr>
      <w:r w:rsidRPr="00A32EED">
        <w:rPr>
          <w:rFonts w:eastAsia="Calibri"/>
        </w:rPr>
        <w:tab/>
      </w:r>
    </w:p>
    <w:p w14:paraId="313E88C3" w14:textId="4E309907" w:rsidR="004C4C39" w:rsidRPr="00A32EED" w:rsidRDefault="004C4C39" w:rsidP="003574FE">
      <w:pPr>
        <w:spacing w:after="0" w:line="480" w:lineRule="auto"/>
        <w:ind w:firstLine="720"/>
        <w:rPr>
          <w:rFonts w:eastAsia="Calibri"/>
        </w:rPr>
      </w:pPr>
      <w:r w:rsidRPr="00A32EED">
        <w:rPr>
          <w:rFonts w:eastAsia="Calibri"/>
        </w:rPr>
        <w:t xml:space="preserve">The variables of age, self-control, and level of harm were also examined across various groups within the categorical independent variables to assess if their relationship with criminal justice contact varies across groups. Figure 6.5 is a graph of the predictive margins of criminal justice contact by case substantiation, gender, and age at baseline. Results reveal that for both substantiated and unsubstantiated cases across all ages at baseline males </w:t>
      </w:r>
      <w:r w:rsidRPr="00A32EED">
        <w:rPr>
          <w:rFonts w:eastAsia="Calibri"/>
        </w:rPr>
        <w:lastRenderedPageBreak/>
        <w:t xml:space="preserve">consistently have higher AAPs of criminal justice contact. Also, for both substantiated and unsubstantiated cases, the AME of gender grows as age at baseline increases. In other words, although males consistently have a higher probability of criminal justice contact, the difference in probabilities between males and females is larger for older children than younger children. Another interesting observation from the graph is that although substantiated cases consistently have a higher probability of criminal justice contact, the AME of a case being substantiated is relatively small for male and female youth across all ages at baseline. </w:t>
      </w:r>
    </w:p>
    <w:p w14:paraId="471167CC" w14:textId="77777777" w:rsidR="004C4C39" w:rsidRPr="00A32EED" w:rsidRDefault="004C4C39" w:rsidP="0023176A">
      <w:pPr>
        <w:pStyle w:val="Caption1"/>
        <w:rPr>
          <w:rFonts w:eastAsia="Calibri"/>
        </w:rPr>
      </w:pPr>
      <w:bookmarkStart w:id="145" w:name="_Toc479941253"/>
      <w:r w:rsidRPr="00A32EED">
        <w:rPr>
          <w:rFonts w:eastAsia="Calibri"/>
        </w:rPr>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5</w:t>
      </w:r>
      <w:r w:rsidRPr="00A32EED">
        <w:rPr>
          <w:rFonts w:eastAsia="Calibri"/>
          <w:noProof/>
        </w:rPr>
        <w:fldChar w:fldCharType="end"/>
      </w:r>
      <w:r w:rsidRPr="00A32EED">
        <w:rPr>
          <w:rFonts w:eastAsia="Calibri"/>
        </w:rPr>
        <w:t>: Average Adjusted Probabilities of Criminal Justice Contact by Self-Control and Gender</w:t>
      </w:r>
      <w:bookmarkEnd w:id="145"/>
    </w:p>
    <w:p w14:paraId="01C7D77A" w14:textId="77777777" w:rsidR="004C4C39" w:rsidRPr="00A32EED" w:rsidRDefault="004C4C39" w:rsidP="004C4C39">
      <w:pPr>
        <w:keepNext/>
        <w:spacing w:after="0" w:line="480" w:lineRule="auto"/>
        <w:rPr>
          <w:rFonts w:eastAsia="Calibri"/>
        </w:rPr>
      </w:pPr>
      <w:r w:rsidRPr="00A32EED">
        <w:rPr>
          <w:rFonts w:eastAsia="Calibri"/>
          <w:noProof/>
        </w:rPr>
        <w:drawing>
          <wp:inline distT="0" distB="0" distL="0" distR="0" wp14:anchorId="79EA6468" wp14:editId="301AEF14">
            <wp:extent cx="5029402" cy="3655860"/>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2446" name="CJ_AAP_substxXgender.png"/>
                    <pic:cNvPicPr/>
                  </pic:nvPicPr>
                  <pic:blipFill>
                    <a:blip r:embed="rId25">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6AA2190B" w14:textId="77777777" w:rsidR="004C4C39" w:rsidRPr="00A32EED" w:rsidRDefault="004C4C39" w:rsidP="004C4C39">
      <w:pPr>
        <w:spacing w:after="0" w:line="480" w:lineRule="auto"/>
        <w:ind w:firstLine="720"/>
        <w:rPr>
          <w:rFonts w:eastAsia="Calibri"/>
        </w:rPr>
      </w:pPr>
      <w:r w:rsidRPr="00A32EED">
        <w:rPr>
          <w:rFonts w:eastAsia="Calibri"/>
        </w:rPr>
        <w:t xml:space="preserve">Figure 6.6 contains a graph of the predictive margins for criminal justice contact by age, most severe maltreatment type, and case substantiation. </w:t>
      </w:r>
      <w:r w:rsidRPr="00A32EED">
        <w:rPr>
          <w:rFonts w:eastAsia="Calibri"/>
        </w:rPr>
        <w:lastRenderedPageBreak/>
        <w:t>Echoing previous findings for substantiated cases by age and gender, results show that there is not a large difference in the probabilities of criminal justice contact when comparing substantiated and unsubstantiated cases. Across substantiated and unsubstantiated cases at any age, neglect has the higher AAP of criminal justice contact followed by physical abuse, other, and sexual abuse. The graph highlights that although the AAPs for sexual abuse are consistently lower, the AME of sexual abuse is the largest at older ages. The graph also shows that the difference between all of the maltreatment types grows as the age at baseline increases. Specifically, at baseline for both substantiated and unsubstantiated cases, all maltreatment types have AAPs of less than .1. However, when we compare the AAPs at age 15, they range from just under .15 for sexual abuse to levels between .4 and .5 for both substantiated and unsubstantiated cases of neglect. The largest area of growth is between sexual abuse and the remaining three categories. Although the AMEs between neglect, physical abuse and other forms of maltreatments also increase in size from age 6 to age 15 at baseline, their growth is not as large as the AME for sexual abuse.</w:t>
      </w:r>
    </w:p>
    <w:p w14:paraId="67A79DE7" w14:textId="77777777" w:rsidR="004C4C39" w:rsidRPr="00A32EED" w:rsidRDefault="004C4C39" w:rsidP="0023176A">
      <w:pPr>
        <w:pStyle w:val="Caption1"/>
        <w:rPr>
          <w:rFonts w:eastAsia="Calibri"/>
        </w:rPr>
      </w:pPr>
      <w:bookmarkStart w:id="146" w:name="_Toc479941254"/>
      <w:r w:rsidRPr="00A32EED">
        <w:rPr>
          <w:rFonts w:eastAsia="Calibri"/>
        </w:rPr>
        <w:lastRenderedPageBreak/>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6</w:t>
      </w:r>
      <w:r w:rsidRPr="00A32EED">
        <w:rPr>
          <w:rFonts w:eastAsia="Calibri"/>
          <w:noProof/>
        </w:rPr>
        <w:fldChar w:fldCharType="end"/>
      </w:r>
      <w:r w:rsidRPr="00A32EED">
        <w:rPr>
          <w:rFonts w:eastAsia="Calibri"/>
        </w:rPr>
        <w:t xml:space="preserve"> Average Adjusted Probabilities of Criminal Justice Contact by Maltreatment Type, Substantiation, and Age</w:t>
      </w:r>
      <w:bookmarkEnd w:id="146"/>
    </w:p>
    <w:p w14:paraId="24618EC5"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1452B181" wp14:editId="4370502B">
            <wp:extent cx="5029402" cy="3655860"/>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01007" name="maltypebysubstage1.png"/>
                    <pic:cNvPicPr/>
                  </pic:nvPicPr>
                  <pic:blipFill>
                    <a:blip r:embed="rId26">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4DAEEBF7" w14:textId="77777777" w:rsidR="004C4C39" w:rsidRPr="00A32EED" w:rsidRDefault="004C4C39" w:rsidP="004C4C39">
      <w:pPr>
        <w:spacing w:after="0" w:line="480" w:lineRule="auto"/>
        <w:rPr>
          <w:rFonts w:eastAsia="Calibri"/>
        </w:rPr>
      </w:pPr>
      <w:r w:rsidRPr="00A32EED">
        <w:rPr>
          <w:rFonts w:eastAsia="Calibri"/>
        </w:rPr>
        <w:tab/>
        <w:t xml:space="preserve">To assess any differences in the relationship between self-control and criminal justice contact across race and gender, the AAP of each self-control score was plotted by gender and race. The results can be found in Figure 6.7. The plots for race/ethnicity are in blue dashed lines and those for gender in solid green. Results indicate that on average females, and white youth have lower probabilities of criminal justice contact across all self-control scores. </w:t>
      </w:r>
    </w:p>
    <w:p w14:paraId="4A9F38BF" w14:textId="77777777" w:rsidR="004C4C39" w:rsidRPr="00A32EED" w:rsidRDefault="004C4C39" w:rsidP="0023176A">
      <w:pPr>
        <w:pStyle w:val="Caption1"/>
        <w:rPr>
          <w:rFonts w:eastAsia="Calibri"/>
        </w:rPr>
      </w:pPr>
      <w:bookmarkStart w:id="147" w:name="_Toc479941255"/>
      <w:r w:rsidRPr="00A32EED">
        <w:rPr>
          <w:rFonts w:eastAsia="Calibri"/>
        </w:rPr>
        <w:lastRenderedPageBreak/>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7</w:t>
      </w:r>
      <w:r w:rsidRPr="00A32EED">
        <w:rPr>
          <w:rFonts w:eastAsia="Calibri"/>
          <w:noProof/>
        </w:rPr>
        <w:fldChar w:fldCharType="end"/>
      </w:r>
      <w:r w:rsidRPr="00A32EED">
        <w:rPr>
          <w:rFonts w:eastAsia="Calibri"/>
        </w:rPr>
        <w:t>: Average Adjusted Probability of Early Sexual Initiation for Gender and Race/Ethnicity by Self-Control</w:t>
      </w:r>
      <w:bookmarkEnd w:id="147"/>
    </w:p>
    <w:p w14:paraId="5950E54E"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46C06533" wp14:editId="5DF73EBA">
            <wp:extent cx="5029402" cy="3655860"/>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52625" name="CJ_AAP_race_sc.png"/>
                    <pic:cNvPicPr/>
                  </pic:nvPicPr>
                  <pic:blipFill>
                    <a:blip r:embed="rId27">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0F79CD16" w14:textId="77777777" w:rsidR="004C4C39" w:rsidRPr="00A32EED" w:rsidRDefault="004C4C39" w:rsidP="004C4C39">
      <w:pPr>
        <w:spacing w:after="0" w:line="480" w:lineRule="auto"/>
        <w:ind w:firstLine="720"/>
        <w:rPr>
          <w:rFonts w:eastAsia="Calibri"/>
        </w:rPr>
      </w:pPr>
      <w:r w:rsidRPr="00A32EED">
        <w:rPr>
          <w:rFonts w:eastAsia="Calibri"/>
        </w:rPr>
        <w:t xml:space="preserve">One of the most interesting findings from the final model was the effect of the interaction term between self-control, gender, and group home placement. Figure 6.8 shows the change in AAPs of criminal justice contact for self-control scores among male and females placed in group homes after the interaction term was added to the model. Prior to the addition of the interaction term for gender, self-control, and group home placement (left graph in the figure), the AAPs for criminal justice contact decrease as self-control increases. This relationship is expected given Gottfredson and Hirschi’s General Theory of Crime </w:t>
      </w:r>
      <w:r w:rsidRPr="00A32EED">
        <w:rPr>
          <w:rFonts w:eastAsia="Calibri"/>
        </w:rPr>
        <w:fldChar w:fldCharType="begin"/>
      </w:r>
      <w:r w:rsidRPr="00A32EED">
        <w:rPr>
          <w:rFonts w:eastAsia="Calibri"/>
        </w:rPr>
        <w:instrText xml:space="preserve"> ADDIN ZOTERO_ITEM CSL_CITATION {"citationID":"pErY7UBn","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w:t>
      </w:r>
    </w:p>
    <w:p w14:paraId="4EBD801C" w14:textId="77777777" w:rsidR="004C4C39" w:rsidRPr="00A32EED" w:rsidRDefault="004C4C39" w:rsidP="0023176A">
      <w:pPr>
        <w:pStyle w:val="Caption1"/>
        <w:rPr>
          <w:rFonts w:eastAsia="Calibri"/>
        </w:rPr>
      </w:pPr>
      <w:bookmarkStart w:id="148" w:name="_Toc479941256"/>
      <w:r w:rsidRPr="00A32EED">
        <w:rPr>
          <w:rFonts w:eastAsia="Calibri"/>
        </w:rPr>
        <w:lastRenderedPageBreak/>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8</w:t>
      </w:r>
      <w:r w:rsidRPr="00A32EED">
        <w:rPr>
          <w:rFonts w:eastAsia="Calibri"/>
          <w:noProof/>
        </w:rPr>
        <w:fldChar w:fldCharType="end"/>
      </w:r>
      <w:r w:rsidRPr="00A32EED">
        <w:rPr>
          <w:rFonts w:eastAsia="Calibri"/>
        </w:rPr>
        <w:t>: Adjusted Average Probabilities for Criminal Justice Contact Before and After Three-Way Interaction Term</w:t>
      </w:r>
      <w:bookmarkEnd w:id="148"/>
    </w:p>
    <w:p w14:paraId="56E89813"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712E404E" wp14:editId="1665EF44">
            <wp:extent cx="5029402" cy="3655860"/>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93770" name="CJ_AAP_ghXgenderXsc.png"/>
                    <pic:cNvPicPr/>
                  </pic:nvPicPr>
                  <pic:blipFill>
                    <a:blip r:embed="rId28">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341EEBF1" w14:textId="77777777" w:rsidR="004C4C39" w:rsidRPr="00A32EED" w:rsidRDefault="004C4C39" w:rsidP="004C4C39">
      <w:pPr>
        <w:spacing w:after="0" w:line="480" w:lineRule="auto"/>
        <w:ind w:firstLine="720"/>
        <w:rPr>
          <w:rFonts w:eastAsia="Calibri"/>
        </w:rPr>
      </w:pPr>
      <w:r w:rsidRPr="00A32EED">
        <w:rPr>
          <w:rFonts w:eastAsia="Calibri"/>
        </w:rPr>
        <w:t xml:space="preserve">With the addition of the three-way interaction term of self-control, gender, and group home placement (right graph in the figure) this relationship changes drastically. Specifically, results show that for both males and females placed in a group home, the AAPs for criminal justice contact increase as self-control increases. What this suggests is that the effect of being placed in a group home is highest for those youth with higher levels of self-control. Stated in relationship to population heterogeneity (propensity) and state dependence effects, this suggests that for those with a relatively high propensity of committing a crime (low self-control) being placed in a group home does not exert a high state dependent effect. However, for those with a relatively low propensity for </w:t>
      </w:r>
      <w:r w:rsidRPr="00A32EED">
        <w:rPr>
          <w:rFonts w:eastAsia="Calibri"/>
        </w:rPr>
        <w:lastRenderedPageBreak/>
        <w:t xml:space="preserve">committing a crime (high self-control), being placed in a group home has a very high state dependent effect on criminal justice contact later in life. </w:t>
      </w:r>
    </w:p>
    <w:p w14:paraId="214E4AA1" w14:textId="77777777" w:rsidR="004C4C39" w:rsidRPr="00A32EED" w:rsidRDefault="004C4C39" w:rsidP="004C4C39">
      <w:pPr>
        <w:spacing w:after="0" w:line="480" w:lineRule="auto"/>
        <w:ind w:firstLine="720"/>
        <w:rPr>
          <w:rFonts w:eastAsia="Calibri"/>
        </w:rPr>
      </w:pPr>
      <w:r w:rsidRPr="00A32EED">
        <w:rPr>
          <w:rFonts w:eastAsia="Calibri"/>
        </w:rPr>
        <w:t xml:space="preserve">Figure 6.9 shows the same relationship in comparison to placements other than a group home. Given the lack of significant differences for the other placements, the other placements have been grouped together to make the graph easier to interpret. The addition of the other placements shows that while the AAPs for other placements are not identical after the addition of the interaction term, all changes are very subtle. The graphs also show that for females the effects of one-unit changes in self-control are linear. However, as self-control increase for males, the per-unit changes are not the same across scores. Specifically, the changes per-unit are highest for scores 0-10 and for scores of 10-20 the direction is positive but, the effect is less than that of scores 0-10. In addition to suggesting that the relationship is slightly different for males and females, the graph also shows that the AMEs of being male are highest for mid-level self-control scores and lessens at the high and low ends. </w:t>
      </w:r>
    </w:p>
    <w:p w14:paraId="5391C04E" w14:textId="77777777" w:rsidR="004C4C39" w:rsidRPr="00A32EED" w:rsidRDefault="004C4C39" w:rsidP="0023176A">
      <w:pPr>
        <w:pStyle w:val="Caption1"/>
        <w:rPr>
          <w:rFonts w:eastAsia="Calibri"/>
        </w:rPr>
      </w:pPr>
      <w:bookmarkStart w:id="149" w:name="_Toc479941257"/>
      <w:r w:rsidRPr="00A32EED">
        <w:rPr>
          <w:rFonts w:eastAsia="Calibri"/>
        </w:rPr>
        <w:lastRenderedPageBreak/>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9</w:t>
      </w:r>
      <w:r w:rsidRPr="00A32EED">
        <w:rPr>
          <w:rFonts w:eastAsia="Calibri"/>
          <w:noProof/>
        </w:rPr>
        <w:fldChar w:fldCharType="end"/>
      </w:r>
      <w:r w:rsidRPr="00A32EED">
        <w:rPr>
          <w:rFonts w:eastAsia="Calibri"/>
        </w:rPr>
        <w:t>: Adjusted Average Probabilities for Criminal Justice Contact Before and After Three-Way Interaction Term Including Placements Other than a Group Home</w:t>
      </w:r>
      <w:bookmarkEnd w:id="149"/>
    </w:p>
    <w:p w14:paraId="198B448F"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5F98D227" wp14:editId="04C302D4">
            <wp:extent cx="5029402" cy="3655860"/>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78127" name="CJ_AAP_SCinteraction.png"/>
                    <pic:cNvPicPr/>
                  </pic:nvPicPr>
                  <pic:blipFill>
                    <a:blip r:embed="rId29">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0ED1DBB9" w14:textId="77777777" w:rsidR="004C4C39" w:rsidRPr="00A32EED" w:rsidRDefault="004C4C39" w:rsidP="004C4C39">
      <w:pPr>
        <w:spacing w:after="0" w:line="480" w:lineRule="auto"/>
        <w:ind w:firstLine="720"/>
        <w:rPr>
          <w:rFonts w:eastAsia="Calibri"/>
        </w:rPr>
      </w:pPr>
      <w:r w:rsidRPr="00A32EED">
        <w:rPr>
          <w:rFonts w:eastAsia="Calibri"/>
        </w:rPr>
        <w:t xml:space="preserve">The last relationships examined via predictive margins are those between the level of harm, maltreatment type, and criminal justice contact. The addition of this interaction term shows that for sexual abuse cases, increased levels of harm result in higher odds of criminal justice contact. A graph containing the AAPs for this relationship for males and females can be found in Figure 6.10. The graph shows that for both males and females, the probability of criminal justice contact increases as the level of harm does for those whose most severe form of maltreatment was sexual abuse. However, although not significant, for all other maltreatment types, increases in the level of harm results in a decrease in the probability of criminal justice contact. Figure 6.10 </w:t>
      </w:r>
      <w:r w:rsidRPr="00A32EED">
        <w:rPr>
          <w:rFonts w:eastAsia="Calibri"/>
        </w:rPr>
        <w:lastRenderedPageBreak/>
        <w:t xml:space="preserve">reveals that although males consistently have a higher probability of criminal justice contact, the interaction effect functions the same for both genders. </w:t>
      </w:r>
    </w:p>
    <w:p w14:paraId="23E6FD68" w14:textId="77777777" w:rsidR="004C4C39" w:rsidRPr="00A32EED" w:rsidRDefault="004C4C39" w:rsidP="0023176A">
      <w:pPr>
        <w:pStyle w:val="Caption1"/>
        <w:rPr>
          <w:rFonts w:eastAsia="Calibri"/>
        </w:rPr>
      </w:pPr>
      <w:bookmarkStart w:id="150" w:name="_Toc479941258"/>
      <w:r w:rsidRPr="00A32EED">
        <w:rPr>
          <w:rFonts w:eastAsia="Calibri"/>
        </w:rPr>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10</w:t>
      </w:r>
      <w:r w:rsidRPr="00A32EED">
        <w:rPr>
          <w:rFonts w:eastAsia="Calibri"/>
          <w:noProof/>
        </w:rPr>
        <w:fldChar w:fldCharType="end"/>
      </w:r>
      <w:r w:rsidRPr="00A32EED">
        <w:rPr>
          <w:rFonts w:eastAsia="Calibri"/>
        </w:rPr>
        <w:t>: Interaction Effect for Level of Harm and Sexual Abuse by Gender</w:t>
      </w:r>
      <w:bookmarkEnd w:id="150"/>
      <w:r w:rsidRPr="00A32EED">
        <w:rPr>
          <w:rFonts w:eastAsia="Calibri"/>
        </w:rPr>
        <w:t xml:space="preserve"> </w:t>
      </w:r>
    </w:p>
    <w:p w14:paraId="6F945745"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48503EA1" wp14:editId="497F887F">
            <wp:extent cx="5029402" cy="3655860"/>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06886" name="CJ_AAP_genderXharmbymal.png"/>
                    <pic:cNvPicPr/>
                  </pic:nvPicPr>
                  <pic:blipFill>
                    <a:blip r:embed="rId30">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28E4DFC3" w14:textId="77777777" w:rsidR="004C4C39" w:rsidRPr="00A32EED" w:rsidRDefault="004C4C39" w:rsidP="004C4C39">
      <w:pPr>
        <w:spacing w:after="0" w:line="480" w:lineRule="auto"/>
        <w:rPr>
          <w:rFonts w:eastAsia="Calibri"/>
        </w:rPr>
      </w:pPr>
      <w:r w:rsidRPr="00A32EED">
        <w:rPr>
          <w:rFonts w:eastAsia="Calibri"/>
        </w:rPr>
        <w:tab/>
        <w:t xml:space="preserve">Figure 6.11 contains the AAPs for the level of harm by maltreatment type and gender. Results show that across gender, the relationship between the level of harm and criminal justice contact operates similarly for male and females across forms of maltreatment other than sexual abuse. Across all forms, the AME of gender is largest at the lowest levels of harm and the smallest at highest levels of harm. However, when we examine the AAPs for males and females, they are closest at lower levels of harm and the furthest apart at higher levels of harm.  In other words, the AME of gender is lowest at low levels of harm and largest for higher levels of harm. This suggests that for </w:t>
      </w:r>
      <w:r w:rsidRPr="00A32EED">
        <w:rPr>
          <w:rFonts w:eastAsia="Calibri"/>
        </w:rPr>
        <w:lastRenderedPageBreak/>
        <w:t xml:space="preserve">sexual abuse, the per-unit increases in the probability of criminal justice contact for levels of harm are higher for males than females, or stated otherwise, the slope for the level of harm is higher for male than for females. </w:t>
      </w:r>
    </w:p>
    <w:p w14:paraId="6F6912AE" w14:textId="77777777" w:rsidR="004C4C39" w:rsidRPr="00A32EED" w:rsidRDefault="004C4C39" w:rsidP="0023176A">
      <w:pPr>
        <w:pStyle w:val="Caption1"/>
        <w:rPr>
          <w:rFonts w:eastAsia="Calibri"/>
        </w:rPr>
      </w:pPr>
      <w:bookmarkStart w:id="151" w:name="_Toc479941259"/>
      <w:r w:rsidRPr="00A32EED">
        <w:rPr>
          <w:rFonts w:eastAsia="Calibri"/>
        </w:rPr>
        <w:t>Figure 6.</w:t>
      </w:r>
      <w:r w:rsidRPr="00A32EED">
        <w:rPr>
          <w:rFonts w:eastAsia="Calibri"/>
        </w:rPr>
        <w:fldChar w:fldCharType="begin"/>
      </w:r>
      <w:r w:rsidRPr="00A32EED">
        <w:rPr>
          <w:rFonts w:eastAsia="Calibri"/>
        </w:rPr>
        <w:instrText xml:space="preserve"> SEQ Figure_6. \* ARABIC </w:instrText>
      </w:r>
      <w:r w:rsidRPr="00A32EED">
        <w:rPr>
          <w:rFonts w:eastAsia="Calibri"/>
        </w:rPr>
        <w:fldChar w:fldCharType="separate"/>
      </w:r>
      <w:r w:rsidR="00FA12E2">
        <w:rPr>
          <w:rFonts w:eastAsia="Calibri"/>
          <w:noProof/>
        </w:rPr>
        <w:t>11</w:t>
      </w:r>
      <w:r w:rsidRPr="00A32EED">
        <w:rPr>
          <w:rFonts w:eastAsia="Calibri"/>
          <w:noProof/>
        </w:rPr>
        <w:fldChar w:fldCharType="end"/>
      </w:r>
      <w:r w:rsidRPr="00A32EED">
        <w:rPr>
          <w:rFonts w:eastAsia="Calibri"/>
        </w:rPr>
        <w:t>: AAPs of Criminal Justice Contact Across Levels of Harm by Gender and Maltreatment Type</w:t>
      </w:r>
      <w:bookmarkEnd w:id="151"/>
    </w:p>
    <w:p w14:paraId="2CFE8B0F" w14:textId="77777777" w:rsidR="004C4C39" w:rsidRPr="00A32EED" w:rsidRDefault="004C4C39" w:rsidP="004C4C39">
      <w:pPr>
        <w:spacing w:after="0" w:line="480" w:lineRule="auto"/>
        <w:rPr>
          <w:rFonts w:eastAsia="Calibri"/>
        </w:rPr>
      </w:pPr>
      <w:r w:rsidRPr="00A32EED">
        <w:rPr>
          <w:rFonts w:eastAsia="Calibri"/>
          <w:noProof/>
        </w:rPr>
        <w:drawing>
          <wp:inline distT="0" distB="0" distL="0" distR="0" wp14:anchorId="3CA43A17" wp14:editId="035568EA">
            <wp:extent cx="5029402" cy="3655860"/>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53495" name="CJ_AAP_malXharmbygender.png"/>
                    <pic:cNvPicPr/>
                  </pic:nvPicPr>
                  <pic:blipFill>
                    <a:blip r:embed="rId31">
                      <a:extLst>
                        <a:ext uri="{28A0092B-C50C-407E-A947-70E740481C1C}">
                          <a14:useLocalDpi xmlns:a14="http://schemas.microsoft.com/office/drawing/2010/main" val="0"/>
                        </a:ext>
                      </a:extLst>
                    </a:blip>
                    <a:stretch>
                      <a:fillRect/>
                    </a:stretch>
                  </pic:blipFill>
                  <pic:spPr>
                    <a:xfrm>
                      <a:off x="0" y="0"/>
                      <a:ext cx="5029402" cy="3655860"/>
                    </a:xfrm>
                    <a:prstGeom prst="rect">
                      <a:avLst/>
                    </a:prstGeom>
                  </pic:spPr>
                </pic:pic>
              </a:graphicData>
            </a:graphic>
          </wp:inline>
        </w:drawing>
      </w:r>
    </w:p>
    <w:p w14:paraId="3C297D04" w14:textId="7D1AA395"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52" w:name="_Toc479938183"/>
      <w:bookmarkStart w:id="153" w:name="_Toc482112712"/>
      <w:r w:rsidRPr="00A32EED">
        <w:rPr>
          <w:rFonts w:eastAsia="ＭＳ ゴシック"/>
          <w:i/>
          <w:color w:val="000000"/>
          <w:szCs w:val="26"/>
          <w:u w:val="single"/>
        </w:rPr>
        <w:t>Summary</w:t>
      </w:r>
      <w:bookmarkEnd w:id="152"/>
      <w:bookmarkEnd w:id="153"/>
    </w:p>
    <w:p w14:paraId="1EADCFA2" w14:textId="77777777" w:rsidR="004C4C39" w:rsidRPr="00A32EED" w:rsidRDefault="004C4C39" w:rsidP="004C4C39">
      <w:pPr>
        <w:spacing w:after="0" w:line="480" w:lineRule="auto"/>
        <w:ind w:firstLine="720"/>
        <w:rPr>
          <w:rFonts w:eastAsia="Calibri"/>
        </w:rPr>
      </w:pPr>
      <w:r w:rsidRPr="00A32EED">
        <w:rPr>
          <w:rFonts w:eastAsia="Calibri"/>
        </w:rPr>
        <w:t xml:space="preserve">Various predictors appear to be significantly related to the odds of criminal justice contact later in life. Consistent with previous literature, children who are older at baseline are more likely to have criminal justice contact later in life. Also, non-white youth also appear to be at significantly higher risk for criminal justice contact when compared to white youth. Although there were no significant main effects of maltreatment type on criminal justice contact, the addition of an interaction term between the level of harm and sexual abuse </w:t>
      </w:r>
      <w:r w:rsidRPr="00A32EED">
        <w:rPr>
          <w:rFonts w:eastAsia="Calibri"/>
        </w:rPr>
        <w:lastRenderedPageBreak/>
        <w:t xml:space="preserve">reveals a main effect for sexual abuse and a significant interaction term between the level of harm and sexual abuse. Specifically, for cases where the most severe form of maltreatment was sexual abuse and low levels of harm, the odds of later criminal justice contact are lower than for other maltreatment types. However, the probability of criminal justice contact increases as the level of harm increases for sexual abuse cases. </w:t>
      </w:r>
    </w:p>
    <w:p w14:paraId="0D0330C7" w14:textId="77777777" w:rsidR="004C4C39" w:rsidRPr="00A32EED" w:rsidRDefault="004C4C39" w:rsidP="004C4C39">
      <w:pPr>
        <w:spacing w:after="0" w:line="480" w:lineRule="auto"/>
        <w:ind w:firstLine="720"/>
        <w:rPr>
          <w:rFonts w:eastAsia="Calibri"/>
        </w:rPr>
      </w:pPr>
      <w:r w:rsidRPr="00A32EED">
        <w:rPr>
          <w:rFonts w:eastAsia="Calibri"/>
        </w:rPr>
        <w:t xml:space="preserve">Furthermore, the level of harm and maltreatment types other than sexual abuse do not have any significant relationship to later criminal justice contact. The final model also shows that generally, low levels of self-control are related to higher odds of criminal justice contact and type of placement at baseline is not significantly related to later criminal justice contact. However, in addition to these main effects, the three-way interaction of self-control, gender, and placement in a group home reveals that the relationship between self-control and criminal justice contact varies by both gender and placement type. Specifically, placement in a group home for males and females appears to exert a stronger state dependent effect on criminal justice contact for youth with higher levels of self-control. In other words, group home placements are not as detrimental for those youth with low levels of self-control when compared to youth with high levels of self-control. Although the slope is relatively consistent for females, the slope of self-control for males is most steep for self-control scores of 0-10 and less steep after that. Taken together, these results suggest that both population heterogeneity in the form of self-control, and state dependence effects, in the form of placement in a group home and sexual </w:t>
      </w:r>
      <w:r w:rsidRPr="00A32EED">
        <w:rPr>
          <w:rFonts w:eastAsia="Calibri"/>
        </w:rPr>
        <w:lastRenderedPageBreak/>
        <w:t xml:space="preserve">abuse, are at play in the relationship between criminal justice contact and child maltreatment and child welfare experiences.  </w:t>
      </w:r>
    </w:p>
    <w:p w14:paraId="4E72FB3D" w14:textId="77777777" w:rsidR="004C4C39" w:rsidRPr="00A32EED" w:rsidRDefault="004C4C39" w:rsidP="004C4C39">
      <w:pPr>
        <w:spacing w:after="0"/>
        <w:rPr>
          <w:rFonts w:eastAsia="Calibri"/>
        </w:rPr>
      </w:pPr>
      <w:r w:rsidRPr="00A32EED">
        <w:rPr>
          <w:rFonts w:eastAsia="Calibri"/>
        </w:rPr>
        <w:br w:type="page"/>
      </w:r>
    </w:p>
    <w:p w14:paraId="2C1D2ECD" w14:textId="77777777" w:rsidR="004C4C39" w:rsidRPr="00A32EED" w:rsidRDefault="004C4C39" w:rsidP="004C4C39">
      <w:pPr>
        <w:keepNext/>
        <w:keepLines/>
        <w:spacing w:before="40" w:after="0" w:line="480" w:lineRule="auto"/>
        <w:outlineLvl w:val="0"/>
        <w:rPr>
          <w:rFonts w:eastAsia="ＭＳ ゴシック"/>
          <w:b/>
          <w:color w:val="000000"/>
          <w:szCs w:val="26"/>
          <w:u w:val="single"/>
        </w:rPr>
      </w:pPr>
      <w:bookmarkStart w:id="154" w:name="_Toc479938184"/>
      <w:bookmarkStart w:id="155" w:name="_Toc482112713"/>
      <w:r w:rsidRPr="00A32EED">
        <w:rPr>
          <w:rFonts w:eastAsia="ＭＳ ゴシック"/>
          <w:b/>
          <w:color w:val="000000"/>
          <w:szCs w:val="26"/>
          <w:u w:val="single"/>
        </w:rPr>
        <w:lastRenderedPageBreak/>
        <w:t>Chapter 7: Discussion and Conclusion</w:t>
      </w:r>
      <w:bookmarkEnd w:id="154"/>
      <w:bookmarkEnd w:id="155"/>
    </w:p>
    <w:p w14:paraId="76992791" w14:textId="77777777" w:rsidR="004C4C39" w:rsidRPr="00A32EED" w:rsidRDefault="004C4C39" w:rsidP="004C4C39">
      <w:pPr>
        <w:spacing w:after="0" w:line="480" w:lineRule="auto"/>
        <w:ind w:firstLine="720"/>
        <w:rPr>
          <w:rFonts w:eastAsia="Calibri"/>
        </w:rPr>
      </w:pPr>
      <w:r w:rsidRPr="00A32EED">
        <w:rPr>
          <w:rFonts w:eastAsia="Calibri"/>
        </w:rPr>
        <w:t xml:space="preserve">Previous research indicates that individuals with histories of child maltreatment and contact with the child welfare system are at higher risk for risky sexual behaviors </w:t>
      </w:r>
      <w:r w:rsidRPr="00A32EED">
        <w:rPr>
          <w:rFonts w:eastAsia="Calibri"/>
        </w:rPr>
        <w:fldChar w:fldCharType="begin"/>
      </w:r>
      <w:r w:rsidRPr="00A32EED">
        <w:rPr>
          <w:rFonts w:eastAsia="Calibri"/>
        </w:rPr>
        <w:instrText xml:space="preserve"> ADDIN ZOTERO_ITEM CSL_CITATION {"citationID":"1213m8676v","properties":{"formattedCitation":"(James et al. 2009; Leslie et al. 2010)","plainCitation":"(James et al. 2009; Leslie et al. 2010)"},"citationItems":[{"id":438,"uris":["http://zotero.org/users/1165382/items/S87A2U8W"],"uri":["http://zotero.org/users/1165382/items/S87A2U8W"],"itemData":{"id":438,"type":"article-journal","title":"Sexual risk behaviors among youth in the child welfare system","container-title":"Children and Youth Services Review","page":"990-1000","volume":"31","issue":"9","source":"ScienceDirect","abstract":"This study uses data from the National Survey of Child and Adolescent Well-Being (NSCAW) to provide estimates of sexual risk behaviors for 877 youth, age 11–14 at baseline, in the child welfare system. It examines the association between baseline psychosocial risk and protective factors on engagement in sexual risk behaviors after 36 months. It further compares rates of sexual risk behaviors between youth placed in out-of-home care and those who remained with their biological family. Key findings include a high rate of pregnancy, a high percentage of youth who initiated sexual activity at or before age 13 as well as a limited role of protective factors in moderating sexual risk behaviors. A history of placement into out-of-home care is not significantly associated with greater engagement in sexual risk behaviors. Implications for intervention development and child welfare policy for this population are discussed.","DOI":"10.1016/j.childyouth.2009.04.014","ISSN":"0190-7409","journalAbbreviation":"Children and Youth Services Review","author":[{"family":"James","given":"Sigrid"},{"family":"Montgomery","given":"Susanne B."},{"family":"Leslie","given":"Laurel K."},{"family":"Zhang","given":"Jinjin"}],"issued":{"date-parts":[["2009",9]]}}},{"id":53,"uris":["http://zotero.org/users/1165382/items/4876QBPV"],"uri":["http://zotero.org/users/1165382/items/4876QBPV"],"itemData":{"id":53,"type":"article-journal","title":"Health-Risk Behaviors in Young Adolescents in the Child Welfare System","container-title":"Journal of Adolescent Health","page":"26-34","volume":"47","issue":"1","source":"ScienceDirect","abstract":"Purpose\nTo examine rates and patterns of health-risk behavior (e.g., sexuality, depression/suicidality, substance use, delinquency) among a national probability sample of youth active to the child welfare/child protective services system. Recent federal legislation, P.L. 110-351, encourages child welfare systems, Medicaid, and pediatric experts to collaborate to ensure youth entering foster care receive comprehensive health examinations.\nMethods\nAnalysis of baseline caregiver, caseworker, and child interviews, and assessment data for a subsample (n = 993) of youth, aged 11–15 years, from the National Survey of Child and Adolescent Well-Being, a national probability sample of children and adolescents undergoing investigation for abuse or neglect.\nResults\nAlmost half of the sample (46.3%) endorsed at least one health-risk behavior. On Poisson multivariate regression modeling, factors related to higher rates of health-risk behaviors included older age, female gender, abuse history, deviant peers, limited caregiver monitoring, and poor school engagement.\nConclusion\nGiven the heightened vulnerability of this population, early screening for health-risk behaviors must be prioritized. Further research should explore specific subpopulations at risk for health-risk behaviors and possible interventions to change these youths' trajectories.","DOI":"10.1016/j.jadohealth.2009.12.032","ISSN":"1054-139X","note":"00062","journalAbbreviation":"Journal of Adolescent Health","author":[{"family":"Leslie","given":"Laurel K."},{"family":"James","given":"Sigrid"},{"family":"Monn","given":"Amy"},{"family":"Kauten","given":"Milena C."},{"family":"Zhang","given":"Jinjin"},{"family":"Aarons","given":"Gregory"}],"issued":{"date-parts":[["2010",7]]}}}],"schema":"https://github.com/citation-style-language/schema/raw/master/csl-citation.json"} </w:instrText>
      </w:r>
      <w:r w:rsidRPr="00A32EED">
        <w:rPr>
          <w:rFonts w:eastAsia="Calibri"/>
        </w:rPr>
        <w:fldChar w:fldCharType="separate"/>
      </w:r>
      <w:r w:rsidRPr="00A32EED">
        <w:rPr>
          <w:rFonts w:eastAsia="Calibri"/>
          <w:noProof/>
        </w:rPr>
        <w:t>(James et al. 2009; Leslie et al. 2010)</w:t>
      </w:r>
      <w:r w:rsidRPr="00A32EED">
        <w:rPr>
          <w:rFonts w:eastAsia="Calibri"/>
        </w:rPr>
        <w:fldChar w:fldCharType="end"/>
      </w:r>
      <w:r w:rsidRPr="00A32EED">
        <w:rPr>
          <w:rFonts w:eastAsia="Calibri"/>
        </w:rPr>
        <w:t xml:space="preserve">, self-reported offending </w:t>
      </w:r>
      <w:r w:rsidRPr="00A32EED">
        <w:rPr>
          <w:rFonts w:eastAsia="Calibri"/>
        </w:rPr>
        <w:fldChar w:fldCharType="begin"/>
      </w:r>
      <w:r w:rsidRPr="00A32EED">
        <w:rPr>
          <w:rFonts w:eastAsia="Calibri"/>
        </w:rPr>
        <w:instrText xml:space="preserve"> ADDIN ZOTERO_ITEM CSL_CITATION {"citationID":"gv0jjptlc","properties":{"formattedCitation":"(Brezina 1998; Chamberlain and Reid 1998; Chapple et al. 2005; Cusick et al. 2010b)","plainCitation":"(Brezina 1998; Chamberlain and Reid 1998; Chapple et al. 2005; Cusick et al. 2010b)"},"citationItems":[{"id":62,"uris":["http://zotero.org/users/1165382/items/4NSM4I7M"],"uri":["http://zotero.org/users/1165382/items/4NSM4I7M"],"itemData":{"id":62,"type":"article-journal","title":"Adolescent maltreatment and delinquency: The question of intervening processes","container-title":"Journal of Research in Crime and Delinquency","page":"71–99","volume":"35","issue":"1","source":"Google Scholar","note":"00255","shortTitle":"Adolescent maltreatment and delinquency","author":[{"family":"Brezina","given":"Timothy"}],"issued":{"date-parts":[["1998"]]}}},{"id":555,"uris":["http://zotero.org/users/1165382/items/XJJAIZ3A"],"uri":["http://zotero.org/users/1165382/items/XJJAIZ3A"],"itemData":{"id":555,"type":"article-journal","title":"Comparison of two community alternatives to incarceration for chronic juvenile offenders.","container-title":"Journal of consulting and clinical psychology","page":"624","volume":"66","issue":"4","source":"Google Scholar","author":[{"family":"Chamberlain","given":"Patricia"},{"family":"Reid","given":"John B."}],"issued":{"date-parts":[["1998"]]}}},{"id":86,"uris":["http://zotero.org/users/1165382/items/65ZNE4X4"],"uri":["http://zotero.org/users/1165382/items/65ZNE4X4"],"itemData":{"id":86,"type":"article-journal","title":"Child neglect and adolescent violence: Examining the effects of self-control and peer rejection","container-title":"Violence and victims","page":"39–53","volume":"20","issue":"1","source":"Google Scholar","note":"00083","shortTitle":"Child neglect and adolescent violence","author":[{"family":"Chapple","given":"Constance L."},{"family":"Tyler","given":"Kimberly A."},{"family":"Bersani","given":"Bianca E."}],"issued":{"date-parts":[["2005"]]}}},{"id":406,"uris":["http://zotero.org/users/1165382/items/QJ9PPN5M"],"uri":["http://zotero.org/users/1165382/items/QJ9PPN5M"],"itemData":{"id":406,"type":"book","title":"Crime during the transition to adulthood: How youth fare as they leave out-of-home care","publisher":"National Institute of Justice, Office of Justice Programs, US Department of Justice","URL":"http://www.ncjrs.gov/App/abstractdb/AbstractDBDetails.aspx?id=251697","author":[{"family":"Cusick","given":"Gretchen"},{"family":"Courtney","given":"Mark"},{"family":"Havlicek","given":"Judy"},{"family":"Hess","given":"Nathan"}],"issued":{"date-parts":[["2010",1,1]]}}}],"schema":"https://github.com/citation-style-language/schema/raw/master/csl-citation.json"} </w:instrText>
      </w:r>
      <w:r w:rsidRPr="00A32EED">
        <w:rPr>
          <w:rFonts w:eastAsia="Calibri"/>
        </w:rPr>
        <w:fldChar w:fldCharType="separate"/>
      </w:r>
      <w:r w:rsidRPr="00A32EED">
        <w:rPr>
          <w:rFonts w:eastAsia="Calibri"/>
          <w:noProof/>
        </w:rPr>
        <w:t>(Brezina 1998; Chamberlain and Reid 1998; Chapple et al. 2005; Cusick et al. 2010b)</w:t>
      </w:r>
      <w:r w:rsidRPr="00A32EED">
        <w:rPr>
          <w:rFonts w:eastAsia="Calibri"/>
        </w:rPr>
        <w:fldChar w:fldCharType="end"/>
      </w:r>
      <w:r w:rsidRPr="00A32EED">
        <w:rPr>
          <w:rFonts w:eastAsia="Calibri"/>
        </w:rPr>
        <w:t xml:space="preserve"> and criminal justice contact </w:t>
      </w:r>
      <w:r w:rsidRPr="00A32EED">
        <w:rPr>
          <w:rFonts w:eastAsia="Calibri"/>
        </w:rPr>
        <w:fldChar w:fldCharType="begin"/>
      </w:r>
      <w:r w:rsidRPr="00A32EED">
        <w:rPr>
          <w:rFonts w:eastAsia="Calibri"/>
        </w:rPr>
        <w:instrText xml:space="preserve"> ADDIN ZOTERO_ITEM CSL_CITATION {"citationID":"f3pacpee1","properties":{"formattedCitation":"{\\rtf (Chamberlain and Reid 1998; Ekstrand et al. 1999; Forsman and L\\uc0\\u229{}ngstr\\uc0\\u246{}m 2012; Grogan-Kaylor and Otis 2003; Kazemian et al. 2011; Mersky and Janczewski 2013; Taussig et al. 2001)}","plainCitation":"(Chamberlain and Reid 1998; Ekstrand et al. 1999; Forsman and Långström 2012; Grogan-Kaylor and Otis 2003; Kazemian et al. 2011; Mersky and Janczewski 2013; Taussig et al. 2001)"},"citationItems":[{"id":555,"uris":["http://zotero.org/users/1165382/items/XJJAIZ3A"],"uri":["http://zotero.org/users/1165382/items/XJJAIZ3A"],"itemData":{"id":555,"type":"article-journal","title":"Comparison of two community alternatives to incarceration for chronic juvenile offenders.","container-title":"Journal of consulting and clinical psychology","page":"624","volume":"66","issue":"4","source":"Google Scholar","author":[{"family":"Chamberlain","given":"Patricia"},{"family":"Reid","given":"John B."}],"issued":{"date-parts":[["1998"]]}}},{"id":1276,"uris":["http://zotero.org/users/1165382/items/WFAQDAWN"],"uri":["http://zotero.org/users/1165382/items/WFAQDAWN"],"itemData":{"id":1276,"type":"article-journal","title":"Women in prison: issues and challenges confronting US correctional systems","container-title":"Pp.[URL: http://www. gao. gov/new. items/gg00022. pdf]. Washington, DC: United States General Accounting Office","source":"Google Scholar","note":"00015","shortTitle":"Women in prison","author":[{"family":"Ekstrand","given":"Laurie"},{"family":"Burton","given":"Danny"},{"family":"Erdman","given":"Eric"}],"issued":{"date-parts":[["1999"]]}}},{"id":263,"uris":["http://zotero.org/users/1165382/items/GXK5EFMG"],"uri":["http://zotero.org/users/1165382/items/GXK5EFMG"],"itemData":{"id":263,"type":"article-journal","title":"Child maltreatment and adult violent offending: population-based twin study addressing the ‘cycle of violence’ hypothesis","container-title":"Psychological Medicine","page":"1977–1983","volume":"42","issue":"9","source":"Primo","abstract":"Background Associations between child maltreatment and adult violence, often termed the ‘cycle of violence’, are well documented. However, the nature of such links after appropriate control for confounding remains uncertain. We aimed to determine whether child maltreatment causes adult violent offending or whether suggested links are due to genetic or family environment confounding. Method A total of 18 083 20- to 47-year-old twins from the Swedish population-based Study of Twin Adults: Genes and Environment (STAGE) participated. We linked information on self-reported child maltreatment with national register data on convictions for adult crime. We used a case-control design to elucidate associations among unrelated individuals and also conducted within-discordant twin pair analyses to estimate the influence of familial confounding on this association. Results The odds ratio (OR), adjusted for age, sex and education, for violent offending in maltreated children grown up versus unrelated controls was 1.98 [95% confidence interval (CI) 1.52–2.57]. However, the association decreased to 1.18 (95% CI 0.62–2.25) when maltreated children were compared to their non-maltreated twins, suggesting substantial confounding by genetic or family environmental factors (within-twin OR &lt;1.98) and a weak, non-significant causal effect (within-twin OR &gt;1.00). Familial confounding was also pronounced for the association between child maltreatment and any offending. Conclusions Childhood maltreatment was found to be a weak causal risk factor for adult violent offending; hence, reducing maltreatment might decrease violent crime less than previously expected. Instead, considerable familial confounding of the link between child maltreatment and adult violent offending suggests that prevention strategies need to address overlapping genetic and/or family environmental liability for abusive and violent behavior.","DOI":"10.1017/S0033291711003060","ISSN":"0033-2917","note":"00000","shortTitle":"Child maltreatment and adult violent offending","author":[{"family":"Forsman","given":"M."},{"family":"Långström","given":"N."}],"issued":{"date-parts":[["2012"]]}}},{"id":93,"uris":["http://zotero.org/users/1165382/items/6G3KRDQC"],"uri":["http://zotero.org/users/1165382/items/6G3KRDQC"],"itemData":{"id":93,"type":"article-journal","title":"The effect of childhood maltreatment on adult criminality: A tobit regression analysis","container-title":"Child Maltreatment","page":"129–137","volume":"8","issue":"2","source":"Google Scholar","note":"00053","shortTitle":"The effect of childhood maltreatment on adult criminality","author":[{"family":"Grogan-Kaylor","given":"Andrew"},{"family":"Otis","given":"Melanie D."}],"issued":{"date-parts":[["2003"]]}}},{"id":184,"uris":["http://zotero.org/users/1165382/items/BXC8W7MU"],"uri":["http://zotero.org/users/1165382/items/BXC8W7MU"],"itemData":{"id":184,"type":"article-journal","title":"A prospective examination of the relationship between childhood neglect and juvenile delinquency in the Cambridge study in delinquent development","container-title":"International Journal of Child, Youth and Family Studies","page":"65–82","volume":"2","issue":"1/2","source":"Google Scholar","author":[{"family":"Kazemian","given":"Lila"},{"family":"Widom","given":"Cathy Spatz"},{"family":"Farrington","given":"David P."}],"issued":{"date-parts":[["2011"]]}}},{"id":316,"uris":["http://zotero.org/users/1165382/items/JX24GAJM"],"uri":["http://zotero.org/users/1165382/items/JX24GAJM"],"itemData":{"id":316,"type":"article-journal","title":"Adult well-being of foster care alumni: Comparisons to other child welfare recipients and a non-child welfare sample in a high-risk, urban setting","container-title":"Children and Youth Services Review","page":"367-376","volume":"35","issue":"3","source":"ScienceDirect","abstract":"Research has shown that children placed in foster care fall below population norms on many indicators of well-being. Yet few studies have been designed to distill the effects of foster care from conditions that precede foster care. Based on the available evidence, it is also uncertain whether the purported effects of foster care are lasting. This study used data gathered prospectively from an economically disadvantaged, urban cohort to examine whether foster care is associated with decreased educational and economic attainments as well as increased criminality in adulthood. Individuals who were placed in foster care after an indicated allegation of maltreatment were compared to three naturally occurring groups: (a) maltreatment victims who did not reside in foster care, (b) individuals without an indicated maltreatment allegation who were raised in a household with a Child Protective Services (CPS) record, and (c) individuals without an individual or household record of CPS involvement. Using multiple estimation procedures, we found that all participants with a CPS record fared worse in adulthood than their peers without a CPS record. Despite their poor outcomes, foster children functioned as well as other CPS recipients who did not reside in foster care. Our findings indicate that caution is warranted when attributing dysfunction observed in foster children to the effects of foster care. Implications for prevention and intervention within the context of child welfare are discussed.","DOI":"10.1016/j.childyouth.2012.11.016","ISSN":"0190-7409","shortTitle":"Adult well-being of foster care alumni","journalAbbreviation":"Children and Youth Services Review","author":[{"family":"Mersky","given":"Joshua P."},{"family":"Janczewski","given":"Colleen"}],"issued":{"date-parts":[["2013",3]]}}},{"id":1250,"uris":["http://zotero.org/users/1165382/items/H5PADUN9"],"uri":["http://zotero.org/users/1165382/items/H5PADUN9"],"itemData":{"id":1250,"type":"article-journal","title":"Children who return home from foster care: a 6-year prospective study of behavioral health outcomes in adolescence","container-title":"Pediatrics","page":"E10","volume":"108","issue":"1","source":"PubMed","abstract":"OBJECTIVE: Returning children to their biological families after placement in foster care (ie, reunification) has been prioritized with legislation. Comprehensive studies of child behavioral health functioning after reunification, however, have not been conducted. This study examined outcomes for youth who were reunified after placement in foster care as compared with youth who did not reunify.\nDESIGN: Prospective cohort.\nSETTING: Children who entered foster care in San Diego, California, and who remained in foster care for at least 5 months. Participants. A cohort of 149 ethnically diverse youth, 7 to 12 years old, who entered foster care between May 1990, and October 1991. Seventy-five percent of those interviewed at Time 1 were interviewed at Time 2 (6 years later).\nOUTCOME MEASURES: 1) Risk behaviors: delinquent, sexual, self-destructive, substance use, and total risk behaviors; 2) Life-course outcomes: pregnancy, tickets/arrests, suspensions, dropping out of school, and grades; 3) Current symptomatology: externalizing, internalizing, total behavior problems, and total competence.\nRESULTS: Compared with youth who were not reunified, reunified youth showed more self-destructive behavior (0.15 vs -0.11), substance use (0.16 vs -0.11), and total risk behavior problem standardized scores (0.12 vs -0.09). Reunified youth were more likely to have received a ticket or have been arrested (49.2% vs 30.2%), to have dropped out of school (20.6% vs 9.4%), and to have received lower grades (6.5 vs 7.4). Reunified youth reported more current problems in internalizing behaviors (56.6 vs 53.0), and total behavior problems (59.5 vs 55.7), and lower total competence (41.1 vs 45.0). There were no statistically significant differences between the groups on delinquency, sexual behaviors, pregnancy, suspensions, or externalizing behaviors. Reunification status was a significant predictor of negative outcomes in 8 of the 9 regression equations after controlling for Time 1 behavior problems, age, and gender.\nCONCLUSIONS: These findings suggest that youth who reunify with their biological families after placement in foster care have more negative outcomes than youth who do not reunify. The implications of these findings for policy and practice are discussed.","ISSN":"1098-4275","note":"00187 \nPMID: 11433089","shortTitle":"Children who return home from foster care","journalAbbreviation":"Pediatrics","language":"eng","author":[{"family":"Taussig","given":"H. N."},{"family":"Clyman","given":"R. B."},{"family":"Landsverk","given":"J."}],"issued":{"date-parts":[["2001",7]]}}}],"schema":"https://github.com/citation-style-language/schema/raw/master/csl-citation.json"} </w:instrText>
      </w:r>
      <w:r w:rsidRPr="00A32EED">
        <w:rPr>
          <w:rFonts w:eastAsia="Calibri"/>
        </w:rPr>
        <w:fldChar w:fldCharType="separate"/>
      </w:r>
      <w:r w:rsidRPr="00A32EED">
        <w:rPr>
          <w:rFonts w:eastAsia="Times New Roman"/>
        </w:rPr>
        <w:t>(Chamberlain and Reid 1998; Ekstrand et al. 1999; Forsman and Långström 2012; Grogan-Kaylor and Otis 2003; Kazemian et al. 2011; Mersky and Janczewski 2013; Taussig et al. 2001)</w:t>
      </w:r>
      <w:r w:rsidRPr="00A32EED">
        <w:rPr>
          <w:rFonts w:eastAsia="Calibri"/>
        </w:rPr>
        <w:fldChar w:fldCharType="end"/>
      </w:r>
      <w:r w:rsidRPr="00A32EED">
        <w:rPr>
          <w:rFonts w:eastAsia="Calibri"/>
        </w:rPr>
        <w:t xml:space="preserve">. Although previous research points to child maltreatment and child welfare experiences as being linked to these adverse outcomes, it is difficult to parse out exactly how these experiences are related to the adverse outcomes. Stated differently, it is unclear if the relationship between child maltreatment, child welfare experiences, and adverse outcome is one of individual propensity (population heterogeneity) or adverse events (state dependence). </w:t>
      </w:r>
    </w:p>
    <w:p w14:paraId="6C8FCF3F" w14:textId="77777777" w:rsidR="004C4C39" w:rsidRPr="00A32EED" w:rsidRDefault="004C4C39" w:rsidP="004C4C39">
      <w:pPr>
        <w:spacing w:after="0" w:line="480" w:lineRule="auto"/>
        <w:ind w:firstLine="720"/>
        <w:rPr>
          <w:rFonts w:eastAsia="Calibri"/>
        </w:rPr>
      </w:pPr>
      <w:r w:rsidRPr="00A32EED">
        <w:rPr>
          <w:rFonts w:eastAsia="Calibri"/>
        </w:rPr>
        <w:t xml:space="preserve">Population heterogeneity explanations are time-stable characteristics within a person that explain both past and future offending </w:t>
      </w:r>
      <w:r w:rsidRPr="00A32EED">
        <w:rPr>
          <w:rFonts w:eastAsia="Calibri"/>
        </w:rPr>
        <w:fldChar w:fldCharType="begin"/>
      </w:r>
      <w:r w:rsidRPr="00A32EED">
        <w:rPr>
          <w:rFonts w:eastAsia="Calibri"/>
        </w:rPr>
        <w:instrText xml:space="preserve"> ADDIN ZOTERO_ITEM CSL_CITATION {"citationID":"2fia54pq8u","properties":{"formattedCitation":"(Nagin and Paternoster 2000b)","plainCitation":"(Nagin and Paternoster 2000b)"},"citationItems":[{"id":190,"uris":["http://zotero.org/users/1165382/items/CE3RQXEW"],"uri":["http://zotero.org/users/1165382/items/CE3RQXEW"],"itemData":{"id":190,"type":"article-journal","title":"Population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1573-7799","note":"00000","shortTitle":"Population Heterogeneity and State Dependence","journalAbbreviation":"Journal of Quantitative Criminology","language":"en","author":[{"family":"Nagin","given":"Daniel"},{"family":"Paternoster","given":"Raymond"}],"issued":{"date-parts":[["2000",6,1]]}}}],"schema":"https://github.com/citation-style-language/schema/raw/master/csl-citation.json"} </w:instrText>
      </w:r>
      <w:r w:rsidRPr="00A32EED">
        <w:rPr>
          <w:rFonts w:eastAsia="Calibri"/>
        </w:rPr>
        <w:fldChar w:fldCharType="separate"/>
      </w:r>
      <w:r w:rsidRPr="00A32EED">
        <w:rPr>
          <w:rFonts w:eastAsia="Calibri"/>
          <w:noProof/>
        </w:rPr>
        <w:t>(Nagin and Paternoster 2000)</w:t>
      </w:r>
      <w:r w:rsidRPr="00A32EED">
        <w:rPr>
          <w:rFonts w:eastAsia="Calibri"/>
        </w:rPr>
        <w:fldChar w:fldCharType="end"/>
      </w:r>
      <w:r w:rsidRPr="00A32EED">
        <w:rPr>
          <w:rFonts w:eastAsia="Calibri"/>
        </w:rPr>
        <w:t xml:space="preserve">. As it pertains to this study, a population heterogeneity explanation would point to some time-stable characteristic within the child that existed prior to the child maltreatment, was affected by the child maltreatment, and/or affected later child welfare experiences while also being related to adverse outcomes. In other words, those children with a propensity for deviant behavior, such as low self-control, would also be more difficult to parent and therefore potentially be at higher risk for child maltreatment and potentially </w:t>
      </w:r>
      <w:r w:rsidRPr="00A32EED">
        <w:rPr>
          <w:rFonts w:eastAsia="Calibri"/>
        </w:rPr>
        <w:lastRenderedPageBreak/>
        <w:t xml:space="preserve">require more restrictive placements while in care. This propensity for deviant behavior might also influence experiences of child maltreatment and experiences while in child welfare custody and at the same time also be the driving force behind later adverse outcomes. An alternative population heterogeneity explanation could be that child maltreatment at a young age results in an inability to acquire an adequate level of self-control and therefore an increased risk for adverse outcomes later in life as well as more restrictive placements while in child welfare custody. </w:t>
      </w:r>
    </w:p>
    <w:p w14:paraId="640EA18A" w14:textId="77777777" w:rsidR="004C4C39" w:rsidRPr="00A32EED" w:rsidRDefault="004C4C39" w:rsidP="004C4C39">
      <w:pPr>
        <w:spacing w:after="0" w:line="480" w:lineRule="auto"/>
        <w:ind w:firstLine="720"/>
        <w:rPr>
          <w:rFonts w:eastAsia="Calibri"/>
        </w:rPr>
      </w:pPr>
      <w:r w:rsidRPr="00A32EED">
        <w:rPr>
          <w:rFonts w:eastAsia="Calibri"/>
        </w:rPr>
        <w:t xml:space="preserve">It is possible that the relationship between child maltreatment, child welfare experiences, and later adverse outcomes is best explained via a state dependence explanation. State-dependent explanations are causal and suggest certain events precipitate a change in lifestyles or opportunities </w:t>
      </w:r>
      <w:r w:rsidRPr="00A32EED">
        <w:rPr>
          <w:rFonts w:eastAsia="Calibri"/>
        </w:rPr>
        <w:fldChar w:fldCharType="begin"/>
      </w:r>
      <w:r w:rsidRPr="00A32EED">
        <w:rPr>
          <w:rFonts w:eastAsia="Calibri"/>
        </w:rPr>
        <w:instrText xml:space="preserve"> ADDIN ZOTERO_ITEM CSL_CITATION {"citationID":"2l82ml0skh","properties":{"formattedCitation":"(Nagin and Paternoster 2000b)","plainCitation":"(Nagin and Paternoster 2000b)"},"citationItems":[{"id":190,"uris":["http://zotero.org/users/1165382/items/CE3RQXEW"],"uri":["http://zotero.org/users/1165382/items/CE3RQXEW"],"itemData":{"id":190,"type":"article-journal","title":"Population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1573-7799","note":"00000","shortTitle":"Population Heterogeneity and State Dependence","journalAbbreviation":"Journal of Quantitative Criminology","language":"en","author":[{"family":"Nagin","given":"Daniel"},{"family":"Paternoster","given":"Raymond"}],"issued":{"date-parts":[["2000",6,1]]}}}],"schema":"https://github.com/citation-style-language/schema/raw/master/csl-citation.json"} </w:instrText>
      </w:r>
      <w:r w:rsidRPr="00A32EED">
        <w:rPr>
          <w:rFonts w:eastAsia="Calibri"/>
        </w:rPr>
        <w:fldChar w:fldCharType="separate"/>
      </w:r>
      <w:r w:rsidRPr="00A32EED">
        <w:rPr>
          <w:rFonts w:eastAsia="Calibri"/>
          <w:noProof/>
        </w:rPr>
        <w:t>(Nagin and Paternoster 2000)</w:t>
      </w:r>
      <w:r w:rsidRPr="00A32EED">
        <w:rPr>
          <w:rFonts w:eastAsia="Calibri"/>
        </w:rPr>
        <w:fldChar w:fldCharType="end"/>
      </w:r>
      <w:r w:rsidRPr="00A32EED">
        <w:rPr>
          <w:rFonts w:eastAsia="Calibri"/>
        </w:rPr>
        <w:t>. As it pertains to this study, a state dependence explanation suggests that child maltreatment and child welfare experiences in themselves, are related to these adverse outcomes because they change the child's future behavior or opportunities to participate in deviant behavior. In other words, being maltreated or removed from the home at any age changes the child or their surroundings in a manner that makes these adverse outcomes more likely. Additionally, events such as receiving services or different placements could also function as protective factors and reduce the odds of experiencing one of these adverse outcomes. Specifically, receiving services or placement into a healthier involvement could function as a positive transition that alters the child’s life-course trajectory away from adverse outcomes.</w:t>
      </w:r>
    </w:p>
    <w:p w14:paraId="20581C80" w14:textId="77777777" w:rsidR="004C4C39" w:rsidRPr="00A32EED" w:rsidRDefault="004C4C39" w:rsidP="004C4C39">
      <w:pPr>
        <w:spacing w:after="0" w:line="480" w:lineRule="auto"/>
        <w:ind w:firstLine="720"/>
        <w:rPr>
          <w:rFonts w:eastAsia="Calibri"/>
        </w:rPr>
      </w:pPr>
      <w:r w:rsidRPr="00A32EED">
        <w:rPr>
          <w:rFonts w:eastAsia="Calibri"/>
        </w:rPr>
        <w:lastRenderedPageBreak/>
        <w:t xml:space="preserve">Although the concept of maltreatment changing the child's behavior sounds similar to population heterogeneity explanations of propensity, it is not quite the same. Population heterogeneity explanations require a time-stable difference among individuals. Specifically, in a population heterogeneity explanation, only maltreatment at an early age would be related to adverse outcomes due to the stable nature of self-control by the age of 10 </w:t>
      </w:r>
      <w:r w:rsidRPr="00A32EED">
        <w:rPr>
          <w:rFonts w:eastAsia="Calibri"/>
        </w:rPr>
        <w:fldChar w:fldCharType="begin"/>
      </w:r>
      <w:r w:rsidRPr="00A32EED">
        <w:rPr>
          <w:rFonts w:eastAsia="Calibri"/>
        </w:rPr>
        <w:instrText xml:space="preserve"> ADDIN ZOTERO_ITEM CSL_CITATION {"citationID":"8ub00h542","properties":{"formattedCitation":"(Gottfredson and Hirschi 1990)","plainCitation":"(Gottfredson and Hirschi 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chema":"https://github.com/citation-style-language/schema/raw/master/csl-citation.json"} </w:instrText>
      </w:r>
      <w:r w:rsidRPr="00A32EED">
        <w:rPr>
          <w:rFonts w:eastAsia="Calibri"/>
        </w:rPr>
        <w:fldChar w:fldCharType="separate"/>
      </w:r>
      <w:r w:rsidRPr="00A32EED">
        <w:rPr>
          <w:rFonts w:eastAsia="Calibri"/>
          <w:noProof/>
        </w:rPr>
        <w:t>(Gottfredson and Hirschi 1990)</w:t>
      </w:r>
      <w:r w:rsidRPr="00A32EED">
        <w:rPr>
          <w:rFonts w:eastAsia="Calibri"/>
        </w:rPr>
        <w:fldChar w:fldCharType="end"/>
      </w:r>
      <w:r w:rsidRPr="00A32EED">
        <w:rPr>
          <w:rFonts w:eastAsia="Calibri"/>
        </w:rPr>
        <w:t xml:space="preserve">. In other words, child maltreatment prior to the age of 10 is likely to result in a failure by adults in the child’s life to instill adequate levels of self-control, and therefore the child will be more likely to engage in deviant and risky behavior throughout the life-course. Using such an argument, maltreatment later in life would not be as influential because the child has already acquired their level of self-control. However, if the relationship is one of state dependence, one would expect maltreatment at any age to be related to these adverse outcomes. Furthermore, one would expect events such as being removed from the home or placement in a group home at any age to be related to increased risk for these adverse outcomes. </w:t>
      </w:r>
    </w:p>
    <w:p w14:paraId="6F4A2D85" w14:textId="77777777" w:rsidR="004C4C39" w:rsidRPr="00A32EED" w:rsidRDefault="004C4C39" w:rsidP="004C4C39">
      <w:pPr>
        <w:spacing w:after="0" w:line="480" w:lineRule="auto"/>
        <w:ind w:firstLine="720"/>
        <w:rPr>
          <w:rFonts w:eastAsia="Calibri"/>
        </w:rPr>
      </w:pPr>
      <w:r w:rsidRPr="00A32EED">
        <w:rPr>
          <w:rFonts w:eastAsia="Calibri"/>
        </w:rPr>
        <w:t xml:space="preserve">Although it is helpful to think of population heterogeneity and state dependence as competing explanations, the relationships between child maltreatment, child welfare experiences, and adverse outcomes throughout the life-course are likely a combination of both. In fact, Nagin and Paternoster </w:t>
      </w:r>
      <w:r w:rsidRPr="00A32EED">
        <w:rPr>
          <w:rFonts w:eastAsia="Calibri"/>
        </w:rPr>
        <w:fldChar w:fldCharType="begin"/>
      </w:r>
      <w:r w:rsidRPr="00A32EED">
        <w:rPr>
          <w:rFonts w:eastAsia="Calibri"/>
        </w:rPr>
        <w:instrText xml:space="preserve"> ADDIN ZOTERO_ITEM CSL_CITATION {"citationID":"2bn8oagsl6","properties":{"formattedCitation":"(2000b)","plainCitation":"(2000b)"},"citationItems":[{"id":190,"uris":["http://zotero.org/users/1165382/items/CE3RQXEW"],"uri":["http://zotero.org/users/1165382/items/CE3RQXEW"],"itemData":{"id":190,"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1573-7799","note":"00000","shortTitle":"Population Heterogeneity and State Dependence","journalAbbreviation":"Journal of Quantitative Criminology","language":"en","author":[{"family":"Nagin","given":"Daniel"},{"family":"Paternoster","given":"Raymond"}],"issued":{"date-parts":[["2000",6,1]]}},"suppress-author":true}],"schema":"https://github.com/citation-style-language/schema/raw/master/csl-citation.json"} </w:instrText>
      </w:r>
      <w:r w:rsidRPr="00A32EED">
        <w:rPr>
          <w:rFonts w:eastAsia="Calibri"/>
        </w:rPr>
        <w:fldChar w:fldCharType="separate"/>
      </w:r>
      <w:r w:rsidRPr="00A32EED">
        <w:rPr>
          <w:rFonts w:eastAsia="Calibri"/>
          <w:noProof/>
        </w:rPr>
        <w:t>(2000)</w:t>
      </w:r>
      <w:r w:rsidRPr="00A32EED">
        <w:rPr>
          <w:rFonts w:eastAsia="Calibri"/>
        </w:rPr>
        <w:fldChar w:fldCharType="end"/>
      </w:r>
      <w:r w:rsidRPr="00A32EED">
        <w:rPr>
          <w:rFonts w:eastAsia="Calibri"/>
        </w:rPr>
        <w:t xml:space="preserve"> suggest that the best explanations of past and future behavior are those that incorporate both. Furthermore, Nagin and Paternoster suggest that theories such as Sampson and Laub’s age-graded theory of informal social control are </w:t>
      </w:r>
      <w:r w:rsidRPr="00A32EED">
        <w:rPr>
          <w:rFonts w:eastAsia="Calibri"/>
        </w:rPr>
        <w:lastRenderedPageBreak/>
        <w:t>likely the best theories for explaining the relationship between past and future behaviors due to their ability to account for both population heterogeneity and state dependence. As such, the current study attempts to account for both population heterogeneity and state dependent explanations of the relationship between child maltreatment, child welfare, and adverse outcomes. Specifically, self-control is included in the models to account for population heterogeneity and the different propensities among individuals. Additionally, negative life events, such as previous child welfare history, the severity of abuse, and removal from the home are also included to account for state-dependent effects.</w:t>
      </w:r>
    </w:p>
    <w:p w14:paraId="0BC12B0D" w14:textId="77777777" w:rsidR="004C4C39" w:rsidRPr="00A32EED" w:rsidRDefault="004C4C39" w:rsidP="004C4C39">
      <w:pPr>
        <w:spacing w:after="0" w:line="480" w:lineRule="auto"/>
        <w:ind w:firstLine="720"/>
        <w:rPr>
          <w:rFonts w:eastAsia="Calibri"/>
        </w:rPr>
      </w:pPr>
      <w:r w:rsidRPr="00A32EED">
        <w:rPr>
          <w:rFonts w:eastAsia="Calibri"/>
        </w:rPr>
        <w:t xml:space="preserve">Based on Sampson and Laub’s age-graded theory of informal social control </w:t>
      </w:r>
      <w:r w:rsidRPr="00A32EED">
        <w:rPr>
          <w:rFonts w:eastAsia="Calibri"/>
        </w:rPr>
        <w:fldChar w:fldCharType="begin"/>
      </w:r>
      <w:r w:rsidRPr="00A32EED">
        <w:rPr>
          <w:rFonts w:eastAsia="Calibri"/>
        </w:rPr>
        <w:instrText xml:space="preserve"> ADDIN ZOTERO_ITEM CSL_CITATION {"citationID":"KHeptWDr","properties":{"formattedCitation":"(1995a)","plainCitation":"(1995a)"},"citationItems":[{"id":569,"uris":["http://zotero.org/users/1165382/items/ZDAAURIF"],"uri":["http://zotero.org/users/1165382/items/ZDAAURIF"],"itemData":{"id":569,"type":"book","title":"Crime in the Making: Pathways and Turning Points through Life","publisher":"Harvard University Press","publisher-place":"Cambridge, Mass.","number-of-pages":"320","source":"Amazon.com","event-place":"Cambridge, Mass.","abstract":"This new theory of crime over the life course provides an important foundation for rethinking criminal justice policy. It is based on the reanalysis of a classic set of data: Sheldon and Eleanor Gluecks' mid-century study of 500 delinquents and 500 nondelinquents from childhood to adulthood. Several years ago, Robert Sampson and John Laub dusted off sixty cartons of the Gleucks' data that had been stored in the basement of the Harvard Law School and undertook a lengthy process of recoding, computerizing, and reanalyzing it. On the basis of their findings, they developed a theory of informal social control that acknowledges the importance of childhood behavior but rejects the implication that adult social factors have little relevance. This theory accounts for both stability and change in crime and deviance throughout the life course.","ISBN":"978-0-674-17605-8","shortTitle":"Crime in the Making","language":"English","author":[{"family":"Sampson","given":"Robert J."},{"family":"Laub","given":"John H."}],"issued":{"date-parts":[["1995",4,14]]}},"suppress-author":true}],"schema":"https://github.com/citation-style-language/schema/raw/master/csl-citation.json"} </w:instrText>
      </w:r>
      <w:r w:rsidRPr="00A32EED">
        <w:rPr>
          <w:rFonts w:eastAsia="Calibri"/>
        </w:rPr>
        <w:fldChar w:fldCharType="separate"/>
      </w:r>
      <w:r w:rsidRPr="00A32EED">
        <w:rPr>
          <w:rFonts w:eastAsia="Calibri"/>
          <w:noProof/>
        </w:rPr>
        <w:t>(1995a)</w:t>
      </w:r>
      <w:r w:rsidRPr="00A32EED">
        <w:rPr>
          <w:rFonts w:eastAsia="Calibri"/>
        </w:rPr>
        <w:fldChar w:fldCharType="end"/>
      </w:r>
      <w:r w:rsidRPr="00A32EED">
        <w:rPr>
          <w:rFonts w:eastAsia="Calibri"/>
        </w:rPr>
        <w:t xml:space="preserve"> and Gottfredson and Hirschi’s general theory of crime </w:t>
      </w:r>
      <w:r w:rsidRPr="00A32EED">
        <w:rPr>
          <w:rFonts w:eastAsia="Calibri"/>
        </w:rPr>
        <w:fldChar w:fldCharType="begin"/>
      </w:r>
      <w:r w:rsidRPr="00A32EED">
        <w:rPr>
          <w:rFonts w:eastAsia="Calibri"/>
        </w:rPr>
        <w:instrText xml:space="preserve"> ADDIN ZOTERO_ITEM CSL_CITATION {"citationID":"49u7smcpl","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I suggested that low levels of self-control would be correlated with higher odds of both early sexual initiation and criminal justice contact. Additionally, given the assertion by Gottfredson and Hirschi </w:t>
      </w:r>
      <w:r w:rsidRPr="00A32EED">
        <w:rPr>
          <w:rFonts w:eastAsia="Calibri"/>
        </w:rPr>
        <w:fldChar w:fldCharType="begin"/>
      </w:r>
      <w:r w:rsidRPr="00A32EED">
        <w:rPr>
          <w:rFonts w:eastAsia="Calibri"/>
        </w:rPr>
        <w:instrText xml:space="preserve"> ADDIN ZOTERO_ITEM CSL_CITATION {"citationID":"25mt295bai","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that self-control remains stable after the age of 10, I theorized that population heterogeneity would also be supported if the odds of experiencing adverse outcomes decreased with age at baseline or did not change after the age of 10. Furthermore, based Sampson and Laub’s theory of informal social control </w:t>
      </w:r>
      <w:r w:rsidRPr="00A32EED">
        <w:rPr>
          <w:rFonts w:eastAsia="Calibri"/>
        </w:rPr>
        <w:fldChar w:fldCharType="begin"/>
      </w:r>
      <w:r w:rsidRPr="00A32EED">
        <w:rPr>
          <w:rFonts w:eastAsia="Calibri"/>
        </w:rPr>
        <w:instrText xml:space="preserve"> ADDIN ZOTERO_ITEM CSL_CITATION {"citationID":"czR7FKIA","properties":{"formattedCitation":"(1995)","plainCitation":"(1995)"},"citationItems":[{"id":33,"uris":["http://zotero.org/users/1165382/items/3H87E53B"],"uri":["http://zotero.org/users/1165382/items/3H87E53B"],"itemData":{"id":33,"type":"book","title":"Crime in the Making: Pathways and Turning Points through Life","publisher":"Harvard University Press","number-of-pages":"320","source":"Amazon.com","abstract":"This new theory of crime over the life course provides an important foundation for rethinking criminal justice policy. It is based on the reanalysis of a classic set of data: Sheldon and Eleanor Gluecks' mid-century study of 500 delinquents and 500 nondelinquents from childhood to adulthood. Several years ago, Robert Sampson and John Laub dusted off sixty cartons of the Gleucks' data that had been stored in the basement of the Harvard Law School and undertook a lengthy process of recoding, computerizing, and reanalyzing it. On the basis of their findings, they developed a theory of informal social control that acknowledges the importance of childhood behavior but rejects the implication that adult social factors have little relevance. This theory accounts for both stability and change in crime and deviance throughout the life course.","ISBN":"978-0-674-17605-8","note":"04441","shortTitle":"Crime in the Making","language":"English","author":[{"family":"Sampson","given":"Robert J."}],"issued":{"date-parts":[["1995",4,14]]}},"suppress-author":true}],"schema":"https://github.com/citation-style-language/schema/raw/master/csl-citation.json"} </w:instrText>
      </w:r>
      <w:r w:rsidRPr="00A32EED">
        <w:rPr>
          <w:rFonts w:eastAsia="Calibri"/>
        </w:rPr>
        <w:fldChar w:fldCharType="separate"/>
      </w:r>
      <w:r w:rsidRPr="00A32EED">
        <w:rPr>
          <w:rFonts w:eastAsia="Calibri"/>
          <w:noProof/>
        </w:rPr>
        <w:t>(1995)</w:t>
      </w:r>
      <w:r w:rsidRPr="00A32EED">
        <w:rPr>
          <w:rFonts w:eastAsia="Calibri"/>
        </w:rPr>
        <w:fldChar w:fldCharType="end"/>
      </w:r>
      <w:r w:rsidRPr="00A32EED">
        <w:rPr>
          <w:rFonts w:eastAsia="Calibri"/>
        </w:rPr>
        <w:t xml:space="preserve">, I suggested that negative life events such as substantiated child maltreatment (even at ages older than ten years old), removal from the home, previous child welfare experience, and different placement types would be significantly related to the adverse outcomes of early sexual initiation and criminal justice contact. Specifically, </w:t>
      </w:r>
      <w:r w:rsidRPr="00A32EED">
        <w:rPr>
          <w:rFonts w:eastAsia="Calibri"/>
        </w:rPr>
        <w:lastRenderedPageBreak/>
        <w:t xml:space="preserve">these events would function as transitions and turning points in the child’s life and therefore increase their odds of experiencing one of these adverse outcomes. Conversely, receiving services or different placements could also function as positive transitions and turning points and result in lower odds of early sexual initiation or criminal justice contact. </w:t>
      </w:r>
    </w:p>
    <w:p w14:paraId="0C9D3C36" w14:textId="77777777" w:rsidR="004C4C39" w:rsidRPr="00A32EED" w:rsidRDefault="004C4C39" w:rsidP="004C4C39">
      <w:pPr>
        <w:spacing w:after="0" w:line="480" w:lineRule="auto"/>
        <w:ind w:firstLine="720"/>
        <w:rPr>
          <w:rFonts w:eastAsia="Calibri"/>
        </w:rPr>
      </w:pPr>
      <w:r w:rsidRPr="00A32EED">
        <w:rPr>
          <w:rFonts w:eastAsia="Calibri"/>
        </w:rPr>
        <w:t>The current study seeks to contribute to the body of knowledge regarding the relationship between child maltreatment, child welfare, and adverse life events such as early sexual initiation and criminal justice contact. Not all the factors mentioned here are necessarily unique, but when factored together, they result in a level of rigor and scope that exceeds previous research. First, the NSCAW data are complex and broad in scope. The NSCAW data contain measures of outcomes, propensities, and negative life events collected at five separate waves that span anywhere from five to eight years. Additionally, the NSCAW data were collected using a complex sampling design that allows for generalization of findings to the broader population of all children in the United States who were the alleged victim of a child maltreatment investigation or assessment</w:t>
      </w:r>
      <w:r w:rsidRPr="005670AF">
        <w:rPr>
          <w:rStyle w:val="FootnoteReference"/>
        </w:rPr>
        <w:footnoteReference w:id="1"/>
      </w:r>
      <w:r w:rsidRPr="00A32EED">
        <w:rPr>
          <w:rFonts w:eastAsia="Calibri"/>
        </w:rPr>
        <w:t xml:space="preserve">. There is a sacrifice in the types of analyses that can be performed on the data due to the complex survey weights. Specifically, due to the effect the design has on the standard errors, model fit and significance tests are affected. STATA accounts for the standard errors in some tests but not in </w:t>
      </w:r>
      <w:r w:rsidRPr="00A32EED">
        <w:rPr>
          <w:rFonts w:eastAsia="Calibri"/>
        </w:rPr>
        <w:lastRenderedPageBreak/>
        <w:t xml:space="preserve">others. However, the benefits gained from having a generalizable sample outweigh any associated losses. </w:t>
      </w:r>
    </w:p>
    <w:p w14:paraId="071B96B9" w14:textId="77777777" w:rsidR="004C4C39" w:rsidRPr="00A32EED" w:rsidRDefault="004C4C39" w:rsidP="004C4C39">
      <w:pPr>
        <w:spacing w:after="0" w:line="480" w:lineRule="auto"/>
        <w:ind w:firstLine="720"/>
        <w:rPr>
          <w:rFonts w:eastAsia="Calibri"/>
        </w:rPr>
      </w:pPr>
      <w:r w:rsidRPr="00A32EED">
        <w:rPr>
          <w:rFonts w:eastAsia="Calibri"/>
        </w:rPr>
        <w:t xml:space="preserve">Furthermore, in my research, I have encountered problems regarding controls for types of maltreatment at baseline. Because cases often have multiple forms of maltreatment, controlling for types of maltreatments at baseline is often difficult due to the need to have mutually exclusive categories. The NSCAW data contain a measure for the level of perceived harm and risk that is helpful in identifying the most severe form of maltreatment for each case. I control for type of maltreatment at baseline by including dummy variables for the most severe form of maltreatment and a measure for the presence of multiple forms of maltreatment. Furthermore, previous research identified a lack of control for the severity of maltreatment cases as a limitation and consideration for future research. </w:t>
      </w:r>
      <w:r w:rsidRPr="00A32EED">
        <w:rPr>
          <w:rFonts w:eastAsia="Calibri"/>
        </w:rPr>
        <w:fldChar w:fldCharType="begin"/>
      </w:r>
      <w:r w:rsidRPr="00A32EED">
        <w:rPr>
          <w:rFonts w:eastAsia="Calibri"/>
        </w:rPr>
        <w:instrText xml:space="preserve"> ADDIN ZOTERO_ITEM CSL_CITATION {"citationID":"222mva6d0c","properties":{"formattedCitation":"(Crawford et al. 2017; Crawford and Bradley 2016)","plainCitation":"(Crawford et al. 2017; Crawford and Bradley 2016)"},"citationItems":[{"id":562,"uris":["http://zotero.org/users/1165382/items/XTK6EPTA"],"uri":["http://zotero.org/users/1165382/items/XTK6EPTA"],"itemData":{"id":562,"type":"article-journal","title":"Factors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id":240,"uris":["http://zotero.org/users/1165382/items/FTRUBTEV"],"uri":["http://zotero.org/users/1165382/items/FTRUBTEV"],"itemData":{"id":240,"type":"article-journal","title":"Parent gender and child removal in physical abuse and neglect cases","container-title":"Children and Youth Services Review","source":"Google Scholar","URL":"http://www.sciencedirect.com/science/article/pii/S0190740916301256","note":"00000","author":[{"family":"Crawford","given":"Brandon"},{"family":"Bradley","given":"Mindy S."}],"issued":{"date-parts":[["2016"]]},"accessed":{"date-parts":[["2016",4,25]]}}}],"schema":"https://github.com/citation-style-language/schema/raw/master/csl-citation.json"} </w:instrText>
      </w:r>
      <w:r w:rsidRPr="00A32EED">
        <w:rPr>
          <w:rFonts w:eastAsia="Calibri"/>
        </w:rPr>
        <w:fldChar w:fldCharType="separate"/>
      </w:r>
      <w:r w:rsidRPr="00A32EED">
        <w:rPr>
          <w:rFonts w:eastAsia="Calibri"/>
          <w:noProof/>
        </w:rPr>
        <w:t>(Crawford et al. 2017; Crawford and Bradley 2016)</w:t>
      </w:r>
      <w:r w:rsidRPr="00A32EED">
        <w:rPr>
          <w:rFonts w:eastAsia="Calibri"/>
        </w:rPr>
        <w:fldChar w:fldCharType="end"/>
      </w:r>
      <w:r w:rsidRPr="00A32EED">
        <w:rPr>
          <w:rFonts w:eastAsia="Calibri"/>
        </w:rPr>
        <w:t>. When used together, measures for the most severe form of maltreatment and the overall level of perceived harm and risk allow for an accounting of type and number of maltreatments at baseline while also having an easily identifiable reference group.</w:t>
      </w:r>
    </w:p>
    <w:p w14:paraId="4871E609" w14:textId="77777777" w:rsidR="004C4C39" w:rsidRPr="00A32EED" w:rsidRDefault="004C4C39" w:rsidP="004C4C39">
      <w:pPr>
        <w:spacing w:after="0" w:line="480" w:lineRule="auto"/>
        <w:ind w:firstLine="720"/>
        <w:rPr>
          <w:rFonts w:eastAsia="Calibri"/>
        </w:rPr>
      </w:pPr>
      <w:r w:rsidRPr="00A32EED">
        <w:rPr>
          <w:rFonts w:eastAsia="Calibri"/>
        </w:rPr>
        <w:t xml:space="preserve">As previously mentioned, previous research rarely incorporates both state dependent and population heterogeneity factors in the link between child maltreatment, child welfare, and adverse life outcomes. While many studies find that factors such as being placed in a group home are linked to adverse outcomes </w:t>
      </w:r>
      <w:r w:rsidRPr="00A32EED">
        <w:rPr>
          <w:rFonts w:eastAsia="Calibri"/>
        </w:rPr>
        <w:fldChar w:fldCharType="begin"/>
      </w:r>
      <w:r w:rsidRPr="00A32EED">
        <w:rPr>
          <w:rFonts w:eastAsia="Calibri"/>
        </w:rPr>
        <w:instrText xml:space="preserve"> ADDIN ZOTERO_ITEM CSL_CITATION {"citationID":"2etvagp56e","properties":{"formattedCitation":"(Crawford et al. 2017; J. P. Ryan et al. 2008)","plainCitation":"(Crawford et al. 2017; J. P. Ryan et al. 2008)"},"citationItems":[{"id":562,"uris":["http://zotero.org/users/1165382/items/XTK6EPTA"],"uri":["http://zotero.org/users/1165382/items/XTK6EPTA"],"itemData":{"id":562,"type":"article-journal","title":"Factors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id":1320,"uris":["http://zotero.org/users/1165382/items/2E22TTEU"],"uri":["http://zotero.org/users/1165382/items/2E22TTEU"],"itemData":{"id":1320,"type":"article-journal","title":"Juvenile delinquency in child welfare: Investigating group home effects","container-title":"Children and Youth Services Review","page":"1088–1099","volume":"30","issue":"9","source":"Google Scholar","shortTitle":"Juvenile delinquency in child welfare","author":[{"family":"Ryan","given":"Joseph P."},{"family":"Marshall","given":"Jane Marie"},{"family":"Herz","given":"Denise"},{"family":"Hernandez","given":"Pedro M."}],"issued":{"date-parts":[["2008"]]}}}],"schema":"https://github.com/citation-style-language/schema/raw/master/csl-citation.json"} </w:instrText>
      </w:r>
      <w:r w:rsidRPr="00A32EED">
        <w:rPr>
          <w:rFonts w:eastAsia="Calibri"/>
        </w:rPr>
        <w:fldChar w:fldCharType="separate"/>
      </w:r>
      <w:r w:rsidRPr="00A32EED">
        <w:rPr>
          <w:rFonts w:eastAsia="Calibri"/>
          <w:noProof/>
        </w:rPr>
        <w:t>(Crawford et al. 2017; J. P. Ryan et al. 2008)</w:t>
      </w:r>
      <w:r w:rsidRPr="00A32EED">
        <w:rPr>
          <w:rFonts w:eastAsia="Calibri"/>
        </w:rPr>
        <w:fldChar w:fldCharType="end"/>
      </w:r>
      <w:r w:rsidRPr="00A32EED">
        <w:rPr>
          <w:rFonts w:eastAsia="Calibri"/>
        </w:rPr>
        <w:t xml:space="preserve"> it is unclear if this relationship is the result of the group home placement (state dependence), </w:t>
      </w:r>
      <w:r w:rsidRPr="00A32EED">
        <w:rPr>
          <w:rFonts w:eastAsia="Calibri"/>
        </w:rPr>
        <w:lastRenderedPageBreak/>
        <w:t xml:space="preserve">some other propensity related to both adverse outcomes and placement in a group home (population heterogeneity), or both. This study addresses this limitation by including both placement types and criminal propensity via self-control. Not only does this allow for additional isolation of state dependence and population heterogeneity effects, it also identifies if the effects vary across different demographics. In sum, the use of complex survey weights, longitudinal data, markers of severity, and the inclusion of both state dependent and population heterogeneity variables enable this study to assert a higher level of methodological rigor and address some common limitations of previous research. </w:t>
      </w:r>
    </w:p>
    <w:p w14:paraId="5492D543"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56" w:name="_Toc479938185"/>
      <w:bookmarkStart w:id="157" w:name="_Toc482112714"/>
      <w:r w:rsidRPr="00A32EED">
        <w:rPr>
          <w:rFonts w:eastAsia="ＭＳ ゴシック"/>
          <w:i/>
          <w:color w:val="000000"/>
          <w:szCs w:val="26"/>
          <w:u w:val="single"/>
        </w:rPr>
        <w:t>Early Sexual Initiation</w:t>
      </w:r>
      <w:bookmarkEnd w:id="156"/>
      <w:bookmarkEnd w:id="157"/>
    </w:p>
    <w:p w14:paraId="200C5E0F" w14:textId="77777777" w:rsidR="004C4C39" w:rsidRPr="00A32EED" w:rsidRDefault="004C4C39" w:rsidP="004C4C39">
      <w:pPr>
        <w:spacing w:after="0" w:line="480" w:lineRule="auto"/>
        <w:rPr>
          <w:rFonts w:eastAsia="Calibri"/>
        </w:rPr>
      </w:pPr>
      <w:r w:rsidRPr="00A32EED">
        <w:rPr>
          <w:rFonts w:eastAsia="Calibri"/>
        </w:rPr>
        <w:tab/>
        <w:t xml:space="preserve">Based on previous research, as well as theories by Sampson and Laub </w:t>
      </w:r>
      <w:r w:rsidRPr="00A32EED">
        <w:rPr>
          <w:rFonts w:eastAsia="Calibri"/>
        </w:rPr>
        <w:fldChar w:fldCharType="begin"/>
      </w:r>
      <w:r w:rsidRPr="00A32EED">
        <w:rPr>
          <w:rFonts w:eastAsia="Calibri"/>
        </w:rPr>
        <w:instrText xml:space="preserve"> ADDIN ZOTERO_ITEM CSL_CITATION {"citationID":"n1bif7kma","properties":{"formattedCitation":"(1995a)","plainCitation":"(1995a)"},"citationItems":[{"id":569,"uris":["http://zotero.org/users/1165382/items/ZDAAURIF"],"uri":["http://zotero.org/users/1165382/items/ZDAAURIF"],"itemData":{"id":569,"type":"book","title":"Crime in the Making: Pathways and Turning Points through Life","publisher":"Harvard University Press","publisher-place":"Cambridge, Mass.","number-of-pages":"320","source":"Amazon.com","event-place":"Cambridge, Mass.","abstract":"This new theory of crime over the life course provides an important foundation for rethinking criminal justice policy. It is based on the reanalysis of a classic set of data: Sheldon and Eleanor Gluecks' mid-century study of 500 delinquents and 500 nondelinquents from childhood to adulthood. Several years ago, Robert Sampson and John Laub dusted off sixty cartons of the Gleucks' data that had been stored in the basement of the Harvard Law School and undertook a lengthy process of recoding, computerizing, and reanalyzing it. On the basis of their findings, they developed a theory of informal social control that acknowledges the importance of childhood behavior but rejects the implication that adult social factors have little relevance. This theory accounts for both stability and change in crime and deviance throughout the life course.","ISBN":"978-0-674-17605-8","shortTitle":"Crime in the Making","language":"English","author":[{"family":"Sampson","given":"Robert J."},{"family":"Laub","given":"John H."}],"issued":{"date-parts":[["1995",4,14]]}},"suppress-author":true}],"schema":"https://github.com/citation-style-language/schema/raw/master/csl-citation.json"} </w:instrText>
      </w:r>
      <w:r w:rsidRPr="00A32EED">
        <w:rPr>
          <w:rFonts w:eastAsia="Calibri"/>
        </w:rPr>
        <w:fldChar w:fldCharType="separate"/>
      </w:r>
      <w:r w:rsidRPr="00A32EED">
        <w:rPr>
          <w:rFonts w:eastAsia="Calibri"/>
          <w:noProof/>
        </w:rPr>
        <w:t>(1995a)</w:t>
      </w:r>
      <w:r w:rsidRPr="00A32EED">
        <w:rPr>
          <w:rFonts w:eastAsia="Calibri"/>
        </w:rPr>
        <w:fldChar w:fldCharType="end"/>
      </w:r>
      <w:r w:rsidRPr="00A32EED">
        <w:rPr>
          <w:rFonts w:eastAsia="Calibri"/>
        </w:rPr>
        <w:t xml:space="preserve"> and Gottfredson and Hirschi </w:t>
      </w:r>
      <w:r w:rsidRPr="00A32EED">
        <w:rPr>
          <w:rFonts w:eastAsia="Calibri"/>
        </w:rPr>
        <w:fldChar w:fldCharType="begin"/>
      </w:r>
      <w:r w:rsidRPr="00A32EED">
        <w:rPr>
          <w:rFonts w:eastAsia="Calibri"/>
        </w:rPr>
        <w:instrText xml:space="preserve"> ADDIN ZOTERO_ITEM CSL_CITATION {"citationID":"1f7v487oq5","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I anticipated that age at baseline, prior child welfare involvement, current case substantiation, the level of perceived harm, receipt of services, type of placement, and self-control would be significantly related to early sexual initiation. For age, I predicted that age at baseline would be positively related to the odds of early sexual initiation. In other words, those children who were older at baseline would have higher odds of early sexual initiation. I argue that a relationship of this nature would be more supportive of a state dependence effect rather than a population heterogeneity effect due to the assertion of Gottfredson and Hirschi that self-control is set by the age of 10. If Gottfredson and Hirschi’s assertion is true, abuse that takes </w:t>
      </w:r>
      <w:r w:rsidRPr="00A32EED">
        <w:rPr>
          <w:rFonts w:eastAsia="Calibri"/>
        </w:rPr>
        <w:lastRenderedPageBreak/>
        <w:t xml:space="preserve">place at older ages is less likely to be significantly related to the odds of early sexual initiation due to the static nature of self-control. </w:t>
      </w:r>
    </w:p>
    <w:p w14:paraId="15811C73" w14:textId="77777777" w:rsidR="004C4C39" w:rsidRPr="00A32EED" w:rsidRDefault="004C4C39" w:rsidP="004C4C39">
      <w:pPr>
        <w:spacing w:after="0" w:line="480" w:lineRule="auto"/>
        <w:rPr>
          <w:rFonts w:eastAsia="Calibri"/>
        </w:rPr>
      </w:pPr>
      <w:r w:rsidRPr="00A32EED">
        <w:rPr>
          <w:rFonts w:eastAsia="Calibri"/>
        </w:rPr>
        <w:tab/>
        <w:t>Also, significant relationships between prior child welfare involvement, case substantiation, and placement outside of the home are taken as indicators of state dependence. I predicted that even when controlling for age, prior child welfare involvement, and case substantiation, any removal from the home would significantly increase the odds of early sexual initiation. The presence of a significant relationship for any of these factors is interpreted as a negative life event that alters the child’s lifestyle and opportunity for early sexual initiation. Using a lens of age-graded informal social control, I suggest that the presence of any of these factors stand to weaken or disrupt the individual’s bonds to their family and peers as well as institutions such as schools or churches. The presence of these factors and the resulting disruption of social bonds in childhood and adolescence can then begin a process of cumulative disadvantage that alters the youth’s life-course trajectory in a manner that makes an adverse outcome such as early sexual initiation more likely. However, at the risk of appearing to hedge my bets, it is possible that placement in a foster home or with other relatives could also serve as a positive transition and turning point resulting in a negative relationship with early sexual initiation or no significant effect due to the presence of both positive and negative outcomes.</w:t>
      </w:r>
    </w:p>
    <w:p w14:paraId="152D27B2" w14:textId="77777777" w:rsidR="004C4C39" w:rsidRPr="00A32EED" w:rsidRDefault="004C4C39" w:rsidP="004C4C39">
      <w:pPr>
        <w:spacing w:after="0" w:line="480" w:lineRule="auto"/>
        <w:ind w:firstLine="720"/>
        <w:rPr>
          <w:rFonts w:eastAsia="Calibri"/>
        </w:rPr>
      </w:pPr>
      <w:r w:rsidRPr="00A32EED">
        <w:rPr>
          <w:rFonts w:eastAsia="Calibri"/>
        </w:rPr>
        <w:t xml:space="preserve">I predicted that although kinship and foster care placements may not be significantly related to early sexual initiation, placement in a group home would </w:t>
      </w:r>
      <w:r w:rsidRPr="00A32EED">
        <w:rPr>
          <w:rFonts w:eastAsia="Calibri"/>
        </w:rPr>
        <w:lastRenderedPageBreak/>
        <w:t xml:space="preserve">be significantly related to an increase in the odds of early sexual initiations. This relationship may be due to the children who are placed in group homes may have lower self-control and therefore a higher propensity for early sexual initiation. However, I predicted that although the addition of self-control to the model may partially mediate the relationship between group home placements and early sexual initiation, group home placements would still exert a significant state dependence effect on early sexual initiation. In accordance with the age-graded theory of informal social control, I suggest that those children placed in group homes are less likely to have strong bonds with the caregivers in the group home, be attached to school, involved in extra-curricular activities, and for youth who are older, will have fewer opportunities for employment. A population heterogeneity explanation would be more supported if self-control fully mediates the relationship between group home placements and early sexual initiation. </w:t>
      </w:r>
    </w:p>
    <w:p w14:paraId="005888D2" w14:textId="77777777" w:rsidR="004C4C39" w:rsidRPr="00A32EED" w:rsidRDefault="004C4C39" w:rsidP="004C4C39">
      <w:pPr>
        <w:spacing w:after="0" w:line="480" w:lineRule="auto"/>
        <w:ind w:firstLine="720"/>
        <w:rPr>
          <w:rFonts w:eastAsia="Calibri"/>
        </w:rPr>
      </w:pPr>
      <w:r w:rsidRPr="00A32EED">
        <w:rPr>
          <w:rFonts w:eastAsia="Calibri"/>
        </w:rPr>
        <w:t xml:space="preserve">Results in the final early sexual initiation model are largely in line with my predictions. That is, the final model provides support for both population heterogeneity and state dependence explanations of the relationship between child maltreatment, child welfare experiences, and early sexual initiation. According to my predictions, age at baseline, case substantiation, prior child welfare involvement, group home placements, and self-control are all significantly related to an increase in the likelihood of early sexual initiation. However, some of the relationships were more nuanced than predicted. </w:t>
      </w:r>
    </w:p>
    <w:p w14:paraId="5F8599C2" w14:textId="77777777" w:rsidR="004C4C39" w:rsidRPr="00A32EED" w:rsidRDefault="004C4C39" w:rsidP="004C4C39">
      <w:pPr>
        <w:spacing w:after="0" w:line="480" w:lineRule="auto"/>
        <w:ind w:firstLine="720"/>
        <w:rPr>
          <w:rFonts w:eastAsia="Calibri"/>
        </w:rPr>
      </w:pPr>
      <w:r w:rsidRPr="00A32EED">
        <w:rPr>
          <w:rFonts w:eastAsia="Calibri"/>
        </w:rPr>
        <w:lastRenderedPageBreak/>
        <w:t xml:space="preserve">Gender, age, and race are common correlates of crime in the literature and other than gender, each is a significant predictor. Age at baseline is significantly related to increased odds of early sexual initiation for both males and females. Although this specific relationship was not found in previous research, the same relationship has been identified between age at baseline and other adverse outcomes such as homelessness </w:t>
      </w:r>
      <w:r w:rsidRPr="00A32EED">
        <w:rPr>
          <w:rFonts w:eastAsia="Calibri"/>
        </w:rPr>
        <w:fldChar w:fldCharType="begin"/>
      </w:r>
      <w:r w:rsidRPr="00A32EED">
        <w:rPr>
          <w:rFonts w:eastAsia="Calibri"/>
        </w:rPr>
        <w:instrText xml:space="preserve"> ADDIN ZOTERO_ITEM CSL_CITATION {"citationID":"1i76d8h5hm","properties":{"formattedCitation":"(Crawford et al. 2017)","plainCitation":"(Crawford et al. 2017)"},"citationItems":[{"id":562,"uris":["http://zotero.org/users/1165382/items/XTK6EPTA"],"uri":["http://zotero.org/users/1165382/items/XTK6EPTA"],"itemData":{"id":562,"type":"article-journal","title":"Factors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schema":"https://github.com/citation-style-language/schema/raw/master/csl-citation.json"} </w:instrText>
      </w:r>
      <w:r w:rsidRPr="00A32EED">
        <w:rPr>
          <w:rFonts w:eastAsia="Calibri"/>
        </w:rPr>
        <w:fldChar w:fldCharType="separate"/>
      </w:r>
      <w:r w:rsidRPr="00A32EED">
        <w:rPr>
          <w:rFonts w:eastAsia="Calibri"/>
          <w:noProof/>
        </w:rPr>
        <w:t>(Crawford et al. 2017)</w:t>
      </w:r>
      <w:r w:rsidRPr="00A32EED">
        <w:rPr>
          <w:rFonts w:eastAsia="Calibri"/>
        </w:rPr>
        <w:fldChar w:fldCharType="end"/>
      </w:r>
      <w:r w:rsidRPr="00A32EED">
        <w:rPr>
          <w:rFonts w:eastAsia="Calibri"/>
        </w:rPr>
        <w:t xml:space="preserve"> and arrest </w:t>
      </w:r>
      <w:r w:rsidRPr="00A32EED">
        <w:rPr>
          <w:rFonts w:eastAsia="Calibri"/>
        </w:rPr>
        <w:fldChar w:fldCharType="begin"/>
      </w:r>
      <w:r w:rsidRPr="00A32EED">
        <w:rPr>
          <w:rFonts w:eastAsia="Calibri"/>
        </w:rPr>
        <w:instrText xml:space="preserve"> ADDIN ZOTERO_ITEM CSL_CITATION {"citationID":"jX8eoPBb","properties":{"formattedCitation":"(J. Ryan et al. 2008; Widom 1991b)","plainCitation":"(J. Ryan et al. 2008; Widom 1991b)"},"citationItems":[{"id":1318,"uris":["http://zotero.org/users/1165382/items/SV4SKN5D"],"uri":["http://zotero.org/users/1165382/items/SV4SKN5D"],"itemData":{"id":1318,"type":"article-journal","title":"African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F."},{"family":"Zhai","given":"Fuhua"}],"issued":{"date-parts":[["2008"]]}}},{"id":1314,"uris":["http://zotero.org/users/1165382/items/Z3UMV487"],"uri":["http://zotero.org/users/1165382/items/Z3UMV487"],"itemData":{"id":1314,"type":"article-journal","title":"The role of placement experiences in mediating the criminal consequences of early childhood victimization","container-title":"American Journal of Orthopsychiatry","page":"195-209","volume":"61","issue":"2","source":"EBSCOhost","archive_location":"1991-25522-001","abstract":"Examined foster-home placement experiences in 709 juvenile court cases (aged 18–33 yrs) of child abuse and neglect in relation to delinquent, adult criminal, and violent criminal outcomes. More males than females and more White than Black Ss were placed in foster care. Ss with indications of behavior problems were significantly more likely to be placed than Ss without such problems. Out-of-home placement did not necessarily have negative effects. A small group of abused and neglected children with behavior problems may experience frequent placement moves. The presence of these children may account for the high rates of delinquency, adult criminality, and violent criminal behavior associated with children in foster care. (PsycINFO Database Record (c) 2015 APA, all rights reserved)","DOI":"10.1037/h0079252","ISSN":"0002-9432","journalAbbreviation":"American Journal of Orthopsychiatry","author":[{"family":"Widom","given":"Cathy Spatz"}],"issued":{"date-parts":[["1991",4]]}}}],"schema":"https://github.com/citation-style-language/schema/raw/master/csl-citation.json"} </w:instrText>
      </w:r>
      <w:r w:rsidRPr="00A32EED">
        <w:rPr>
          <w:rFonts w:eastAsia="Calibri"/>
        </w:rPr>
        <w:fldChar w:fldCharType="separate"/>
      </w:r>
      <w:r w:rsidRPr="00A32EED">
        <w:rPr>
          <w:rFonts w:eastAsia="Calibri"/>
          <w:noProof/>
        </w:rPr>
        <w:t>(Ryan et al. 2008; Widom 1991b)</w:t>
      </w:r>
      <w:r w:rsidRPr="00A32EED">
        <w:rPr>
          <w:rFonts w:eastAsia="Calibri"/>
        </w:rPr>
        <w:fldChar w:fldCharType="end"/>
      </w:r>
      <w:r w:rsidRPr="00A32EED">
        <w:rPr>
          <w:rFonts w:eastAsia="Calibri"/>
        </w:rPr>
        <w:t xml:space="preserve">. It is possible that the reason older children are more likely to initiate sex early is that the maltreatment has been occurring throughout the life-course but the case identified for the study was just the first to be brought to the attention of child welfare services. In this scenario, the delays between experiencing maltreatment, child welfare services intervention, and child welfare services could explain this relationship. Additionally, it is possible that maltreatment and other experiences such as removal, are more disruptive to the social bonds of the victim. Race was also significantly related to early sexual initiation with non-white children being more likely to initiate sex early. Some previous studies have also shown that race is significantly related to adverse outcomes such as juvenile arrest </w:t>
      </w:r>
      <w:r w:rsidRPr="00A32EED">
        <w:rPr>
          <w:rFonts w:eastAsia="Calibri"/>
        </w:rPr>
        <w:fldChar w:fldCharType="begin"/>
      </w:r>
      <w:r w:rsidRPr="00A32EED">
        <w:rPr>
          <w:rFonts w:eastAsia="Calibri"/>
        </w:rPr>
        <w:instrText xml:space="preserve"> ADDIN ZOTERO_ITEM CSL_CITATION {"citationID":"ck1xjuRw","properties":{"formattedCitation":"(J. Ryan et al. 2008)","plainCitation":"(J. Ryan et al. 2008)"},"citationItems":[{"id":1318,"uris":["http://zotero.org/users/1165382/items/SV4SKN5D"],"uri":["http://zotero.org/users/1165382/items/SV4SKN5D"],"itemData":{"id":1318,"type":"article-journal","title":"African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F."},{"family":"Zhai","given":"Fuhua"}],"issued":{"date-parts":[["2008"]]}}}],"schema":"https://github.com/citation-style-language/schema/raw/master/csl-citation.json"} </w:instrText>
      </w:r>
      <w:r w:rsidRPr="00A32EED">
        <w:rPr>
          <w:rFonts w:eastAsia="Calibri"/>
        </w:rPr>
        <w:fldChar w:fldCharType="separate"/>
      </w:r>
      <w:r w:rsidRPr="00A32EED">
        <w:rPr>
          <w:rFonts w:eastAsia="Calibri"/>
          <w:noProof/>
        </w:rPr>
        <w:t>(Ryan et al. 2008)</w:t>
      </w:r>
      <w:r w:rsidRPr="00A32EED">
        <w:rPr>
          <w:rFonts w:eastAsia="Calibri"/>
        </w:rPr>
        <w:fldChar w:fldCharType="end"/>
      </w:r>
      <w:r w:rsidRPr="00A32EED">
        <w:rPr>
          <w:rFonts w:eastAsia="Calibri"/>
        </w:rPr>
        <w:t xml:space="preserve">. Understanding the nature of this relationship is difficult and requires careful interpretation. Ryan et al. (2008) suggest that the significant relationship between race and arrest may be the result of external factors such as social bonds or neighborhood effects. It is possible that the same explanation holds true for early sexual initiation. </w:t>
      </w:r>
    </w:p>
    <w:p w14:paraId="23688D88" w14:textId="77777777" w:rsidR="004C4C39" w:rsidRPr="00A32EED" w:rsidRDefault="004C4C39" w:rsidP="004C4C39">
      <w:pPr>
        <w:spacing w:after="0" w:line="480" w:lineRule="auto"/>
        <w:rPr>
          <w:rFonts w:eastAsia="Calibri"/>
        </w:rPr>
      </w:pPr>
      <w:r w:rsidRPr="00A32EED">
        <w:rPr>
          <w:rFonts w:eastAsia="Calibri"/>
        </w:rPr>
        <w:lastRenderedPageBreak/>
        <w:t xml:space="preserve"> </w:t>
      </w:r>
      <w:r w:rsidRPr="00A32EED">
        <w:rPr>
          <w:rFonts w:eastAsia="Calibri"/>
        </w:rPr>
        <w:tab/>
        <w:t>To assess state dependence effects, controls for case substantiation, the level of harm, receipt of services, multiple maltreatment types, and previous child welfare involvement were included in the model. Surprisingly, the level of harm, receipt of services, and the various alleged maltreatment types were not significantly related to early sexual initiation. Perhaps the most surprising finding is the lack of significance for receiving services. A negative relationship between receipt of services and early sexual initiation is ideal, as this would suggest the services function as a protective factor against early sexual initiation. However, any significant relationship between specific services and early sexual initiation is likely masked due to all services being lumped into one. Although the level of harm is not significant, it's inclusion is still important because previous research often lacks any controls for severity of maltreatment and its inclusion helps to eliminate competing hypotheses. For instance, in my previous research on the role of parental gender and child welfare agencies' decisions to remove a child from home, I found that mother perpetrators of physical abuse were the most likely to have their children removed. Although I contend that this is due to focal concerns and issues around "double-deviance," the lack of a control for severity of abuse leaves open the alternative explanation that when mothers commit physical abuse, they do so more severely than fathers. Although this seems unlikely, a lack of control for severity of abuse leaves that as an alternative explanation.</w:t>
      </w:r>
    </w:p>
    <w:p w14:paraId="7D0A6B66" w14:textId="77777777" w:rsidR="004C4C39" w:rsidRPr="00A32EED" w:rsidRDefault="004C4C39" w:rsidP="004C4C39">
      <w:pPr>
        <w:spacing w:after="0" w:line="480" w:lineRule="auto"/>
        <w:rPr>
          <w:rFonts w:eastAsia="Calibri"/>
        </w:rPr>
      </w:pPr>
      <w:r w:rsidRPr="00A32EED">
        <w:rPr>
          <w:rFonts w:eastAsia="Calibri"/>
        </w:rPr>
        <w:tab/>
        <w:t>Both case substantiation and prior child welfare involvement</w:t>
      </w:r>
      <w:r w:rsidRPr="00A32EED">
        <w:rPr>
          <w:rFonts w:eastAsia="Calibri"/>
        </w:rPr>
        <w:tab/>
        <w:t xml:space="preserve">were significantly related to a higher likelihood of early sexual initiation. Interestingly, </w:t>
      </w:r>
      <w:r w:rsidRPr="00A32EED">
        <w:rPr>
          <w:rFonts w:eastAsia="Calibri"/>
        </w:rPr>
        <w:lastRenderedPageBreak/>
        <w:t xml:space="preserve">prior child welfare involvement was tried in several different forms. Various models were run where previous child welfare experience was limited to a removal, a substantiated case, and finally just a referral. Interestingly, the only form that was significantly related to early sexual initiation was the broadest categorization that included any allegation regardless of the case disposition. This suggests that at least for youth with multiple contacts with child welfare services, any contact with child welfare services is a potential risk factor, even if the case is not substantiated. This might be due to the presence of poor parenting or non-traditional environments that although technically not abuse, are less than pro-social. Also, when viewed from a self-control lens, it is possible that parenting methods or other situations that raise enough concern for a child welfare report to be filed are not likely to be associated with those parenting tactics required for the adequate acquisition of self-control.  </w:t>
      </w:r>
    </w:p>
    <w:p w14:paraId="13C735D2" w14:textId="77777777" w:rsidR="004C4C39" w:rsidRPr="00A32EED" w:rsidRDefault="004C4C39" w:rsidP="004C4C39">
      <w:pPr>
        <w:spacing w:after="0" w:line="480" w:lineRule="auto"/>
        <w:rPr>
          <w:rFonts w:eastAsia="Calibri"/>
        </w:rPr>
      </w:pPr>
      <w:r w:rsidRPr="00A32EED">
        <w:rPr>
          <w:rFonts w:eastAsia="Calibri"/>
        </w:rPr>
        <w:tab/>
        <w:t xml:space="preserve">Interestingly, case substantiation is not significant until an interaction term between case substantiation and gender is added. After the inclusion of the interaction term, the odds ratio increases and the interaction is less than one, signifying a decrease in the odds of early sexual initiation. This suggests that case substantiation is a larger risk factor for female youth than male youth. This finding is in line with prior research on various adverse outcomes and child maltreatment that suggest maltreatment is a larger risk factor for females than for males  </w:t>
      </w:r>
      <w:r w:rsidRPr="00A32EED">
        <w:rPr>
          <w:rFonts w:eastAsia="Calibri"/>
        </w:rPr>
        <w:fldChar w:fldCharType="begin"/>
      </w:r>
      <w:r w:rsidRPr="00A32EED">
        <w:rPr>
          <w:rFonts w:eastAsia="Calibri"/>
        </w:rPr>
        <w:instrText xml:space="preserve"> ADDIN ZOTERO_ITEM CSL_CITATION {"citationID":"2jkee5ggj9","properties":{"formattedCitation":"(Koenig and Clark 2004; Ryan et al. 2015; Spohn 2000; Widom and Maxfield 2001)","plainCitation":"(Koenig and Clark 2004; Ryan et al. 2015; Spohn 2000; Widom and Maxfield 2001)"},"citationItems":[{"id":1259,"uris":["http://zotero.org/users/1165382/items/PAVS6R4Q"],"uri":["http://zotero.org/users/1165382/items/PAVS6R4Q"],"itemData":{"id":1259,"type":"article-journal","title":"Sexual abuse of girls and HIV infection among women: Are they related?","source":"Google Scholar","URL":"http://psycnet.apa.org/psycinfo/2003-88220-004","note":"00034","shortTitle":"Sexual abuse of girls and HIV infection among women","author":[{"family":"Koenig","given":"Linda J."},{"family":"Clark","given":"Hollie"}],"issued":{"date-parts":[["2004"]]},"accessed":{"date-parts":[["2016",5,29]]}}},{"id":149,"uris":["http://zotero.org/users/1165382/items/9W3NVHUQ"],"uri":["http://zotero.org/users/1165382/items/9W3NVHUQ"],"itemData":{"id":149,"type":"article-journal","title":"Early Childhood Maltreatment and Girls' Sexual Behavior: The Mediating Role of Pubertal Timing","container-title":"Journal of Adolescent Health","page":"342-347","volume":"57","issue":"3","source":"ScienceDirect","abstract":"Purpose\nAlthough links between early childhood maltreatment and girls' sexual behavior in adolescence have been well established, it is unclear whether different forms of maltreatment are differentially associated with sexual outcomes and whether distinct mechanisms explain associations across maltreatment types.\nMethods\nUsing data from National Longitudinal Study of Adolescent Health (Add Health), the present study examines whether physical abuse, sexual abuse, and physical neglect in early childhood differentially predict girls' age at first intercourse and number of sexual partners in early adulthood. The study also tests whether early pubertal timing mediates the link between early maltreatment and sexual behavior (N = 6,364).\nResults\nFindings indicate that early sexual and physical abuse were equally predictive of earlier age at first intercourse and a greater number of sexual partners, but that only the sexual abuse—age at first intercourse link was mediated by early puberty.\nConclusions\nThese results suggest that sexual abuse and physical abuse are associated with earlier and riskier sexual behavior in girls relative to no maltreatment and to similar degrees. However, only the link between sexual abuse and sexual behavior involves a biological mechanism manifested in early pubertal timing.","DOI":"10.1016/j.jadohealth.2015.06.005","ISSN":"1054-139X","note":"00000","shortTitle":"Early Childhood Maltreatment and Girls' Sexual Behavior","journalAbbreviation":"Journal of Adolescent Health","author":[{"family":"Ryan","given":"Rebecca M."},{"family":"Mendle","given":"Jane"},{"family":"Markowitz","given":"Anna J."}],"issued":{"date-parts":[["2015",9]]}}},{"id":153,"uris":["http://zotero.org/users/1165382/items/ABCCE7SV"],"uri":["http://zotero.org/users/1165382/items/ABCCE7SV"],"itemData":{"id":153,"type":"article-journal","title":"Gender differences in the effect of child maltreatment on criminal activity over the life course","container-title":"Contemporary Perspectives in Family Research","page":"207–231","volume":"2","source":"Google Scholar","note":"00000","author":[{"family":"Spohn","given":"Ryan E."}],"issued":{"date-parts":[["2000"]]}}},{"id":271,"uris":["http://zotero.org/users/1165382/items/HKNNKMTA"],"uri":["http://zotero.org/users/1165382/items/HKNNKMTA"],"itemData":{"id":271,"type":"article-journal","title":"An update on the “cycle of violence.” National institute of justice research in brief","container-title":"Washington, DC: National Institute of Justice","source":"Google Scholar","author":[{"family":"Widom","given":"Cathy S."},{"family":"Maxfield","given":"Michael G."}],"issued":{"date-parts":[["2001"]]}}}],"schema":"https://github.com/citation-style-language/schema/raw/master/csl-citation.json"} </w:instrText>
      </w:r>
      <w:r w:rsidRPr="00A32EED">
        <w:rPr>
          <w:rFonts w:eastAsia="Calibri"/>
        </w:rPr>
        <w:fldChar w:fldCharType="separate"/>
      </w:r>
      <w:r w:rsidRPr="00A32EED">
        <w:rPr>
          <w:rFonts w:eastAsia="Calibri"/>
          <w:noProof/>
        </w:rPr>
        <w:t>(Koenig and Clark 2004; Ryan et al. 2015; Spohn 2000; Widom and Maxfield 2001)</w:t>
      </w:r>
      <w:r w:rsidRPr="00A32EED">
        <w:rPr>
          <w:rFonts w:eastAsia="Calibri"/>
        </w:rPr>
        <w:fldChar w:fldCharType="end"/>
      </w:r>
      <w:r w:rsidRPr="00A32EED">
        <w:rPr>
          <w:rFonts w:eastAsia="Calibri"/>
        </w:rPr>
        <w:t xml:space="preserve">. Although the causal mechanism is less clear, it does appear </w:t>
      </w:r>
      <w:r w:rsidRPr="00A32EED">
        <w:rPr>
          <w:rFonts w:eastAsia="Calibri"/>
        </w:rPr>
        <w:lastRenderedPageBreak/>
        <w:t>that maltreatment serious enough to be substantiated places female youth at higher risk for adverse outcomes than males.</w:t>
      </w:r>
    </w:p>
    <w:p w14:paraId="5C68863D" w14:textId="77777777" w:rsidR="004C4C39" w:rsidRPr="00A32EED" w:rsidRDefault="004C4C39" w:rsidP="004C4C39">
      <w:pPr>
        <w:spacing w:after="0" w:line="480" w:lineRule="auto"/>
        <w:ind w:firstLine="720"/>
        <w:rPr>
          <w:rFonts w:eastAsia="Calibri"/>
        </w:rPr>
      </w:pPr>
      <w:r w:rsidRPr="00A32EED">
        <w:rPr>
          <w:rFonts w:eastAsia="Calibri"/>
        </w:rPr>
        <w:t>Previous research regarding the relationship between types of maltreatment and adverse outcomes is mixed with some studies finding significant differences among the types and others finding no difference. In this study, sexual abuse was not significantly related to early sexual initiation. Furthermore, the joint effect of all the maltreatment types was also not significant. Although the tables are not included here, a model containing only demographics and type of maltreatment was examined and did reveal a significant relationship between sexual abuse and increased odds of early sexual initiation. However, when factors such as level of harm, baseline services, and previous child welfare involvement are added, the significance was lost. It is also possible that this lack of significance is an artifact of the sample or a result of the complex survey design and large standard errors. It is important to note that the sample used is one comprised of children who are at higher risk. Although these data contain both children who were substantiated and not substantiated for maltreatment, all of them were brought to the attention of child welfare services due to concerns around maltreatment.</w:t>
      </w:r>
    </w:p>
    <w:p w14:paraId="30F2C0E8" w14:textId="77777777" w:rsidR="004C4C39" w:rsidRPr="00A32EED" w:rsidRDefault="004C4C39" w:rsidP="004C4C39">
      <w:pPr>
        <w:spacing w:after="0" w:line="480" w:lineRule="auto"/>
        <w:ind w:firstLine="720"/>
        <w:rPr>
          <w:rFonts w:eastAsia="Calibri"/>
        </w:rPr>
      </w:pPr>
      <w:r w:rsidRPr="00A32EED">
        <w:rPr>
          <w:rFonts w:eastAsia="Calibri"/>
        </w:rPr>
        <w:t xml:space="preserve">Consistent with previous research, placement in a group home was significantly related to adverse outcomes. Specifically, those youth who were placed in a group home were at significantly higher risk for early sexual initiation when compared to those who remained in the home, were in a kinship placement, or in a foster care placement. Although this finding is consistent with </w:t>
      </w:r>
      <w:r w:rsidRPr="00A32EED">
        <w:rPr>
          <w:rFonts w:eastAsia="Calibri"/>
        </w:rPr>
        <w:lastRenderedPageBreak/>
        <w:t xml:space="preserve">previous research, what makes this finding unique is that the significant relationship remains even when control for propensity and other demographics are added. The difficulty with previous findings regarding group homes and adverse outcomes is that it is usually unclear if the placement is causally related to these adverse outcomes or is a youth more likely to be placed in a group home due to the presence of a characteristic that makes them more likely to experience these adverse outcomes. In other words, is being placed in a group home a risk factor, or is being placed in a group home and experiencing adverse outcomes such as arrest or early sexual initiation two sides to the same coin? </w:t>
      </w:r>
    </w:p>
    <w:p w14:paraId="6BDF4996" w14:textId="77777777" w:rsidR="004C4C39" w:rsidRPr="00A32EED" w:rsidRDefault="004C4C39" w:rsidP="004C4C39">
      <w:pPr>
        <w:spacing w:after="0" w:line="480" w:lineRule="auto"/>
        <w:ind w:firstLine="720"/>
        <w:rPr>
          <w:rFonts w:eastAsia="Calibri"/>
        </w:rPr>
      </w:pPr>
      <w:r w:rsidRPr="00A32EED">
        <w:rPr>
          <w:rFonts w:eastAsia="Calibri"/>
        </w:rPr>
        <w:t xml:space="preserve">Although still possible, the fact that the relationship remains even when controlling for propensity via self-control suggests that placement in a group home does exert a state dependence effect on adverse outcome such as early sexual initiation. It is possible that being placed in a group home after being the victim of maltreatment could be a potential transition that leads to a negative turning point in life. Being placed in a group home might have a deleterious influence on the child’s prosocial bonds and therefore result in a higher likelihood of various adverse outcomes. From a learning theory perspective, it is also possible that being placed in a group home with other individuals who are prone to deviance and adverse outcomes may provide more opportunities and technique for these adverse outcomes. Although further examination of the causal mechanisms behind the relationship between group home placements </w:t>
      </w:r>
      <w:r w:rsidRPr="00A32EED">
        <w:rPr>
          <w:rFonts w:eastAsia="Calibri"/>
        </w:rPr>
        <w:lastRenderedPageBreak/>
        <w:t xml:space="preserve">and adverse outcomes is warranted, confirming that the relationship exists even in the presence of a control for propensity is a crucial first step. </w:t>
      </w:r>
    </w:p>
    <w:p w14:paraId="7017005E" w14:textId="77777777" w:rsidR="004C4C39" w:rsidRPr="00A32EED" w:rsidRDefault="004C4C39" w:rsidP="004C4C39">
      <w:pPr>
        <w:spacing w:after="0" w:line="480" w:lineRule="auto"/>
        <w:ind w:firstLine="720"/>
        <w:rPr>
          <w:rFonts w:eastAsia="Calibri"/>
        </w:rPr>
      </w:pPr>
      <w:r w:rsidRPr="00A32EED">
        <w:rPr>
          <w:rFonts w:eastAsia="Calibri"/>
        </w:rPr>
        <w:t xml:space="preserve">Finally, as self-control increases the odds of early sexual initiation decrease. This finding is not surprising and in line with previous research and Gottfredson and Hirschi’s general theory of crime </w:t>
      </w:r>
      <w:r w:rsidRPr="00A32EED">
        <w:rPr>
          <w:rFonts w:eastAsia="Calibri"/>
        </w:rPr>
        <w:fldChar w:fldCharType="begin"/>
      </w:r>
      <w:r w:rsidRPr="00A32EED">
        <w:rPr>
          <w:rFonts w:eastAsia="Calibri"/>
        </w:rPr>
        <w:instrText xml:space="preserve"> ADDIN ZOTERO_ITEM CSL_CITATION {"citationID":"1fcm79bqk8","properties":{"formattedCitation":"(Gottfredson and Hirschi 1990)","plainCitation":"(Gottfredson and Hirschi 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chema":"https://github.com/citation-style-language/schema/raw/master/csl-citation.json"} </w:instrText>
      </w:r>
      <w:r w:rsidRPr="00A32EED">
        <w:rPr>
          <w:rFonts w:eastAsia="Calibri"/>
        </w:rPr>
        <w:fldChar w:fldCharType="separate"/>
      </w:r>
      <w:r w:rsidRPr="00A32EED">
        <w:rPr>
          <w:rFonts w:eastAsia="Calibri"/>
          <w:noProof/>
        </w:rPr>
        <w:t>(Gottfredson and Hirschi 1990)</w:t>
      </w:r>
      <w:r w:rsidRPr="00A32EED">
        <w:rPr>
          <w:rFonts w:eastAsia="Calibri"/>
        </w:rPr>
        <w:fldChar w:fldCharType="end"/>
      </w:r>
      <w:r w:rsidRPr="00A32EED">
        <w:rPr>
          <w:rFonts w:eastAsia="Calibri"/>
        </w:rPr>
        <w:t>. The predictive margins of self-control were examined across various groups within the sample and all suggest that self-control functions consistently across types of maltreatment, gender, and placement types. In other words, regardless of settings or group membership, those with higher levels of self-control will generally have lower odds of early sexual initiation. Given Gottfredson and Hirschi’s assertion that levels of self-control are set by the age of 10, a model was also examined with a dummy variable of 10 or younger for age (model not included). The model was largely unchanged, and the age dummy variable was not significant.</w:t>
      </w:r>
    </w:p>
    <w:p w14:paraId="3D76002C" w14:textId="77777777" w:rsidR="004C4C39" w:rsidRPr="00A32EED" w:rsidRDefault="004C4C39" w:rsidP="004C4C39">
      <w:pPr>
        <w:spacing w:after="0" w:line="480" w:lineRule="auto"/>
        <w:ind w:firstLine="720"/>
        <w:rPr>
          <w:rFonts w:eastAsia="Calibri"/>
        </w:rPr>
      </w:pPr>
      <w:r w:rsidRPr="00A32EED">
        <w:rPr>
          <w:rFonts w:eastAsia="Calibri"/>
        </w:rPr>
        <w:t xml:space="preserve">Taken together, these findings suggest that even when controlling for propensity (population heterogeneity) child maltreatment and child welfare experiences still exert a state dependence effect on early sexual initiation. In general, these findings show that non-white children who are older at the time of maltreatment, have their case substantiated, have lower levels of self-control, and have any form of previous child welfare involvement are at higher risk for early sexual initiation. Furthermore, the largest risk factor for early sexual initiation appears to be placement in a group home setting, even when controlling for levels of self-control. </w:t>
      </w:r>
    </w:p>
    <w:p w14:paraId="72F172B8"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58" w:name="_Toc479938186"/>
      <w:bookmarkStart w:id="159" w:name="_Toc482112715"/>
      <w:r w:rsidRPr="00A32EED">
        <w:rPr>
          <w:rFonts w:eastAsia="ＭＳ ゴシック"/>
          <w:i/>
          <w:color w:val="000000"/>
          <w:szCs w:val="26"/>
          <w:u w:val="single"/>
        </w:rPr>
        <w:lastRenderedPageBreak/>
        <w:t>Criminal Justice Contact</w:t>
      </w:r>
      <w:bookmarkEnd w:id="158"/>
      <w:bookmarkEnd w:id="159"/>
    </w:p>
    <w:p w14:paraId="33CAFBC6" w14:textId="77777777" w:rsidR="004C4C39" w:rsidRPr="00A32EED" w:rsidRDefault="004C4C39" w:rsidP="004C4C39">
      <w:pPr>
        <w:spacing w:after="0" w:line="480" w:lineRule="auto"/>
        <w:ind w:firstLine="720"/>
        <w:rPr>
          <w:rFonts w:eastAsia="Calibri"/>
        </w:rPr>
      </w:pPr>
      <w:r w:rsidRPr="00A32EED">
        <w:rPr>
          <w:rFonts w:eastAsia="Calibri"/>
        </w:rPr>
        <w:t xml:space="preserve">Based on previous research, as well as theories by Sampson and Laub </w:t>
      </w:r>
      <w:r w:rsidRPr="00A32EED">
        <w:rPr>
          <w:rFonts w:eastAsia="Calibri"/>
        </w:rPr>
        <w:fldChar w:fldCharType="begin"/>
      </w:r>
      <w:r w:rsidRPr="00A32EED">
        <w:rPr>
          <w:rFonts w:eastAsia="Calibri"/>
        </w:rPr>
        <w:instrText xml:space="preserve"> ADDIN ZOTERO_ITEM CSL_CITATION {"citationID":"qhUckN67","properties":{"formattedCitation":"(1995a)","plainCitation":"(1995a)"},"citationItems":[{"id":569,"uris":["http://zotero.org/users/1165382/items/ZDAAURIF"],"uri":["http://zotero.org/users/1165382/items/ZDAAURIF"],"itemData":{"id":569,"type":"book","title":"Crime in the Making: Pathways and Turning Points through Life","publisher":"Harvard University Press","publisher-place":"Cambridge, Mass.","number-of-pages":"320","source":"Amazon.com","event-place":"Cambridge, Mass.","abstract":"This new theory of crime over the life course provides an important foundation for rethinking criminal justice policy. It is based on the reanalysis of a classic set of data: Sheldon and Eleanor Gluecks' mid-century study of 500 delinquents and 500 nondelinquents from childhood to adulthood. Several years ago, Robert Sampson and John Laub dusted off sixty cartons of the Gleucks' data that had been stored in the basement of the Harvard Law School and undertook a lengthy process of recoding, computerizing, and reanalyzing it. On the basis of their findings, they developed a theory of informal social control that acknowledges the importance of childhood behavior but rejects the implication that adult social factors have little relevance. This theory accounts for both stability and change in crime and deviance throughout the life course.","ISBN":"978-0-674-17605-8","shortTitle":"Crime in the Making","language":"English","author":[{"family":"Sampson","given":"Robert J."},{"family":"Laub","given":"John H."}],"issued":{"date-parts":[["1995",4,14]]}},"suppress-author":true}],"schema":"https://github.com/citation-style-language/schema/raw/master/csl-citation.json"} </w:instrText>
      </w:r>
      <w:r w:rsidRPr="00A32EED">
        <w:rPr>
          <w:rFonts w:eastAsia="Calibri"/>
        </w:rPr>
        <w:fldChar w:fldCharType="separate"/>
      </w:r>
      <w:r w:rsidRPr="00A32EED">
        <w:rPr>
          <w:rFonts w:eastAsia="Calibri"/>
          <w:noProof/>
        </w:rPr>
        <w:t>(1995a)</w:t>
      </w:r>
      <w:r w:rsidRPr="00A32EED">
        <w:rPr>
          <w:rFonts w:eastAsia="Calibri"/>
        </w:rPr>
        <w:fldChar w:fldCharType="end"/>
      </w:r>
      <w:r w:rsidRPr="00A32EED">
        <w:rPr>
          <w:rFonts w:eastAsia="Calibri"/>
        </w:rPr>
        <w:t xml:space="preserve"> and Gottfredson and Hirschi </w:t>
      </w:r>
      <w:r w:rsidRPr="00A32EED">
        <w:rPr>
          <w:rFonts w:eastAsia="Calibri"/>
        </w:rPr>
        <w:fldChar w:fldCharType="begin"/>
      </w:r>
      <w:r w:rsidRPr="00A32EED">
        <w:rPr>
          <w:rFonts w:eastAsia="Calibri"/>
        </w:rPr>
        <w:instrText xml:space="preserve"> ADDIN ZOTERO_ITEM CSL_CITATION {"citationID":"GxWNyvFd","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I predicted that the final model would provide evidence of both population heterogeneity and state dependence effects for later criminal justice contact. It is important to reiterate that the presence of population heterogeneity effects does not negate the presence of state dependence effects or vice versa. Specifically, I predicted that elements of child maltreatment and child welfare experiences would have a state dependence effect on later criminal justice contact and self-control would have a population heterogeneity effect on later criminal justice contact. As such, I predicted that after controlling for population heterogeneity effects via self-control, child maltreatment and child welfare experiences would still exert state dependence effect on later criminal justice contact via previous child welfare involvement, level of harm for the most severe form of maltreatment, multiple forms of alleged maltreatment, case substantiation, receipt of services, most serious type of maltreatment, and type of placement at baseline. </w:t>
      </w:r>
    </w:p>
    <w:p w14:paraId="0D29A962" w14:textId="77777777" w:rsidR="004C4C39" w:rsidRPr="00A32EED" w:rsidRDefault="004C4C39" w:rsidP="004C4C39">
      <w:pPr>
        <w:spacing w:after="0" w:line="480" w:lineRule="auto"/>
        <w:ind w:firstLine="720"/>
        <w:rPr>
          <w:rFonts w:eastAsia="Calibri"/>
        </w:rPr>
      </w:pPr>
      <w:r w:rsidRPr="00A32EED">
        <w:rPr>
          <w:rFonts w:eastAsia="Calibri"/>
        </w:rPr>
        <w:t xml:space="preserve">It is possible that the relationship between child maltreatment, child welfare experiences, and criminal justice contact can be explained via population heterogeneity and self-control. In such a relationship, low levels of self-control in children precipitate some child maltreatment experiences or is the result of factors related to the maltreatment (poor parenting). To be clear, to say that low levels of self-control may precipitate some experiences of child maltreatment is not placing blame on the child but rather acknowledging </w:t>
      </w:r>
      <w:r w:rsidRPr="00A32EED">
        <w:rPr>
          <w:rFonts w:eastAsia="Calibri"/>
        </w:rPr>
        <w:lastRenderedPageBreak/>
        <w:t xml:space="preserve">previous research suggesting that the relationship between parenting and child behavior is reciprocal </w:t>
      </w:r>
      <w:r w:rsidRPr="00A32EED">
        <w:rPr>
          <w:rFonts w:eastAsia="Calibri"/>
        </w:rPr>
        <w:fldChar w:fldCharType="begin"/>
      </w:r>
      <w:r w:rsidRPr="00A32EED">
        <w:rPr>
          <w:rFonts w:eastAsia="Calibri"/>
        </w:rPr>
        <w:instrText xml:space="preserve"> ADDIN ZOTERO_ITEM CSL_CITATION {"citationID":"ju8h0u0np","properties":{"formattedCitation":"(Lytton 1990)","plainCitation":"(Lytton 1990)"},"citationItems":[{"id":1465,"uris":["http://zotero.org/users/1165382/items/FDCXAMTQ"],"uri":["http://zotero.org/users/1165382/items/FDCXAMTQ"],"itemData":{"id":1465,"type":"article-journal","title":"Child and parent effects in boys' conduct disorder: A reinterpretation.","container-title":"Developmental Psychology","page":"683","volume":"26","issue":"5","source":"Google Scholar","note":"00783","shortTitle":"Child and parent effects in boys' conduct disorder","author":[{"family":"Lytton","given":"Hugh"}],"issued":{"date-parts":[["1990"]]}}}],"schema":"https://github.com/citation-style-language/schema/raw/master/csl-citation.json"} </w:instrText>
      </w:r>
      <w:r w:rsidRPr="00A32EED">
        <w:rPr>
          <w:rFonts w:eastAsia="Calibri"/>
        </w:rPr>
        <w:fldChar w:fldCharType="separate"/>
      </w:r>
      <w:r w:rsidRPr="00A32EED">
        <w:rPr>
          <w:rFonts w:eastAsia="Calibri"/>
          <w:noProof/>
        </w:rPr>
        <w:t>(Lytton 1990)</w:t>
      </w:r>
      <w:r w:rsidRPr="00A32EED">
        <w:rPr>
          <w:rFonts w:eastAsia="Calibri"/>
        </w:rPr>
        <w:fldChar w:fldCharType="end"/>
      </w:r>
      <w:r w:rsidRPr="00A32EED">
        <w:rPr>
          <w:rFonts w:eastAsia="Calibri"/>
        </w:rPr>
        <w:t>. In other words, children with low self-control are more likely to engage in deviant and antisocial behavior which over time may lead to the parent's engaging ins less effective and potentially abusive parenting practices. Furthermore, a child with low self-control is likely to engage in more deviant behavior and subsequently may be more likely to be placed in a group home. In either of these scenarios the relationship between child maltreatment, child welfare experiences, and criminal justice contact would be best explained via population heterogeneity. However, I predicted that accounting for self-control would not fully mediate the effects of child maltreatment and child welfare experiences on later criminal justice exposure and therefore be more supportive of a state dependence explanation.</w:t>
      </w:r>
    </w:p>
    <w:p w14:paraId="1253CEE6" w14:textId="77777777" w:rsidR="004C4C39" w:rsidRPr="00A32EED" w:rsidRDefault="004C4C39" w:rsidP="004C4C39">
      <w:pPr>
        <w:spacing w:after="0" w:line="480" w:lineRule="auto"/>
        <w:ind w:firstLine="720"/>
        <w:rPr>
          <w:rFonts w:eastAsia="Calibri"/>
        </w:rPr>
      </w:pPr>
      <w:r w:rsidRPr="00A32EED">
        <w:rPr>
          <w:rFonts w:eastAsia="Calibri"/>
        </w:rPr>
        <w:t xml:space="preserve">As with early sexual initiation, I predicted that the odds of criminal justice contact would increase as the child’s age at baseline increased and therefore be more supportive of a state dependence explanation. I predicted that in the absence of any state dependent effects of child maltreatment and child welfare experiences on criminal justice contact, older ages at baseline would not be significantly related to odds of criminal justice contact. I also predicted that relationships between elements of child maltreatment such as prior child welfare involvement, case substantiation, the level of harm, more than one alleged maltreatment, and most severe type of maltreatment would be significantly, positively related to later criminal justice contact. </w:t>
      </w:r>
    </w:p>
    <w:p w14:paraId="34350D2B" w14:textId="77777777" w:rsidR="004C4C39" w:rsidRPr="00A32EED" w:rsidRDefault="004C4C39" w:rsidP="004C4C39">
      <w:pPr>
        <w:spacing w:after="0" w:line="480" w:lineRule="auto"/>
        <w:ind w:firstLine="720"/>
        <w:rPr>
          <w:rFonts w:eastAsia="Calibri"/>
        </w:rPr>
      </w:pPr>
      <w:r w:rsidRPr="00A32EED">
        <w:rPr>
          <w:rFonts w:eastAsia="Calibri"/>
        </w:rPr>
        <w:lastRenderedPageBreak/>
        <w:t>For child welfare experiences, I predicted that receipt of services and type of placement at baseline would be significantly related to criminal justice contact and evidence in support of a state dependence effect of child welfare experiences on criminal justice contact. Whereas, the state dependence effects of child maltreatment are predicted to increase the odds of criminal justice contact, it is possible that state dependence effects of child welfare experiences could potentially function as both protective and risk factors. For example, it is reasonable to assume that factors such as the receipt of services at baseline could be a protective factor by significantly reducing the odds of criminal justice exposure. Although it is possible that the receipt of baseline services could be correlated with more severe forms of maltreatment and therefore be related to higher odds of criminal justice contact, the inclusion of a measure for level of harm should generally control for that explanation.</w:t>
      </w:r>
    </w:p>
    <w:p w14:paraId="72470CA0" w14:textId="77777777" w:rsidR="004C4C39" w:rsidRPr="00A32EED" w:rsidRDefault="004C4C39" w:rsidP="004C4C39">
      <w:pPr>
        <w:spacing w:after="0" w:line="480" w:lineRule="auto"/>
        <w:rPr>
          <w:rFonts w:eastAsia="Calibri"/>
        </w:rPr>
      </w:pPr>
      <w:r w:rsidRPr="00A32EED">
        <w:rPr>
          <w:rFonts w:eastAsia="Calibri"/>
        </w:rPr>
        <w:tab/>
        <w:t xml:space="preserve">As predicted, the final model for criminal justice contact is more supportive of a state dependence explanation for the effects of child maltreatment and child welfare experienced on later criminal justice contact. Regarding individual relationships between elements of child maltreatment and child welfare experiences and criminal justice contact, the final model for criminal justice contact is somewhat in line with my predictions. Regarding age, the odds of criminal justice contact increase the older a child is at baseline. To test for a population heterogeneity effect, an alternative model with a dummy variable for children 10 or younger was utilized (table not included). </w:t>
      </w:r>
    </w:p>
    <w:p w14:paraId="2ABC4672" w14:textId="77777777" w:rsidR="004C4C39" w:rsidRPr="00A32EED" w:rsidRDefault="004C4C39" w:rsidP="004C4C39">
      <w:pPr>
        <w:spacing w:after="0" w:line="480" w:lineRule="auto"/>
        <w:ind w:firstLine="720"/>
        <w:rPr>
          <w:rFonts w:eastAsia="Calibri"/>
        </w:rPr>
      </w:pPr>
      <w:r w:rsidRPr="00A32EED">
        <w:rPr>
          <w:rFonts w:eastAsia="Calibri"/>
        </w:rPr>
        <w:lastRenderedPageBreak/>
        <w:t xml:space="preserve">I argued that a population heterogeneity explanation would be supported if children who were 10 or younger at baseline exhibited higher odds of criminal justice contact than children who were older than 10. Unlike in the early sexual initiation results, the dummy variable for being younger than 10 is significant. However, the direction of the relationship is not in a direction that is supportive of a population heterogeneity explanation. Specifically, results suggest that those children who are 10 or younger have lower odds of criminal justice contact. These results in conjunction with the plot of predictive margins found in Figure 6.1 suggest that the relationship is still one of state dependence but that the risk is higher among children 10 and older. In other words, when examining the predictive margins of criminal justice contact, the slope for age at baseline increases after the age of 10. This finding is consistent with previous literature regarding homelessness </w:t>
      </w:r>
      <w:r w:rsidRPr="00A32EED">
        <w:rPr>
          <w:rFonts w:eastAsia="Calibri"/>
        </w:rPr>
        <w:fldChar w:fldCharType="begin"/>
      </w:r>
      <w:r w:rsidRPr="00A32EED">
        <w:rPr>
          <w:rFonts w:eastAsia="Calibri"/>
        </w:rPr>
        <w:instrText xml:space="preserve"> ADDIN ZOTERO_ITEM CSL_CITATION {"citationID":"1kave9djv3","properties":{"formattedCitation":"(Crawford et al. 2017)","plainCitation":"(Crawford et al. 2017)"},"citationItems":[{"id":562,"uris":["http://zotero.org/users/1165382/items/XTK6EPTA"],"uri":["http://zotero.org/users/1165382/items/XTK6EPTA"],"itemData":{"id":562,"type":"article-journal","title":"Factors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schema":"https://github.com/citation-style-language/schema/raw/master/csl-citation.json"} </w:instrText>
      </w:r>
      <w:r w:rsidRPr="00A32EED">
        <w:rPr>
          <w:rFonts w:eastAsia="Calibri"/>
        </w:rPr>
        <w:fldChar w:fldCharType="separate"/>
      </w:r>
      <w:r w:rsidRPr="00A32EED">
        <w:rPr>
          <w:rFonts w:eastAsia="Calibri"/>
          <w:noProof/>
        </w:rPr>
        <w:t>(Crawford et al. 2017)</w:t>
      </w:r>
      <w:r w:rsidRPr="00A32EED">
        <w:rPr>
          <w:rFonts w:eastAsia="Calibri"/>
        </w:rPr>
        <w:fldChar w:fldCharType="end"/>
      </w:r>
      <w:r w:rsidRPr="00A32EED">
        <w:rPr>
          <w:rFonts w:eastAsia="Calibri"/>
        </w:rPr>
        <w:t xml:space="preserve"> and arrest </w:t>
      </w:r>
      <w:r w:rsidRPr="00A32EED">
        <w:rPr>
          <w:rFonts w:eastAsia="Calibri"/>
        </w:rPr>
        <w:fldChar w:fldCharType="begin"/>
      </w:r>
      <w:r w:rsidRPr="00A32EED">
        <w:rPr>
          <w:rFonts w:eastAsia="Calibri"/>
        </w:rPr>
        <w:instrText xml:space="preserve"> ADDIN ZOTERO_ITEM CSL_CITATION {"citationID":"13qgrdg0nq","properties":{"formattedCitation":"(J. Ryan et al. 2008; Widom 1991b)","plainCitation":"(J. Ryan et al. 2008; Widom 1991b)"},"citationItems":[{"id":1318,"uris":["http://zotero.org/users/1165382/items/SV4SKN5D"],"uri":["http://zotero.org/users/1165382/items/SV4SKN5D"],"itemData":{"id":1318,"type":"article-journal","title":"African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F."},{"family":"Zhai","given":"Fuhua"}],"issued":{"date-parts":[["2008"]]}}},{"id":1314,"uris":["http://zotero.org/users/1165382/items/Z3UMV487"],"uri":["http://zotero.org/users/1165382/items/Z3UMV487"],"itemData":{"id":1314,"type":"article-journal","title":"The role of placement experiences in mediating the criminal consequences of early childhood victimization","container-title":"American Journal of Orthopsychiatry","page":"195-209","volume":"61","issue":"2","source":"EBSCOhost","archive_location":"1991-25522-001","abstract":"Examined foster-home placement experiences in 709 juvenile court cases (aged 18–33 yrs) of child abuse and neglect in relation to delinquent, adult criminal, and violent criminal outcomes. More males than females and more White than Black Ss were placed in foster care. Ss with indications of behavior problems were significantly more likely to be placed than Ss without such problems. Out-of-home placement did not necessarily have negative effects. A small group of abused and neglected children with behavior problems may experience frequent placement moves. The presence of these children may account for the high rates of delinquency, adult criminality, and violent criminal behavior associated with children in foster care. (PsycINFO Database Record (c) 2015 APA, all rights reserved)","DOI":"10.1037/h0079252","ISSN":"0002-9432","journalAbbreviation":"American Journal of Orthopsychiatry","author":[{"family":"Widom","given":"Cathy Spatz"}],"issued":{"date-parts":[["1991",4]]}}}],"schema":"https://github.com/citation-style-language/schema/raw/master/csl-citation.json"} </w:instrText>
      </w:r>
      <w:r w:rsidRPr="00A32EED">
        <w:rPr>
          <w:rFonts w:eastAsia="Calibri"/>
        </w:rPr>
        <w:fldChar w:fldCharType="separate"/>
      </w:r>
      <w:r w:rsidRPr="00A32EED">
        <w:rPr>
          <w:rFonts w:eastAsia="Calibri"/>
          <w:noProof/>
        </w:rPr>
        <w:t>(J. Ryan et al. 2008; Widom 1991b)</w:t>
      </w:r>
      <w:r w:rsidRPr="00A32EED">
        <w:rPr>
          <w:rFonts w:eastAsia="Calibri"/>
        </w:rPr>
        <w:fldChar w:fldCharType="end"/>
      </w:r>
      <w:r w:rsidRPr="00A32EED">
        <w:rPr>
          <w:rFonts w:eastAsia="Calibri"/>
        </w:rPr>
        <w:t xml:space="preserve">. It is possible that the reason for this increased effect is that removal at an older age is more disruptive to peer groups, schooling, extracurricular activities, and work (for those who are 16 or older).  </w:t>
      </w:r>
    </w:p>
    <w:p w14:paraId="13E741AF" w14:textId="77777777" w:rsidR="004C4C39" w:rsidRPr="00A32EED" w:rsidRDefault="004C4C39" w:rsidP="004C4C39">
      <w:pPr>
        <w:spacing w:after="0" w:line="480" w:lineRule="auto"/>
        <w:ind w:firstLine="720"/>
        <w:rPr>
          <w:rFonts w:eastAsia="Calibri"/>
        </w:rPr>
      </w:pPr>
      <w:r w:rsidRPr="00A32EED">
        <w:rPr>
          <w:rFonts w:eastAsia="Calibri"/>
        </w:rPr>
        <w:t xml:space="preserve">Interestingly, there is not a significant relationship between gender later criminal justice contact. Results suggest that self-control mediates any effect of gender on criminal justice contact. As with early sexual initiation, race is a significant predictor of criminal justice contact. This finding is in line with previous findings regarding children in criminal justice contact among children in the child welfare system </w:t>
      </w:r>
      <w:r w:rsidRPr="00A32EED">
        <w:rPr>
          <w:rFonts w:eastAsia="Calibri"/>
        </w:rPr>
        <w:fldChar w:fldCharType="begin"/>
      </w:r>
      <w:r w:rsidRPr="00A32EED">
        <w:rPr>
          <w:rFonts w:eastAsia="Calibri"/>
        </w:rPr>
        <w:instrText xml:space="preserve"> ADDIN ZOTERO_ITEM CSL_CITATION {"citationID":"1nslhdi83f","properties":{"formattedCitation":"(J. Ryan et al. 2008)","plainCitation":"(J. Ryan et al. 2008)"},"citationItems":[{"id":1318,"uris":["http://zotero.org/users/1165382/items/SV4SKN5D"],"uri":["http://zotero.org/users/1165382/items/SV4SKN5D"],"itemData":{"id":1318,"type":"article-journal","title":"African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F."},{"family":"Zhai","given":"Fuhua"}],"issued":{"date-parts":[["2008"]]}}}],"schema":"https://github.com/citation-style-language/schema/raw/master/csl-citation.json"} </w:instrText>
      </w:r>
      <w:r w:rsidRPr="00A32EED">
        <w:rPr>
          <w:rFonts w:eastAsia="Calibri"/>
        </w:rPr>
        <w:fldChar w:fldCharType="separate"/>
      </w:r>
      <w:r w:rsidRPr="00A32EED">
        <w:rPr>
          <w:rFonts w:eastAsia="Calibri"/>
          <w:noProof/>
        </w:rPr>
        <w:t>(Ryan et al. 2008)</w:t>
      </w:r>
      <w:r w:rsidRPr="00A32EED">
        <w:rPr>
          <w:rFonts w:eastAsia="Calibri"/>
        </w:rPr>
        <w:fldChar w:fldCharType="end"/>
      </w:r>
      <w:r w:rsidRPr="00A32EED">
        <w:rPr>
          <w:rFonts w:eastAsia="Calibri"/>
        </w:rPr>
        <w:t xml:space="preserve">. Ryan et. al (2008) suggest that this relationship could be the result of differences in social bonds or neighborhood </w:t>
      </w:r>
      <w:r w:rsidRPr="00A32EED">
        <w:rPr>
          <w:rFonts w:eastAsia="Calibri"/>
        </w:rPr>
        <w:lastRenderedPageBreak/>
        <w:t xml:space="preserve">effects. Previous research also suggests that this relationship may also be driven by racial bias within the criminal justice system </w:t>
      </w:r>
      <w:r w:rsidRPr="00A32EED">
        <w:rPr>
          <w:rFonts w:eastAsia="Calibri"/>
        </w:rPr>
        <w:fldChar w:fldCharType="begin"/>
      </w:r>
      <w:r w:rsidRPr="00A32EED">
        <w:rPr>
          <w:rFonts w:eastAsia="Calibri"/>
        </w:rPr>
        <w:instrText xml:space="preserve"> ADDIN ZOTERO_ITEM CSL_CITATION {"citationID":"11rgeqk3ab","properties":{"formattedCitation":"(Clemons 2014; Piquero 2008)","plainCitation":"(Clemons 2014; Piquero 2008)"},"citationItems":[{"id":1469,"uris":["http://zotero.org/users/1165382/items/JJ2XTM4H"],"uri":["http://zotero.org/users/1165382/items/JJ2XTM4H"],"itemData":{"id":1469,"type":"article-journal","title":"Blind Injustice: The Supreme Court, Implicit Racial Bias, and the Racial Disparity in the Criminal Justice System Notes","container-title":"American Criminal Law Review","page":"689-714","volume":"51","source":"HeinOnline","note":"00000","shortTitle":"Blind Injustice","journalAbbreviation":"Am. Crim. L. Rev.","language":"eng","author":[{"family":"Clemons","given":"John Tyler"}],"issued":{"date-parts":[["2014"]]}}},{"id":1467,"uris":["http://zotero.org/users/1165382/items/4S7PWDRT"],"uri":["http://zotero.org/users/1165382/items/4S7PWDRT"],"itemData":{"id":1467,"type":"article-journal","title":"Disproportionate Minority Contact","container-title":"The Future of Children","page":"59-79","volume":"18","issue":"2","source":"Project MUSE","abstract":"Summary\nFor many years, notes Alex Piquero, youth of color have been overrepresented at every stage of the U.S. juvenile justice system. As with racial disparities in a wide variety of social indicators, the causes of these disparities are not immediately apparent. Some analysts attribute the disparities to \"differential involvement\"—that is, to differences in offending by minorities and whites. Others attribute them to \"differential selection\"—that is, to the fact that the justice system treats minority and white offenders in different ways. Still others believe the explanation lies in a combination of the two. Differential involvement may be important earlier in the judicial process, especially in youths' contacts with police, and may influence differential selection later as individuals make their way through the juvenile justice system.\nAdjudicating between these options, says Piquero, is difficult and may even be impossible. Asking how much minority overrepresentation is due to differences in offending and how much to differences in processing no longer seems a helpful way to frame the discussion. Piquero urges future research to move beyond the debate over \"which one matters more\" and seek to understand how each of the two hypotheses can explain both the fact of minority overrepresentation in the juvenile justice system and how best to address it.\nPiquero cites many sizable gaps in the research and policy-relevant literature. Work is needed especially, he says, in analyzing the first stage of the justice system that juveniles confront: police contacts. The police are a critical part of the juvenile justice decision-making system and are afforded far more discretion than any other formal agent of social control, but researchers have paid surprisingly little attention to contacts between police and citizens, especially juveniles.\nPiquero notes that some states and localities are undertaking initiatives to reduce racial and ethnic disparities. He urges researchers and policymakers to evaluate such initiatives, especially those using strategies with a track record of success. Researchers should also examine empirically the far-reaching consequences of disproportionate minority representation in the juvenile justice system, such as poor outcomes in education, labor force participation, and family formation. Finally, Piquero emphasizes that one critical research area involves updating justice system data systems and repositories, which have failed to track changes in U.S. demographic and immigration patterns. [End Page 59]","DOI":"10.1353/foc.0.0013","ISSN":"1550-1558","note":"00199","author":[{"family":"Piquero","given":"Alex R."}],"issued":{"date-parts":[["2008",12,3]]}}}],"schema":"https://github.com/citation-style-language/schema/raw/master/csl-citation.json"} </w:instrText>
      </w:r>
      <w:r w:rsidRPr="00A32EED">
        <w:rPr>
          <w:rFonts w:eastAsia="Calibri"/>
        </w:rPr>
        <w:fldChar w:fldCharType="separate"/>
      </w:r>
      <w:r w:rsidRPr="00A32EED">
        <w:rPr>
          <w:rFonts w:eastAsia="Calibri"/>
          <w:noProof/>
        </w:rPr>
        <w:t>(Clemons 2014; Piquero 2008)</w:t>
      </w:r>
      <w:r w:rsidRPr="00A32EED">
        <w:rPr>
          <w:rFonts w:eastAsia="Calibri"/>
        </w:rPr>
        <w:fldChar w:fldCharType="end"/>
      </w:r>
      <w:r w:rsidRPr="00A32EED">
        <w:rPr>
          <w:rFonts w:eastAsia="Calibri"/>
        </w:rPr>
        <w:t xml:space="preserve">. Regardless of the cause, it appears that minority youth with child maltreatment and child welfare experiences are at higher risk than their white counterparts. </w:t>
      </w:r>
    </w:p>
    <w:p w14:paraId="29CF87E1" w14:textId="2C3808C8" w:rsidR="004C4C39" w:rsidRPr="00A32EED" w:rsidRDefault="004C4C39" w:rsidP="004C4C39">
      <w:pPr>
        <w:spacing w:after="0" w:line="480" w:lineRule="auto"/>
        <w:ind w:firstLine="720"/>
        <w:rPr>
          <w:rFonts w:eastAsia="Calibri"/>
        </w:rPr>
      </w:pPr>
      <w:r w:rsidRPr="00A32EED">
        <w:rPr>
          <w:rFonts w:eastAsia="Calibri"/>
        </w:rPr>
        <w:t xml:space="preserve">Not in line with my predictions, previous child welfare involvement, receiving services, multiple forms of maltreatment, and case substantiation are not significantly related to later criminal justice contact. Furthermore, these variables are not significantly related in any of the models building to the final model. The level of harm exhibited no main effect on criminal justice contact. However, it did exhibit a significant interaction effect when paired with sexual abuse. Specifically, the results show that for sexual abuse only, as the level of harm increases, the odds of criminal justice also increase. This suggests that for all other forms of maltreatment, the level of harm has no relationship to later criminal justice contact. However, for cases where the most severe form of maltreatment is sexual abuse, the odds of criminal justice contact increase as the level of harm does. </w:t>
      </w:r>
    </w:p>
    <w:p w14:paraId="199C8A26" w14:textId="77777777" w:rsidR="004C4C39" w:rsidRPr="00A32EED" w:rsidRDefault="004C4C39" w:rsidP="004C4C39">
      <w:pPr>
        <w:spacing w:after="0" w:line="480" w:lineRule="auto"/>
        <w:ind w:firstLine="720"/>
        <w:rPr>
          <w:rFonts w:eastAsia="Calibri"/>
        </w:rPr>
      </w:pPr>
      <w:r w:rsidRPr="00A32EED">
        <w:rPr>
          <w:rFonts w:eastAsia="Calibri"/>
        </w:rPr>
        <w:t xml:space="preserve">Also, only sexual abuse cases are significantly different from neglect. Specifically, victims whose most severe form of alleged maltreatment was sexual abuse are significantly less likely to experience criminal justice contact. This finding is curious given previous findings generally place sexual abuse victims at either higher or no different risk than other forms of maltreatment. However, when interpreted with the interaction term between sexual abuse and </w:t>
      </w:r>
      <w:r w:rsidRPr="00A32EED">
        <w:rPr>
          <w:rFonts w:eastAsia="Calibri"/>
        </w:rPr>
        <w:lastRenderedPageBreak/>
        <w:t xml:space="preserve">level of harm what this suggests is that sexual abuse cases that are identified as not being harmful are at lower risk for criminal justice contact than other maltreatment types with no perceived harm. Within sexual abuse cases, those whose allegation is perceived as having no harm are at significantly lower risk than those whose allegations are perceived as more harmful, whereas levels of harm within other forms of maltreatment are not at significantly higher or lower risk for criminal justice contact. </w:t>
      </w:r>
    </w:p>
    <w:p w14:paraId="256C8B41" w14:textId="77777777" w:rsidR="004C4C39" w:rsidRPr="00A32EED" w:rsidRDefault="004C4C39" w:rsidP="004C4C39">
      <w:pPr>
        <w:spacing w:after="0" w:line="480" w:lineRule="auto"/>
        <w:ind w:firstLine="720"/>
        <w:rPr>
          <w:rFonts w:eastAsia="Calibri"/>
        </w:rPr>
      </w:pPr>
      <w:r w:rsidRPr="00A32EED">
        <w:rPr>
          <w:rFonts w:eastAsia="Calibri"/>
        </w:rPr>
        <w:t xml:space="preserve">It is unclear what is driving this relationship, and neither Sampson and Laub’s age-graded theory of informal social control </w:t>
      </w:r>
      <w:r w:rsidRPr="00A32EED">
        <w:rPr>
          <w:rFonts w:eastAsia="Calibri"/>
        </w:rPr>
        <w:fldChar w:fldCharType="begin"/>
      </w:r>
      <w:r w:rsidRPr="00A32EED">
        <w:rPr>
          <w:rFonts w:eastAsia="Calibri"/>
        </w:rPr>
        <w:instrText xml:space="preserve"> ADDIN ZOTERO_ITEM CSL_CITATION {"citationID":"Q0DryHXu","properties":{"formattedCitation":"(1995a)","plainCitation":"(1995a)"},"citationItems":[{"id":569,"uris":["http://zotero.org/users/1165382/items/ZDAAURIF"],"uri":["http://zotero.org/users/1165382/items/ZDAAURIF"],"itemData":{"id":569,"type":"book","title":"Crime in the Making: Pathways and Turning Points through Life","publisher":"Harvard University Press","publisher-place":"Cambridge, Mass.","number-of-pages":"320","source":"Amazon.com","event-place":"Cambridge, Mass.","abstract":"This new theory of crime over the life course provides an important foundation for rethinking criminal justice policy. It is based on the reanalysis of a classic set of data: Sheldon and Eleanor Gluecks' mid-century study of 500 delinquents and 500 nondelinquents from childhood to adulthood. Several years ago, Robert Sampson and John Laub dusted off sixty cartons of the Gleucks' data that had been stored in the basement of the Harvard Law School and undertook a lengthy process of recoding, computerizing, and reanalyzing it. On the basis of their findings, they developed a theory of informal social control that acknowledges the importance of childhood behavior but rejects the implication that adult social factors have little relevance. This theory accounts for both stability and change in crime and deviance throughout the life course.","ISBN":"978-0-674-17605-8","shortTitle":"Crime in the Making","language":"English","author":[{"family":"Sampson","given":"Robert J."},{"family":"Laub","given":"John H."}],"issued":{"date-parts":[["1995",4,14]]}},"suppress-author":true}],"schema":"https://github.com/citation-style-language/schema/raw/master/csl-citation.json"} </w:instrText>
      </w:r>
      <w:r w:rsidRPr="00A32EED">
        <w:rPr>
          <w:rFonts w:eastAsia="Calibri"/>
        </w:rPr>
        <w:fldChar w:fldCharType="separate"/>
      </w:r>
      <w:r w:rsidRPr="00A32EED">
        <w:rPr>
          <w:rFonts w:eastAsia="Calibri"/>
          <w:noProof/>
        </w:rPr>
        <w:t>(1995a)</w:t>
      </w:r>
      <w:r w:rsidRPr="00A32EED">
        <w:rPr>
          <w:rFonts w:eastAsia="Calibri"/>
        </w:rPr>
        <w:fldChar w:fldCharType="end"/>
      </w:r>
      <w:r w:rsidRPr="00A32EED">
        <w:rPr>
          <w:rFonts w:eastAsia="Calibri"/>
        </w:rPr>
        <w:t xml:space="preserve"> nor Hirschi and Gottfredson’s general theory of crime </w:t>
      </w:r>
      <w:r w:rsidRPr="00A32EED">
        <w:rPr>
          <w:rFonts w:eastAsia="Calibri"/>
        </w:rPr>
        <w:fldChar w:fldCharType="begin"/>
      </w:r>
      <w:r w:rsidRPr="00A32EED">
        <w:rPr>
          <w:rFonts w:eastAsia="Calibri"/>
        </w:rPr>
        <w:instrText xml:space="preserve"> ADDIN ZOTERO_ITEM CSL_CITATION {"citationID":"1qf2g8gemg","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provide clear guidance in making inferences. It is possible that differences in patterns regarding frequency and types of acts reported for sexual abuse are substantially different from other forms of maltreatment. Furthermore, it is possible that differences in perceived levels of harm for sexual abuse also vary in a manner that is different from other forms of maltreatment. Given that the criminal justice, contact variable is very broad and contains no differentiation between types of contacts and offenses, it is possible that sexual abuse cases for one type of contact or offense are driving the overall results. Finally, it is possible that this finding is a result of type I error and the null hypothesis has been falsely rejected. Regardless of the cause, future research should explore this relationship further. Specific strategies are discussed in the next section.</w:t>
      </w:r>
    </w:p>
    <w:p w14:paraId="5026FFF9" w14:textId="77777777" w:rsidR="004C4C39" w:rsidRPr="00A32EED" w:rsidRDefault="004C4C39" w:rsidP="004C4C39">
      <w:pPr>
        <w:spacing w:after="0" w:line="480" w:lineRule="auto"/>
        <w:ind w:firstLine="720"/>
        <w:rPr>
          <w:rFonts w:eastAsia="Calibri"/>
        </w:rPr>
      </w:pPr>
      <w:r w:rsidRPr="00A32EED">
        <w:rPr>
          <w:rFonts w:eastAsia="Calibri"/>
        </w:rPr>
        <w:t xml:space="preserve">As predicted, self-control is significantly related to odds of criminal justice exposure. In general, as levels of self-control increase the odds of criminal </w:t>
      </w:r>
      <w:r w:rsidRPr="00A32EED">
        <w:rPr>
          <w:rFonts w:eastAsia="Calibri"/>
        </w:rPr>
        <w:lastRenderedPageBreak/>
        <w:t xml:space="preserve">justice contact decrease.  Prior to the addition of interaction terms between gender, self-control, and group home placements, being placed in a group home was the only placement type that was significantly different from remaining in the home. However, the addition of the interaction terms reveals that both group home placements and self-control operate differently for those in a group home placement. Specifically, the addition of the interaction term renders the main effect of group home placements not significant. The interaction terms also reveal that although self-control is generally related to a decrease in the odds of criminal justice contact, for both male and female children placed in group homes, higher levels of self-control are significantly related to higher odds of criminal justice contact. </w:t>
      </w:r>
    </w:p>
    <w:p w14:paraId="0336D89D" w14:textId="77777777" w:rsidR="004C4C39" w:rsidRPr="00A32EED" w:rsidRDefault="004C4C39" w:rsidP="004C4C39">
      <w:pPr>
        <w:spacing w:after="0" w:line="480" w:lineRule="auto"/>
        <w:ind w:firstLine="720"/>
        <w:rPr>
          <w:rFonts w:eastAsia="Calibri"/>
        </w:rPr>
      </w:pPr>
      <w:r w:rsidRPr="00A32EED">
        <w:rPr>
          <w:rFonts w:eastAsia="Calibri"/>
        </w:rPr>
        <w:t xml:space="preserve">On the surface, this finding appears to be in opposition to my predictions, previous research, and both Sampson and Laub’s </w:t>
      </w:r>
      <w:r w:rsidRPr="00A32EED">
        <w:rPr>
          <w:rFonts w:eastAsia="Calibri"/>
        </w:rPr>
        <w:fldChar w:fldCharType="begin"/>
      </w:r>
      <w:r w:rsidRPr="00A32EED">
        <w:rPr>
          <w:rFonts w:eastAsia="Calibri"/>
        </w:rPr>
        <w:instrText xml:space="preserve"> ADDIN ZOTERO_ITEM CSL_CITATION {"citationID":"VaWrAabL","properties":{"formattedCitation":"(1995a)","plainCitation":"(1995a)"},"citationItems":[{"id":569,"uris":["http://zotero.org/users/1165382/items/ZDAAURIF"],"uri":["http://zotero.org/users/1165382/items/ZDAAURIF"],"itemData":{"id":569,"type":"book","title":"Crime in the Making: Pathways and Turning Points through Life","publisher":"Harvard University Press","publisher-place":"Cambridge, Mass.","number-of-pages":"320","source":"Amazon.com","event-place":"Cambridge, Mass.","abstract":"This new theory of crime over the life course provides an important foundation for rethinking criminal justice policy. It is based on the reanalysis of a classic set of data: Sheldon and Eleanor Gluecks' mid-century study of 500 delinquents and 500 nondelinquents from childhood to adulthood. Several years ago, Robert Sampson and John Laub dusted off sixty cartons of the Gleucks' data that had been stored in the basement of the Harvard Law School and undertook a lengthy process of recoding, computerizing, and reanalyzing it. On the basis of their findings, they developed a theory of informal social control that acknowledges the importance of childhood behavior but rejects the implication that adult social factors have little relevance. This theory accounts for both stability and change in crime and deviance throughout the life course.","ISBN":"978-0-674-17605-8","shortTitle":"Crime in the Making","language":"English","author":[{"family":"Sampson","given":"Robert J."},{"family":"Laub","given":"John H."}],"issued":{"date-parts":[["1995",4,14]]}},"suppress-author":true}],"schema":"https://github.com/citation-style-language/schema/raw/master/csl-citation.json"} </w:instrText>
      </w:r>
      <w:r w:rsidRPr="00A32EED">
        <w:rPr>
          <w:rFonts w:eastAsia="Calibri"/>
        </w:rPr>
        <w:fldChar w:fldCharType="separate"/>
      </w:r>
      <w:r w:rsidRPr="00A32EED">
        <w:rPr>
          <w:rFonts w:eastAsia="Calibri"/>
          <w:noProof/>
        </w:rPr>
        <w:t>(1995a)</w:t>
      </w:r>
      <w:r w:rsidRPr="00A32EED">
        <w:rPr>
          <w:rFonts w:eastAsia="Calibri"/>
        </w:rPr>
        <w:fldChar w:fldCharType="end"/>
      </w:r>
      <w:r w:rsidRPr="00A32EED">
        <w:rPr>
          <w:rFonts w:eastAsia="Calibri"/>
        </w:rPr>
        <w:t xml:space="preserve"> age-graded theory of informal social control and Hirschi and Gottfredson's general theory of crime </w:t>
      </w:r>
      <w:r w:rsidRPr="00A32EED">
        <w:rPr>
          <w:rFonts w:eastAsia="Calibri"/>
        </w:rPr>
        <w:fldChar w:fldCharType="begin"/>
      </w:r>
      <w:r w:rsidRPr="00A32EED">
        <w:rPr>
          <w:rFonts w:eastAsia="Calibri"/>
        </w:rPr>
        <w:instrText xml:space="preserve"> ADDIN ZOTERO_ITEM CSL_CITATION {"citationID":"oTqfrmNG","properties":{"formattedCitation":"(1990)","plainCitation":"(1990)"},"citationItems":[{"id":566,"uris":["http://zotero.org/users/1165382/items/Z7R4IGKD"],"uri":["http://zotero.org/users/1165382/items/Z7R4IGKD"],"itemData":{"id":566,"type":"book","title":"A General Theory of Crime","publisher":"Stanford University Press","publisher-place":"Stanford, Calif","number-of-pages":"297","edition":"1 edition","source":"Amazon.com","event-place":"Stanford, Calif","abstract":"By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behavior.The long-discarded classical tradition in criminology was based on choice and free will, and saw crime as the natural consequence of unrestrained human tendencies to seek pleasure and to avoid pain. It concerned itself with the nature of crime and paid little attention to the criminal. The scientific, or disciplinary, tradition is based on causation and determinism, and has dominated twentieth-century criminology. It concerns itself with the nature of the criminal and pays little attention to the crime itself. Though the two traditions are considered incompatible, this book brings classical and modern criminology together by requiring that their conceptions be consistent with each other and with the results of research.The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change.In the remainder of the book, the authors apply their theory to the persistent problems of criminology. Why are men, adolescents, and minorities more likely than their counterparts to commit criminal acts? What is the role of the school in the causation of delinquincy?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academians and crimina justic practitioners. The authors conclude by exploring the implications of the theory for the future study and control of crime.","ISBN":"978-0-8047-1774-8","language":"English","author":[{"family":"Gottfredson","given":"Michael"},{"family":"Hirschi","given":"Travis"}],"issued":{"date-parts":[["1990",3,1]]}},"suppress-author":true}],"schema":"https://github.com/citation-style-language/schema/raw/master/csl-citation.json"} </w:instrText>
      </w:r>
      <w:r w:rsidRPr="00A32EED">
        <w:rPr>
          <w:rFonts w:eastAsia="Calibri"/>
        </w:rPr>
        <w:fldChar w:fldCharType="separate"/>
      </w:r>
      <w:r w:rsidRPr="00A32EED">
        <w:rPr>
          <w:rFonts w:eastAsia="Calibri"/>
          <w:noProof/>
        </w:rPr>
        <w:t>(1990)</w:t>
      </w:r>
      <w:r w:rsidRPr="00A32EED">
        <w:rPr>
          <w:rFonts w:eastAsia="Calibri"/>
        </w:rPr>
        <w:fldChar w:fldCharType="end"/>
      </w:r>
      <w:r w:rsidRPr="00A32EED">
        <w:rPr>
          <w:rFonts w:eastAsia="Calibri"/>
        </w:rPr>
        <w:t xml:space="preserve">. However, I believe that after proper interpretation this finding is the strongest evidence for the state dependence effect of child welfare experiences. This finding suggests that for those children who have lower levels of self-control and are therefore more prone to criminal justice contact being placed in a group home does not increase or decrease their risks. In fact, it is possible that part of the reason they are placed in a group home is indirectly related to their low levels of self-control. This explanation is consistent with a population heterogeneity explanation of the relationship between child welfare and criminal justice contact and has been offered as a possible explanation for the </w:t>
      </w:r>
      <w:r w:rsidRPr="00A32EED">
        <w:rPr>
          <w:rFonts w:eastAsia="Calibri"/>
        </w:rPr>
        <w:lastRenderedPageBreak/>
        <w:t xml:space="preserve">consistent finding that group home placements are related to adverse outcomes throughout the life-course </w:t>
      </w:r>
      <w:r w:rsidRPr="00A32EED">
        <w:rPr>
          <w:rFonts w:eastAsia="Calibri"/>
        </w:rPr>
        <w:fldChar w:fldCharType="begin"/>
      </w:r>
      <w:r w:rsidRPr="00A32EED">
        <w:rPr>
          <w:rFonts w:eastAsia="Calibri"/>
        </w:rPr>
        <w:instrText xml:space="preserve"> ADDIN ZOTERO_ITEM CSL_CITATION {"citationID":"2orqe3vbck","properties":{"formattedCitation":"(Crawford et al. 2017)","plainCitation":"(Crawford et al. 2017)"},"citationItems":[{"id":562,"uris":["http://zotero.org/users/1165382/items/XTK6EPTA"],"uri":["http://zotero.org/users/1165382/items/XTK6EPTA"],"itemData":{"id":562,"type":"article-journal","title":"Factors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schema":"https://github.com/citation-style-language/schema/raw/master/csl-citation.json"} </w:instrText>
      </w:r>
      <w:r w:rsidRPr="00A32EED">
        <w:rPr>
          <w:rFonts w:eastAsia="Calibri"/>
        </w:rPr>
        <w:fldChar w:fldCharType="separate"/>
      </w:r>
      <w:r w:rsidRPr="00A32EED">
        <w:rPr>
          <w:rFonts w:eastAsia="Calibri"/>
          <w:noProof/>
        </w:rPr>
        <w:t>(Crawford et al. 2017)</w:t>
      </w:r>
      <w:r w:rsidRPr="00A32EED">
        <w:rPr>
          <w:rFonts w:eastAsia="Calibri"/>
        </w:rPr>
        <w:fldChar w:fldCharType="end"/>
      </w:r>
      <w:r w:rsidRPr="00A32EED">
        <w:rPr>
          <w:rFonts w:eastAsia="Calibri"/>
        </w:rPr>
        <w:t xml:space="preserve">. </w:t>
      </w:r>
    </w:p>
    <w:p w14:paraId="6A20BAC0" w14:textId="77777777" w:rsidR="004C4C39" w:rsidRPr="00A32EED" w:rsidRDefault="004C4C39" w:rsidP="004C4C39">
      <w:pPr>
        <w:spacing w:after="0" w:line="480" w:lineRule="auto"/>
        <w:ind w:firstLine="720"/>
        <w:rPr>
          <w:rFonts w:eastAsia="Calibri"/>
        </w:rPr>
      </w:pPr>
      <w:r w:rsidRPr="00A32EED">
        <w:rPr>
          <w:rFonts w:eastAsia="Calibri"/>
        </w:rPr>
        <w:t xml:space="preserve">However, the revelation that the odds of criminal justice contact increase as self-control increases for those placed in group homes suggests that group homes exert some influence on those that were otherwise unlikely to experience criminal justice contact. In other words, it appears that being placed in a group home precipitates a change in lifestyle and/or opportunities for those children with higher levels of self-control. This resulting change in lifestyle or opportunities is consistent with what Nagin and Paternoster term a state dependence effect </w:t>
      </w:r>
      <w:r w:rsidRPr="00A32EED">
        <w:rPr>
          <w:rFonts w:eastAsia="Calibri"/>
        </w:rPr>
        <w:fldChar w:fldCharType="begin"/>
      </w:r>
      <w:r w:rsidRPr="00A32EED">
        <w:rPr>
          <w:rFonts w:eastAsia="Calibri"/>
        </w:rPr>
        <w:instrText xml:space="preserve"> ADDIN ZOTERO_ITEM CSL_CITATION {"citationID":"2dqv5oakj1","properties":{"formattedCitation":"(2000b)","plainCitation":"(2000b)"},"citationItems":[{"id":190,"uris":["http://zotero.org/users/1165382/items/CE3RQXEW"],"uri":["http://zotero.org/users/1165382/items/CE3RQXEW"],"itemData":{"id":190,"type":"article-journal","title":"Population Heterogeneity and State Dependence: State of the Evidence and Directions for Future Research","container-title":"Journal of Quantitative Criminology","page":"117-144","volume":"16","issue":"2","source":"link.springer.com","abstract":"Criminological research has consistently uncovered a positive correlationbetween past and current criminal behavior. Continuity in offending overtime can be attributed to at least two processes—populationheterogeneity and state dependence. A population heterogeneity processattributes stability in offending over time to differences in ananti-social characteristic (self-control, impulsivity, psychopathicpersonality) across persons that is established early in life andtime-stable thereafter. An implication of a population heterogeneityexplanation for continuity in offending over time is that the anti-socialcharacteristic is likely to have reverberations throughout life, takingmany manifestations later in life (unemployment, drug addiction, maritalinstability). Any observed correlation between these later life events andcriminality, therefore, is spurious rather than causal, due to the factthat they are all the effects of a common cause. A state dependenceexplanation, in contrast, attributes observed stability in criminaloffending to a process of contagion. That is, criminal behavior has agenuine causal effect on subsequent criminality by eroding constraintsand strengthening incentives to crime. The implication of a statedependence process is that criminal conduct may be influenced by laterlife events. In this paper, we draw a connection between populationheterogeneity and state dependence processes and extant criminologicaltheory. We also review the literature that has investigated theplausibility of these two processes. Finally, concluding that weknow very little about them we make recommendations for future researchon population heterogeneity and state dependence.","DOI":"10.1023/A:1007502804941","ISSN":"0748-4518, 1573-7799","note":"00000","shortTitle":"Population Heterogeneity and State Dependence","journalAbbreviation":"Journal of Quantitative Criminology","language":"en","author":[{"family":"Nagin","given":"Daniel"},{"family":"Paternoster","given":"Raymond"}],"issued":{"date-parts":[["2000",6,1]]}},"suppress-author":true}],"schema":"https://github.com/citation-style-language/schema/raw/master/csl-citation.json"} </w:instrText>
      </w:r>
      <w:r w:rsidRPr="00A32EED">
        <w:rPr>
          <w:rFonts w:eastAsia="Calibri"/>
        </w:rPr>
        <w:fldChar w:fldCharType="separate"/>
      </w:r>
      <w:r w:rsidRPr="00A32EED">
        <w:rPr>
          <w:rFonts w:eastAsia="Calibri"/>
          <w:noProof/>
        </w:rPr>
        <w:t>(2000)</w:t>
      </w:r>
      <w:r w:rsidRPr="00A32EED">
        <w:rPr>
          <w:rFonts w:eastAsia="Calibri"/>
        </w:rPr>
        <w:fldChar w:fldCharType="end"/>
      </w:r>
      <w:r w:rsidRPr="00A32EED">
        <w:rPr>
          <w:rFonts w:eastAsia="Calibri"/>
        </w:rPr>
        <w:t xml:space="preserve">. Using the lens of Sampson and Laub’s theory, it appears that being placed in a group home uniquely effects elements related to informal social control. Given that group homes by nature typically have more children than other placements, it is possible that placement in a group home results in a bond to caregivers that is less salient or intimate than in other placements. Also, it is possible that placement in a group home is more likely to reduce the child’s ability to participate in other extracurricular activities that help to increase their stakes in conformity. Group home placements may also just be an environment where the opportunity to commit crime is far greater when compared to other placements. Regardless of whether the explanation is one or all of these, the current findings provide strong support that placement in a group home precipitates some change in lifestyle and/or opportunities for at least some youth who come into child welfare custody. </w:t>
      </w:r>
    </w:p>
    <w:p w14:paraId="04A94F0B"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60" w:name="_Toc479938187"/>
      <w:bookmarkStart w:id="161" w:name="_Toc482112716"/>
      <w:r w:rsidRPr="00A32EED">
        <w:rPr>
          <w:rFonts w:eastAsia="ＭＳ ゴシック"/>
          <w:i/>
          <w:color w:val="000000"/>
          <w:szCs w:val="26"/>
          <w:u w:val="single"/>
        </w:rPr>
        <w:lastRenderedPageBreak/>
        <w:t>Limitations, Future Research, and Policy Implications</w:t>
      </w:r>
      <w:bookmarkEnd w:id="160"/>
      <w:bookmarkEnd w:id="161"/>
    </w:p>
    <w:p w14:paraId="6E4A03B4" w14:textId="77777777" w:rsidR="004C4C39" w:rsidRPr="00A32EED" w:rsidRDefault="004C4C39" w:rsidP="004C4C39">
      <w:pPr>
        <w:spacing w:after="0" w:line="480" w:lineRule="auto"/>
        <w:rPr>
          <w:rFonts w:eastAsia="Calibri"/>
        </w:rPr>
      </w:pPr>
      <w:r w:rsidRPr="00A32EED">
        <w:rPr>
          <w:rFonts w:eastAsia="Calibri"/>
        </w:rPr>
        <w:tab/>
        <w:t>Although the current study offers various improvements over previous research in this area, it is not without its own limitations. As with most data, missing data is an issue. Specifically, variables of interest for early sexual initiation, self-control, and level of harm all had missing data percentages higher than 10%. Bivariate comparisons between the entire age-eligible and analytical sample were performed and identified few significant differences. Nonetheless, analyses did reveal significant differences between the two samples regarding age at baseline, race, most severe form of maltreatment, and placement at baseline. Although limited, the presence of significant differences suggests that missing data may be affecting some results. Future research should continue to be aware of missing data and choose the best course of action, although there is no consensus regarding the best way to deal with missing data.</w:t>
      </w:r>
    </w:p>
    <w:p w14:paraId="287CFEC3" w14:textId="77777777" w:rsidR="004C4C39" w:rsidRPr="00A32EED" w:rsidRDefault="004C4C39" w:rsidP="004C4C39">
      <w:pPr>
        <w:spacing w:after="0" w:line="480" w:lineRule="auto"/>
        <w:rPr>
          <w:rFonts w:eastAsia="Calibri"/>
        </w:rPr>
      </w:pPr>
      <w:r w:rsidRPr="00A32EED">
        <w:rPr>
          <w:rFonts w:eastAsia="Calibri"/>
        </w:rPr>
        <w:tab/>
        <w:t xml:space="preserve">As previously mentioned, although the use of a complex sampling design allows for great generalizability, it also provides some limitations. One such limitation is that there is inflation of the standard errors due to the processes used to adjust them to account for the survey design and weighting. It is possible that these inflated standard errors may be influencing some of the significance tests. Additionally, the use of subpopulations in the analyses results in STATA not being to perform some conventional statistical tests, including tests designed specifically for survey data. When these situations were encountered previous research, as well as contributions by scholars in the STATA forums, were consulted to help identify the best course of action. At </w:t>
      </w:r>
      <w:r w:rsidRPr="00A32EED">
        <w:rPr>
          <w:rFonts w:eastAsia="Calibri"/>
        </w:rPr>
        <w:lastRenderedPageBreak/>
        <w:t xml:space="preserve">time tests were performed using multiple methods and generally results were the same. Future research should continue to investigate new ways for handling complex survey data when performing significance tests. </w:t>
      </w:r>
    </w:p>
    <w:p w14:paraId="5E4647BE" w14:textId="77777777" w:rsidR="004C4C39" w:rsidRPr="00A32EED" w:rsidRDefault="004C4C39" w:rsidP="004C4C39">
      <w:pPr>
        <w:spacing w:after="0" w:line="480" w:lineRule="auto"/>
        <w:ind w:firstLine="720"/>
        <w:rPr>
          <w:rFonts w:eastAsia="Calibri"/>
        </w:rPr>
      </w:pPr>
      <w:r w:rsidRPr="00A32EED">
        <w:rPr>
          <w:rFonts w:eastAsia="Calibri"/>
        </w:rPr>
        <w:t xml:space="preserve">Related to the issue of standard errors and significance tests, some groups had relatively low membership. For both the full and analytical samples for early sexual initiation and criminal justice contact, children placed in group homes represented less than 5% of the sample. This is not surprising given that group homes are generally one of the least common placement types. Furthermore, in the criminal justice contact model group, home placements were interacted with gender resulting in even smaller groups. Given the importance of group home both theoretically and in prior research, they must be included, but caution should be used when generalizing findings for such a small group to the larger population. </w:t>
      </w:r>
    </w:p>
    <w:p w14:paraId="493B3A1C" w14:textId="77777777" w:rsidR="004C4C39" w:rsidRPr="00A32EED" w:rsidRDefault="004C4C39" w:rsidP="004C4C39">
      <w:pPr>
        <w:spacing w:after="0" w:line="480" w:lineRule="auto"/>
        <w:rPr>
          <w:rFonts w:eastAsia="Calibri"/>
        </w:rPr>
      </w:pPr>
      <w:r w:rsidRPr="00A32EED">
        <w:rPr>
          <w:rFonts w:eastAsia="Calibri"/>
        </w:rPr>
        <w:tab/>
        <w:t xml:space="preserve">The dependent variables used in this study are also not without criticisms. Specifically, the criminal justice contact variable is very broad and categorizes all arrests and incarcerations as the same. It is entirely plausible that some of the significant relationships revealed here are the result of significant correlations to smaller sets of criminal justice contact. Future research should consider separating arrests and incarceration. Furthermore, future research should consider separation of arrests and incarceration by types of crime. Finally, to address issues of frequency and duration, future studies should consider using continuous or count dependent variables. Doing so allows for the assessment of whether relationships vary by duration or </w:t>
      </w:r>
      <w:r w:rsidRPr="00A32EED">
        <w:rPr>
          <w:rFonts w:eastAsia="Calibri"/>
        </w:rPr>
        <w:lastRenderedPageBreak/>
        <w:t xml:space="preserve">frequency. Also, the data collection for the NSCAW data stops approximately 5-8 years after the baseline maltreatment case and future research should seek to incorporate any future waves of the NSCAW data or potentially identify other data with outcomes at older ages. </w:t>
      </w:r>
    </w:p>
    <w:p w14:paraId="00312835" w14:textId="77777777" w:rsidR="004C4C39" w:rsidRPr="00A32EED" w:rsidRDefault="004C4C39" w:rsidP="004C4C39">
      <w:pPr>
        <w:spacing w:after="0" w:line="480" w:lineRule="auto"/>
        <w:ind w:firstLine="720"/>
        <w:rPr>
          <w:rFonts w:eastAsia="Calibri"/>
        </w:rPr>
      </w:pPr>
      <w:r w:rsidRPr="00A32EED">
        <w:rPr>
          <w:rFonts w:eastAsia="Calibri"/>
        </w:rPr>
        <w:t xml:space="preserve">Also, the dependent variable for early sexual initiation does not take into account whether the event was consensual or an act of sexual assault. Future research should further distinguish between consensual and non-consensual sexual initiation. Also, future studies should also explore the relationship between child maltreatment and child welfare experiences and other adverse life outcomes. Although many of the risk factors were the same for early sexual initiation and criminal justice contact, there were some differences. Exploration of further outcomes such as condom use, unwanted pregnancies, employment, education, self-reported offending, etc… are likely to have some of the same risk factors but equally likely to have different risk factors as well. </w:t>
      </w:r>
    </w:p>
    <w:p w14:paraId="78E0192C" w14:textId="77777777" w:rsidR="004C4C39" w:rsidRPr="00A32EED" w:rsidRDefault="004C4C39" w:rsidP="004C4C39">
      <w:pPr>
        <w:spacing w:after="0" w:line="480" w:lineRule="auto"/>
        <w:rPr>
          <w:rFonts w:eastAsia="Calibri"/>
        </w:rPr>
      </w:pPr>
      <w:r w:rsidRPr="00A32EED">
        <w:rPr>
          <w:rFonts w:eastAsia="Calibri"/>
        </w:rPr>
        <w:tab/>
        <w:t xml:space="preserve">Future research should also attempt to provide more specificity for the child welfare experience variables. For instance, the current study only identifies placement type at baseline and does not address future placements or how long the child was in the baseline placement. Given previous research shows that the number of placements is related to later adverse outcomes </w:t>
      </w:r>
      <w:r w:rsidRPr="00A32EED">
        <w:rPr>
          <w:rFonts w:eastAsia="Calibri"/>
        </w:rPr>
        <w:fldChar w:fldCharType="begin"/>
      </w:r>
      <w:r w:rsidRPr="00A32EED">
        <w:rPr>
          <w:rFonts w:eastAsia="Calibri"/>
        </w:rPr>
        <w:instrText xml:space="preserve"> ADDIN ZOTERO_ITEM CSL_CITATION {"citationID":"idq8trqk5","properties":{"formattedCitation":"(Crawford et al. 2017; Reilly 2003; J. P. Ryan et al. 2008; J. Ryan et al. 2008; Widom 1991b)","plainCitation":"(Crawford et al. 2017; Reilly 2003; J. P. Ryan et al. 2008; J. Ryan et al. 2008; Widom 1991b)"},"citationItems":[{"id":562,"uris":["http://zotero.org/users/1165382/items/XTK6EPTA"],"uri":["http://zotero.org/users/1165382/items/XTK6EPTA"],"itemData":{"id":562,"type":"article-journal","title":"Factors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id":233,"uris":["http://zotero.org/users/1165382/items/FDGTJRZD"],"uri":["http://zotero.org/users/1165382/items/FDGTJRZD"],"itemData":{"id":233,"type":"article-journal","title":"Transition from care: Status and outcomes of youth who age out of foster care","container-title":"CHILD WELFARE-NEW YORK-","page":"727–746","volume":"82","issue":"6","source":"Google Scholar","note":"00000","shortTitle":"Transition from care","author":[{"family":"Reilly","given":"Thom"}],"issued":{"date-parts":[["2003"]]}}},{"id":1320,"uris":["http://zotero.org/users/1165382/items/2E22TTEU"],"uri":["http://zotero.org/users/1165382/items/2E22TTEU"],"itemData":{"id":1320,"type":"article-journal","title":"Juvenile delinquency in child welfare: Investigating group home effects","container-title":"Children and Youth Services Review","page":"1088–1099","volume":"30","issue":"9","source":"Google Scholar","shortTitle":"Juvenile delinquency in child welfare","author":[{"family":"Ryan","given":"Joseph P."},{"family":"Marshall","given":"Jane Marie"},{"family":"Herz","given":"Denise"},{"family":"Hernandez","given":"Pedro M."}],"issued":{"date-parts":[["2008"]]}}},{"id":1318,"uris":["http://zotero.org/users/1165382/items/SV4SKN5D"],"uri":["http://zotero.org/users/1165382/items/SV4SKN5D"],"itemData":{"id":1318,"type":"article-journal","title":"African American males in foster care and the risk of delinquency: the value of social bonds and permanence.","container-title":"Child welfare","page":"115","volume":"87","issue":"1","source":"Google Scholar","shortTitle":"African American males in foster care and the risk of delinquency","author":[{"family":"Ryan","given":"Joseph"},{"family":"Testa","given":"Mark F."},{"family":"Zhai","given":"Fuhua"}],"issued":{"date-parts":[["2008"]]}}},{"id":1314,"uris":["http://zotero.org/users/1165382/items/Z3UMV487"],"uri":["http://zotero.org/users/1165382/items/Z3UMV487"],"itemData":{"id":1314,"type":"article-journal","title":"The role of placement experiences in mediating the criminal consequences of early childhood victimization","container-title":"American Journal of Orthopsychiatry","page":"195-209","volume":"61","issue":"2","source":"EBSCOhost","archive_location":"1991-25522-001","abstract":"Examined foster-home placement experiences in 709 juvenile court cases (aged 18–33 yrs) of child abuse and neglect in relation to delinquent, adult criminal, and violent criminal outcomes. More males than females and more White than Black Ss were placed in foster care. Ss with indications of behavior problems were significantly more likely to be placed than Ss without such problems. Out-of-home placement did not necessarily have negative effects. A small group of abused and neglected children with behavior problems may experience frequent placement moves. The presence of these children may account for the high rates of delinquency, adult criminality, and violent criminal behavior associated with children in foster care. (PsycINFO Database Record (c) 2015 APA, all rights reserved)","DOI":"10.1037/h0079252","ISSN":"0002-9432","journalAbbreviation":"American Journal of Orthopsychiatry","author":[{"family":"Widom","given":"Cathy Spatz"}],"issued":{"date-parts":[["1991",4]]}}}],"schema":"https://github.com/citation-style-language/schema/raw/master/csl-citation.json"} </w:instrText>
      </w:r>
      <w:r w:rsidRPr="00A32EED">
        <w:rPr>
          <w:rFonts w:eastAsia="Calibri"/>
        </w:rPr>
        <w:fldChar w:fldCharType="separate"/>
      </w:r>
      <w:r w:rsidRPr="00A32EED">
        <w:rPr>
          <w:rFonts w:eastAsia="Calibri"/>
          <w:noProof/>
        </w:rPr>
        <w:t>(Crawford et al. 2017; Reilly 2003; J. P. Ryan et al. 2008; Ryan et al. 2008; Widom 1991b)</w:t>
      </w:r>
      <w:r w:rsidRPr="00A32EED">
        <w:rPr>
          <w:rFonts w:eastAsia="Calibri"/>
        </w:rPr>
        <w:fldChar w:fldCharType="end"/>
      </w:r>
      <w:r w:rsidRPr="00A32EED">
        <w:rPr>
          <w:rFonts w:eastAsia="Calibri"/>
        </w:rPr>
        <w:t xml:space="preserve">, future studies should attempt to incorporate controls for placement stability and predominant placement types. Related to placement, future studies would greatly benefit from incorporating variables pertaining to </w:t>
      </w:r>
      <w:r w:rsidRPr="00A32EED">
        <w:rPr>
          <w:rFonts w:eastAsia="Calibri"/>
        </w:rPr>
        <w:lastRenderedPageBreak/>
        <w:t xml:space="preserve">the context and environment of placements. Specifically, controls for neighborhood level factors could provide valuable insight. Previous research also shows that case permanency outcomes are related to later outcomes </w:t>
      </w:r>
      <w:r w:rsidRPr="00A32EED">
        <w:rPr>
          <w:rFonts w:eastAsia="Calibri"/>
        </w:rPr>
        <w:fldChar w:fldCharType="begin"/>
      </w:r>
      <w:r w:rsidRPr="00A32EED">
        <w:rPr>
          <w:rFonts w:eastAsia="Calibri"/>
        </w:rPr>
        <w:instrText xml:space="preserve"> ADDIN ZOTERO_ITEM CSL_CITATION {"citationID":"2i1tofh0g5","properties":{"formattedCitation":"(Mark E Courtney and Dworsky 2006; Crawford et al. 2017; Cusick et al. 2012)","plainCitation":"(Mark E Courtney and Dworsky 2006; Crawford et al. 2017; Cusick et al. 2012)"},"citationItems":[{"id":134,"uris":["http://zotero.org/users/1165382/items/8R8DI829"],"uri":["http://zotero.org/users/1165382/items/8R8DI829"],"itemData":{"id":134,"type":"article-journal","title":"Early outcomes for young adults transitioning from out-of-home care in the USA","container-title":"Child \\&amp; family social work","page":"209-219","volume":"11","issue":"3","note":"00000","journalAbbreviation":"Child \\&amp; family social work","author":[{"family":"Courtney","given":"Mark E"},{"family":"Dworsky","given":"Amy"}],"issued":{"date-parts":[["2006",1,1]]}}},{"id":562,"uris":["http://zotero.org/users/1165382/items/XTK6EPTA"],"uri":["http://zotero.org/users/1165382/items/XTK6EPTA"],"itemData":{"id":562,"type":"article-journal","title":"Factors Influencing Risk of Homelessness Among Youth in Transition from Foster Care in Oklahoma: Implications for Reforming Independent Living Services and Opportunities","container-title":"Child Welfare","volume":"94","issue":"1","author":[{"family":"Crawford","given":"Brandon"},{"family":"West-Cahill","given":"Alisa"},{"family":"Moxley","given":"Jacqueline"},{"family":"McDaniel","given":"Jacqueline"},{"family":"Dorsett","given":"Rachel"}],"issued":{"date-parts":[["2017"]]}}},{"id":115,"uris":["http://zotero.org/users/1165382/items/7PND6TWR"],"uri":["http://zotero.org/users/1165382/items/7PND6TWR"],"itemData":{"id":115,"type":"article-journal","title":"Risk for Arrest: The Role of Social Bonds in Protecting Foster Youth Making the Transition to Adulthood","container-title":"American Journal of Orthopsychiatry","page":"19-31","volume":"82","issue":"1","source":"Wiley Online Library","abstract":"This study examines a sample of foster youth at the onset of the transition to adulthood and explores how social bonds are related to the risk of arrest during adulthood. Drawing from official arrest records, event history models are used to examine the time to arrest. Because individuals may be at risk for different types of crime, competing risk regression models are used to distinguish among arrests for drug-related, nonviolent, or violent crimes. Between the ages of 17–18 and 24, 46% of former foster youth experience an arrest. Arrests were evenly distributed across drug, nonviolent, and violent crimes columns. Although findings fail to support the significance of social bonds to interpersonal domains, bonds to employment and education are associated with a lower risk for arrest. Child welfare policy and practice implications for building connections and protections around foster youth are discussed.","DOI":"10.1111/j.1939-0025.2011.01136.x","ISSN":"1939-0025","note":"00000","shortTitle":"Risk for Arrest","language":"en","author":[{"family":"Cusick","given":"Gretchen Ruth"},{"family":"Havlicek","given":"Judy R."},{"family":"Courtney","given":"Mark E."}],"issued":{"date-parts":[["2012"]]}}}],"schema":"https://github.com/citation-style-language/schema/raw/master/csl-citation.json"} </w:instrText>
      </w:r>
      <w:r w:rsidRPr="00A32EED">
        <w:rPr>
          <w:rFonts w:eastAsia="Calibri"/>
        </w:rPr>
        <w:fldChar w:fldCharType="separate"/>
      </w:r>
      <w:r w:rsidRPr="00A32EED">
        <w:rPr>
          <w:rFonts w:eastAsia="Calibri"/>
          <w:noProof/>
        </w:rPr>
        <w:t>(Mark E Courtney and Dworsky 2006; Crawford et al. 2017; Cusick et al. 2012)</w:t>
      </w:r>
      <w:r w:rsidRPr="00A32EED">
        <w:rPr>
          <w:rFonts w:eastAsia="Calibri"/>
        </w:rPr>
        <w:fldChar w:fldCharType="end"/>
      </w:r>
      <w:r w:rsidRPr="00A32EED">
        <w:rPr>
          <w:rFonts w:eastAsia="Calibri"/>
        </w:rPr>
        <w:t xml:space="preserve">, and therefore further controls for eventual case outcomes could be helpful in future analyses. </w:t>
      </w:r>
    </w:p>
    <w:p w14:paraId="4832955C" w14:textId="77777777" w:rsidR="004C4C39" w:rsidRPr="00A32EED" w:rsidRDefault="004C4C39" w:rsidP="004C4C39">
      <w:pPr>
        <w:spacing w:after="0" w:line="480" w:lineRule="auto"/>
        <w:ind w:firstLine="720"/>
        <w:rPr>
          <w:rFonts w:eastAsia="Calibri"/>
        </w:rPr>
      </w:pPr>
      <w:r w:rsidRPr="00A32EED">
        <w:rPr>
          <w:rFonts w:eastAsia="Calibri"/>
        </w:rPr>
        <w:t xml:space="preserve">Although the current study identifies several risk factors for adverse outcomes, it does little to identify protective factors. One potential reason is that the current study does not distinguish between types, number, or duration of services received by children and parents. More accounting for the types, number, and duration of services received by parents and children could be helpful in painting a complete picture of the child welfare experience. Such additions might also provide more accurate insights into risk and protective factors for adverse outcomes such as early sexual initiation and criminal justice contact. </w:t>
      </w:r>
    </w:p>
    <w:p w14:paraId="5798D3B2" w14:textId="77777777" w:rsidR="004C4C39" w:rsidRPr="00A32EED" w:rsidRDefault="004C4C39" w:rsidP="004C4C39">
      <w:pPr>
        <w:spacing w:after="0" w:line="480" w:lineRule="auto"/>
        <w:ind w:firstLine="720"/>
        <w:rPr>
          <w:rFonts w:eastAsia="Calibri"/>
        </w:rPr>
      </w:pPr>
      <w:r w:rsidRPr="00A32EED">
        <w:rPr>
          <w:rFonts w:eastAsia="Calibri"/>
        </w:rPr>
        <w:t xml:space="preserve">One potential protective factor this study did identify is the importance of placements. Although previous studies have also identified group homes as a risk factor for negative outcomes throughout the life-course, little was known about any potential selection effects that might be related to both placement in a group home and adverse outcomes throughout the life-course. The current study controls for these potential selection effects by including a measure of self-control. The addition of self-control reveals that placement in group homes does not affect all children in the same manner. For those children who are low </w:t>
      </w:r>
      <w:r w:rsidRPr="00A32EED">
        <w:rPr>
          <w:rFonts w:eastAsia="Calibri"/>
        </w:rPr>
        <w:lastRenderedPageBreak/>
        <w:t>in self-control and more likely to experience adverse events throughout the life-course, being placed in a group home does not appear to influence early sexual initiation or criminal justice contact one way or the other. However, for those individuals with higher levels of self-control and therefore a lower likelihood of adverse outcomes such as early sexual initiation or criminal justice contact, being placed in a group home is a significant risk factor. This finding suggests that child welfare agencies should continue to be very diligent in only placing children in group homes when absolutely necessary. Most states have placement policies that require a child be in the least restrictive placement that is appropriate. These findings suggest that these policies should stay in place and states should continue to improve screening mechanisms to ensure that children who are at low risk for adverse outcomes are not needlessly placed in group homes.</w:t>
      </w:r>
    </w:p>
    <w:p w14:paraId="1CFE355F" w14:textId="77777777" w:rsidR="004C4C39" w:rsidRPr="00A32EED" w:rsidRDefault="004C4C39" w:rsidP="004C4C39">
      <w:pPr>
        <w:spacing w:after="0" w:line="480" w:lineRule="auto"/>
        <w:ind w:firstLine="720"/>
        <w:rPr>
          <w:rFonts w:eastAsia="Calibri"/>
        </w:rPr>
      </w:pPr>
      <w:r w:rsidRPr="00A32EED">
        <w:rPr>
          <w:rFonts w:eastAsia="Calibri"/>
        </w:rPr>
        <w:t xml:space="preserve">Although the NSCAW data provide a very diverse level of involvement with the child welfare system, it does not include any children without child welfare involvement. Future research should explore comparing similar youth without any exposure to the child welfare system to those with various levels of contact. One potential avenue fur such a comparison is the use of propensity score analyses to create a matched sample from other longitudinal datasets such as The National Longitudinal Study of Adolescent Health (ADD Health) or The National Survey of Youth (NLSY). In fact, some measures used in the NSCAW data were based on measures used in the ADD Health and NLSY data which could make the construction of a matching model easier. The addition of </w:t>
      </w:r>
      <w:r w:rsidRPr="00A32EED">
        <w:rPr>
          <w:rFonts w:eastAsia="Calibri"/>
        </w:rPr>
        <w:lastRenderedPageBreak/>
        <w:t>such a control group would also allow for a better assessment of the relationship between adverse life events throughout the life-course and even the slightest contact with the child welfare system.</w:t>
      </w:r>
    </w:p>
    <w:p w14:paraId="5F5251F4" w14:textId="77777777" w:rsidR="004C4C39" w:rsidRPr="00A32EED" w:rsidRDefault="004C4C39" w:rsidP="004C4C39">
      <w:pPr>
        <w:keepNext/>
        <w:keepLines/>
        <w:spacing w:before="40" w:after="0" w:line="480" w:lineRule="auto"/>
        <w:outlineLvl w:val="1"/>
        <w:rPr>
          <w:rFonts w:eastAsia="ＭＳ ゴシック"/>
          <w:i/>
          <w:color w:val="000000"/>
          <w:szCs w:val="26"/>
          <w:u w:val="single"/>
        </w:rPr>
      </w:pPr>
      <w:bookmarkStart w:id="162" w:name="_Toc479938188"/>
      <w:bookmarkStart w:id="163" w:name="_Toc482112717"/>
      <w:r w:rsidRPr="00A32EED">
        <w:rPr>
          <w:rFonts w:eastAsia="ＭＳ ゴシック"/>
          <w:i/>
          <w:color w:val="000000"/>
          <w:szCs w:val="26"/>
          <w:u w:val="single"/>
        </w:rPr>
        <w:t>Conclusion</w:t>
      </w:r>
      <w:bookmarkEnd w:id="162"/>
      <w:bookmarkEnd w:id="163"/>
    </w:p>
    <w:p w14:paraId="741EF2AD" w14:textId="77777777" w:rsidR="004C4C39" w:rsidRPr="00A32EED" w:rsidRDefault="004C4C39" w:rsidP="004C4C39">
      <w:pPr>
        <w:spacing w:after="0" w:line="480" w:lineRule="auto"/>
        <w:rPr>
          <w:rFonts w:eastAsia="Calibri"/>
        </w:rPr>
      </w:pPr>
      <w:r w:rsidRPr="00A32EED">
        <w:rPr>
          <w:rFonts w:eastAsia="Calibri"/>
        </w:rPr>
        <w:tab/>
        <w:t xml:space="preserve">The current study sought to identify if the relationship between child maltreatment and child welfare experiences and the adverse life-course events of early sexual initiation and criminal justice contact are best explained through a process of population heterogeneity or state dependence. Results suggest that although self-control does have a population heterogeneity effect on the adverse life events, the adverse outcomes relationship to child maltreatment and child welfare experiences are best explained through a state dependence process. In other words, it appears that child maltreatment and child welfare experiences precipitate some change in lifestyle or opportunity that increases the odds of experiencing one of these adverse events. </w:t>
      </w:r>
    </w:p>
    <w:p w14:paraId="6250CC69" w14:textId="77777777" w:rsidR="004C4C39" w:rsidRPr="00A32EED" w:rsidRDefault="004C4C39" w:rsidP="004C4C39">
      <w:pPr>
        <w:spacing w:after="0" w:line="480" w:lineRule="auto"/>
        <w:ind w:firstLine="720"/>
        <w:rPr>
          <w:rFonts w:eastAsia="Calibri"/>
        </w:rPr>
      </w:pPr>
      <w:r w:rsidRPr="00A32EED">
        <w:rPr>
          <w:rFonts w:eastAsia="Calibri"/>
        </w:rPr>
        <w:t xml:space="preserve">Models for both outcomes suggest that minority children, who are older at baseline, children placed in group homes, and children who have lower levels of self-control are at higher risk of experiencing early sexual initiation and criminal justice contact. The early sexual initiation model reveals that the odds of early sexual initiation are higher for those children whose case is substantiated and have prior child welfare involvement. Furthermore, the addition of an interaction term between case substantiation and gender reveals that case substantiation is a bigger risk factor of early sexual initiation for females than for males. </w:t>
      </w:r>
    </w:p>
    <w:p w14:paraId="50BEB1D5" w14:textId="77777777" w:rsidR="004C4C39" w:rsidRPr="00A32EED" w:rsidRDefault="004C4C39" w:rsidP="004C4C39">
      <w:pPr>
        <w:spacing w:after="0" w:line="480" w:lineRule="auto"/>
        <w:ind w:firstLine="720"/>
        <w:rPr>
          <w:rFonts w:eastAsia="Calibri"/>
        </w:rPr>
      </w:pPr>
      <w:r w:rsidRPr="00A32EED">
        <w:rPr>
          <w:rFonts w:eastAsia="Calibri"/>
        </w:rPr>
        <w:lastRenderedPageBreak/>
        <w:t xml:space="preserve">The criminal justice contact model reveals that higher levels of perceived harm are a significant risk factor for criminal justice contact only for those children whose most severe form of alleged maltreatment was sexual abuse. For those children whose most severe form of alleged maltreatment was sexual abuse but had a low level of perceived harm, the odds of criminal justice contact are lower when compared to other forms of maltreatment and more severe sexual abuse cases. Findings also revealed that regarding criminal justice contact, placement in a group home is only a risk factor for those youth who had higher levels of self-control and therefore a lower likelihood of criminal justice contact before placement in the group home. For those children who were already low in self-control, placement in a group home appears to be no better or worse than other forms of placement. </w:t>
      </w:r>
    </w:p>
    <w:p w14:paraId="3EB9227A" w14:textId="41B2AA21" w:rsidR="00232278" w:rsidRDefault="004C4C39" w:rsidP="004C4C39">
      <w:pPr>
        <w:spacing w:after="0" w:line="480" w:lineRule="auto"/>
        <w:ind w:firstLine="720"/>
        <w:rPr>
          <w:rFonts w:eastAsia="Calibri"/>
        </w:rPr>
      </w:pPr>
      <w:r w:rsidRPr="00A32EED">
        <w:rPr>
          <w:rFonts w:eastAsia="Calibri"/>
        </w:rPr>
        <w:t xml:space="preserve">In sum, the current study finds that child maltreatment and child welfare experiences are related to the adverse life-course outcomes of early child sexual initiation and criminal justice contact through a process of state dependence. In other words, child maltreatment and child welfare experiences precipitate some change in lifestyle or opportunity that increases the odds of experiencing one of these adverse events. Although the current study mainly identified risk factors for early sexual initiation and criminal justice contact, the presence of a state dependence relationship provides a more optimistic outlook for potential protective factors. By further parsing out the different services offered to parents and children, it is likely that services can be identified that </w:t>
      </w:r>
      <w:r w:rsidRPr="00A32EED">
        <w:rPr>
          <w:rFonts w:eastAsia="Calibri"/>
        </w:rPr>
        <w:lastRenderedPageBreak/>
        <w:t xml:space="preserve">precipitate changes in lifestyle or opportunity and therefore decrease the odds of adverse outcomes such as early sexual initiation and criminal justice contact. </w:t>
      </w:r>
    </w:p>
    <w:p w14:paraId="7E357CBD" w14:textId="77777777" w:rsidR="00232278" w:rsidRDefault="00232278">
      <w:pPr>
        <w:rPr>
          <w:rFonts w:eastAsia="Calibri"/>
        </w:rPr>
      </w:pPr>
      <w:r>
        <w:rPr>
          <w:rFonts w:eastAsia="Calibri"/>
        </w:rPr>
        <w:br w:type="page"/>
      </w:r>
    </w:p>
    <w:p w14:paraId="3CDCADBA" w14:textId="0EFA7F80" w:rsidR="003640A4" w:rsidRDefault="003640A4" w:rsidP="003640A4">
      <w:pPr>
        <w:pStyle w:val="Heading1"/>
        <w:rPr>
          <w:rFonts w:eastAsia="Calibri"/>
        </w:rPr>
      </w:pPr>
      <w:bookmarkStart w:id="164" w:name="_Toc482112718"/>
      <w:r>
        <w:rPr>
          <w:rFonts w:eastAsia="Calibri"/>
        </w:rPr>
        <w:lastRenderedPageBreak/>
        <w:t>References</w:t>
      </w:r>
      <w:bookmarkEnd w:id="164"/>
    </w:p>
    <w:p w14:paraId="4928BE70" w14:textId="77777777" w:rsidR="003640A4" w:rsidRPr="003640A4" w:rsidRDefault="00641A3E" w:rsidP="003640A4">
      <w:pPr>
        <w:pStyle w:val="Bibliography"/>
        <w:rPr>
          <w:rFonts w:eastAsia="Times New Roman"/>
        </w:rPr>
      </w:pPr>
      <w:r>
        <w:rPr>
          <w:rFonts w:eastAsia="Calibri"/>
        </w:rPr>
        <w:fldChar w:fldCharType="begin"/>
      </w:r>
      <w:r w:rsidR="003640A4">
        <w:rPr>
          <w:rFonts w:eastAsia="Calibri"/>
        </w:rPr>
        <w:instrText xml:space="preserve"> ADDIN ZOTERO_BIBL {"custom":[]} CSL_BIBLIOGRAPHY </w:instrText>
      </w:r>
      <w:r>
        <w:rPr>
          <w:rFonts w:eastAsia="Calibri"/>
        </w:rPr>
        <w:fldChar w:fldCharType="separate"/>
      </w:r>
      <w:r w:rsidR="003640A4" w:rsidRPr="003640A4">
        <w:rPr>
          <w:rFonts w:eastAsia="Times New Roman"/>
        </w:rPr>
        <w:t xml:space="preserve">Agnew, Robert. 1992. “Foundation for a General Strain Theory of Crime and Delinquency*.” </w:t>
      </w:r>
      <w:r w:rsidR="003640A4" w:rsidRPr="003640A4">
        <w:rPr>
          <w:rFonts w:eastAsia="Times New Roman"/>
          <w:i/>
          <w:iCs/>
        </w:rPr>
        <w:t>Criminology</w:t>
      </w:r>
      <w:r w:rsidR="003640A4" w:rsidRPr="003640A4">
        <w:rPr>
          <w:rFonts w:eastAsia="Times New Roman"/>
        </w:rPr>
        <w:t xml:space="preserve"> 30(1):47–88.</w:t>
      </w:r>
    </w:p>
    <w:p w14:paraId="3B1EA408" w14:textId="77777777" w:rsidR="003640A4" w:rsidRPr="003640A4" w:rsidRDefault="003640A4" w:rsidP="003640A4">
      <w:pPr>
        <w:pStyle w:val="Bibliography"/>
        <w:rPr>
          <w:rFonts w:eastAsia="Times New Roman"/>
        </w:rPr>
      </w:pPr>
      <w:r w:rsidRPr="003640A4">
        <w:rPr>
          <w:rFonts w:eastAsia="Times New Roman"/>
        </w:rPr>
        <w:t xml:space="preserve">Akers, Ronald L. 1998. </w:t>
      </w:r>
      <w:r w:rsidRPr="003640A4">
        <w:rPr>
          <w:rFonts w:eastAsia="Times New Roman"/>
          <w:i/>
          <w:iCs/>
        </w:rPr>
        <w:t>Social Learning and Social Structure: A General Theory of Crime and Deviance</w:t>
      </w:r>
      <w:r w:rsidRPr="003640A4">
        <w:rPr>
          <w:rFonts w:eastAsia="Times New Roman"/>
        </w:rPr>
        <w:t>. Boston: Northeastern University Press.</w:t>
      </w:r>
    </w:p>
    <w:p w14:paraId="21879C7A" w14:textId="77777777" w:rsidR="003640A4" w:rsidRPr="003640A4" w:rsidRDefault="003640A4" w:rsidP="003640A4">
      <w:pPr>
        <w:pStyle w:val="Bibliography"/>
        <w:rPr>
          <w:rFonts w:eastAsia="Times New Roman"/>
        </w:rPr>
      </w:pPr>
      <w:r w:rsidRPr="003640A4">
        <w:rPr>
          <w:rFonts w:eastAsia="Times New Roman"/>
        </w:rPr>
        <w:t xml:space="preserve">Anaya, Henry D., Dallas Swendeman, and Mary Jane Rotheram-Borus. 2005. “Differences Among Sexually Abused and Nonabused Youth Living With HIV.” </w:t>
      </w:r>
      <w:r w:rsidRPr="003640A4">
        <w:rPr>
          <w:rFonts w:eastAsia="Times New Roman"/>
          <w:i/>
          <w:iCs/>
        </w:rPr>
        <w:t>Journal of Interpersonal Violence</w:t>
      </w:r>
      <w:r w:rsidRPr="003640A4">
        <w:rPr>
          <w:rFonts w:eastAsia="Times New Roman"/>
        </w:rPr>
        <w:t xml:space="preserve"> 20(12):1547–59.</w:t>
      </w:r>
    </w:p>
    <w:p w14:paraId="6A8AB86E" w14:textId="77777777" w:rsidR="003640A4" w:rsidRPr="003640A4" w:rsidRDefault="003640A4" w:rsidP="003640A4">
      <w:pPr>
        <w:pStyle w:val="Bibliography"/>
        <w:rPr>
          <w:rFonts w:eastAsia="Times New Roman"/>
        </w:rPr>
      </w:pPr>
      <w:r w:rsidRPr="003640A4">
        <w:rPr>
          <w:rFonts w:eastAsia="Times New Roman"/>
        </w:rPr>
        <w:t xml:space="preserve">Archer, Kellie J., Stanley Lemeshow, and others. 2006. “Goodness-of-Fit Test for a Logistic Regression Model Fitted Using Survey Sample Data.” </w:t>
      </w:r>
      <w:r w:rsidRPr="003640A4">
        <w:rPr>
          <w:rFonts w:eastAsia="Times New Roman"/>
          <w:i/>
          <w:iCs/>
        </w:rPr>
        <w:t>Stata Journal</w:t>
      </w:r>
      <w:r w:rsidRPr="003640A4">
        <w:rPr>
          <w:rFonts w:eastAsia="Times New Roman"/>
        </w:rPr>
        <w:t xml:space="preserve"> 6(1):97–105.</w:t>
      </w:r>
    </w:p>
    <w:p w14:paraId="66D23212" w14:textId="77777777" w:rsidR="003640A4" w:rsidRPr="003640A4" w:rsidRDefault="003640A4" w:rsidP="003640A4">
      <w:pPr>
        <w:pStyle w:val="Bibliography"/>
        <w:rPr>
          <w:rFonts w:eastAsia="Times New Roman"/>
        </w:rPr>
      </w:pPr>
      <w:r w:rsidRPr="003640A4">
        <w:rPr>
          <w:rFonts w:eastAsia="Times New Roman"/>
        </w:rPr>
        <w:t xml:space="preserve">Batten, Sonja V., Victoria M. Follette, and Inmaculada B. Aban. 2002. “Experiential Avoidance and High-Risk Sexual Behavior in Survivors of Child Sexual Abuse.” </w:t>
      </w:r>
      <w:r w:rsidRPr="003640A4">
        <w:rPr>
          <w:rFonts w:eastAsia="Times New Roman"/>
          <w:i/>
          <w:iCs/>
        </w:rPr>
        <w:t>Journal of Child Sexual Abuse</w:t>
      </w:r>
      <w:r w:rsidRPr="003640A4">
        <w:rPr>
          <w:rFonts w:eastAsia="Times New Roman"/>
        </w:rPr>
        <w:t xml:space="preserve"> 10(2):101–20.</w:t>
      </w:r>
    </w:p>
    <w:p w14:paraId="28D7BBC6" w14:textId="77777777" w:rsidR="003640A4" w:rsidRPr="003640A4" w:rsidRDefault="003640A4" w:rsidP="003640A4">
      <w:pPr>
        <w:pStyle w:val="Bibliography"/>
        <w:rPr>
          <w:rFonts w:eastAsia="Times New Roman"/>
        </w:rPr>
      </w:pPr>
      <w:r w:rsidRPr="003640A4">
        <w:rPr>
          <w:rFonts w:eastAsia="Times New Roman"/>
        </w:rPr>
        <w:t xml:space="preserve">Bender, Kimberly. 2012. “The Mediating Effect of School Engagement in the Relationship between Youth Maltreatment and Juvenile Delinquency.” </w:t>
      </w:r>
      <w:r w:rsidRPr="003640A4">
        <w:rPr>
          <w:rFonts w:eastAsia="Times New Roman"/>
          <w:i/>
          <w:iCs/>
        </w:rPr>
        <w:t>Children &amp; Schools</w:t>
      </w:r>
      <w:r w:rsidRPr="003640A4">
        <w:rPr>
          <w:rFonts w:eastAsia="Times New Roman"/>
        </w:rPr>
        <w:t xml:space="preserve"> 34(1):37–48 12p.</w:t>
      </w:r>
    </w:p>
    <w:p w14:paraId="774B6F98" w14:textId="77777777" w:rsidR="003640A4" w:rsidRPr="003640A4" w:rsidRDefault="003640A4" w:rsidP="003640A4">
      <w:pPr>
        <w:pStyle w:val="Bibliography"/>
        <w:rPr>
          <w:rFonts w:eastAsia="Times New Roman"/>
        </w:rPr>
      </w:pPr>
      <w:r w:rsidRPr="003640A4">
        <w:rPr>
          <w:rFonts w:eastAsia="Times New Roman"/>
        </w:rPr>
        <w:t xml:space="preserve">Brezina, Timothy. 1998. “Adolescent Maltreatment and Delinquency: The Question of Intervening Processes.” </w:t>
      </w:r>
      <w:r w:rsidRPr="003640A4">
        <w:rPr>
          <w:rFonts w:eastAsia="Times New Roman"/>
          <w:i/>
          <w:iCs/>
        </w:rPr>
        <w:t>Journal of Research in Crime and Delinquency</w:t>
      </w:r>
      <w:r w:rsidRPr="003640A4">
        <w:rPr>
          <w:rFonts w:eastAsia="Times New Roman"/>
        </w:rPr>
        <w:t xml:space="preserve"> 35(1):71–99.</w:t>
      </w:r>
    </w:p>
    <w:p w14:paraId="2405242A" w14:textId="77777777" w:rsidR="003640A4" w:rsidRPr="003640A4" w:rsidRDefault="003640A4" w:rsidP="003640A4">
      <w:pPr>
        <w:pStyle w:val="Bibliography"/>
        <w:rPr>
          <w:rFonts w:eastAsia="Times New Roman"/>
        </w:rPr>
      </w:pPr>
      <w:r w:rsidRPr="003640A4">
        <w:rPr>
          <w:rFonts w:eastAsia="Times New Roman"/>
        </w:rPr>
        <w:t xml:space="preserve">Buehler, Cheryl, John G. Orme, James Post, and David A. Patterson. 2000. “The Long-Term Correlates of Family Foster Care.” </w:t>
      </w:r>
      <w:r w:rsidRPr="003640A4">
        <w:rPr>
          <w:rFonts w:eastAsia="Times New Roman"/>
          <w:i/>
          <w:iCs/>
        </w:rPr>
        <w:t>Children and Youth Services Review</w:t>
      </w:r>
      <w:r w:rsidRPr="003640A4">
        <w:rPr>
          <w:rFonts w:eastAsia="Times New Roman"/>
        </w:rPr>
        <w:t xml:space="preserve"> 22(8):595–625.</w:t>
      </w:r>
    </w:p>
    <w:p w14:paraId="7449222A" w14:textId="77777777" w:rsidR="003640A4" w:rsidRPr="003640A4" w:rsidRDefault="003640A4" w:rsidP="003640A4">
      <w:pPr>
        <w:pStyle w:val="Bibliography"/>
        <w:rPr>
          <w:rFonts w:eastAsia="Times New Roman"/>
        </w:rPr>
      </w:pPr>
      <w:r w:rsidRPr="003640A4">
        <w:rPr>
          <w:rFonts w:eastAsia="Times New Roman"/>
        </w:rPr>
        <w:t xml:space="preserve">Cameron, A.Colin and Pravin K. Trivedi. 2010. </w:t>
      </w:r>
      <w:r w:rsidRPr="003640A4">
        <w:rPr>
          <w:rFonts w:eastAsia="Times New Roman"/>
          <w:i/>
          <w:iCs/>
        </w:rPr>
        <w:t>Microeconometrics Using Stata: Revised Edition</w:t>
      </w:r>
      <w:r w:rsidRPr="003640A4">
        <w:rPr>
          <w:rFonts w:eastAsia="Times New Roman"/>
        </w:rPr>
        <w:t>. 2 edition. College Station, Tex: Stata Press.</w:t>
      </w:r>
    </w:p>
    <w:p w14:paraId="34B0AD54" w14:textId="77777777" w:rsidR="003640A4" w:rsidRPr="003640A4" w:rsidRDefault="003640A4" w:rsidP="003640A4">
      <w:pPr>
        <w:pStyle w:val="Bibliography"/>
        <w:rPr>
          <w:rFonts w:eastAsia="Times New Roman"/>
        </w:rPr>
      </w:pPr>
      <w:r w:rsidRPr="003640A4">
        <w:rPr>
          <w:rFonts w:eastAsia="Times New Roman"/>
        </w:rPr>
        <w:t xml:space="preserve">Carpenter, Sara C., Robert B. Clyman, Arthur J. Davidson, and John F. Steiner. 2001. “The Association of Foster Care or Kinship Care With Adolescent Sexual Behavior and First Pregnancy.” </w:t>
      </w:r>
      <w:r w:rsidRPr="003640A4">
        <w:rPr>
          <w:rFonts w:eastAsia="Times New Roman"/>
          <w:i/>
          <w:iCs/>
        </w:rPr>
        <w:t>Pediatrics</w:t>
      </w:r>
      <w:r w:rsidRPr="003640A4">
        <w:rPr>
          <w:rFonts w:eastAsia="Times New Roman"/>
        </w:rPr>
        <w:t xml:space="preserve"> 108(3):e46–e46.</w:t>
      </w:r>
    </w:p>
    <w:p w14:paraId="78F643F5" w14:textId="77777777" w:rsidR="003640A4" w:rsidRPr="003640A4" w:rsidRDefault="003640A4" w:rsidP="003640A4">
      <w:pPr>
        <w:pStyle w:val="Bibliography"/>
        <w:rPr>
          <w:rFonts w:eastAsia="Times New Roman"/>
        </w:rPr>
      </w:pPr>
      <w:r w:rsidRPr="003640A4">
        <w:rPr>
          <w:rFonts w:eastAsia="Times New Roman"/>
        </w:rPr>
        <w:t xml:space="preserve">Chamberlain, Patricia and John B. Reid. 1998. “Comparison of Two Community Alternatives to Incarceration for Chronic Juvenile Offenders.” </w:t>
      </w:r>
      <w:r w:rsidRPr="003640A4">
        <w:rPr>
          <w:rFonts w:eastAsia="Times New Roman"/>
          <w:i/>
          <w:iCs/>
        </w:rPr>
        <w:t>Journal of Consulting and Clinical Psychology</w:t>
      </w:r>
      <w:r w:rsidRPr="003640A4">
        <w:rPr>
          <w:rFonts w:eastAsia="Times New Roman"/>
        </w:rPr>
        <w:t xml:space="preserve"> 66(4):624.</w:t>
      </w:r>
    </w:p>
    <w:p w14:paraId="1A9A030B" w14:textId="77777777" w:rsidR="003640A4" w:rsidRPr="003640A4" w:rsidRDefault="003640A4" w:rsidP="003640A4">
      <w:pPr>
        <w:pStyle w:val="Bibliography"/>
        <w:rPr>
          <w:rFonts w:eastAsia="Times New Roman"/>
        </w:rPr>
      </w:pPr>
      <w:r w:rsidRPr="003640A4">
        <w:rPr>
          <w:rFonts w:eastAsia="Times New Roman"/>
        </w:rPr>
        <w:t>Chapple, Constance L. 2005. “Self</w:t>
      </w:r>
      <w:r w:rsidRPr="003640A4">
        <w:rPr>
          <w:rFonts w:ascii="Calibri" w:eastAsia="Calibri" w:hAnsi="Calibri" w:cs="Calibri"/>
        </w:rPr>
        <w:t>‐</w:t>
      </w:r>
      <w:r w:rsidRPr="003640A4">
        <w:rPr>
          <w:rFonts w:eastAsia="Times New Roman"/>
        </w:rPr>
        <w:t xml:space="preserve">control, Peer Relations, and Delinquency.” </w:t>
      </w:r>
      <w:r w:rsidRPr="003640A4">
        <w:rPr>
          <w:rFonts w:eastAsia="Times New Roman"/>
          <w:i/>
          <w:iCs/>
        </w:rPr>
        <w:t>Justice Quarterly</w:t>
      </w:r>
      <w:r w:rsidRPr="003640A4">
        <w:rPr>
          <w:rFonts w:eastAsia="Times New Roman"/>
        </w:rPr>
        <w:t xml:space="preserve"> 22(1):89–106.</w:t>
      </w:r>
    </w:p>
    <w:p w14:paraId="21738C59" w14:textId="77777777" w:rsidR="003640A4" w:rsidRPr="003640A4" w:rsidRDefault="003640A4" w:rsidP="003640A4">
      <w:pPr>
        <w:pStyle w:val="Bibliography"/>
        <w:rPr>
          <w:rFonts w:eastAsia="Times New Roman"/>
        </w:rPr>
      </w:pPr>
      <w:r w:rsidRPr="003640A4">
        <w:rPr>
          <w:rFonts w:eastAsia="Times New Roman"/>
        </w:rPr>
        <w:lastRenderedPageBreak/>
        <w:t xml:space="preserve">Chapple, Constance L., Kimberly A. Tyler, and Bianca E. Bersani. 2005. “Child Neglect and Adolescent Violence: Examining the Effects of Self-Control and Peer Rejection.” </w:t>
      </w:r>
      <w:r w:rsidRPr="003640A4">
        <w:rPr>
          <w:rFonts w:eastAsia="Times New Roman"/>
          <w:i/>
          <w:iCs/>
        </w:rPr>
        <w:t>Violence and Victims</w:t>
      </w:r>
      <w:r w:rsidRPr="003640A4">
        <w:rPr>
          <w:rFonts w:eastAsia="Times New Roman"/>
        </w:rPr>
        <w:t xml:space="preserve"> 20(1):39–53.</w:t>
      </w:r>
    </w:p>
    <w:p w14:paraId="68DBF384" w14:textId="77777777" w:rsidR="003640A4" w:rsidRPr="003640A4" w:rsidRDefault="003640A4" w:rsidP="003640A4">
      <w:pPr>
        <w:pStyle w:val="Bibliography"/>
        <w:rPr>
          <w:rFonts w:eastAsia="Times New Roman"/>
        </w:rPr>
      </w:pPr>
      <w:r w:rsidRPr="003640A4">
        <w:rPr>
          <w:rFonts w:eastAsia="Times New Roman"/>
        </w:rPr>
        <w:t>Child Welfare Information Gateway. 2010. “Definitions of Child Abuse and Neglect in Federal Law - Child Welfare Information Gateway.” Retrieved April 13, 2016 (https://www.childwelfare.gov/topics/can/defining/federal/).</w:t>
      </w:r>
    </w:p>
    <w:p w14:paraId="591A1034" w14:textId="77777777" w:rsidR="003640A4" w:rsidRPr="003640A4" w:rsidRDefault="003640A4" w:rsidP="003640A4">
      <w:pPr>
        <w:pStyle w:val="Bibliography"/>
        <w:rPr>
          <w:rFonts w:eastAsia="Times New Roman"/>
        </w:rPr>
      </w:pPr>
      <w:r w:rsidRPr="003640A4">
        <w:rPr>
          <w:rFonts w:eastAsia="Times New Roman"/>
        </w:rPr>
        <w:t>Children’s Bureau and Administration for Children and Families. 2015. “About NCANDS.” Retrieved January 4, 2017 (https://www.acf.hhs.gov/cb/resource/about-ncands).</w:t>
      </w:r>
    </w:p>
    <w:p w14:paraId="57EC8164" w14:textId="77777777" w:rsidR="003640A4" w:rsidRPr="003640A4" w:rsidRDefault="003640A4" w:rsidP="003640A4">
      <w:pPr>
        <w:pStyle w:val="Bibliography"/>
        <w:rPr>
          <w:rFonts w:eastAsia="Times New Roman"/>
        </w:rPr>
      </w:pPr>
      <w:r w:rsidRPr="003640A4">
        <w:rPr>
          <w:rFonts w:eastAsia="Times New Roman"/>
        </w:rPr>
        <w:t xml:space="preserve">Clemons, John Tyler. 2014. “Blind Injustice: The Supreme Court, Implicit Racial Bias, and the Racial Disparity in the Criminal Justice System Notes.” </w:t>
      </w:r>
      <w:r w:rsidRPr="003640A4">
        <w:rPr>
          <w:rFonts w:eastAsia="Times New Roman"/>
          <w:i/>
          <w:iCs/>
        </w:rPr>
        <w:t>American Criminal Law Review</w:t>
      </w:r>
      <w:r w:rsidRPr="003640A4">
        <w:rPr>
          <w:rFonts w:eastAsia="Times New Roman"/>
        </w:rPr>
        <w:t xml:space="preserve"> 51:689–714.</w:t>
      </w:r>
    </w:p>
    <w:p w14:paraId="272CC5C0" w14:textId="77777777" w:rsidR="003640A4" w:rsidRPr="003640A4" w:rsidRDefault="003640A4" w:rsidP="003640A4">
      <w:pPr>
        <w:pStyle w:val="Bibliography"/>
        <w:rPr>
          <w:rFonts w:eastAsia="Times New Roman"/>
        </w:rPr>
      </w:pPr>
      <w:r w:rsidRPr="003640A4">
        <w:rPr>
          <w:rFonts w:eastAsia="Times New Roman"/>
        </w:rPr>
        <w:t xml:space="preserve">Cohen, Mardge et al. 2000. “Domestic Violence and Childhood Sexual Abuse in HIV-Infected Women and Women at Risk for HIV.” </w:t>
      </w:r>
      <w:r w:rsidRPr="003640A4">
        <w:rPr>
          <w:rFonts w:eastAsia="Times New Roman"/>
          <w:i/>
          <w:iCs/>
        </w:rPr>
        <w:t>American Journal of Public Health</w:t>
      </w:r>
      <w:r w:rsidRPr="003640A4">
        <w:rPr>
          <w:rFonts w:eastAsia="Times New Roman"/>
        </w:rPr>
        <w:t xml:space="preserve"> 90(4):560.</w:t>
      </w:r>
    </w:p>
    <w:p w14:paraId="7BAB2A38" w14:textId="77777777" w:rsidR="003640A4" w:rsidRPr="003640A4" w:rsidRDefault="003640A4" w:rsidP="003640A4">
      <w:pPr>
        <w:pStyle w:val="Bibliography"/>
        <w:rPr>
          <w:rFonts w:eastAsia="Times New Roman"/>
        </w:rPr>
      </w:pPr>
      <w:r w:rsidRPr="003640A4">
        <w:rPr>
          <w:rFonts w:eastAsia="Times New Roman"/>
        </w:rPr>
        <w:t xml:space="preserve">Courtney, M. E., S. Terao, and N. Bost. 2004. “Midwest Evaluation of the Adult Functioning of Former Foster Youth Wave 1: Three State Findings.” </w:t>
      </w:r>
      <w:r w:rsidRPr="003640A4">
        <w:rPr>
          <w:rFonts w:eastAsia="Times New Roman"/>
          <w:i/>
          <w:iCs/>
        </w:rPr>
        <w:t>Chicago: Chapin Hall Center for Children at the University of Chicago.[Links]</w:t>
      </w:r>
      <w:r w:rsidRPr="003640A4">
        <w:rPr>
          <w:rFonts w:eastAsia="Times New Roman"/>
        </w:rPr>
        <w:t>.</w:t>
      </w:r>
    </w:p>
    <w:p w14:paraId="707F8D84" w14:textId="77777777" w:rsidR="003640A4" w:rsidRPr="003640A4" w:rsidRDefault="003640A4" w:rsidP="003640A4">
      <w:pPr>
        <w:pStyle w:val="Bibliography"/>
        <w:rPr>
          <w:rFonts w:eastAsia="Times New Roman"/>
        </w:rPr>
      </w:pPr>
      <w:r w:rsidRPr="003640A4">
        <w:rPr>
          <w:rFonts w:eastAsia="Times New Roman"/>
        </w:rPr>
        <w:t xml:space="preserve">Courtney, Mark et al. 2007. “Midwest Evaluation of the Adult Functioning of Former Foster Youth: Outcomes at Age 21.” </w:t>
      </w:r>
      <w:r w:rsidRPr="003640A4">
        <w:rPr>
          <w:rFonts w:eastAsia="Times New Roman"/>
          <w:i/>
          <w:iCs/>
        </w:rPr>
        <w:t>Social Work Faculty Publications and Presentations</w:t>
      </w:r>
      <w:r w:rsidRPr="003640A4">
        <w:rPr>
          <w:rFonts w:eastAsia="Times New Roman"/>
        </w:rPr>
        <w:t>. Retrieved (http://pdxscholar.library.pdx.edu/socwork_fac/60).</w:t>
      </w:r>
    </w:p>
    <w:p w14:paraId="686505CD" w14:textId="77777777" w:rsidR="003640A4" w:rsidRPr="003640A4" w:rsidRDefault="003640A4" w:rsidP="003640A4">
      <w:pPr>
        <w:pStyle w:val="Bibliography"/>
        <w:rPr>
          <w:rFonts w:eastAsia="Times New Roman"/>
        </w:rPr>
      </w:pPr>
      <w:r w:rsidRPr="003640A4">
        <w:rPr>
          <w:rFonts w:eastAsia="Times New Roman"/>
        </w:rPr>
        <w:t xml:space="preserve">Courtney, Mark E. et al. 2011. </w:t>
      </w:r>
      <w:r w:rsidRPr="003640A4">
        <w:rPr>
          <w:rFonts w:eastAsia="Times New Roman"/>
          <w:i/>
          <w:iCs/>
        </w:rPr>
        <w:t>Midwest Evaluation of the Adult Functioning of Former Foster Youth: Outcomes at Age 26</w:t>
      </w:r>
      <w:r w:rsidRPr="003640A4">
        <w:rPr>
          <w:rFonts w:eastAsia="Times New Roman"/>
        </w:rPr>
        <w:t>.</w:t>
      </w:r>
    </w:p>
    <w:p w14:paraId="069C6543" w14:textId="77777777" w:rsidR="003640A4" w:rsidRPr="003640A4" w:rsidRDefault="003640A4" w:rsidP="003640A4">
      <w:pPr>
        <w:pStyle w:val="Bibliography"/>
        <w:rPr>
          <w:rFonts w:eastAsia="Times New Roman"/>
        </w:rPr>
      </w:pPr>
      <w:r w:rsidRPr="003640A4">
        <w:rPr>
          <w:rFonts w:eastAsia="Times New Roman"/>
        </w:rPr>
        <w:t xml:space="preserve">Courtney, Mark E. and Amy Dworsky. 2006. “Early Outcomes for Young Adults Transitioning from out-of-Home Care in the USA.” </w:t>
      </w:r>
      <w:r w:rsidRPr="003640A4">
        <w:rPr>
          <w:rFonts w:eastAsia="Times New Roman"/>
          <w:i/>
          <w:iCs/>
        </w:rPr>
        <w:t>Child &amp; Family Social Work</w:t>
      </w:r>
      <w:r w:rsidRPr="003640A4">
        <w:rPr>
          <w:rFonts w:eastAsia="Times New Roman"/>
        </w:rPr>
        <w:t xml:space="preserve"> 11(3):209–219.</w:t>
      </w:r>
    </w:p>
    <w:p w14:paraId="38E5825F" w14:textId="77777777" w:rsidR="003640A4" w:rsidRPr="003640A4" w:rsidRDefault="003640A4" w:rsidP="003640A4">
      <w:pPr>
        <w:pStyle w:val="Bibliography"/>
        <w:rPr>
          <w:rFonts w:eastAsia="Times New Roman"/>
        </w:rPr>
      </w:pPr>
      <w:r w:rsidRPr="003640A4">
        <w:rPr>
          <w:rFonts w:eastAsia="Times New Roman"/>
        </w:rPr>
        <w:t xml:space="preserve">Courtney, Mark E. and Amy Dworsky. 2006. “Early Outcomes for Young Adults Transitioning from out-of-Home Care in the USA.” </w:t>
      </w:r>
      <w:r w:rsidRPr="003640A4">
        <w:rPr>
          <w:rFonts w:eastAsia="Times New Roman"/>
          <w:i/>
          <w:iCs/>
        </w:rPr>
        <w:t>Child \&amp; Family Social Work</w:t>
      </w:r>
      <w:r w:rsidRPr="003640A4">
        <w:rPr>
          <w:rFonts w:eastAsia="Times New Roman"/>
        </w:rPr>
        <w:t xml:space="preserve"> 11(3):209–19.</w:t>
      </w:r>
    </w:p>
    <w:p w14:paraId="57C757D8" w14:textId="77777777" w:rsidR="003640A4" w:rsidRPr="003640A4" w:rsidRDefault="003640A4" w:rsidP="003640A4">
      <w:pPr>
        <w:pStyle w:val="Bibliography"/>
        <w:rPr>
          <w:rFonts w:eastAsia="Times New Roman"/>
        </w:rPr>
      </w:pPr>
      <w:r w:rsidRPr="003640A4">
        <w:rPr>
          <w:rFonts w:eastAsia="Times New Roman"/>
        </w:rPr>
        <w:t xml:space="preserve">Courtney, Mark E., Irving Piliavin, Andrew Grogan-Kaylor, and Ande Nesmith. 2001. “Foster Youth Transitions to Adulthood: A Longitudinal View of Youth Leaving Care.” </w:t>
      </w:r>
      <w:r w:rsidRPr="003640A4">
        <w:rPr>
          <w:rFonts w:eastAsia="Times New Roman"/>
          <w:i/>
          <w:iCs/>
        </w:rPr>
        <w:t>Child Welfare</w:t>
      </w:r>
      <w:r w:rsidRPr="003640A4">
        <w:rPr>
          <w:rFonts w:eastAsia="Times New Roman"/>
        </w:rPr>
        <w:t xml:space="preserve"> 80(6):685–717.</w:t>
      </w:r>
    </w:p>
    <w:p w14:paraId="1581D170" w14:textId="77777777" w:rsidR="003640A4" w:rsidRPr="003640A4" w:rsidRDefault="003640A4" w:rsidP="003640A4">
      <w:pPr>
        <w:pStyle w:val="Bibliography"/>
        <w:rPr>
          <w:rFonts w:eastAsia="Times New Roman"/>
        </w:rPr>
      </w:pPr>
      <w:r w:rsidRPr="003640A4">
        <w:rPr>
          <w:rFonts w:eastAsia="Times New Roman"/>
        </w:rPr>
        <w:lastRenderedPageBreak/>
        <w:t xml:space="preserve">Courtney, Mark E., Sherri Terao, and Noel Bost. 2004. </w:t>
      </w:r>
      <w:r w:rsidRPr="003640A4">
        <w:rPr>
          <w:rFonts w:eastAsia="Times New Roman"/>
          <w:i/>
          <w:iCs/>
        </w:rPr>
        <w:t>Midwest Evaluation of the Adult Functioning of Former Foster Youth: Conditions of Youth Preparing to Leave State Care</w:t>
      </w:r>
      <w:r w:rsidRPr="003640A4">
        <w:rPr>
          <w:rFonts w:eastAsia="Times New Roman"/>
        </w:rPr>
        <w:t>. Citeseer. Retrieved June 15, 2016 (http://citeseerx.ist.psu.edu/viewdoc/download?doi=10.1.1.599.150&amp;rep=rep1&amp;type=pdf).</w:t>
      </w:r>
    </w:p>
    <w:p w14:paraId="304C729B" w14:textId="77777777" w:rsidR="003640A4" w:rsidRPr="003640A4" w:rsidRDefault="003640A4" w:rsidP="003640A4">
      <w:pPr>
        <w:pStyle w:val="Bibliography"/>
        <w:rPr>
          <w:rFonts w:eastAsia="Times New Roman"/>
        </w:rPr>
      </w:pPr>
      <w:r w:rsidRPr="003640A4">
        <w:rPr>
          <w:rFonts w:eastAsia="Times New Roman"/>
        </w:rPr>
        <w:t xml:space="preserve">Crawford, Brandon and Mindy S. Bradley. 2016. “Parent Gender and Child Removal in Physical Abuse and Neglect Cases.” </w:t>
      </w:r>
      <w:r w:rsidRPr="003640A4">
        <w:rPr>
          <w:rFonts w:eastAsia="Times New Roman"/>
          <w:i/>
          <w:iCs/>
        </w:rPr>
        <w:t>Children and Youth Services Review</w:t>
      </w:r>
      <w:r w:rsidRPr="003640A4">
        <w:rPr>
          <w:rFonts w:eastAsia="Times New Roman"/>
        </w:rPr>
        <w:t>. Retrieved April 25, 2016 (http://www.sciencedirect.com/science/article/pii/S0190740916301256).</w:t>
      </w:r>
    </w:p>
    <w:p w14:paraId="7FD571A2" w14:textId="77777777" w:rsidR="003640A4" w:rsidRPr="003640A4" w:rsidRDefault="003640A4" w:rsidP="003640A4">
      <w:pPr>
        <w:pStyle w:val="Bibliography"/>
        <w:rPr>
          <w:rFonts w:eastAsia="Times New Roman"/>
        </w:rPr>
      </w:pPr>
      <w:r w:rsidRPr="003640A4">
        <w:rPr>
          <w:rFonts w:eastAsia="Times New Roman"/>
        </w:rPr>
        <w:t xml:space="preserve">Crawford, Brandon, Alisa West-Cahill, Jacqueline Moxley, Jacqueline McDaniel, and Rachel Dorsett. 2017. “Factors Influencing Risk of Homelessness Among Youth in Transition from Foster Care in Oklahoma: Implications for Reforming Independent Living Services and Opportunities.” </w:t>
      </w:r>
      <w:r w:rsidRPr="003640A4">
        <w:rPr>
          <w:rFonts w:eastAsia="Times New Roman"/>
          <w:i/>
          <w:iCs/>
        </w:rPr>
        <w:t>Child Welfare</w:t>
      </w:r>
      <w:r w:rsidRPr="003640A4">
        <w:rPr>
          <w:rFonts w:eastAsia="Times New Roman"/>
        </w:rPr>
        <w:t xml:space="preserve"> 94(1).</w:t>
      </w:r>
    </w:p>
    <w:p w14:paraId="3A753F13" w14:textId="77777777" w:rsidR="003640A4" w:rsidRPr="003640A4" w:rsidRDefault="003640A4" w:rsidP="003640A4">
      <w:pPr>
        <w:pStyle w:val="Bibliography"/>
        <w:rPr>
          <w:rFonts w:eastAsia="Times New Roman"/>
        </w:rPr>
      </w:pPr>
      <w:r w:rsidRPr="003640A4">
        <w:rPr>
          <w:rFonts w:eastAsia="Times New Roman"/>
        </w:rPr>
        <w:t xml:space="preserve">Cunningham, Renee M., Arlene Rubin Stiffman, Peter Doré, and Felton Earls. 1994. “The Association of Physical and Sexual Abuse with HIV Risk Behaviors in Adolescence and Young Adulthood: Implications for Public Health.” </w:t>
      </w:r>
      <w:r w:rsidRPr="003640A4">
        <w:rPr>
          <w:rFonts w:eastAsia="Times New Roman"/>
          <w:i/>
          <w:iCs/>
        </w:rPr>
        <w:t>Child Abuse &amp; Neglect</w:t>
      </w:r>
      <w:r w:rsidRPr="003640A4">
        <w:rPr>
          <w:rFonts w:eastAsia="Times New Roman"/>
        </w:rPr>
        <w:t xml:space="preserve"> 18(3):233–45.</w:t>
      </w:r>
    </w:p>
    <w:p w14:paraId="3F01930B" w14:textId="77777777" w:rsidR="003640A4" w:rsidRPr="003640A4" w:rsidRDefault="003640A4" w:rsidP="003640A4">
      <w:pPr>
        <w:pStyle w:val="Bibliography"/>
        <w:rPr>
          <w:rFonts w:eastAsia="Times New Roman"/>
        </w:rPr>
      </w:pPr>
      <w:r w:rsidRPr="003640A4">
        <w:rPr>
          <w:rFonts w:eastAsia="Times New Roman"/>
        </w:rPr>
        <w:t xml:space="preserve">Cusick, Gretchen, Mark Courtney, Judy Havlicek, and Nathan Hess. 2010a. </w:t>
      </w:r>
      <w:r w:rsidRPr="003640A4">
        <w:rPr>
          <w:rFonts w:eastAsia="Times New Roman"/>
          <w:i/>
          <w:iCs/>
        </w:rPr>
        <w:t>Crime during the Transition to Adulthood: How Youth Fare as They Leave out-of-Home Care</w:t>
      </w:r>
      <w:r w:rsidRPr="003640A4">
        <w:rPr>
          <w:rFonts w:eastAsia="Times New Roman"/>
        </w:rPr>
        <w:t>. National Institute of Justice, Office of Justice Programs, US Department of Justice. Retrieved December 11, 2014 (http://www.ncjrs.gov/App/abstractdb/AbstractDBDetails.aspx?id=251697).</w:t>
      </w:r>
    </w:p>
    <w:p w14:paraId="3A72F05A" w14:textId="77777777" w:rsidR="003640A4" w:rsidRPr="003640A4" w:rsidRDefault="003640A4" w:rsidP="003640A4">
      <w:pPr>
        <w:pStyle w:val="Bibliography"/>
        <w:rPr>
          <w:rFonts w:eastAsia="Times New Roman"/>
        </w:rPr>
      </w:pPr>
      <w:r w:rsidRPr="003640A4">
        <w:rPr>
          <w:rFonts w:eastAsia="Times New Roman"/>
        </w:rPr>
        <w:t xml:space="preserve">Cusick, Gretchen, Mark Courtney, Judy Havlicek, and Nathan Hess. 2010b. </w:t>
      </w:r>
      <w:r w:rsidRPr="003640A4">
        <w:rPr>
          <w:rFonts w:eastAsia="Times New Roman"/>
          <w:i/>
          <w:iCs/>
        </w:rPr>
        <w:t>Crime during the Transition to Adulthood: How Youth Fare as They Leave out-of-Home Care</w:t>
      </w:r>
      <w:r w:rsidRPr="003640A4">
        <w:rPr>
          <w:rFonts w:eastAsia="Times New Roman"/>
        </w:rPr>
        <w:t>. National Institute of Justice, Office of Justice Programs, US Department of Justice. Retrieved (http://www.ncjrs.gov/App/abstractdb/AbstractDBDetails.aspx?id=251697).</w:t>
      </w:r>
    </w:p>
    <w:p w14:paraId="667B80FD" w14:textId="77777777" w:rsidR="003640A4" w:rsidRPr="003640A4" w:rsidRDefault="003640A4" w:rsidP="003640A4">
      <w:pPr>
        <w:pStyle w:val="Bibliography"/>
        <w:rPr>
          <w:rFonts w:eastAsia="Times New Roman"/>
        </w:rPr>
      </w:pPr>
      <w:r w:rsidRPr="003640A4">
        <w:rPr>
          <w:rFonts w:eastAsia="Times New Roman"/>
        </w:rPr>
        <w:t xml:space="preserve">Cusick, Gretchen R. and Mark E. Courtney. 2007. </w:t>
      </w:r>
      <w:r w:rsidRPr="003640A4">
        <w:rPr>
          <w:rFonts w:eastAsia="Times New Roman"/>
          <w:i/>
          <w:iCs/>
        </w:rPr>
        <w:t>Offending during Late Adolescence: How Do Youth Aging out of Care Compare with Their Peers?</w:t>
      </w:r>
      <w:r w:rsidRPr="003640A4">
        <w:rPr>
          <w:rFonts w:eastAsia="Times New Roman"/>
        </w:rPr>
        <w:t xml:space="preserve"> Chapin Hall Center for Children at the University of Chicago Chicago, IL. Retrieved January 28, 2015 (http://www.chapinhall.org/sites/default/files/publications/ChapinHallDocument_0.pdf).</w:t>
      </w:r>
    </w:p>
    <w:p w14:paraId="3E188AEB" w14:textId="77777777" w:rsidR="00D560E7" w:rsidRDefault="00D560E7" w:rsidP="003640A4">
      <w:pPr>
        <w:pStyle w:val="Bibliography"/>
        <w:rPr>
          <w:rFonts w:eastAsia="Times New Roman"/>
        </w:rPr>
      </w:pPr>
    </w:p>
    <w:p w14:paraId="2B105103" w14:textId="77777777" w:rsidR="003640A4" w:rsidRPr="003640A4" w:rsidRDefault="003640A4" w:rsidP="003640A4">
      <w:pPr>
        <w:pStyle w:val="Bibliography"/>
        <w:rPr>
          <w:rFonts w:eastAsia="Times New Roman"/>
        </w:rPr>
      </w:pPr>
      <w:r w:rsidRPr="003640A4">
        <w:rPr>
          <w:rFonts w:eastAsia="Times New Roman"/>
        </w:rPr>
        <w:lastRenderedPageBreak/>
        <w:t xml:space="preserve">Cusick, Gretchen Ruth, Judy R. Havlicek, and Mark E. Courtney. 2012. “Risk for Arrest: The Role of Social Bonds in Protecting Foster Youth Making the Transition to Adulthood.” </w:t>
      </w:r>
      <w:r w:rsidRPr="003640A4">
        <w:rPr>
          <w:rFonts w:eastAsia="Times New Roman"/>
          <w:i/>
          <w:iCs/>
        </w:rPr>
        <w:t>American Journal of Orthopsychiatry</w:t>
      </w:r>
      <w:r w:rsidRPr="003640A4">
        <w:rPr>
          <w:rFonts w:eastAsia="Times New Roman"/>
        </w:rPr>
        <w:t xml:space="preserve"> 82(1):19–31.</w:t>
      </w:r>
    </w:p>
    <w:p w14:paraId="2C00B788" w14:textId="77777777" w:rsidR="003640A4" w:rsidRPr="003640A4" w:rsidRDefault="003640A4" w:rsidP="003640A4">
      <w:pPr>
        <w:pStyle w:val="Bibliography"/>
        <w:rPr>
          <w:rFonts w:eastAsia="Times New Roman"/>
        </w:rPr>
      </w:pPr>
      <w:r w:rsidRPr="003640A4">
        <w:rPr>
          <w:rFonts w:eastAsia="Times New Roman"/>
        </w:rPr>
        <w:t xml:space="preserve">DeGue, Sarah and Cathy Spatz Widom. 2009. “Does Out-of-Home Placement Mediate the Relationship Between Child Maltreatment and Adult Criminality?” </w:t>
      </w:r>
      <w:r w:rsidRPr="003640A4">
        <w:rPr>
          <w:rFonts w:eastAsia="Times New Roman"/>
          <w:i/>
          <w:iCs/>
        </w:rPr>
        <w:t>Child Maltreatment</w:t>
      </w:r>
      <w:r w:rsidRPr="003640A4">
        <w:rPr>
          <w:rFonts w:eastAsia="Times New Roman"/>
        </w:rPr>
        <w:t xml:space="preserve"> 14(4):344–55.</w:t>
      </w:r>
    </w:p>
    <w:p w14:paraId="328DB546" w14:textId="77777777" w:rsidR="003640A4" w:rsidRPr="003640A4" w:rsidRDefault="003640A4" w:rsidP="003640A4">
      <w:pPr>
        <w:pStyle w:val="Bibliography"/>
        <w:rPr>
          <w:rFonts w:eastAsia="Times New Roman"/>
        </w:rPr>
      </w:pPr>
      <w:r w:rsidRPr="003640A4">
        <w:rPr>
          <w:rFonts w:eastAsia="Times New Roman"/>
        </w:rPr>
        <w:t>Dowd, Kathryn et al. 2008. “National Survey of Child and Adolescent Well-Being (NSCAW), Combined Waves 1–5, Data File User’s Manual, Restricted Release Version.”</w:t>
      </w:r>
    </w:p>
    <w:p w14:paraId="0170023E" w14:textId="77777777" w:rsidR="003640A4" w:rsidRPr="003640A4" w:rsidRDefault="003640A4" w:rsidP="003640A4">
      <w:pPr>
        <w:pStyle w:val="Bibliography"/>
        <w:rPr>
          <w:rFonts w:eastAsia="Times New Roman"/>
        </w:rPr>
      </w:pPr>
      <w:r w:rsidRPr="003640A4">
        <w:rPr>
          <w:rFonts w:eastAsia="Times New Roman"/>
        </w:rPr>
        <w:t xml:space="preserve">Doyle, Joseph J. 2007. “Child Protection and Child Outcomes: Measuring the Effects of Foster Care.” </w:t>
      </w:r>
      <w:r w:rsidRPr="003640A4">
        <w:rPr>
          <w:rFonts w:eastAsia="Times New Roman"/>
          <w:i/>
          <w:iCs/>
        </w:rPr>
        <w:t>The American Economic Review</w:t>
      </w:r>
      <w:r w:rsidRPr="003640A4">
        <w:rPr>
          <w:rFonts w:eastAsia="Times New Roman"/>
        </w:rPr>
        <w:t xml:space="preserve"> 97(5):1583–1610.</w:t>
      </w:r>
    </w:p>
    <w:p w14:paraId="4112C6C3" w14:textId="77777777" w:rsidR="003640A4" w:rsidRPr="003640A4" w:rsidRDefault="003640A4" w:rsidP="003640A4">
      <w:pPr>
        <w:pStyle w:val="Bibliography"/>
        <w:rPr>
          <w:rFonts w:eastAsia="Times New Roman"/>
        </w:rPr>
      </w:pPr>
      <w:r w:rsidRPr="003640A4">
        <w:rPr>
          <w:rFonts w:eastAsia="Times New Roman"/>
        </w:rPr>
        <w:t xml:space="preserve">Doyle Jr, Joseph J. 2008. “Child Protection and Adult Crime: Using Investigator Assignment to Estimate Causal Effects of Foster Care.” </w:t>
      </w:r>
      <w:r w:rsidRPr="003640A4">
        <w:rPr>
          <w:rFonts w:eastAsia="Times New Roman"/>
          <w:i/>
          <w:iCs/>
        </w:rPr>
        <w:t>Journal of Political Economy</w:t>
      </w:r>
      <w:r w:rsidRPr="003640A4">
        <w:rPr>
          <w:rFonts w:eastAsia="Times New Roman"/>
        </w:rPr>
        <w:t xml:space="preserve"> 116(4):746–770.</w:t>
      </w:r>
    </w:p>
    <w:p w14:paraId="085FF033" w14:textId="77777777" w:rsidR="003640A4" w:rsidRPr="003640A4" w:rsidRDefault="003640A4" w:rsidP="003640A4">
      <w:pPr>
        <w:pStyle w:val="Bibliography"/>
        <w:rPr>
          <w:rFonts w:eastAsia="Times New Roman"/>
        </w:rPr>
      </w:pPr>
      <w:r w:rsidRPr="003640A4">
        <w:rPr>
          <w:rFonts w:eastAsia="Times New Roman"/>
        </w:rPr>
        <w:t xml:space="preserve">Ekstrand, Laurie, Danny Burton, and Eric Erdman. 1999. “Women in Prison: Issues and Challenges Confronting US Correctional Systems.” </w:t>
      </w:r>
      <w:r w:rsidRPr="003640A4">
        <w:rPr>
          <w:rFonts w:eastAsia="Times New Roman"/>
          <w:i/>
          <w:iCs/>
        </w:rPr>
        <w:t>Pp.[URL: Http://Www. Gao. Gov/New. Items/gg00022. Pdf]. Washington, DC: United States General Accounting Office</w:t>
      </w:r>
      <w:r w:rsidRPr="003640A4">
        <w:rPr>
          <w:rFonts w:eastAsia="Times New Roman"/>
        </w:rPr>
        <w:t>.</w:t>
      </w:r>
    </w:p>
    <w:p w14:paraId="638E8CCC" w14:textId="77777777" w:rsidR="003640A4" w:rsidRPr="003640A4" w:rsidRDefault="003640A4" w:rsidP="003640A4">
      <w:pPr>
        <w:pStyle w:val="Bibliography"/>
        <w:rPr>
          <w:rFonts w:eastAsia="Times New Roman"/>
        </w:rPr>
      </w:pPr>
      <w:r w:rsidRPr="003640A4">
        <w:rPr>
          <w:rFonts w:eastAsia="Times New Roman"/>
        </w:rPr>
        <w:t xml:space="preserve">Fagan, Abigail A. 2005. “The Relationship Between Adolescent Physical Abuse and Criminal Offending: Support for an Enduring and Generalized Cycle of Violence.” </w:t>
      </w:r>
      <w:r w:rsidRPr="003640A4">
        <w:rPr>
          <w:rFonts w:eastAsia="Times New Roman"/>
          <w:i/>
          <w:iCs/>
        </w:rPr>
        <w:t>Journal of Family Violence</w:t>
      </w:r>
      <w:r w:rsidRPr="003640A4">
        <w:rPr>
          <w:rFonts w:eastAsia="Times New Roman"/>
        </w:rPr>
        <w:t xml:space="preserve"> 20(5):279–90.</w:t>
      </w:r>
    </w:p>
    <w:p w14:paraId="6EBC57C1" w14:textId="77777777" w:rsidR="003640A4" w:rsidRPr="003640A4" w:rsidRDefault="003640A4" w:rsidP="003640A4">
      <w:pPr>
        <w:pStyle w:val="Bibliography"/>
        <w:rPr>
          <w:rFonts w:eastAsia="Times New Roman"/>
        </w:rPr>
      </w:pPr>
      <w:r w:rsidRPr="003640A4">
        <w:rPr>
          <w:rFonts w:eastAsia="Times New Roman"/>
        </w:rPr>
        <w:t xml:space="preserve">Fiscella, Kevin, Harriet J. Kitzman, Robert E. Cole, Kimberly J. Sidora, and David Olds. 1998. “Does Child Abuse Predict Adolescent Pregnancy?” </w:t>
      </w:r>
      <w:r w:rsidRPr="003640A4">
        <w:rPr>
          <w:rFonts w:eastAsia="Times New Roman"/>
          <w:i/>
          <w:iCs/>
        </w:rPr>
        <w:t>Pediatrics</w:t>
      </w:r>
      <w:r w:rsidRPr="003640A4">
        <w:rPr>
          <w:rFonts w:eastAsia="Times New Roman"/>
        </w:rPr>
        <w:t xml:space="preserve"> 101(4):620–24.</w:t>
      </w:r>
    </w:p>
    <w:p w14:paraId="4A7F8BA9" w14:textId="77777777" w:rsidR="003640A4" w:rsidRPr="003640A4" w:rsidRDefault="003640A4" w:rsidP="003640A4">
      <w:pPr>
        <w:pStyle w:val="Bibliography"/>
        <w:rPr>
          <w:rFonts w:eastAsia="Times New Roman"/>
        </w:rPr>
      </w:pPr>
      <w:r w:rsidRPr="003640A4">
        <w:rPr>
          <w:rFonts w:eastAsia="Times New Roman"/>
        </w:rPr>
        <w:t xml:space="preserve">Folsom, Ralph E. and Avi C. Singh. 2000. “The Generalized Exponential Model for Sampling Weight Calibration for Extreme Values, Nonresponse, and Poststratification.” in </w:t>
      </w:r>
      <w:r w:rsidRPr="003640A4">
        <w:rPr>
          <w:rFonts w:eastAsia="Times New Roman"/>
          <w:i/>
          <w:iCs/>
        </w:rPr>
        <w:t>Proceedings of the American Statistical Association, Survey Research Methods Section</w:t>
      </w:r>
      <w:r w:rsidRPr="003640A4">
        <w:rPr>
          <w:rFonts w:eastAsia="Times New Roman"/>
        </w:rPr>
        <w:t>, vol. 598603.</w:t>
      </w:r>
    </w:p>
    <w:p w14:paraId="1A1DB8AD" w14:textId="77777777" w:rsidR="003640A4" w:rsidRPr="003640A4" w:rsidRDefault="003640A4" w:rsidP="003640A4">
      <w:pPr>
        <w:pStyle w:val="Bibliography"/>
        <w:rPr>
          <w:rFonts w:eastAsia="Times New Roman"/>
        </w:rPr>
      </w:pPr>
      <w:r w:rsidRPr="003640A4">
        <w:rPr>
          <w:rFonts w:eastAsia="Times New Roman"/>
        </w:rPr>
        <w:t xml:space="preserve">Folsom, Ralph E. and Michael B. Witt. 1994. “Testing a New Attrition Nonresponse Adjustment Method for SIPP.” Pp. 428–433 in </w:t>
      </w:r>
      <w:r w:rsidRPr="003640A4">
        <w:rPr>
          <w:rFonts w:eastAsia="Times New Roman"/>
          <w:i/>
          <w:iCs/>
        </w:rPr>
        <w:t>Proceedings of the American Statistical Association, Section on Survey Research Methods</w:t>
      </w:r>
      <w:r w:rsidRPr="003640A4">
        <w:rPr>
          <w:rFonts w:eastAsia="Times New Roman"/>
        </w:rPr>
        <w:t>.</w:t>
      </w:r>
    </w:p>
    <w:p w14:paraId="01427601" w14:textId="77777777" w:rsidR="003640A4" w:rsidRPr="003640A4" w:rsidRDefault="003640A4" w:rsidP="003640A4">
      <w:pPr>
        <w:pStyle w:val="Bibliography"/>
        <w:rPr>
          <w:rFonts w:eastAsia="Times New Roman"/>
        </w:rPr>
      </w:pPr>
      <w:r w:rsidRPr="003640A4">
        <w:rPr>
          <w:rFonts w:eastAsia="Times New Roman"/>
        </w:rPr>
        <w:lastRenderedPageBreak/>
        <w:t xml:space="preserve">Forsman, M. and N. Långström. 2012. “Child Maltreatment and Adult Violent Offending: Population-Based Twin Study Addressing the ‘cycle of Violence’ Hypothesis.” </w:t>
      </w:r>
      <w:r w:rsidRPr="003640A4">
        <w:rPr>
          <w:rFonts w:eastAsia="Times New Roman"/>
          <w:i/>
          <w:iCs/>
        </w:rPr>
        <w:t>Psychological Medicine</w:t>
      </w:r>
      <w:r w:rsidRPr="003640A4">
        <w:rPr>
          <w:rFonts w:eastAsia="Times New Roman"/>
        </w:rPr>
        <w:t xml:space="preserve"> 42(9):1977–1983.</w:t>
      </w:r>
    </w:p>
    <w:p w14:paraId="6DB5BDD5" w14:textId="77777777" w:rsidR="003640A4" w:rsidRPr="003640A4" w:rsidRDefault="003640A4" w:rsidP="003640A4">
      <w:pPr>
        <w:pStyle w:val="Bibliography"/>
        <w:rPr>
          <w:rFonts w:eastAsia="Times New Roman"/>
        </w:rPr>
      </w:pPr>
      <w:r w:rsidRPr="003640A4">
        <w:rPr>
          <w:rFonts w:eastAsia="Times New Roman"/>
        </w:rPr>
        <w:t xml:space="preserve">Friedrich, William N. et al. 2001. “Child Sexual Behavior Inventory: Normative, Psychiatric, and Sexual Abuse Comparisons.” </w:t>
      </w:r>
      <w:r w:rsidRPr="003640A4">
        <w:rPr>
          <w:rFonts w:eastAsia="Times New Roman"/>
          <w:i/>
          <w:iCs/>
        </w:rPr>
        <w:t>Child Maltreatment</w:t>
      </w:r>
      <w:r w:rsidRPr="003640A4">
        <w:rPr>
          <w:rFonts w:eastAsia="Times New Roman"/>
        </w:rPr>
        <w:t xml:space="preserve"> 6(1):37–49.</w:t>
      </w:r>
    </w:p>
    <w:p w14:paraId="70407A6E" w14:textId="77777777" w:rsidR="003640A4" w:rsidRPr="003640A4" w:rsidRDefault="003640A4" w:rsidP="003640A4">
      <w:pPr>
        <w:pStyle w:val="Bibliography"/>
        <w:rPr>
          <w:rFonts w:eastAsia="Times New Roman"/>
        </w:rPr>
      </w:pPr>
      <w:r w:rsidRPr="003640A4">
        <w:rPr>
          <w:rFonts w:eastAsia="Times New Roman"/>
        </w:rPr>
        <w:t xml:space="preserve">Gottfredson, Michael and Travis Hirschi. 1990. </w:t>
      </w:r>
      <w:r w:rsidRPr="003640A4">
        <w:rPr>
          <w:rFonts w:eastAsia="Times New Roman"/>
          <w:i/>
          <w:iCs/>
        </w:rPr>
        <w:t>A General Theory of Crime</w:t>
      </w:r>
      <w:r w:rsidRPr="003640A4">
        <w:rPr>
          <w:rFonts w:eastAsia="Times New Roman"/>
        </w:rPr>
        <w:t>. 1 edition. Stanford, Calif: Stanford University Press.</w:t>
      </w:r>
    </w:p>
    <w:p w14:paraId="74A5C279" w14:textId="77777777" w:rsidR="003640A4" w:rsidRPr="003640A4" w:rsidRDefault="003640A4" w:rsidP="003640A4">
      <w:pPr>
        <w:pStyle w:val="Bibliography"/>
        <w:rPr>
          <w:rFonts w:eastAsia="Times New Roman"/>
        </w:rPr>
      </w:pPr>
      <w:r w:rsidRPr="003640A4">
        <w:rPr>
          <w:rFonts w:eastAsia="Times New Roman"/>
        </w:rPr>
        <w:t xml:space="preserve">Grogan-Kaylor, Andrew and Melanie D. Otis. 2003. “The Effect of Childhood Maltreatment on Adult Criminality: A Tobit Regression Analysis.” </w:t>
      </w:r>
      <w:r w:rsidRPr="003640A4">
        <w:rPr>
          <w:rFonts w:eastAsia="Times New Roman"/>
          <w:i/>
          <w:iCs/>
        </w:rPr>
        <w:t>Child Maltreatment</w:t>
      </w:r>
      <w:r w:rsidRPr="003640A4">
        <w:rPr>
          <w:rFonts w:eastAsia="Times New Roman"/>
        </w:rPr>
        <w:t xml:space="preserve"> 8(2):129–137.</w:t>
      </w:r>
    </w:p>
    <w:p w14:paraId="1622872F" w14:textId="77777777" w:rsidR="003640A4" w:rsidRPr="003640A4" w:rsidRDefault="003640A4" w:rsidP="003640A4">
      <w:pPr>
        <w:pStyle w:val="Bibliography"/>
        <w:rPr>
          <w:rFonts w:eastAsia="Times New Roman"/>
        </w:rPr>
      </w:pPr>
      <w:r w:rsidRPr="003640A4">
        <w:rPr>
          <w:rFonts w:eastAsia="Times New Roman"/>
        </w:rPr>
        <w:t xml:space="preserve">Hair, Joseph F., ed. 2014. </w:t>
      </w:r>
      <w:r w:rsidRPr="003640A4">
        <w:rPr>
          <w:rFonts w:eastAsia="Times New Roman"/>
          <w:i/>
          <w:iCs/>
        </w:rPr>
        <w:t>Multivariate Data Analysis</w:t>
      </w:r>
      <w:r w:rsidRPr="003640A4">
        <w:rPr>
          <w:rFonts w:eastAsia="Times New Roman"/>
        </w:rPr>
        <w:t>. 7. ed., Pearson new internat. ed. Harlow: Pearson.</w:t>
      </w:r>
    </w:p>
    <w:p w14:paraId="45A8C6DA" w14:textId="77777777" w:rsidR="003640A4" w:rsidRPr="003640A4" w:rsidRDefault="003640A4" w:rsidP="003640A4">
      <w:pPr>
        <w:pStyle w:val="Bibliography"/>
        <w:rPr>
          <w:rFonts w:eastAsia="Times New Roman"/>
        </w:rPr>
      </w:pPr>
      <w:r w:rsidRPr="003640A4">
        <w:rPr>
          <w:rFonts w:eastAsia="Times New Roman"/>
        </w:rPr>
        <w:t xml:space="preserve">Harlow, Caroline Wolf. 1999. “Prior Abuse Reported by Inmates and Probationers.” </w:t>
      </w:r>
      <w:r w:rsidRPr="003640A4">
        <w:rPr>
          <w:rFonts w:eastAsia="Times New Roman"/>
          <w:i/>
          <w:iCs/>
        </w:rPr>
        <w:t>Alcohol</w:t>
      </w:r>
      <w:r w:rsidRPr="003640A4">
        <w:rPr>
          <w:rFonts w:eastAsia="Times New Roman"/>
        </w:rPr>
        <w:t xml:space="preserve"> 75:29–4.</w:t>
      </w:r>
    </w:p>
    <w:p w14:paraId="76E17C8C" w14:textId="77777777" w:rsidR="003640A4" w:rsidRPr="003640A4" w:rsidRDefault="003640A4" w:rsidP="003640A4">
      <w:pPr>
        <w:pStyle w:val="Bibliography"/>
        <w:rPr>
          <w:rFonts w:eastAsia="Times New Roman"/>
        </w:rPr>
      </w:pPr>
      <w:r w:rsidRPr="003640A4">
        <w:rPr>
          <w:rFonts w:eastAsia="Times New Roman"/>
        </w:rPr>
        <w:t xml:space="preserve">Heeringa, Steven, Brady T. West, and Patricia A. Berglund. 2010. </w:t>
      </w:r>
      <w:r w:rsidRPr="003640A4">
        <w:rPr>
          <w:rFonts w:eastAsia="Times New Roman"/>
          <w:i/>
          <w:iCs/>
        </w:rPr>
        <w:t>Applied Survey Data Analysis</w:t>
      </w:r>
      <w:r w:rsidRPr="003640A4">
        <w:rPr>
          <w:rFonts w:eastAsia="Times New Roman"/>
        </w:rPr>
        <w:t>. Boca Raton, FL: Chapman &amp; Hall/CRC.</w:t>
      </w:r>
    </w:p>
    <w:p w14:paraId="43740184" w14:textId="77777777" w:rsidR="003640A4" w:rsidRPr="003640A4" w:rsidRDefault="003640A4" w:rsidP="003640A4">
      <w:pPr>
        <w:pStyle w:val="Bibliography"/>
        <w:rPr>
          <w:rFonts w:eastAsia="Times New Roman"/>
        </w:rPr>
      </w:pPr>
      <w:r w:rsidRPr="003640A4">
        <w:rPr>
          <w:rFonts w:eastAsia="Times New Roman"/>
        </w:rPr>
        <w:t xml:space="preserve">Herrenkohl, Ellen C., Roy C. Herrenkohl, Brenda P. Egolf, and M.Jean Russo. 1998. “The Relationship between Early Maltreatment and Teenage Parenthood.” </w:t>
      </w:r>
      <w:r w:rsidRPr="003640A4">
        <w:rPr>
          <w:rFonts w:eastAsia="Times New Roman"/>
          <w:i/>
          <w:iCs/>
        </w:rPr>
        <w:t>Journal of Adolescence</w:t>
      </w:r>
      <w:r w:rsidRPr="003640A4">
        <w:rPr>
          <w:rFonts w:eastAsia="Times New Roman"/>
        </w:rPr>
        <w:t xml:space="preserve"> 21(3):291–303.</w:t>
      </w:r>
    </w:p>
    <w:p w14:paraId="546B0C21" w14:textId="77777777" w:rsidR="003640A4" w:rsidRPr="003640A4" w:rsidRDefault="003640A4" w:rsidP="003640A4">
      <w:pPr>
        <w:pStyle w:val="Bibliography"/>
        <w:rPr>
          <w:rFonts w:eastAsia="Times New Roman"/>
        </w:rPr>
      </w:pPr>
      <w:r w:rsidRPr="003640A4">
        <w:rPr>
          <w:rFonts w:eastAsia="Times New Roman"/>
        </w:rPr>
        <w:t xml:space="preserve">Herrenkohl, Roy C., Brenda P. Egolf, and Ellen C. Herrenkohl. 1997. “Preschool Antecedents of Adolescent Assaultive Behavior: A Longitudinal Study.” </w:t>
      </w:r>
      <w:r w:rsidRPr="003640A4">
        <w:rPr>
          <w:rFonts w:eastAsia="Times New Roman"/>
          <w:i/>
          <w:iCs/>
        </w:rPr>
        <w:t>American Journal of Orthopsychiatry</w:t>
      </w:r>
      <w:r w:rsidRPr="003640A4">
        <w:rPr>
          <w:rFonts w:eastAsia="Times New Roman"/>
        </w:rPr>
        <w:t xml:space="preserve"> 67(3):422.</w:t>
      </w:r>
    </w:p>
    <w:p w14:paraId="29BD2C66" w14:textId="77777777" w:rsidR="003640A4" w:rsidRPr="003640A4" w:rsidRDefault="003640A4" w:rsidP="003640A4">
      <w:pPr>
        <w:pStyle w:val="Bibliography"/>
        <w:rPr>
          <w:rFonts w:eastAsia="Times New Roman"/>
        </w:rPr>
      </w:pPr>
      <w:r w:rsidRPr="003640A4">
        <w:rPr>
          <w:rFonts w:eastAsia="Times New Roman"/>
        </w:rPr>
        <w:t xml:space="preserve">Holmes, W. C., E. B. Foa, and M. D. Sammel. 2005. “Men’s Pathways to Risky Sexual Behavior: Role of Co-Occurring Childhood Sexual Abuse, Posttraumatic Stress Disorder, and Depression Histories.” </w:t>
      </w:r>
      <w:r w:rsidRPr="003640A4">
        <w:rPr>
          <w:rFonts w:eastAsia="Times New Roman"/>
          <w:i/>
          <w:iCs/>
        </w:rPr>
        <w:t>Journal of Urban Health: Bulletin of the New York Academy of Medicine</w:t>
      </w:r>
      <w:r w:rsidRPr="003640A4">
        <w:rPr>
          <w:rFonts w:eastAsia="Times New Roman"/>
        </w:rPr>
        <w:t xml:space="preserve"> 82(Suppl. 1):i89–99.</w:t>
      </w:r>
    </w:p>
    <w:p w14:paraId="595D19CC" w14:textId="77777777" w:rsidR="003640A4" w:rsidRPr="003640A4" w:rsidRDefault="003640A4" w:rsidP="003640A4">
      <w:pPr>
        <w:pStyle w:val="Bibliography"/>
        <w:rPr>
          <w:rFonts w:eastAsia="Times New Roman"/>
        </w:rPr>
      </w:pPr>
      <w:r w:rsidRPr="003640A4">
        <w:rPr>
          <w:rFonts w:eastAsia="Times New Roman"/>
        </w:rPr>
        <w:t xml:space="preserve">Hope, Trina L. and Constance L. Chapple. 2004. “Maternal Characteristics, Parenting, and Adolescent Sexual Behavior: The Role of Self-Control.” </w:t>
      </w:r>
      <w:r w:rsidRPr="003640A4">
        <w:rPr>
          <w:rFonts w:eastAsia="Times New Roman"/>
          <w:i/>
          <w:iCs/>
        </w:rPr>
        <w:t>Deviant Behavior</w:t>
      </w:r>
      <w:r w:rsidRPr="003640A4">
        <w:rPr>
          <w:rFonts w:eastAsia="Times New Roman"/>
        </w:rPr>
        <w:t xml:space="preserve"> 26(1):25–45.</w:t>
      </w:r>
    </w:p>
    <w:p w14:paraId="63B391A8" w14:textId="77777777" w:rsidR="003640A4" w:rsidRPr="003640A4" w:rsidRDefault="003640A4" w:rsidP="003640A4">
      <w:pPr>
        <w:pStyle w:val="Bibliography"/>
        <w:rPr>
          <w:rFonts w:eastAsia="Times New Roman"/>
        </w:rPr>
      </w:pPr>
      <w:r w:rsidRPr="003640A4">
        <w:rPr>
          <w:rFonts w:eastAsia="Times New Roman"/>
        </w:rPr>
        <w:t xml:space="preserve">Ireland, Timothy O., Carolyn A. Smith, and Terence P. Thornberry. 2002. “Developmental Issues in the Impact of Child Maltreatment on Later Delinquency and Drug Use*.” </w:t>
      </w:r>
      <w:r w:rsidRPr="003640A4">
        <w:rPr>
          <w:rFonts w:eastAsia="Times New Roman"/>
          <w:i/>
          <w:iCs/>
        </w:rPr>
        <w:t>Criminology</w:t>
      </w:r>
      <w:r w:rsidRPr="003640A4">
        <w:rPr>
          <w:rFonts w:eastAsia="Times New Roman"/>
        </w:rPr>
        <w:t xml:space="preserve"> 40(2):359–400.</w:t>
      </w:r>
    </w:p>
    <w:p w14:paraId="7AE7BF1B" w14:textId="77777777" w:rsidR="003640A4" w:rsidRPr="003640A4" w:rsidRDefault="003640A4" w:rsidP="003640A4">
      <w:pPr>
        <w:pStyle w:val="Bibliography"/>
        <w:rPr>
          <w:rFonts w:eastAsia="Times New Roman"/>
        </w:rPr>
      </w:pPr>
      <w:r w:rsidRPr="003640A4">
        <w:rPr>
          <w:rFonts w:eastAsia="Times New Roman"/>
        </w:rPr>
        <w:lastRenderedPageBreak/>
        <w:t xml:space="preserve">James, Sigrid, Susanne B. Montgomery, Laurel K. Leslie, and Jinjin Zhang. 2009. “Sexual Risk Behaviors among Youth in the Child Welfare System.” </w:t>
      </w:r>
      <w:r w:rsidRPr="003640A4">
        <w:rPr>
          <w:rFonts w:eastAsia="Times New Roman"/>
          <w:i/>
          <w:iCs/>
        </w:rPr>
        <w:t>Children and Youth Services Review</w:t>
      </w:r>
      <w:r w:rsidRPr="003640A4">
        <w:rPr>
          <w:rFonts w:eastAsia="Times New Roman"/>
        </w:rPr>
        <w:t xml:space="preserve"> 31(9):990–1000.</w:t>
      </w:r>
    </w:p>
    <w:p w14:paraId="279B7049" w14:textId="77777777" w:rsidR="003640A4" w:rsidRPr="003640A4" w:rsidRDefault="003640A4" w:rsidP="003640A4">
      <w:pPr>
        <w:pStyle w:val="Bibliography"/>
        <w:rPr>
          <w:rFonts w:eastAsia="Times New Roman"/>
        </w:rPr>
      </w:pPr>
      <w:r w:rsidRPr="003640A4">
        <w:rPr>
          <w:rFonts w:eastAsia="Times New Roman"/>
        </w:rPr>
        <w:t xml:space="preserve">Jonson-Reid, Melissa and Richard P. Barth. 2000. “From Maltreatment Report to Juvenile Incarceration: The Role of Child Welfare Services.” </w:t>
      </w:r>
      <w:r w:rsidRPr="003640A4">
        <w:rPr>
          <w:rFonts w:eastAsia="Times New Roman"/>
          <w:i/>
          <w:iCs/>
        </w:rPr>
        <w:t>Child Abuse &amp; Neglect</w:t>
      </w:r>
      <w:r w:rsidRPr="003640A4">
        <w:rPr>
          <w:rFonts w:eastAsia="Times New Roman"/>
        </w:rPr>
        <w:t xml:space="preserve"> 24(4):505–520.</w:t>
      </w:r>
    </w:p>
    <w:p w14:paraId="112F7591" w14:textId="77777777" w:rsidR="003640A4" w:rsidRPr="003640A4" w:rsidRDefault="003640A4" w:rsidP="003640A4">
      <w:pPr>
        <w:pStyle w:val="Bibliography"/>
        <w:rPr>
          <w:rFonts w:eastAsia="Times New Roman"/>
        </w:rPr>
      </w:pPr>
      <w:r w:rsidRPr="003640A4">
        <w:rPr>
          <w:rFonts w:eastAsia="Times New Roman"/>
        </w:rPr>
        <w:t xml:space="preserve">Jung, Hyunzee, Todd I. Herrenkohl, J.Bart Klika, Jungeun Olivia Lee, and Eric C. Brown. 2014. “Does Child Maltreatment Predict Adult Crime? Reexamining the Question in a Prospective Study of Gender Differences, Education, and Marital Status.” </w:t>
      </w:r>
      <w:r w:rsidRPr="003640A4">
        <w:rPr>
          <w:rFonts w:eastAsia="Times New Roman"/>
          <w:i/>
          <w:iCs/>
        </w:rPr>
        <w:t>Journal of Interpersonal Violence</w:t>
      </w:r>
      <w:r w:rsidRPr="003640A4">
        <w:rPr>
          <w:rFonts w:eastAsia="Times New Roman"/>
        </w:rPr>
        <w:t xml:space="preserve"> 0886260514552446.</w:t>
      </w:r>
    </w:p>
    <w:p w14:paraId="64BDF55E" w14:textId="77777777" w:rsidR="003640A4" w:rsidRPr="003640A4" w:rsidRDefault="003640A4" w:rsidP="003640A4">
      <w:pPr>
        <w:pStyle w:val="Bibliography"/>
        <w:rPr>
          <w:rFonts w:eastAsia="Times New Roman"/>
        </w:rPr>
      </w:pPr>
      <w:r w:rsidRPr="003640A4">
        <w:rPr>
          <w:rFonts w:eastAsia="Times New Roman"/>
        </w:rPr>
        <w:t xml:space="preserve">Kahn, Jessica A., Rebekah A. Kaplowitz, Elizabeth Goodman, and S.Jean Emans. 2002. “The Association between Impulsiveness and Sexual Risk Behaviors in Adolescent and Young Adult Women.” </w:t>
      </w:r>
      <w:r w:rsidRPr="003640A4">
        <w:rPr>
          <w:rFonts w:eastAsia="Times New Roman"/>
          <w:i/>
          <w:iCs/>
        </w:rPr>
        <w:t>Journal of Adolescent Health</w:t>
      </w:r>
      <w:r w:rsidRPr="003640A4">
        <w:rPr>
          <w:rFonts w:eastAsia="Times New Roman"/>
        </w:rPr>
        <w:t xml:space="preserve"> 30(4):229–232.</w:t>
      </w:r>
    </w:p>
    <w:p w14:paraId="667B121B" w14:textId="77777777" w:rsidR="003640A4" w:rsidRPr="003640A4" w:rsidRDefault="003640A4" w:rsidP="003640A4">
      <w:pPr>
        <w:pStyle w:val="Bibliography"/>
        <w:rPr>
          <w:rFonts w:eastAsia="Times New Roman"/>
        </w:rPr>
      </w:pPr>
      <w:r w:rsidRPr="003640A4">
        <w:rPr>
          <w:rFonts w:eastAsia="Times New Roman"/>
        </w:rPr>
        <w:t xml:space="preserve">Kazemian, Lila, Cathy Spatz Widom, and David P. Farrington. 2011. “A Prospective Examination of the Relationship between Childhood Neglect and Juvenile Delinquency in the Cambridge Study in Delinquent Development.” </w:t>
      </w:r>
      <w:r w:rsidRPr="003640A4">
        <w:rPr>
          <w:rFonts w:eastAsia="Times New Roman"/>
          <w:i/>
          <w:iCs/>
        </w:rPr>
        <w:t>International Journal of Child, Youth and Family Studies</w:t>
      </w:r>
      <w:r w:rsidRPr="003640A4">
        <w:rPr>
          <w:rFonts w:eastAsia="Times New Roman"/>
        </w:rPr>
        <w:t xml:space="preserve"> 2(1/2):65–82.</w:t>
      </w:r>
    </w:p>
    <w:p w14:paraId="1A72726C" w14:textId="77777777" w:rsidR="003640A4" w:rsidRPr="003640A4" w:rsidRDefault="003640A4" w:rsidP="003640A4">
      <w:pPr>
        <w:pStyle w:val="Bibliography"/>
        <w:rPr>
          <w:rFonts w:eastAsia="Times New Roman"/>
        </w:rPr>
      </w:pPr>
      <w:r w:rsidRPr="003640A4">
        <w:rPr>
          <w:rFonts w:eastAsia="Times New Roman"/>
        </w:rPr>
        <w:t xml:space="preserve">Kendall-Tackett, Kathleen A., Linda M. Williams, and David Finkelhor. 1993. “Impact of Sexual Abuse on Children: A Review and Synthesis of Recent Empirical Studies.” </w:t>
      </w:r>
      <w:r w:rsidRPr="003640A4">
        <w:rPr>
          <w:rFonts w:eastAsia="Times New Roman"/>
          <w:i/>
          <w:iCs/>
        </w:rPr>
        <w:t>Psychological Bulletin</w:t>
      </w:r>
      <w:r w:rsidRPr="003640A4">
        <w:rPr>
          <w:rFonts w:eastAsia="Times New Roman"/>
        </w:rPr>
        <w:t xml:space="preserve"> 113(1):164.</w:t>
      </w:r>
    </w:p>
    <w:p w14:paraId="339C6031" w14:textId="77777777" w:rsidR="003640A4" w:rsidRPr="003640A4" w:rsidRDefault="003640A4" w:rsidP="003640A4">
      <w:pPr>
        <w:pStyle w:val="Bibliography"/>
        <w:rPr>
          <w:rFonts w:eastAsia="Times New Roman"/>
        </w:rPr>
      </w:pPr>
      <w:r w:rsidRPr="003640A4">
        <w:rPr>
          <w:rFonts w:eastAsia="Times New Roman"/>
        </w:rPr>
        <w:t xml:space="preserve">Klein, Hugh, Kirk W. Elifson, and Claire E. Sterk. 2007. “Childhood Neglect and Adulthood Involvement in HIV-Related Risk Behaviors.” </w:t>
      </w:r>
      <w:r w:rsidRPr="003640A4">
        <w:rPr>
          <w:rFonts w:eastAsia="Times New Roman"/>
          <w:i/>
          <w:iCs/>
        </w:rPr>
        <w:t>Child Abuse &amp; Neglect</w:t>
      </w:r>
      <w:r w:rsidRPr="003640A4">
        <w:rPr>
          <w:rFonts w:eastAsia="Times New Roman"/>
        </w:rPr>
        <w:t xml:space="preserve"> 31(1):39–53.</w:t>
      </w:r>
    </w:p>
    <w:p w14:paraId="1123122B" w14:textId="77777777" w:rsidR="003640A4" w:rsidRPr="003640A4" w:rsidRDefault="003640A4" w:rsidP="003640A4">
      <w:pPr>
        <w:pStyle w:val="Bibliography"/>
        <w:rPr>
          <w:rFonts w:eastAsia="Times New Roman"/>
        </w:rPr>
      </w:pPr>
      <w:r w:rsidRPr="003640A4">
        <w:rPr>
          <w:rFonts w:eastAsia="Times New Roman"/>
        </w:rPr>
        <w:t>Koenig, Linda J. and Hollie Clark. 2004. “Sexual Abuse of Girls and HIV Infection among Women: Are They Related?” Retrieved May 29, 2016 (http://psycnet.apa.org/psycinfo/2003-88220-004).</w:t>
      </w:r>
    </w:p>
    <w:p w14:paraId="097CB159" w14:textId="77777777" w:rsidR="003640A4" w:rsidRPr="003640A4" w:rsidRDefault="003640A4" w:rsidP="003640A4">
      <w:pPr>
        <w:pStyle w:val="Bibliography"/>
        <w:rPr>
          <w:rFonts w:eastAsia="Times New Roman"/>
        </w:rPr>
      </w:pPr>
      <w:r w:rsidRPr="003640A4">
        <w:rPr>
          <w:rFonts w:eastAsia="Times New Roman"/>
        </w:rPr>
        <w:t>Lemert, E. M. 1972. “Human Deviance, Social Problems, and Social Control (2</w:t>
      </w:r>
      <w:r w:rsidRPr="003640A4">
        <w:rPr>
          <w:rFonts w:eastAsia="Times New Roman"/>
          <w:vertAlign w:val="superscript"/>
        </w:rPr>
        <w:t>TM</w:t>
      </w:r>
      <w:r w:rsidRPr="003640A4">
        <w:rPr>
          <w:rFonts w:eastAsia="Times New Roman"/>
        </w:rPr>
        <w:t xml:space="preserve">" Ed).” </w:t>
      </w:r>
      <w:r w:rsidRPr="003640A4">
        <w:rPr>
          <w:rFonts w:eastAsia="Times New Roman"/>
          <w:i/>
          <w:iCs/>
        </w:rPr>
        <w:t>Englewood Cliffs, NJ</w:t>
      </w:r>
      <w:r w:rsidRPr="003640A4">
        <w:rPr>
          <w:rFonts w:eastAsia="Times New Roman"/>
        </w:rPr>
        <w:t>. Retrieved April 13, 2016 (https://www.ncjrs.gov/App/Publications/abstract.aspx?ID=7591).</w:t>
      </w:r>
    </w:p>
    <w:p w14:paraId="0FAC5FE1" w14:textId="77777777" w:rsidR="003640A4" w:rsidRPr="003640A4" w:rsidRDefault="003640A4" w:rsidP="003640A4">
      <w:pPr>
        <w:pStyle w:val="Bibliography"/>
        <w:rPr>
          <w:rFonts w:eastAsia="Times New Roman"/>
        </w:rPr>
      </w:pPr>
      <w:r w:rsidRPr="003640A4">
        <w:rPr>
          <w:rFonts w:eastAsia="Times New Roman"/>
        </w:rPr>
        <w:t xml:space="preserve">Leslie, Laurel K. et al. 2010. “Health-Risk Behaviors in Young Adolescents in the Child Welfare System.” </w:t>
      </w:r>
      <w:r w:rsidRPr="003640A4">
        <w:rPr>
          <w:rFonts w:eastAsia="Times New Roman"/>
          <w:i/>
          <w:iCs/>
        </w:rPr>
        <w:t>Journal of Adolescent Health</w:t>
      </w:r>
      <w:r w:rsidRPr="003640A4">
        <w:rPr>
          <w:rFonts w:eastAsia="Times New Roman"/>
        </w:rPr>
        <w:t xml:space="preserve"> 47(1):26–34.</w:t>
      </w:r>
    </w:p>
    <w:p w14:paraId="62E6E539" w14:textId="77777777" w:rsidR="003640A4" w:rsidRPr="003640A4" w:rsidRDefault="003640A4" w:rsidP="003640A4">
      <w:pPr>
        <w:pStyle w:val="Bibliography"/>
        <w:rPr>
          <w:rFonts w:eastAsia="Times New Roman"/>
        </w:rPr>
      </w:pPr>
      <w:r w:rsidRPr="003640A4">
        <w:rPr>
          <w:rFonts w:eastAsia="Times New Roman"/>
        </w:rPr>
        <w:lastRenderedPageBreak/>
        <w:t>Liao, Dan. 2010. “Collinearity Diagnostics for Complex Survey Data.” Retrieved March 1, 2017 (http://drum.lib.umd.edu/handle/1903/10881).</w:t>
      </w:r>
    </w:p>
    <w:p w14:paraId="4EF4952C" w14:textId="77777777" w:rsidR="003640A4" w:rsidRPr="003640A4" w:rsidRDefault="003640A4" w:rsidP="003640A4">
      <w:pPr>
        <w:pStyle w:val="Bibliography"/>
        <w:rPr>
          <w:rFonts w:eastAsia="Times New Roman"/>
        </w:rPr>
      </w:pPr>
      <w:r w:rsidRPr="003640A4">
        <w:rPr>
          <w:rFonts w:eastAsia="Times New Roman"/>
        </w:rPr>
        <w:t xml:space="preserve">Lodico, Mark A. and Ralph J. DiClemente. 1994. “The Association between Childhood Sexual Abuse and Prevalence of HIV-Related Risk Behaviors.” </w:t>
      </w:r>
      <w:r w:rsidRPr="003640A4">
        <w:rPr>
          <w:rFonts w:eastAsia="Times New Roman"/>
          <w:i/>
          <w:iCs/>
        </w:rPr>
        <w:t>Clinical Pediatrics</w:t>
      </w:r>
      <w:r w:rsidRPr="003640A4">
        <w:rPr>
          <w:rFonts w:eastAsia="Times New Roman"/>
        </w:rPr>
        <w:t>. Retrieved March 30, 2016 (http://0-psycnet.apa.org.library.uark.edu/psycinfo/1996-90645-001).</w:t>
      </w:r>
    </w:p>
    <w:p w14:paraId="180B8E2E" w14:textId="77777777" w:rsidR="003640A4" w:rsidRPr="003640A4" w:rsidRDefault="003640A4" w:rsidP="003640A4">
      <w:pPr>
        <w:pStyle w:val="Bibliography"/>
        <w:rPr>
          <w:rFonts w:eastAsia="Times New Roman"/>
        </w:rPr>
      </w:pPr>
      <w:r w:rsidRPr="003640A4">
        <w:rPr>
          <w:rFonts w:eastAsia="Times New Roman"/>
        </w:rPr>
        <w:t xml:space="preserve">Loeb, Tamra Burns, Gail Elizabeth Wyatt, Jennifer Vargas Carmona, and John K. Williams. 2005. “HIV-Positive Black Women with Histories of Childhood Sexual Abuse: Patterns of Substance Use and Barriers to Health Care.” </w:t>
      </w:r>
      <w:r w:rsidRPr="003640A4">
        <w:rPr>
          <w:rFonts w:eastAsia="Times New Roman"/>
          <w:i/>
          <w:iCs/>
        </w:rPr>
        <w:t>Journal of Health Care for the Poor and Underserved</w:t>
      </w:r>
      <w:r w:rsidRPr="003640A4">
        <w:rPr>
          <w:rFonts w:eastAsia="Times New Roman"/>
        </w:rPr>
        <w:t xml:space="preserve"> 16(4):9–23.</w:t>
      </w:r>
    </w:p>
    <w:p w14:paraId="0E5A4259" w14:textId="77777777" w:rsidR="003640A4" w:rsidRPr="003640A4" w:rsidRDefault="003640A4" w:rsidP="003640A4">
      <w:pPr>
        <w:pStyle w:val="Bibliography"/>
        <w:rPr>
          <w:rFonts w:eastAsia="Times New Roman"/>
        </w:rPr>
      </w:pPr>
      <w:r w:rsidRPr="003640A4">
        <w:rPr>
          <w:rFonts w:eastAsia="Times New Roman"/>
        </w:rPr>
        <w:t xml:space="preserve">Loeber, Rolf et al. 2005. “The Prediction of Violence and Homicide in Young Men.” </w:t>
      </w:r>
      <w:r w:rsidRPr="003640A4">
        <w:rPr>
          <w:rFonts w:eastAsia="Times New Roman"/>
          <w:i/>
          <w:iCs/>
        </w:rPr>
        <w:t>Journal of Consulting and Clinical Psychology</w:t>
      </w:r>
      <w:r w:rsidRPr="003640A4">
        <w:rPr>
          <w:rFonts w:eastAsia="Times New Roman"/>
        </w:rPr>
        <w:t xml:space="preserve"> 73(6):1074.</w:t>
      </w:r>
    </w:p>
    <w:p w14:paraId="37AFF652" w14:textId="77777777" w:rsidR="003640A4" w:rsidRPr="003640A4" w:rsidRDefault="003640A4" w:rsidP="003640A4">
      <w:pPr>
        <w:pStyle w:val="Bibliography"/>
        <w:rPr>
          <w:rFonts w:eastAsia="Times New Roman"/>
        </w:rPr>
      </w:pPr>
      <w:r w:rsidRPr="003640A4">
        <w:rPr>
          <w:rFonts w:eastAsia="Times New Roman"/>
        </w:rPr>
        <w:t xml:space="preserve">Lohr, Sharon L. 2009. </w:t>
      </w:r>
      <w:r w:rsidRPr="003640A4">
        <w:rPr>
          <w:rFonts w:eastAsia="Times New Roman"/>
          <w:i/>
          <w:iCs/>
        </w:rPr>
        <w:t>Sampling: Design and Analysis</w:t>
      </w:r>
      <w:r w:rsidRPr="003640A4">
        <w:rPr>
          <w:rFonts w:eastAsia="Times New Roman"/>
        </w:rPr>
        <w:t>. 002 edition. Cengage Learning.</w:t>
      </w:r>
    </w:p>
    <w:p w14:paraId="74898526" w14:textId="77777777" w:rsidR="003640A4" w:rsidRPr="003640A4" w:rsidRDefault="003640A4" w:rsidP="003640A4">
      <w:pPr>
        <w:pStyle w:val="Bibliography"/>
        <w:rPr>
          <w:rFonts w:eastAsia="Times New Roman"/>
        </w:rPr>
      </w:pPr>
      <w:r w:rsidRPr="003640A4">
        <w:rPr>
          <w:rFonts w:eastAsia="Times New Roman"/>
        </w:rPr>
        <w:t xml:space="preserve">Long, J.Scott and Jeremy Freese. 2005. </w:t>
      </w:r>
      <w:r w:rsidRPr="003640A4">
        <w:rPr>
          <w:rFonts w:eastAsia="Times New Roman"/>
          <w:i/>
          <w:iCs/>
        </w:rPr>
        <w:t>Regression Models for Categorical Dependent Variables Using Stata, Second Edition</w:t>
      </w:r>
      <w:r w:rsidRPr="003640A4">
        <w:rPr>
          <w:rFonts w:eastAsia="Times New Roman"/>
        </w:rPr>
        <w:t>. 2 edition. College Station, Tex: Stata Press.</w:t>
      </w:r>
    </w:p>
    <w:p w14:paraId="5AC5E915" w14:textId="77777777" w:rsidR="003640A4" w:rsidRPr="003640A4" w:rsidRDefault="003640A4" w:rsidP="003640A4">
      <w:pPr>
        <w:pStyle w:val="Bibliography"/>
        <w:rPr>
          <w:rFonts w:eastAsia="Times New Roman"/>
        </w:rPr>
      </w:pPr>
      <w:r w:rsidRPr="003640A4">
        <w:rPr>
          <w:rFonts w:eastAsia="Times New Roman"/>
        </w:rPr>
        <w:t xml:space="preserve">Long, J.Scott and Jeremy Freese. 2014. </w:t>
      </w:r>
      <w:r w:rsidRPr="003640A4">
        <w:rPr>
          <w:rFonts w:eastAsia="Times New Roman"/>
          <w:i/>
          <w:iCs/>
        </w:rPr>
        <w:t>Regression Models for Categorical Dependent Variables Using Stata</w:t>
      </w:r>
      <w:r w:rsidRPr="003640A4">
        <w:rPr>
          <w:rFonts w:eastAsia="Times New Roman"/>
        </w:rPr>
        <w:t>. 3. ed. College Station, Tex: Stata Press.</w:t>
      </w:r>
    </w:p>
    <w:p w14:paraId="758BA238" w14:textId="77777777" w:rsidR="003640A4" w:rsidRPr="003640A4" w:rsidRDefault="003640A4" w:rsidP="003640A4">
      <w:pPr>
        <w:pStyle w:val="Bibliography"/>
        <w:rPr>
          <w:rFonts w:eastAsia="Times New Roman"/>
        </w:rPr>
      </w:pPr>
      <w:r w:rsidRPr="003640A4">
        <w:rPr>
          <w:rFonts w:eastAsia="Times New Roman"/>
        </w:rPr>
        <w:t>Love, Lois Thiessen, J. McIntosh, M. Rosst, and K. Tertzakian. 2005. “Fostering Hope: Preventing Teen Pregnancy among Youth in Foster Care.” Retrieved June 15, 2016 (http://www.popline.org/node/265160).</w:t>
      </w:r>
    </w:p>
    <w:p w14:paraId="08DB2526" w14:textId="77777777" w:rsidR="003640A4" w:rsidRPr="003640A4" w:rsidRDefault="003640A4" w:rsidP="003640A4">
      <w:pPr>
        <w:pStyle w:val="Bibliography"/>
        <w:rPr>
          <w:rFonts w:eastAsia="Times New Roman"/>
        </w:rPr>
      </w:pPr>
      <w:r w:rsidRPr="003640A4">
        <w:rPr>
          <w:rFonts w:eastAsia="Times New Roman"/>
        </w:rPr>
        <w:t xml:space="preserve">Lytton, Hugh. 1990. “Child and Parent Effects in Boys’ Conduct Disorder: A Reinterpretation.” </w:t>
      </w:r>
      <w:r w:rsidRPr="003640A4">
        <w:rPr>
          <w:rFonts w:eastAsia="Times New Roman"/>
          <w:i/>
          <w:iCs/>
        </w:rPr>
        <w:t>Developmental Psychology</w:t>
      </w:r>
      <w:r w:rsidRPr="003640A4">
        <w:rPr>
          <w:rFonts w:eastAsia="Times New Roman"/>
        </w:rPr>
        <w:t xml:space="preserve"> 26(5):683.</w:t>
      </w:r>
    </w:p>
    <w:p w14:paraId="5A2CDE5F" w14:textId="77777777" w:rsidR="003640A4" w:rsidRPr="003640A4" w:rsidRDefault="003640A4" w:rsidP="003640A4">
      <w:pPr>
        <w:pStyle w:val="Bibliography"/>
        <w:rPr>
          <w:rFonts w:eastAsia="Times New Roman"/>
        </w:rPr>
      </w:pPr>
      <w:r w:rsidRPr="003640A4">
        <w:rPr>
          <w:rFonts w:eastAsia="Times New Roman"/>
        </w:rPr>
        <w:t xml:space="preserve">Maas, Carl, Todd I. Herrenkohl, and Cynthia Sousa. 2008. “Review of Research On Child Maltreatment and Violence in Youth.” </w:t>
      </w:r>
      <w:r w:rsidRPr="003640A4">
        <w:rPr>
          <w:rFonts w:eastAsia="Times New Roman"/>
          <w:i/>
          <w:iCs/>
        </w:rPr>
        <w:t>Trauma, Violence, &amp; Abuse</w:t>
      </w:r>
      <w:r w:rsidRPr="003640A4">
        <w:rPr>
          <w:rFonts w:eastAsia="Times New Roman"/>
        </w:rPr>
        <w:t xml:space="preserve"> 9(1):56–67.</w:t>
      </w:r>
    </w:p>
    <w:p w14:paraId="065BCBDD" w14:textId="77777777" w:rsidR="003640A4" w:rsidRPr="003640A4" w:rsidRDefault="003640A4" w:rsidP="003640A4">
      <w:pPr>
        <w:pStyle w:val="Bibliography"/>
        <w:rPr>
          <w:rFonts w:eastAsia="Times New Roman"/>
        </w:rPr>
      </w:pPr>
      <w:r w:rsidRPr="003640A4">
        <w:rPr>
          <w:rFonts w:eastAsia="Times New Roman"/>
        </w:rPr>
        <w:t xml:space="preserve">Madkour, Aubrey S., Tilda Farhat, Carolyn T. Halpern, Emmanuelle Godeau, and Saoirse N. Gabhainn. 2010. “Early Adolescent Sexual Initiation as a Problem Behavior: A Comparative Study of Five Nations.” </w:t>
      </w:r>
      <w:r w:rsidRPr="003640A4">
        <w:rPr>
          <w:rFonts w:eastAsia="Times New Roman"/>
          <w:i/>
          <w:iCs/>
        </w:rPr>
        <w:t>Journal of Adolescent Health</w:t>
      </w:r>
      <w:r w:rsidRPr="003640A4">
        <w:rPr>
          <w:rFonts w:eastAsia="Times New Roman"/>
        </w:rPr>
        <w:t xml:space="preserve"> 47(4):389–98.</w:t>
      </w:r>
    </w:p>
    <w:p w14:paraId="0AA89F9A" w14:textId="77777777" w:rsidR="003640A4" w:rsidRPr="003640A4" w:rsidRDefault="003640A4" w:rsidP="003640A4">
      <w:pPr>
        <w:pStyle w:val="Bibliography"/>
        <w:rPr>
          <w:rFonts w:eastAsia="Times New Roman"/>
        </w:rPr>
      </w:pPr>
      <w:r w:rsidRPr="003640A4">
        <w:rPr>
          <w:rFonts w:eastAsia="Times New Roman"/>
        </w:rPr>
        <w:lastRenderedPageBreak/>
        <w:t xml:space="preserve">Mason, W.Alex, Laura Zimmerman, and William Evans. 1998. “Sexual and Physical Abuse among Incarcerated Youth: Implications for Sexual Behavior, Contraceptive Use, and Teenage pregnancy1.” </w:t>
      </w:r>
      <w:r w:rsidRPr="003640A4">
        <w:rPr>
          <w:rFonts w:eastAsia="Times New Roman"/>
          <w:i/>
          <w:iCs/>
        </w:rPr>
        <w:t>Child Abuse &amp; Neglect</w:t>
      </w:r>
      <w:r w:rsidRPr="003640A4">
        <w:rPr>
          <w:rFonts w:eastAsia="Times New Roman"/>
        </w:rPr>
        <w:t xml:space="preserve"> 22(10):987–95.</w:t>
      </w:r>
    </w:p>
    <w:p w14:paraId="01FF80E9" w14:textId="77777777" w:rsidR="003640A4" w:rsidRPr="003640A4" w:rsidRDefault="003640A4" w:rsidP="003640A4">
      <w:pPr>
        <w:pStyle w:val="Bibliography"/>
        <w:rPr>
          <w:rFonts w:eastAsia="Times New Roman"/>
        </w:rPr>
      </w:pPr>
      <w:r w:rsidRPr="003640A4">
        <w:rPr>
          <w:rFonts w:eastAsia="Times New Roman"/>
        </w:rPr>
        <w:t xml:space="preserve">Maughan, Daniel and Simon C. Moore. 2010. “Dimensions of Child Neglect: An Exploration of Parental Neglect and Its Relationship with Delinquency.” </w:t>
      </w:r>
      <w:r w:rsidRPr="003640A4">
        <w:rPr>
          <w:rFonts w:eastAsia="Times New Roman"/>
          <w:i/>
          <w:iCs/>
        </w:rPr>
        <w:t>Child Welfare</w:t>
      </w:r>
      <w:r w:rsidRPr="003640A4">
        <w:rPr>
          <w:rFonts w:eastAsia="Times New Roman"/>
        </w:rPr>
        <w:t xml:space="preserve"> 89(4):47–65.</w:t>
      </w:r>
    </w:p>
    <w:p w14:paraId="42011355" w14:textId="77777777" w:rsidR="003640A4" w:rsidRPr="003640A4" w:rsidRDefault="003640A4" w:rsidP="003640A4">
      <w:pPr>
        <w:pStyle w:val="Bibliography"/>
        <w:rPr>
          <w:rFonts w:eastAsia="Times New Roman"/>
        </w:rPr>
      </w:pPr>
      <w:r w:rsidRPr="003640A4">
        <w:rPr>
          <w:rFonts w:eastAsia="Times New Roman"/>
        </w:rPr>
        <w:t xml:space="preserve">Maxfield, Michael G., Barbara Luntz Weiler, and Cathy Spatz Widom. 2000. “Comparing Self-Reports and Official Records of Arrests.” </w:t>
      </w:r>
      <w:r w:rsidRPr="003640A4">
        <w:rPr>
          <w:rFonts w:eastAsia="Times New Roman"/>
          <w:i/>
          <w:iCs/>
        </w:rPr>
        <w:t>Journal of Quantitative Criminology</w:t>
      </w:r>
      <w:r w:rsidRPr="003640A4">
        <w:rPr>
          <w:rFonts w:eastAsia="Times New Roman"/>
        </w:rPr>
        <w:t xml:space="preserve"> 16(1):87–110.</w:t>
      </w:r>
    </w:p>
    <w:p w14:paraId="3E4F6F8F" w14:textId="77777777" w:rsidR="003640A4" w:rsidRPr="003640A4" w:rsidRDefault="003640A4" w:rsidP="003640A4">
      <w:pPr>
        <w:pStyle w:val="Bibliography"/>
        <w:rPr>
          <w:rFonts w:eastAsia="Times New Roman"/>
        </w:rPr>
      </w:pPr>
      <w:r w:rsidRPr="003640A4">
        <w:rPr>
          <w:rFonts w:eastAsia="Times New Roman"/>
        </w:rPr>
        <w:t>McIntosh. 2009. “RE: St: VIFs under SVY Command and -Collin- Command.” Retrieved March 1, 2017 (http://www.stata.com/statalist/archive/2009-08/msg00640.html).</w:t>
      </w:r>
    </w:p>
    <w:p w14:paraId="08779CF7" w14:textId="77777777" w:rsidR="003640A4" w:rsidRPr="003640A4" w:rsidRDefault="003640A4" w:rsidP="003640A4">
      <w:pPr>
        <w:pStyle w:val="Bibliography"/>
        <w:rPr>
          <w:rFonts w:eastAsia="Times New Roman"/>
        </w:rPr>
      </w:pPr>
      <w:r w:rsidRPr="003640A4">
        <w:rPr>
          <w:rFonts w:eastAsia="Times New Roman"/>
        </w:rPr>
        <w:t xml:space="preserve">Mersky, Joshua P. and Colleen Janczewski. 2013. “Adult Well-Being of Foster Care Alumni: Comparisons to Other Child Welfare Recipients and a Non-Child Welfare Sample in a High-Risk, Urban Setting.” </w:t>
      </w:r>
      <w:r w:rsidRPr="003640A4">
        <w:rPr>
          <w:rFonts w:eastAsia="Times New Roman"/>
          <w:i/>
          <w:iCs/>
        </w:rPr>
        <w:t>Children and Youth Services Review</w:t>
      </w:r>
      <w:r w:rsidRPr="003640A4">
        <w:rPr>
          <w:rFonts w:eastAsia="Times New Roman"/>
        </w:rPr>
        <w:t xml:space="preserve"> 35(3):367–76.</w:t>
      </w:r>
    </w:p>
    <w:p w14:paraId="6FCD654D" w14:textId="77777777" w:rsidR="003640A4" w:rsidRPr="003640A4" w:rsidRDefault="003640A4" w:rsidP="003640A4">
      <w:pPr>
        <w:pStyle w:val="Bibliography"/>
        <w:rPr>
          <w:rFonts w:eastAsia="Times New Roman"/>
        </w:rPr>
      </w:pPr>
      <w:r w:rsidRPr="003640A4">
        <w:rPr>
          <w:rFonts w:eastAsia="Times New Roman"/>
        </w:rPr>
        <w:t xml:space="preserve">Mersky, Joshua P. and James Topitzes. 2010. “Comparing Early Adult Outcomes of Maltreated and Non-Maltreated Children: A Prospective Longitudinal Investigation.” </w:t>
      </w:r>
      <w:r w:rsidRPr="003640A4">
        <w:rPr>
          <w:rFonts w:eastAsia="Times New Roman"/>
          <w:i/>
          <w:iCs/>
        </w:rPr>
        <w:t>Children and Youth Services Review</w:t>
      </w:r>
      <w:r w:rsidRPr="003640A4">
        <w:rPr>
          <w:rFonts w:eastAsia="Times New Roman"/>
        </w:rPr>
        <w:t xml:space="preserve"> 32(8):1086–96.</w:t>
      </w:r>
    </w:p>
    <w:p w14:paraId="35B4364E" w14:textId="77777777" w:rsidR="003640A4" w:rsidRPr="003640A4" w:rsidRDefault="003640A4" w:rsidP="003640A4">
      <w:pPr>
        <w:pStyle w:val="Bibliography"/>
        <w:rPr>
          <w:rFonts w:eastAsia="Times New Roman"/>
        </w:rPr>
      </w:pPr>
      <w:r w:rsidRPr="003640A4">
        <w:rPr>
          <w:rFonts w:eastAsia="Times New Roman"/>
        </w:rPr>
        <w:t xml:space="preserve">Mersky, Joshua P., James Topitzes, and Arthur J. Reynolds. 2012. “Unsafe at Any Age Linking Childhood and Adolescent Maltreatment to Delinquency and Crime.” </w:t>
      </w:r>
      <w:r w:rsidRPr="003640A4">
        <w:rPr>
          <w:rFonts w:eastAsia="Times New Roman"/>
          <w:i/>
          <w:iCs/>
        </w:rPr>
        <w:t>Journal of Research in Crime and Delinquency</w:t>
      </w:r>
      <w:r w:rsidRPr="003640A4">
        <w:rPr>
          <w:rFonts w:eastAsia="Times New Roman"/>
        </w:rPr>
        <w:t xml:space="preserve"> 49(2):295–318.</w:t>
      </w:r>
    </w:p>
    <w:p w14:paraId="5D942793" w14:textId="77777777" w:rsidR="003640A4" w:rsidRPr="003640A4" w:rsidRDefault="003640A4" w:rsidP="003640A4">
      <w:pPr>
        <w:pStyle w:val="Bibliography"/>
        <w:rPr>
          <w:rFonts w:eastAsia="Times New Roman"/>
        </w:rPr>
      </w:pPr>
      <w:r w:rsidRPr="003640A4">
        <w:rPr>
          <w:rFonts w:eastAsia="Times New Roman"/>
        </w:rPr>
        <w:t xml:space="preserve">Miner, Michael H., Jill M.Klotz Flitter, and Beatrice Bean E. Robinson. 2006. “Association of Sexual Revictimization with Sexuality and Psychological Function.” </w:t>
      </w:r>
      <w:r w:rsidRPr="003640A4">
        <w:rPr>
          <w:rFonts w:eastAsia="Times New Roman"/>
          <w:i/>
          <w:iCs/>
        </w:rPr>
        <w:t>Journal of Interpersonal Violence</w:t>
      </w:r>
      <w:r w:rsidRPr="003640A4">
        <w:rPr>
          <w:rFonts w:eastAsia="Times New Roman"/>
        </w:rPr>
        <w:t xml:space="preserve"> 21(4):503–524.</w:t>
      </w:r>
    </w:p>
    <w:p w14:paraId="17BF190F" w14:textId="77777777" w:rsidR="003640A4" w:rsidRPr="003640A4" w:rsidRDefault="003640A4" w:rsidP="003640A4">
      <w:pPr>
        <w:pStyle w:val="Bibliography"/>
        <w:rPr>
          <w:rFonts w:eastAsia="Times New Roman"/>
        </w:rPr>
      </w:pPr>
      <w:r w:rsidRPr="003640A4">
        <w:rPr>
          <w:rFonts w:eastAsia="Times New Roman"/>
        </w:rPr>
        <w:t xml:space="preserve">Nagin, Daniel and Raymond Paternoster. 2000a. “Population Heterogeneity and State Dependence: State of the Evidence and Directions for Future Research.” </w:t>
      </w:r>
      <w:r w:rsidRPr="003640A4">
        <w:rPr>
          <w:rFonts w:eastAsia="Times New Roman"/>
          <w:i/>
          <w:iCs/>
        </w:rPr>
        <w:t>Journal of Quantitative Criminology</w:t>
      </w:r>
      <w:r w:rsidRPr="003640A4">
        <w:rPr>
          <w:rFonts w:eastAsia="Times New Roman"/>
        </w:rPr>
        <w:t xml:space="preserve"> 16(2):117–44.</w:t>
      </w:r>
    </w:p>
    <w:p w14:paraId="19310215" w14:textId="77777777" w:rsidR="003640A4" w:rsidRPr="003640A4" w:rsidRDefault="003640A4" w:rsidP="003640A4">
      <w:pPr>
        <w:pStyle w:val="Bibliography"/>
        <w:rPr>
          <w:rFonts w:eastAsia="Times New Roman"/>
        </w:rPr>
      </w:pPr>
      <w:r w:rsidRPr="003640A4">
        <w:rPr>
          <w:rFonts w:eastAsia="Times New Roman"/>
        </w:rPr>
        <w:t xml:space="preserve">Nagin, Daniel and Raymond Paternoster. 2000b. “Population Heterogeneity and State Dependence: State of the Evidence and Directions for Future Research.” </w:t>
      </w:r>
      <w:r w:rsidRPr="003640A4">
        <w:rPr>
          <w:rFonts w:eastAsia="Times New Roman"/>
          <w:i/>
          <w:iCs/>
        </w:rPr>
        <w:t>Journal of Quantitative Criminology</w:t>
      </w:r>
      <w:r w:rsidRPr="003640A4">
        <w:rPr>
          <w:rFonts w:eastAsia="Times New Roman"/>
        </w:rPr>
        <w:t xml:space="preserve"> 16(2):117–44.</w:t>
      </w:r>
    </w:p>
    <w:p w14:paraId="0829AADC" w14:textId="77777777" w:rsidR="003640A4" w:rsidRPr="003640A4" w:rsidRDefault="003640A4" w:rsidP="003640A4">
      <w:pPr>
        <w:pStyle w:val="Bibliography"/>
        <w:rPr>
          <w:rFonts w:eastAsia="Times New Roman"/>
        </w:rPr>
      </w:pPr>
      <w:r w:rsidRPr="003640A4">
        <w:rPr>
          <w:rFonts w:eastAsia="Times New Roman"/>
        </w:rPr>
        <w:lastRenderedPageBreak/>
        <w:t xml:space="preserve">Noll, Jennie G., Penelope K. Trickett, and Frank W. Putnam. 2003. “A Prospective Investigation of the Impact of Childhood Sexual Abuse on the Development of Sexuality.” </w:t>
      </w:r>
      <w:r w:rsidRPr="003640A4">
        <w:rPr>
          <w:rFonts w:eastAsia="Times New Roman"/>
          <w:i/>
          <w:iCs/>
        </w:rPr>
        <w:t>Journal of Consulting and Clinical Psychology</w:t>
      </w:r>
      <w:r w:rsidRPr="003640A4">
        <w:rPr>
          <w:rFonts w:eastAsia="Times New Roman"/>
        </w:rPr>
        <w:t xml:space="preserve"> 71(3):575.</w:t>
      </w:r>
    </w:p>
    <w:p w14:paraId="418C7B7C" w14:textId="77777777" w:rsidR="003640A4" w:rsidRPr="003640A4" w:rsidRDefault="003640A4" w:rsidP="003640A4">
      <w:pPr>
        <w:pStyle w:val="Bibliography"/>
        <w:rPr>
          <w:rFonts w:eastAsia="Times New Roman"/>
        </w:rPr>
      </w:pPr>
      <w:r w:rsidRPr="003640A4">
        <w:rPr>
          <w:rFonts w:eastAsia="Times New Roman"/>
        </w:rPr>
        <w:t xml:space="preserve">Ou, Suh-Ruu and Arthur J. Reynolds. 2010. “Childhood Predictors of Young Adult Male Crime.” </w:t>
      </w:r>
      <w:r w:rsidRPr="003640A4">
        <w:rPr>
          <w:rFonts w:eastAsia="Times New Roman"/>
          <w:i/>
          <w:iCs/>
        </w:rPr>
        <w:t>Children and Youth Services Review</w:t>
      </w:r>
      <w:r w:rsidRPr="003640A4">
        <w:rPr>
          <w:rFonts w:eastAsia="Times New Roman"/>
        </w:rPr>
        <w:t xml:space="preserve"> 32(8):1097–1107.</w:t>
      </w:r>
    </w:p>
    <w:p w14:paraId="456A1B6A" w14:textId="77777777" w:rsidR="003640A4" w:rsidRPr="003640A4" w:rsidRDefault="003640A4" w:rsidP="003640A4">
      <w:pPr>
        <w:pStyle w:val="Bibliography"/>
        <w:rPr>
          <w:rFonts w:eastAsia="Times New Roman"/>
        </w:rPr>
      </w:pPr>
      <w:r w:rsidRPr="003640A4">
        <w:rPr>
          <w:rFonts w:eastAsia="Times New Roman"/>
        </w:rPr>
        <w:t xml:space="preserve">Paolucci, Elizabeth Oddone, Mark L. Genuis, and Claudio Violato. 2001a. “A Meta-Analysis of the Published Research on the Effects of Child Sexual Abuse.” </w:t>
      </w:r>
      <w:r w:rsidRPr="003640A4">
        <w:rPr>
          <w:rFonts w:eastAsia="Times New Roman"/>
          <w:i/>
          <w:iCs/>
        </w:rPr>
        <w:t>Journal of Psychology</w:t>
      </w:r>
      <w:r w:rsidRPr="003640A4">
        <w:rPr>
          <w:rFonts w:eastAsia="Times New Roman"/>
        </w:rPr>
        <w:t xml:space="preserve"> 135(1):17.</w:t>
      </w:r>
    </w:p>
    <w:p w14:paraId="12AA8368" w14:textId="77777777" w:rsidR="003640A4" w:rsidRPr="003640A4" w:rsidRDefault="003640A4" w:rsidP="003640A4">
      <w:pPr>
        <w:pStyle w:val="Bibliography"/>
        <w:rPr>
          <w:rFonts w:eastAsia="Times New Roman"/>
        </w:rPr>
      </w:pPr>
      <w:r w:rsidRPr="003640A4">
        <w:rPr>
          <w:rFonts w:eastAsia="Times New Roman"/>
        </w:rPr>
        <w:t xml:space="preserve">Paolucci, Elizabeth Oddone, Mark L. Genuis, and Claudio Violato. 2001b. “A Meta-Analysis of the Published Research on the Effects of Child Sexual Abuse.” </w:t>
      </w:r>
      <w:r w:rsidRPr="003640A4">
        <w:rPr>
          <w:rFonts w:eastAsia="Times New Roman"/>
          <w:i/>
          <w:iCs/>
        </w:rPr>
        <w:t>The Journal of Psychology</w:t>
      </w:r>
      <w:r w:rsidRPr="003640A4">
        <w:rPr>
          <w:rFonts w:eastAsia="Times New Roman"/>
        </w:rPr>
        <w:t xml:space="preserve"> 135(1):17–36.</w:t>
      </w:r>
    </w:p>
    <w:p w14:paraId="327FF4B7" w14:textId="77777777" w:rsidR="003640A4" w:rsidRPr="003640A4" w:rsidRDefault="003640A4" w:rsidP="003640A4">
      <w:pPr>
        <w:pStyle w:val="Bibliography"/>
        <w:rPr>
          <w:rFonts w:eastAsia="Times New Roman"/>
        </w:rPr>
      </w:pPr>
      <w:r w:rsidRPr="003640A4">
        <w:rPr>
          <w:rFonts w:eastAsia="Times New Roman"/>
        </w:rPr>
        <w:t xml:space="preserve">Pasta, David J. 2009. “Learning When to Be Discrete: Continuous vs. Categorical Predictors.” in </w:t>
      </w:r>
      <w:r w:rsidRPr="003640A4">
        <w:rPr>
          <w:rFonts w:eastAsia="Times New Roman"/>
          <w:i/>
          <w:iCs/>
        </w:rPr>
        <w:t>SAS Global Forum</w:t>
      </w:r>
      <w:r w:rsidRPr="003640A4">
        <w:rPr>
          <w:rFonts w:eastAsia="Times New Roman"/>
        </w:rPr>
        <w:t>, vol. 248.</w:t>
      </w:r>
    </w:p>
    <w:p w14:paraId="71DBD257" w14:textId="77777777" w:rsidR="003640A4" w:rsidRPr="003640A4" w:rsidRDefault="003640A4" w:rsidP="003640A4">
      <w:pPr>
        <w:pStyle w:val="Bibliography"/>
        <w:rPr>
          <w:rFonts w:eastAsia="Times New Roman"/>
        </w:rPr>
      </w:pPr>
      <w:r w:rsidRPr="003640A4">
        <w:rPr>
          <w:rFonts w:eastAsia="Times New Roman"/>
        </w:rPr>
        <w:t xml:space="preserve">Piquero, Alex R. 2008. “Disproportionate Minority Contact.” </w:t>
      </w:r>
      <w:r w:rsidRPr="003640A4">
        <w:rPr>
          <w:rFonts w:eastAsia="Times New Roman"/>
          <w:i/>
          <w:iCs/>
        </w:rPr>
        <w:t>The Future of Children</w:t>
      </w:r>
      <w:r w:rsidRPr="003640A4">
        <w:rPr>
          <w:rFonts w:eastAsia="Times New Roman"/>
        </w:rPr>
        <w:t xml:space="preserve"> 18(2):59–79.</w:t>
      </w:r>
    </w:p>
    <w:p w14:paraId="192146D9" w14:textId="77777777" w:rsidR="003640A4" w:rsidRPr="003640A4" w:rsidRDefault="003640A4" w:rsidP="003640A4">
      <w:pPr>
        <w:pStyle w:val="Bibliography"/>
        <w:rPr>
          <w:rFonts w:eastAsia="Times New Roman"/>
        </w:rPr>
      </w:pPr>
      <w:r w:rsidRPr="003640A4">
        <w:rPr>
          <w:rFonts w:eastAsia="Times New Roman"/>
        </w:rPr>
        <w:t>Purcell, David W., Robert M. Malow, Curtis Dolezal, and Alex Carballo-Dieguez. 2004. “Sexual Abuse of Boys: Short-and Long-Term Associations and Implications for HIV Prevention.” Retrieved March 30, 2016 (http://0-psycnet.apa.org.library.uark.edu/books/10785/005).</w:t>
      </w:r>
    </w:p>
    <w:p w14:paraId="2CA7B465" w14:textId="77777777" w:rsidR="003640A4" w:rsidRPr="003640A4" w:rsidRDefault="003640A4" w:rsidP="003640A4">
      <w:pPr>
        <w:pStyle w:val="Bibliography"/>
        <w:rPr>
          <w:rFonts w:eastAsia="Times New Roman"/>
        </w:rPr>
      </w:pPr>
      <w:r w:rsidRPr="003640A4">
        <w:rPr>
          <w:rFonts w:eastAsia="Times New Roman"/>
        </w:rPr>
        <w:t xml:space="preserve">Rainey, David Y., Catherine Stevens-Simon, and David W. Kaplan. 1995. “Are Adolescents Who Report Prior Sexual Abuse at Higher Risk for Pregnancy?” </w:t>
      </w:r>
      <w:r w:rsidRPr="003640A4">
        <w:rPr>
          <w:rFonts w:eastAsia="Times New Roman"/>
          <w:i/>
          <w:iCs/>
        </w:rPr>
        <w:t>Child Abuse &amp; Neglect</w:t>
      </w:r>
      <w:r w:rsidRPr="003640A4">
        <w:rPr>
          <w:rFonts w:eastAsia="Times New Roman"/>
        </w:rPr>
        <w:t xml:space="preserve"> 19(10):1283–88.</w:t>
      </w:r>
    </w:p>
    <w:p w14:paraId="38C05E0F" w14:textId="77777777" w:rsidR="003640A4" w:rsidRPr="003640A4" w:rsidRDefault="003640A4" w:rsidP="003640A4">
      <w:pPr>
        <w:pStyle w:val="Bibliography"/>
        <w:rPr>
          <w:rFonts w:eastAsia="Times New Roman"/>
        </w:rPr>
      </w:pPr>
      <w:r w:rsidRPr="003640A4">
        <w:rPr>
          <w:rFonts w:eastAsia="Times New Roman"/>
        </w:rPr>
        <w:t xml:space="preserve">Reilly, Thom. 2003. “Transition from Care: Status and Outcomes of Youth Who Age out of Foster Care.” </w:t>
      </w:r>
      <w:r w:rsidRPr="003640A4">
        <w:rPr>
          <w:rFonts w:eastAsia="Times New Roman"/>
          <w:i/>
          <w:iCs/>
        </w:rPr>
        <w:t>CHILD WELFARE-NEW YORK-</w:t>
      </w:r>
      <w:r w:rsidRPr="003640A4">
        <w:rPr>
          <w:rFonts w:eastAsia="Times New Roman"/>
        </w:rPr>
        <w:t xml:space="preserve"> 82(6):727–746.</w:t>
      </w:r>
    </w:p>
    <w:p w14:paraId="46E53759" w14:textId="77777777" w:rsidR="003640A4" w:rsidRPr="003640A4" w:rsidRDefault="003640A4" w:rsidP="003640A4">
      <w:pPr>
        <w:pStyle w:val="Bibliography"/>
        <w:rPr>
          <w:rFonts w:eastAsia="Times New Roman"/>
        </w:rPr>
      </w:pPr>
      <w:r w:rsidRPr="003640A4">
        <w:rPr>
          <w:rFonts w:eastAsia="Times New Roman"/>
        </w:rPr>
        <w:t xml:space="preserve">Risley-Curtiss, Christina. 1997. “Sexual Activity and Contraceptive Use among Children Entering out-of-Home Care.” </w:t>
      </w:r>
      <w:r w:rsidRPr="003640A4">
        <w:rPr>
          <w:rFonts w:eastAsia="Times New Roman"/>
          <w:i/>
          <w:iCs/>
        </w:rPr>
        <w:t>Child Welfare</w:t>
      </w:r>
      <w:r w:rsidRPr="003640A4">
        <w:rPr>
          <w:rFonts w:eastAsia="Times New Roman"/>
        </w:rPr>
        <w:t xml:space="preserve"> 76(4):475–99.</w:t>
      </w:r>
    </w:p>
    <w:p w14:paraId="62891943" w14:textId="77777777" w:rsidR="003640A4" w:rsidRPr="003640A4" w:rsidRDefault="003640A4" w:rsidP="003640A4">
      <w:pPr>
        <w:pStyle w:val="Bibliography"/>
        <w:rPr>
          <w:rFonts w:eastAsia="Times New Roman"/>
        </w:rPr>
      </w:pPr>
      <w:r w:rsidRPr="003640A4">
        <w:rPr>
          <w:rFonts w:eastAsia="Times New Roman"/>
        </w:rPr>
        <w:t xml:space="preserve">Romans, Sarah E., J. L. Martin, and E. M. Morris. 1997. “Risk Factors for Adolescent Pregnancy: How Important Is Child Sexual Abuse? Otago Women’s Health Study.” </w:t>
      </w:r>
      <w:r w:rsidRPr="003640A4">
        <w:rPr>
          <w:rFonts w:eastAsia="Times New Roman"/>
          <w:i/>
          <w:iCs/>
        </w:rPr>
        <w:t>The New Zealand Medical Journal</w:t>
      </w:r>
      <w:r w:rsidRPr="003640A4">
        <w:rPr>
          <w:rFonts w:eastAsia="Times New Roman"/>
        </w:rPr>
        <w:t xml:space="preserve"> 110(1037):30–33.</w:t>
      </w:r>
    </w:p>
    <w:p w14:paraId="409B0791" w14:textId="77777777" w:rsidR="003640A4" w:rsidRPr="003640A4" w:rsidRDefault="003640A4" w:rsidP="003640A4">
      <w:pPr>
        <w:pStyle w:val="Bibliography"/>
        <w:rPr>
          <w:rFonts w:eastAsia="Times New Roman"/>
        </w:rPr>
      </w:pPr>
      <w:r w:rsidRPr="003640A4">
        <w:rPr>
          <w:rFonts w:eastAsia="Times New Roman"/>
        </w:rPr>
        <w:lastRenderedPageBreak/>
        <w:t xml:space="preserve">Ryan, Joseph P., Pedro M. Hernandez, and Denise Herz. 2007. “Developmental Trajectories of Offending for Male Adolescents Leaving Foster Care.” </w:t>
      </w:r>
      <w:r w:rsidRPr="003640A4">
        <w:rPr>
          <w:rFonts w:eastAsia="Times New Roman"/>
          <w:i/>
          <w:iCs/>
        </w:rPr>
        <w:t>Social Work Research</w:t>
      </w:r>
      <w:r w:rsidRPr="003640A4">
        <w:rPr>
          <w:rFonts w:eastAsia="Times New Roman"/>
        </w:rPr>
        <w:t xml:space="preserve"> 31(2):83–93.</w:t>
      </w:r>
    </w:p>
    <w:p w14:paraId="167E128E" w14:textId="77777777" w:rsidR="003640A4" w:rsidRPr="003640A4" w:rsidRDefault="003640A4" w:rsidP="003640A4">
      <w:pPr>
        <w:pStyle w:val="Bibliography"/>
        <w:rPr>
          <w:rFonts w:eastAsia="Times New Roman"/>
        </w:rPr>
      </w:pPr>
      <w:r w:rsidRPr="003640A4">
        <w:rPr>
          <w:rFonts w:eastAsia="Times New Roman"/>
        </w:rPr>
        <w:t xml:space="preserve">Ryan, Joseph P., Jun Sung Hong, Denise Herz, and Pedro M. Hernandez. 2010. “Kinship Foster Care and the Risk of Juvenile Delinquency.” </w:t>
      </w:r>
      <w:r w:rsidRPr="003640A4">
        <w:rPr>
          <w:rFonts w:eastAsia="Times New Roman"/>
          <w:i/>
          <w:iCs/>
        </w:rPr>
        <w:t>Children and Youth Services Review</w:t>
      </w:r>
      <w:r w:rsidRPr="003640A4">
        <w:rPr>
          <w:rFonts w:eastAsia="Times New Roman"/>
        </w:rPr>
        <w:t xml:space="preserve"> 32(12):1823–30.</w:t>
      </w:r>
    </w:p>
    <w:p w14:paraId="7D9A92FF" w14:textId="77777777" w:rsidR="003640A4" w:rsidRPr="003640A4" w:rsidRDefault="003640A4" w:rsidP="003640A4">
      <w:pPr>
        <w:pStyle w:val="Bibliography"/>
        <w:rPr>
          <w:rFonts w:eastAsia="Times New Roman"/>
        </w:rPr>
      </w:pPr>
      <w:r w:rsidRPr="003640A4">
        <w:rPr>
          <w:rFonts w:eastAsia="Times New Roman"/>
        </w:rPr>
        <w:t xml:space="preserve">Ryan, Joseph P., Jane Marie Marshall, Denise Herz, and Pedro M. Hernandez. 2008. “Juvenile Delinquency in Child Welfare: Investigating Group Home Effects.” </w:t>
      </w:r>
      <w:r w:rsidRPr="003640A4">
        <w:rPr>
          <w:rFonts w:eastAsia="Times New Roman"/>
          <w:i/>
          <w:iCs/>
        </w:rPr>
        <w:t>Children and Youth Services Review</w:t>
      </w:r>
      <w:r w:rsidRPr="003640A4">
        <w:rPr>
          <w:rFonts w:eastAsia="Times New Roman"/>
        </w:rPr>
        <w:t xml:space="preserve"> 30(9):1088–1099.</w:t>
      </w:r>
    </w:p>
    <w:p w14:paraId="2E06306E" w14:textId="77777777" w:rsidR="003640A4" w:rsidRPr="003640A4" w:rsidRDefault="003640A4" w:rsidP="003640A4">
      <w:pPr>
        <w:pStyle w:val="Bibliography"/>
        <w:rPr>
          <w:rFonts w:eastAsia="Times New Roman"/>
        </w:rPr>
      </w:pPr>
      <w:r w:rsidRPr="003640A4">
        <w:rPr>
          <w:rFonts w:eastAsia="Times New Roman"/>
        </w:rPr>
        <w:t xml:space="preserve">Ryan, Joseph P. and Mark F. Testa. 2005. “Child Maltreatment and Juvenile Delinquency: Investigating the Role of Placement and Placement Instability.” </w:t>
      </w:r>
      <w:r w:rsidRPr="003640A4">
        <w:rPr>
          <w:rFonts w:eastAsia="Times New Roman"/>
          <w:i/>
          <w:iCs/>
        </w:rPr>
        <w:t>Children and Youth Services Review</w:t>
      </w:r>
      <w:r w:rsidRPr="003640A4">
        <w:rPr>
          <w:rFonts w:eastAsia="Times New Roman"/>
        </w:rPr>
        <w:t xml:space="preserve"> 27(3):227–49.</w:t>
      </w:r>
    </w:p>
    <w:p w14:paraId="3E7CC61A" w14:textId="77777777" w:rsidR="003640A4" w:rsidRPr="003640A4" w:rsidRDefault="003640A4" w:rsidP="003640A4">
      <w:pPr>
        <w:pStyle w:val="Bibliography"/>
        <w:rPr>
          <w:rFonts w:eastAsia="Times New Roman"/>
        </w:rPr>
      </w:pPr>
      <w:r w:rsidRPr="003640A4">
        <w:rPr>
          <w:rFonts w:eastAsia="Times New Roman"/>
        </w:rPr>
        <w:t xml:space="preserve">Ryan, Joseph, Mark F. Testa, and Fuhua Zhai. 2008. “African American Males in Foster Care and the Risk of Delinquency: The Value of Social Bonds and Permanence.” </w:t>
      </w:r>
      <w:r w:rsidRPr="003640A4">
        <w:rPr>
          <w:rFonts w:eastAsia="Times New Roman"/>
          <w:i/>
          <w:iCs/>
        </w:rPr>
        <w:t>Child Welfare</w:t>
      </w:r>
      <w:r w:rsidRPr="003640A4">
        <w:rPr>
          <w:rFonts w:eastAsia="Times New Roman"/>
        </w:rPr>
        <w:t xml:space="preserve"> 87(1):115.</w:t>
      </w:r>
    </w:p>
    <w:p w14:paraId="53C89AA0" w14:textId="77777777" w:rsidR="003640A4" w:rsidRPr="003640A4" w:rsidRDefault="003640A4" w:rsidP="003640A4">
      <w:pPr>
        <w:pStyle w:val="Bibliography"/>
        <w:rPr>
          <w:rFonts w:eastAsia="Times New Roman"/>
        </w:rPr>
      </w:pPr>
      <w:r w:rsidRPr="003640A4">
        <w:rPr>
          <w:rFonts w:eastAsia="Times New Roman"/>
        </w:rPr>
        <w:t xml:space="preserve">Ryan, Rebecca M., Jane Mendle, and Anna J. Markowitz. 2015. “Early Childhood Maltreatment and Girls’ Sexual Behavior: The Mediating Role of Pubertal Timing.” </w:t>
      </w:r>
      <w:r w:rsidRPr="003640A4">
        <w:rPr>
          <w:rFonts w:eastAsia="Times New Roman"/>
          <w:i/>
          <w:iCs/>
        </w:rPr>
        <w:t>Journal of Adolescent Health</w:t>
      </w:r>
      <w:r w:rsidRPr="003640A4">
        <w:rPr>
          <w:rFonts w:eastAsia="Times New Roman"/>
        </w:rPr>
        <w:t xml:space="preserve"> 57(3):342–47.</w:t>
      </w:r>
    </w:p>
    <w:p w14:paraId="51E0DB65" w14:textId="77777777" w:rsidR="003640A4" w:rsidRPr="003640A4" w:rsidRDefault="003640A4" w:rsidP="003640A4">
      <w:pPr>
        <w:pStyle w:val="Bibliography"/>
        <w:rPr>
          <w:rFonts w:eastAsia="Times New Roman"/>
        </w:rPr>
      </w:pPr>
      <w:r w:rsidRPr="003640A4">
        <w:rPr>
          <w:rFonts w:eastAsia="Times New Roman"/>
        </w:rPr>
        <w:t xml:space="preserve">Sampson, Robert J. 1995. </w:t>
      </w:r>
      <w:r w:rsidRPr="003640A4">
        <w:rPr>
          <w:rFonts w:eastAsia="Times New Roman"/>
          <w:i/>
          <w:iCs/>
        </w:rPr>
        <w:t>Crime in the Making: Pathways and Turning Points through Life</w:t>
      </w:r>
      <w:r w:rsidRPr="003640A4">
        <w:rPr>
          <w:rFonts w:eastAsia="Times New Roman"/>
        </w:rPr>
        <w:t>. Harvard University Press.</w:t>
      </w:r>
    </w:p>
    <w:p w14:paraId="3A4D816A" w14:textId="77777777" w:rsidR="003640A4" w:rsidRPr="003640A4" w:rsidRDefault="003640A4" w:rsidP="003640A4">
      <w:pPr>
        <w:pStyle w:val="Bibliography"/>
        <w:rPr>
          <w:rFonts w:eastAsia="Times New Roman"/>
        </w:rPr>
      </w:pPr>
      <w:r w:rsidRPr="003640A4">
        <w:rPr>
          <w:rFonts w:eastAsia="Times New Roman"/>
        </w:rPr>
        <w:t xml:space="preserve">Sampson, Robert J. and John H. Laub. 1990. “Crime and Deviance over the Life Course: The Salience of Adult Social Bonds.” </w:t>
      </w:r>
      <w:r w:rsidRPr="003640A4">
        <w:rPr>
          <w:rFonts w:eastAsia="Times New Roman"/>
          <w:i/>
          <w:iCs/>
        </w:rPr>
        <w:t>American Sociological Review</w:t>
      </w:r>
      <w:r w:rsidRPr="003640A4">
        <w:rPr>
          <w:rFonts w:eastAsia="Times New Roman"/>
        </w:rPr>
        <w:t xml:space="preserve"> 55(5):609–27.</w:t>
      </w:r>
    </w:p>
    <w:p w14:paraId="4A6AA389" w14:textId="77777777" w:rsidR="003640A4" w:rsidRPr="003640A4" w:rsidRDefault="003640A4" w:rsidP="003640A4">
      <w:pPr>
        <w:pStyle w:val="Bibliography"/>
        <w:rPr>
          <w:rFonts w:eastAsia="Times New Roman"/>
        </w:rPr>
      </w:pPr>
      <w:r w:rsidRPr="003640A4">
        <w:rPr>
          <w:rFonts w:eastAsia="Times New Roman"/>
        </w:rPr>
        <w:t xml:space="preserve">Sampson, Robert J. and John H. Laub. 1995a. </w:t>
      </w:r>
      <w:r w:rsidRPr="003640A4">
        <w:rPr>
          <w:rFonts w:eastAsia="Times New Roman"/>
          <w:i/>
          <w:iCs/>
        </w:rPr>
        <w:t>Crime in the Making: Pathways and Turning Points through Life</w:t>
      </w:r>
      <w:r w:rsidRPr="003640A4">
        <w:rPr>
          <w:rFonts w:eastAsia="Times New Roman"/>
        </w:rPr>
        <w:t>. Cambridge, Mass.: Harvard University Press.</w:t>
      </w:r>
    </w:p>
    <w:p w14:paraId="7810AB6A" w14:textId="77777777" w:rsidR="003640A4" w:rsidRPr="003640A4" w:rsidRDefault="003640A4" w:rsidP="003640A4">
      <w:pPr>
        <w:pStyle w:val="Bibliography"/>
        <w:rPr>
          <w:rFonts w:eastAsia="Times New Roman"/>
        </w:rPr>
      </w:pPr>
      <w:r w:rsidRPr="003640A4">
        <w:rPr>
          <w:rFonts w:eastAsia="Times New Roman"/>
        </w:rPr>
        <w:t xml:space="preserve">Sampson, Robert J. and John H. Laub. 1995b. “Understanding Variability in Lives through Time: Contributions of Life-Course Criminology.” </w:t>
      </w:r>
      <w:r w:rsidRPr="003640A4">
        <w:rPr>
          <w:rFonts w:eastAsia="Times New Roman"/>
          <w:i/>
          <w:iCs/>
        </w:rPr>
        <w:t>Studies on Crime &amp; Crime Prevention</w:t>
      </w:r>
      <w:r w:rsidRPr="003640A4">
        <w:rPr>
          <w:rFonts w:eastAsia="Times New Roman"/>
        </w:rPr>
        <w:t xml:space="preserve"> 4(2):143–58.</w:t>
      </w:r>
    </w:p>
    <w:p w14:paraId="328CE9E2" w14:textId="77777777" w:rsidR="003640A4" w:rsidRPr="003640A4" w:rsidRDefault="003640A4" w:rsidP="003640A4">
      <w:pPr>
        <w:pStyle w:val="Bibliography"/>
        <w:rPr>
          <w:rFonts w:eastAsia="Times New Roman"/>
        </w:rPr>
      </w:pPr>
      <w:r w:rsidRPr="003640A4">
        <w:rPr>
          <w:rFonts w:eastAsia="Times New Roman"/>
        </w:rPr>
        <w:t>Samuels, Steven. 2011a. “Re: St: Multicollinearity with Survey Data.” Retrieved March 1, 2017 (http://www.stata.com/statalist/archive/2011-02/msg01254.html).</w:t>
      </w:r>
    </w:p>
    <w:p w14:paraId="62F55DFD" w14:textId="77777777" w:rsidR="003640A4" w:rsidRPr="003640A4" w:rsidRDefault="003640A4" w:rsidP="003640A4">
      <w:pPr>
        <w:pStyle w:val="Bibliography"/>
        <w:rPr>
          <w:rFonts w:eastAsia="Times New Roman"/>
        </w:rPr>
      </w:pPr>
      <w:r w:rsidRPr="003640A4">
        <w:rPr>
          <w:rFonts w:eastAsia="Times New Roman"/>
        </w:rPr>
        <w:lastRenderedPageBreak/>
        <w:t>Samuels, Steven. 2011b. “Re: St: Svylogitgof after Logistic Using Subpop Option.” Retrieved February 27, 2017 (http://www.stata.com/statalist/archive/2011-03/msg00550.html).</w:t>
      </w:r>
    </w:p>
    <w:p w14:paraId="7A239969" w14:textId="77777777" w:rsidR="003640A4" w:rsidRPr="003640A4" w:rsidRDefault="003640A4" w:rsidP="003640A4">
      <w:pPr>
        <w:pStyle w:val="Bibliography"/>
        <w:rPr>
          <w:rFonts w:eastAsia="Times New Roman"/>
        </w:rPr>
      </w:pPr>
      <w:r w:rsidRPr="003640A4">
        <w:rPr>
          <w:rFonts w:eastAsia="Times New Roman"/>
        </w:rPr>
        <w:t xml:space="preserve">Sandfort, Theo G. M., Mark Orr, Jennifer S. Hirsch, and John Santelli. 2008. “Long-Term Health Correlates of Timing of Sexual Debut: Results From a National US Study.” </w:t>
      </w:r>
      <w:r w:rsidRPr="003640A4">
        <w:rPr>
          <w:rFonts w:eastAsia="Times New Roman"/>
          <w:i/>
          <w:iCs/>
        </w:rPr>
        <w:t>American Journal of Public Health</w:t>
      </w:r>
      <w:r w:rsidRPr="003640A4">
        <w:rPr>
          <w:rFonts w:eastAsia="Times New Roman"/>
        </w:rPr>
        <w:t xml:space="preserve"> 98(1):155–61.</w:t>
      </w:r>
    </w:p>
    <w:p w14:paraId="42C13D91" w14:textId="77777777" w:rsidR="003640A4" w:rsidRPr="003640A4" w:rsidRDefault="003640A4" w:rsidP="003640A4">
      <w:pPr>
        <w:pStyle w:val="Bibliography"/>
        <w:rPr>
          <w:rFonts w:eastAsia="Times New Roman"/>
        </w:rPr>
      </w:pPr>
      <w:r w:rsidRPr="003640A4">
        <w:rPr>
          <w:rFonts w:eastAsia="Times New Roman"/>
        </w:rPr>
        <w:t xml:space="preserve">Singer, Amanda. 2006. “Assessing Outcomes of Youth Transitioning from Foster Care.” </w:t>
      </w:r>
      <w:r w:rsidRPr="003640A4">
        <w:rPr>
          <w:rFonts w:eastAsia="Times New Roman"/>
          <w:i/>
          <w:iCs/>
        </w:rPr>
        <w:t>Salt Lake City, UT: Department of Human Services</w:t>
      </w:r>
      <w:r w:rsidRPr="003640A4">
        <w:rPr>
          <w:rFonts w:eastAsia="Times New Roman"/>
        </w:rPr>
        <w:t>.</w:t>
      </w:r>
    </w:p>
    <w:p w14:paraId="0A63B739" w14:textId="77777777" w:rsidR="003640A4" w:rsidRPr="003640A4" w:rsidRDefault="003640A4" w:rsidP="003640A4">
      <w:pPr>
        <w:pStyle w:val="Bibliography"/>
        <w:rPr>
          <w:rFonts w:eastAsia="Times New Roman"/>
        </w:rPr>
      </w:pPr>
      <w:r w:rsidRPr="003640A4">
        <w:rPr>
          <w:rFonts w:eastAsia="Times New Roman"/>
        </w:rPr>
        <w:t xml:space="preserve">Smith, Carolyn A., Aely Park, Timothy O. Ireland, Laura Elwyn, and Terence P. Thornberry. 2012. “Long-Term Outcomes of Young Adults Exposed to Maltreatment: The Role of Educational Experiences in Promoting Resilience to Crime and Violence in Early Adulthood.” </w:t>
      </w:r>
      <w:r w:rsidRPr="003640A4">
        <w:rPr>
          <w:rFonts w:eastAsia="Times New Roman"/>
          <w:i/>
          <w:iCs/>
        </w:rPr>
        <w:t>Journal of Interpersonal Violence</w:t>
      </w:r>
      <w:r w:rsidRPr="003640A4">
        <w:rPr>
          <w:rFonts w:eastAsia="Times New Roman"/>
        </w:rPr>
        <w:t xml:space="preserve"> 0886260512448845.</w:t>
      </w:r>
    </w:p>
    <w:p w14:paraId="2E78CD7D" w14:textId="77777777" w:rsidR="003640A4" w:rsidRPr="003640A4" w:rsidRDefault="003640A4" w:rsidP="003640A4">
      <w:pPr>
        <w:pStyle w:val="Bibliography"/>
        <w:rPr>
          <w:rFonts w:eastAsia="Times New Roman"/>
        </w:rPr>
      </w:pPr>
      <w:r w:rsidRPr="003640A4">
        <w:rPr>
          <w:rFonts w:eastAsia="Times New Roman"/>
        </w:rPr>
        <w:t xml:space="preserve">Snyder, Susan M. and Darcey H. Merritt. 2014. “Do Childhood Experiences of Neglect Affect Delinquency among Child Welfare Involved-Youth?” </w:t>
      </w:r>
      <w:r w:rsidRPr="003640A4">
        <w:rPr>
          <w:rFonts w:eastAsia="Times New Roman"/>
          <w:i/>
          <w:iCs/>
        </w:rPr>
        <w:t>Children and Youth Services Review</w:t>
      </w:r>
      <w:r w:rsidRPr="003640A4">
        <w:rPr>
          <w:rFonts w:eastAsia="Times New Roman"/>
        </w:rPr>
        <w:t xml:space="preserve"> 46:64–71.</w:t>
      </w:r>
    </w:p>
    <w:p w14:paraId="6B700EB2" w14:textId="77777777" w:rsidR="003640A4" w:rsidRPr="003640A4" w:rsidRDefault="003640A4" w:rsidP="003640A4">
      <w:pPr>
        <w:pStyle w:val="Bibliography"/>
        <w:rPr>
          <w:rFonts w:eastAsia="Times New Roman"/>
        </w:rPr>
      </w:pPr>
      <w:r w:rsidRPr="003640A4">
        <w:rPr>
          <w:rFonts w:eastAsia="Times New Roman"/>
        </w:rPr>
        <w:t xml:space="preserve">Spohn, Ryan E. 2000. “Gender Differences in the Effect of Child Maltreatment on Criminal Activity over the Life Course.” </w:t>
      </w:r>
      <w:r w:rsidRPr="003640A4">
        <w:rPr>
          <w:rFonts w:eastAsia="Times New Roman"/>
          <w:i/>
          <w:iCs/>
        </w:rPr>
        <w:t>Contemporary Perspectives in Family Research</w:t>
      </w:r>
      <w:r w:rsidRPr="003640A4">
        <w:rPr>
          <w:rFonts w:eastAsia="Times New Roman"/>
        </w:rPr>
        <w:t xml:space="preserve"> 2:207–231.</w:t>
      </w:r>
    </w:p>
    <w:p w14:paraId="44F0BE25" w14:textId="77777777" w:rsidR="003640A4" w:rsidRPr="003640A4" w:rsidRDefault="003640A4" w:rsidP="003640A4">
      <w:pPr>
        <w:pStyle w:val="Bibliography"/>
        <w:rPr>
          <w:rFonts w:eastAsia="Times New Roman"/>
        </w:rPr>
      </w:pPr>
      <w:r w:rsidRPr="003640A4">
        <w:rPr>
          <w:rFonts w:eastAsia="Times New Roman"/>
        </w:rPr>
        <w:t xml:space="preserve">Stata Corporation, ed. 2015. </w:t>
      </w:r>
      <w:r w:rsidRPr="003640A4">
        <w:rPr>
          <w:rFonts w:eastAsia="Times New Roman"/>
          <w:i/>
          <w:iCs/>
        </w:rPr>
        <w:t>Stata Survey Data: Reference Manual ; Release 14</w:t>
      </w:r>
      <w:r w:rsidRPr="003640A4">
        <w:rPr>
          <w:rFonts w:eastAsia="Times New Roman"/>
        </w:rPr>
        <w:t>. College Station, Tex. Stata Press.</w:t>
      </w:r>
    </w:p>
    <w:p w14:paraId="62BB7877" w14:textId="77777777" w:rsidR="003640A4" w:rsidRPr="003640A4" w:rsidRDefault="003640A4" w:rsidP="003640A4">
      <w:pPr>
        <w:pStyle w:val="Bibliography"/>
        <w:rPr>
          <w:rFonts w:eastAsia="Times New Roman"/>
        </w:rPr>
      </w:pPr>
      <w:r w:rsidRPr="003640A4">
        <w:rPr>
          <w:rFonts w:eastAsia="Times New Roman"/>
        </w:rPr>
        <w:t xml:space="preserve">Stevens-Simon C and Reichert S. 1994. “Sexual Abuse, Adolescent Pregnancy, and Child Abuse: A Developmental Approach to an Intergenerational Cycle.” </w:t>
      </w:r>
      <w:r w:rsidRPr="003640A4">
        <w:rPr>
          <w:rFonts w:eastAsia="Times New Roman"/>
          <w:i/>
          <w:iCs/>
        </w:rPr>
        <w:t>Archives of Pediatrics &amp; Adolescent Medicine</w:t>
      </w:r>
      <w:r w:rsidRPr="003640A4">
        <w:rPr>
          <w:rFonts w:eastAsia="Times New Roman"/>
        </w:rPr>
        <w:t xml:space="preserve"> 148(1):23–27.</w:t>
      </w:r>
    </w:p>
    <w:p w14:paraId="4D096411" w14:textId="77777777" w:rsidR="003640A4" w:rsidRPr="003640A4" w:rsidRDefault="003640A4" w:rsidP="003640A4">
      <w:pPr>
        <w:pStyle w:val="Bibliography"/>
        <w:rPr>
          <w:rFonts w:eastAsia="Times New Roman"/>
        </w:rPr>
      </w:pPr>
      <w:r w:rsidRPr="003640A4">
        <w:rPr>
          <w:rFonts w:eastAsia="Times New Roman"/>
        </w:rPr>
        <w:t xml:space="preserve">Stewart, Anna, Michael Livingston, and Susan Dennison. 2008. “Transitions and Turning Points: Examining the Links between Child Maltreatment and Juvenile Offending.” </w:t>
      </w:r>
      <w:r w:rsidRPr="003640A4">
        <w:rPr>
          <w:rFonts w:eastAsia="Times New Roman"/>
          <w:i/>
          <w:iCs/>
        </w:rPr>
        <w:t>Child Abuse &amp; Neglect</w:t>
      </w:r>
      <w:r w:rsidRPr="003640A4">
        <w:rPr>
          <w:rFonts w:eastAsia="Times New Roman"/>
        </w:rPr>
        <w:t xml:space="preserve"> 32(1):51–66.</w:t>
      </w:r>
    </w:p>
    <w:p w14:paraId="7C50BD29" w14:textId="77777777" w:rsidR="003640A4" w:rsidRPr="003640A4" w:rsidRDefault="003640A4" w:rsidP="003640A4">
      <w:pPr>
        <w:pStyle w:val="Bibliography"/>
        <w:rPr>
          <w:rFonts w:eastAsia="Times New Roman"/>
        </w:rPr>
      </w:pPr>
      <w:r w:rsidRPr="003640A4">
        <w:rPr>
          <w:rFonts w:eastAsia="Times New Roman"/>
        </w:rPr>
        <w:t xml:space="preserve">Stewart, Anna, Elissa Waterson, and Susan Dennison. 2002. </w:t>
      </w:r>
      <w:r w:rsidRPr="003640A4">
        <w:rPr>
          <w:rFonts w:eastAsia="Times New Roman"/>
          <w:i/>
          <w:iCs/>
        </w:rPr>
        <w:t>Pathways from Child Maltreatment to Juvenile Offending</w:t>
      </w:r>
      <w:r w:rsidRPr="003640A4">
        <w:rPr>
          <w:rFonts w:eastAsia="Times New Roman"/>
        </w:rPr>
        <w:t>. Australian Institute of Criminology Canberra, ACT. Retrieved June 2, 2016 (https://www.researchgate.net/profile/Anna_Stewart4/publication/40871770_Pathways_from_child_maltreatment_to_juvenile_offending/links/0a85e530b132e1cc50000000.pdf).</w:t>
      </w:r>
    </w:p>
    <w:p w14:paraId="4075B7B2" w14:textId="77777777" w:rsidR="003640A4" w:rsidRPr="003640A4" w:rsidRDefault="003640A4" w:rsidP="003640A4">
      <w:pPr>
        <w:pStyle w:val="Bibliography"/>
        <w:rPr>
          <w:rFonts w:eastAsia="Times New Roman"/>
        </w:rPr>
      </w:pPr>
      <w:r w:rsidRPr="003640A4">
        <w:rPr>
          <w:rFonts w:eastAsia="Times New Roman"/>
        </w:rPr>
        <w:lastRenderedPageBreak/>
        <w:t xml:space="preserve">Stott, Tonia. 2011. “Placement Instability and Risky Behaviors of Youth Aging Out of Foster Care.” </w:t>
      </w:r>
      <w:r w:rsidRPr="003640A4">
        <w:rPr>
          <w:rFonts w:eastAsia="Times New Roman"/>
          <w:i/>
          <w:iCs/>
        </w:rPr>
        <w:t>Child and Adolescent Social Work Journal</w:t>
      </w:r>
      <w:r w:rsidRPr="003640A4">
        <w:rPr>
          <w:rFonts w:eastAsia="Times New Roman"/>
        </w:rPr>
        <w:t xml:space="preserve"> 29(1):61–83.</w:t>
      </w:r>
    </w:p>
    <w:p w14:paraId="7F14ED6B" w14:textId="77777777" w:rsidR="003640A4" w:rsidRPr="003640A4" w:rsidRDefault="003640A4" w:rsidP="003640A4">
      <w:pPr>
        <w:pStyle w:val="Bibliography"/>
        <w:rPr>
          <w:rFonts w:eastAsia="Times New Roman"/>
        </w:rPr>
      </w:pPr>
      <w:r w:rsidRPr="003640A4">
        <w:rPr>
          <w:rFonts w:eastAsia="Times New Roman"/>
        </w:rPr>
        <w:t xml:space="preserve">Stouthamer-Loeber, Magda, Evelyn H. Wei, D.Lynn Homish, and Rolf Loeber. 2002. “Which Family and Demographic Factors Are Related to Both Maltreatment and Persistent Serious Juvenile Delinquency?” </w:t>
      </w:r>
      <w:r w:rsidRPr="003640A4">
        <w:rPr>
          <w:rFonts w:eastAsia="Times New Roman"/>
          <w:i/>
          <w:iCs/>
        </w:rPr>
        <w:t>Children’s Services: Social Policy, Research, and Practice</w:t>
      </w:r>
      <w:r w:rsidRPr="003640A4">
        <w:rPr>
          <w:rFonts w:eastAsia="Times New Roman"/>
        </w:rPr>
        <w:t xml:space="preserve"> 5(4):261–272.</w:t>
      </w:r>
    </w:p>
    <w:p w14:paraId="60E52631" w14:textId="77777777" w:rsidR="003640A4" w:rsidRPr="003640A4" w:rsidRDefault="003640A4" w:rsidP="003640A4">
      <w:pPr>
        <w:pStyle w:val="Bibliography"/>
        <w:rPr>
          <w:rFonts w:eastAsia="Times New Roman"/>
        </w:rPr>
      </w:pPr>
      <w:r w:rsidRPr="003640A4">
        <w:rPr>
          <w:rFonts w:eastAsia="Times New Roman"/>
        </w:rPr>
        <w:t xml:space="preserve">Taussig, H. N., R. B. Clyman, and J. Landsverk. 2001. “Children Who Return Home from Foster Care: A 6-Year Prospective Study of Behavioral Health Outcomes in Adolescence.” </w:t>
      </w:r>
      <w:r w:rsidRPr="003640A4">
        <w:rPr>
          <w:rFonts w:eastAsia="Times New Roman"/>
          <w:i/>
          <w:iCs/>
        </w:rPr>
        <w:t>Pediatrics</w:t>
      </w:r>
      <w:r w:rsidRPr="003640A4">
        <w:rPr>
          <w:rFonts w:eastAsia="Times New Roman"/>
        </w:rPr>
        <w:t xml:space="preserve"> 108(1):E10.</w:t>
      </w:r>
    </w:p>
    <w:p w14:paraId="51F71D9C" w14:textId="77777777" w:rsidR="003640A4" w:rsidRPr="003640A4" w:rsidRDefault="003640A4" w:rsidP="003640A4">
      <w:pPr>
        <w:pStyle w:val="Bibliography"/>
        <w:rPr>
          <w:rFonts w:eastAsia="Times New Roman"/>
        </w:rPr>
      </w:pPr>
      <w:r w:rsidRPr="003640A4">
        <w:rPr>
          <w:rFonts w:eastAsia="Times New Roman"/>
        </w:rPr>
        <w:t xml:space="preserve">Taussig, Heather N. 2002. “Risk Behaviors in Maltreated Youth Placed in Foster Care: A Longitudinal Study of Protective and Vulnerability Factors.” </w:t>
      </w:r>
      <w:r w:rsidRPr="003640A4">
        <w:rPr>
          <w:rFonts w:eastAsia="Times New Roman"/>
          <w:i/>
          <w:iCs/>
        </w:rPr>
        <w:t>Child Abuse &amp; Neglect</w:t>
      </w:r>
      <w:r w:rsidRPr="003640A4">
        <w:rPr>
          <w:rFonts w:eastAsia="Times New Roman"/>
        </w:rPr>
        <w:t xml:space="preserve"> 26(11):1179–1199.</w:t>
      </w:r>
    </w:p>
    <w:p w14:paraId="1037D486" w14:textId="77777777" w:rsidR="003640A4" w:rsidRPr="003640A4" w:rsidRDefault="003640A4" w:rsidP="003640A4">
      <w:pPr>
        <w:pStyle w:val="Bibliography"/>
        <w:rPr>
          <w:rFonts w:eastAsia="Times New Roman"/>
        </w:rPr>
      </w:pPr>
      <w:r w:rsidRPr="003640A4">
        <w:rPr>
          <w:rFonts w:eastAsia="Times New Roman"/>
        </w:rPr>
        <w:t xml:space="preserve">Teague, Rosie, Paul Mazerolle, Margot Legosz, and Jennifer Sanderson. 2008. “Linking Childhood Exposure to Physical Abuse and Adult Offending: Examining Mediating Factors and Gendered Relationships.” </w:t>
      </w:r>
      <w:r w:rsidRPr="003640A4">
        <w:rPr>
          <w:rFonts w:eastAsia="Times New Roman"/>
          <w:i/>
          <w:iCs/>
        </w:rPr>
        <w:t>Justice Quarterly</w:t>
      </w:r>
      <w:r w:rsidRPr="003640A4">
        <w:rPr>
          <w:rFonts w:eastAsia="Times New Roman"/>
        </w:rPr>
        <w:t xml:space="preserve"> 25(2):313–348.</w:t>
      </w:r>
    </w:p>
    <w:p w14:paraId="48E0CCE8" w14:textId="77777777" w:rsidR="003640A4" w:rsidRPr="003640A4" w:rsidRDefault="003640A4" w:rsidP="003640A4">
      <w:pPr>
        <w:pStyle w:val="Bibliography"/>
        <w:rPr>
          <w:rFonts w:eastAsia="Times New Roman"/>
        </w:rPr>
      </w:pPr>
      <w:r w:rsidRPr="003640A4">
        <w:rPr>
          <w:rFonts w:eastAsia="Times New Roman"/>
        </w:rPr>
        <w:t xml:space="preserve">Thomas, D.Roland and J. N. K. Rao. 1987. “Small-Sample Comparisons of Level and Power for Simple Goodness-of-Fit Statistics under Cluster Sampling.” </w:t>
      </w:r>
      <w:r w:rsidRPr="003640A4">
        <w:rPr>
          <w:rFonts w:eastAsia="Times New Roman"/>
          <w:i/>
          <w:iCs/>
        </w:rPr>
        <w:t>Journal of the American Statistical Association</w:t>
      </w:r>
      <w:r w:rsidRPr="003640A4">
        <w:rPr>
          <w:rFonts w:eastAsia="Times New Roman"/>
        </w:rPr>
        <w:t xml:space="preserve"> 82(398):630–36.</w:t>
      </w:r>
    </w:p>
    <w:p w14:paraId="7321AAE8" w14:textId="77777777" w:rsidR="003640A4" w:rsidRPr="003640A4" w:rsidRDefault="003640A4" w:rsidP="003640A4">
      <w:pPr>
        <w:pStyle w:val="Bibliography"/>
        <w:rPr>
          <w:rFonts w:eastAsia="Times New Roman"/>
        </w:rPr>
      </w:pPr>
      <w:r w:rsidRPr="003640A4">
        <w:rPr>
          <w:rFonts w:eastAsia="Times New Roman"/>
        </w:rPr>
        <w:t xml:space="preserve">Thornberry, Terence P., Kimberly L. Henry, Timothy O. Ireland, and Carolyn A. Smith. 2010. “The Causal Impact of Childhood-Limited Maltreatment and Adolescent Maltreatment on Early Adult Adjustment.” </w:t>
      </w:r>
      <w:r w:rsidRPr="003640A4">
        <w:rPr>
          <w:rFonts w:eastAsia="Times New Roman"/>
          <w:i/>
          <w:iCs/>
        </w:rPr>
        <w:t>Journal of Adolescent Health</w:t>
      </w:r>
      <w:r w:rsidRPr="003640A4">
        <w:rPr>
          <w:rFonts w:eastAsia="Times New Roman"/>
        </w:rPr>
        <w:t xml:space="preserve"> 46(4):359–65.</w:t>
      </w:r>
    </w:p>
    <w:p w14:paraId="6DA6832F" w14:textId="77777777" w:rsidR="003640A4" w:rsidRPr="003640A4" w:rsidRDefault="003640A4" w:rsidP="003640A4">
      <w:pPr>
        <w:pStyle w:val="Bibliography"/>
        <w:rPr>
          <w:rFonts w:eastAsia="Times New Roman"/>
        </w:rPr>
      </w:pPr>
      <w:r w:rsidRPr="003640A4">
        <w:rPr>
          <w:rFonts w:eastAsia="Times New Roman"/>
        </w:rPr>
        <w:t xml:space="preserve">Thornberry, Terence P., David Huizinga, Rolf Loeber, and others. 2004. “The Causes and Correlates Studies: Findings and Policy Implications.” </w:t>
      </w:r>
      <w:r w:rsidRPr="003640A4">
        <w:rPr>
          <w:rFonts w:eastAsia="Times New Roman"/>
          <w:i/>
          <w:iCs/>
        </w:rPr>
        <w:t>Juvenile Justice</w:t>
      </w:r>
      <w:r w:rsidRPr="003640A4">
        <w:rPr>
          <w:rFonts w:eastAsia="Times New Roman"/>
        </w:rPr>
        <w:t xml:space="preserve"> 9(1):3–19.</w:t>
      </w:r>
    </w:p>
    <w:p w14:paraId="28039A7C" w14:textId="77777777" w:rsidR="003640A4" w:rsidRPr="003640A4" w:rsidRDefault="003640A4" w:rsidP="003640A4">
      <w:pPr>
        <w:pStyle w:val="Bibliography"/>
        <w:rPr>
          <w:rFonts w:eastAsia="Times New Roman"/>
        </w:rPr>
      </w:pPr>
      <w:r w:rsidRPr="003640A4">
        <w:rPr>
          <w:rFonts w:eastAsia="Times New Roman"/>
        </w:rPr>
        <w:t xml:space="preserve">Turner, Michael G. and Alex R. Piquero. 2002. “The Stability of Self-Control.” </w:t>
      </w:r>
      <w:r w:rsidRPr="003640A4">
        <w:rPr>
          <w:rFonts w:eastAsia="Times New Roman"/>
          <w:i/>
          <w:iCs/>
        </w:rPr>
        <w:t>Journal of Criminal Justice</w:t>
      </w:r>
      <w:r w:rsidRPr="003640A4">
        <w:rPr>
          <w:rFonts w:eastAsia="Times New Roman"/>
        </w:rPr>
        <w:t xml:space="preserve"> 30(6):457–71.</w:t>
      </w:r>
    </w:p>
    <w:p w14:paraId="2D4A5CFE" w14:textId="77777777" w:rsidR="003640A4" w:rsidRPr="003640A4" w:rsidRDefault="003640A4" w:rsidP="003640A4">
      <w:pPr>
        <w:pStyle w:val="Bibliography"/>
        <w:rPr>
          <w:rFonts w:eastAsia="Times New Roman"/>
        </w:rPr>
      </w:pPr>
      <w:r w:rsidRPr="003640A4">
        <w:rPr>
          <w:rFonts w:eastAsia="Times New Roman"/>
        </w:rPr>
        <w:t xml:space="preserve">UCLA: Statistical Consulting Group. 2012. “Stata FAQ: How Can I Do a T-Test with Survey Data?” </w:t>
      </w:r>
      <w:r w:rsidRPr="003640A4">
        <w:rPr>
          <w:rFonts w:eastAsia="Times New Roman"/>
          <w:i/>
          <w:iCs/>
        </w:rPr>
        <w:t>STATA FAQ</w:t>
      </w:r>
      <w:r w:rsidRPr="003640A4">
        <w:rPr>
          <w:rFonts w:eastAsia="Times New Roman"/>
        </w:rPr>
        <w:t>. Retrieved February 14, 2017 (http://www.ats.ucla.edu/stat/stata/faq/svyttest.htm).</w:t>
      </w:r>
    </w:p>
    <w:p w14:paraId="18DE3CDD" w14:textId="77777777" w:rsidR="003640A4" w:rsidRPr="003640A4" w:rsidRDefault="003640A4" w:rsidP="003640A4">
      <w:pPr>
        <w:pStyle w:val="Bibliography"/>
        <w:rPr>
          <w:rFonts w:eastAsia="Times New Roman"/>
        </w:rPr>
      </w:pPr>
      <w:r w:rsidRPr="003640A4">
        <w:rPr>
          <w:rFonts w:eastAsia="Times New Roman"/>
        </w:rPr>
        <w:lastRenderedPageBreak/>
        <w:t xml:space="preserve">Vaughn, Michael G., Jeffrey J. Shook, and J.Curtis McMillen. 2008. “Aging out of Foster Care and Legal Involvement: Toward a Typology of Risk.” </w:t>
      </w:r>
      <w:r w:rsidRPr="003640A4">
        <w:rPr>
          <w:rFonts w:eastAsia="Times New Roman"/>
          <w:i/>
          <w:iCs/>
        </w:rPr>
        <w:t>Social Service Review</w:t>
      </w:r>
      <w:r w:rsidRPr="003640A4">
        <w:rPr>
          <w:rFonts w:eastAsia="Times New Roman"/>
        </w:rPr>
        <w:t xml:space="preserve"> 82(3):419–446.</w:t>
      </w:r>
    </w:p>
    <w:p w14:paraId="20D1B3CB" w14:textId="77777777" w:rsidR="003640A4" w:rsidRPr="003640A4" w:rsidRDefault="003640A4" w:rsidP="003640A4">
      <w:pPr>
        <w:pStyle w:val="Bibliography"/>
        <w:rPr>
          <w:rFonts w:eastAsia="Times New Roman"/>
        </w:rPr>
      </w:pPr>
      <w:r w:rsidRPr="003640A4">
        <w:rPr>
          <w:rFonts w:eastAsia="Times New Roman"/>
        </w:rPr>
        <w:t xml:space="preserve">Widom, Cathy S. 1989. “Does Violence Beget Violence? A Critical Examination of the Literature.” </w:t>
      </w:r>
      <w:r w:rsidRPr="003640A4">
        <w:rPr>
          <w:rFonts w:eastAsia="Times New Roman"/>
          <w:i/>
          <w:iCs/>
        </w:rPr>
        <w:t>Psychological Bulletin</w:t>
      </w:r>
      <w:r w:rsidRPr="003640A4">
        <w:rPr>
          <w:rFonts w:eastAsia="Times New Roman"/>
        </w:rPr>
        <w:t xml:space="preserve"> 106(1):3.</w:t>
      </w:r>
    </w:p>
    <w:p w14:paraId="27EB2D7E" w14:textId="77777777" w:rsidR="003640A4" w:rsidRPr="003640A4" w:rsidRDefault="003640A4" w:rsidP="003640A4">
      <w:pPr>
        <w:pStyle w:val="Bibliography"/>
        <w:rPr>
          <w:rFonts w:eastAsia="Times New Roman"/>
        </w:rPr>
      </w:pPr>
      <w:r w:rsidRPr="003640A4">
        <w:rPr>
          <w:rFonts w:eastAsia="Times New Roman"/>
        </w:rPr>
        <w:t xml:space="preserve">Widom, Cathy S. and Michael G. Maxfield. 2001. “An Update on the ‘cycle of Violence.’ National Institute of Justice Research in Brief.” </w:t>
      </w:r>
      <w:r w:rsidRPr="003640A4">
        <w:rPr>
          <w:rFonts w:eastAsia="Times New Roman"/>
          <w:i/>
          <w:iCs/>
        </w:rPr>
        <w:t>Washington, DC: National Institute of Justice</w:t>
      </w:r>
      <w:r w:rsidRPr="003640A4">
        <w:rPr>
          <w:rFonts w:eastAsia="Times New Roman"/>
        </w:rPr>
        <w:t>.</w:t>
      </w:r>
    </w:p>
    <w:p w14:paraId="043CFDD7" w14:textId="77777777" w:rsidR="003640A4" w:rsidRPr="003640A4" w:rsidRDefault="003640A4" w:rsidP="003640A4">
      <w:pPr>
        <w:pStyle w:val="Bibliography"/>
        <w:rPr>
          <w:rFonts w:eastAsia="Times New Roman"/>
        </w:rPr>
      </w:pPr>
      <w:r w:rsidRPr="003640A4">
        <w:rPr>
          <w:rFonts w:eastAsia="Times New Roman"/>
        </w:rPr>
        <w:t xml:space="preserve">Widom, Cathy Spatz. 1989. “Child Abuse, Neglect, and Violent Criminal Behavior*.” </w:t>
      </w:r>
      <w:r w:rsidRPr="003640A4">
        <w:rPr>
          <w:rFonts w:eastAsia="Times New Roman"/>
          <w:i/>
          <w:iCs/>
        </w:rPr>
        <w:t>Criminology</w:t>
      </w:r>
      <w:r w:rsidRPr="003640A4">
        <w:rPr>
          <w:rFonts w:eastAsia="Times New Roman"/>
        </w:rPr>
        <w:t xml:space="preserve"> 27(2):251–71.</w:t>
      </w:r>
    </w:p>
    <w:p w14:paraId="32E2C406" w14:textId="77777777" w:rsidR="003640A4" w:rsidRPr="003640A4" w:rsidRDefault="003640A4" w:rsidP="003640A4">
      <w:pPr>
        <w:pStyle w:val="Bibliography"/>
        <w:rPr>
          <w:rFonts w:eastAsia="Times New Roman"/>
        </w:rPr>
      </w:pPr>
      <w:r w:rsidRPr="003640A4">
        <w:rPr>
          <w:rFonts w:eastAsia="Times New Roman"/>
        </w:rPr>
        <w:t xml:space="preserve">Widom, Cathy Spatz. 1991a. </w:t>
      </w:r>
      <w:r w:rsidRPr="003640A4">
        <w:rPr>
          <w:rFonts w:eastAsia="Times New Roman"/>
          <w:i/>
          <w:iCs/>
        </w:rPr>
        <w:t>Child Abuse, Neglect, and Violent Criminal Behavior in a Midwest Metropolitan Area of the United States, 1967-1988: Version 1</w:t>
      </w:r>
      <w:r w:rsidRPr="003640A4">
        <w:rPr>
          <w:rFonts w:eastAsia="Times New Roman"/>
        </w:rPr>
        <w:t>. Retrieved July 12, 2016 (http://www.icpsr.umich.edu/NACJD/studies/09480/version/1).</w:t>
      </w:r>
    </w:p>
    <w:p w14:paraId="4086E662" w14:textId="77777777" w:rsidR="003640A4" w:rsidRPr="003640A4" w:rsidRDefault="003640A4" w:rsidP="003640A4">
      <w:pPr>
        <w:pStyle w:val="Bibliography"/>
        <w:rPr>
          <w:rFonts w:eastAsia="Times New Roman"/>
        </w:rPr>
      </w:pPr>
      <w:r w:rsidRPr="003640A4">
        <w:rPr>
          <w:rFonts w:eastAsia="Times New Roman"/>
        </w:rPr>
        <w:t xml:space="preserve">Widom, Cathy Spatz. 1991b. “The Role of Placement Experiences in Mediating the Criminal Consequences of Early Childhood Victimization.” </w:t>
      </w:r>
      <w:r w:rsidRPr="003640A4">
        <w:rPr>
          <w:rFonts w:eastAsia="Times New Roman"/>
          <w:i/>
          <w:iCs/>
        </w:rPr>
        <w:t>American Journal of Orthopsychiatry</w:t>
      </w:r>
      <w:r w:rsidRPr="003640A4">
        <w:rPr>
          <w:rFonts w:eastAsia="Times New Roman"/>
        </w:rPr>
        <w:t xml:space="preserve"> 61(2):195–209.</w:t>
      </w:r>
    </w:p>
    <w:p w14:paraId="12410D07" w14:textId="77777777" w:rsidR="003640A4" w:rsidRPr="003640A4" w:rsidRDefault="003640A4" w:rsidP="003640A4">
      <w:pPr>
        <w:pStyle w:val="Bibliography"/>
        <w:rPr>
          <w:rFonts w:eastAsia="Times New Roman"/>
        </w:rPr>
      </w:pPr>
      <w:r w:rsidRPr="003640A4">
        <w:rPr>
          <w:rFonts w:eastAsia="Times New Roman"/>
        </w:rPr>
        <w:t xml:space="preserve">Widom, Cathy Spatz and M.Ashley Ames. 1994. “Criminal Consequences of Childhood Sexual Victimization.” </w:t>
      </w:r>
      <w:r w:rsidRPr="003640A4">
        <w:rPr>
          <w:rFonts w:eastAsia="Times New Roman"/>
          <w:i/>
          <w:iCs/>
        </w:rPr>
        <w:t>Child Abuse &amp; Neglect</w:t>
      </w:r>
      <w:r w:rsidRPr="003640A4">
        <w:rPr>
          <w:rFonts w:eastAsia="Times New Roman"/>
        </w:rPr>
        <w:t xml:space="preserve"> 18(4):303–18.</w:t>
      </w:r>
    </w:p>
    <w:p w14:paraId="649D8DB2" w14:textId="77777777" w:rsidR="003640A4" w:rsidRPr="003640A4" w:rsidRDefault="003640A4" w:rsidP="003640A4">
      <w:pPr>
        <w:pStyle w:val="Bibliography"/>
        <w:rPr>
          <w:rFonts w:eastAsia="Times New Roman"/>
        </w:rPr>
      </w:pPr>
      <w:r w:rsidRPr="003640A4">
        <w:rPr>
          <w:rFonts w:eastAsia="Times New Roman"/>
        </w:rPr>
        <w:t xml:space="preserve">Widom, Cathy Spatz and Michael G. Maxfield. 1996. “A Prospective Examination of Risk for Violence among Abused and Neglected Childrena.” </w:t>
      </w:r>
      <w:r w:rsidRPr="003640A4">
        <w:rPr>
          <w:rFonts w:eastAsia="Times New Roman"/>
          <w:i/>
          <w:iCs/>
        </w:rPr>
        <w:t>Annals of the New York Academy of Sciences</w:t>
      </w:r>
      <w:r w:rsidRPr="003640A4">
        <w:rPr>
          <w:rFonts w:eastAsia="Times New Roman"/>
        </w:rPr>
        <w:t xml:space="preserve"> 794(1):224–237.</w:t>
      </w:r>
    </w:p>
    <w:p w14:paraId="0B51E2CC" w14:textId="77777777" w:rsidR="003640A4" w:rsidRPr="003640A4" w:rsidRDefault="003640A4" w:rsidP="003640A4">
      <w:pPr>
        <w:pStyle w:val="Bibliography"/>
        <w:rPr>
          <w:rFonts w:eastAsia="Times New Roman"/>
        </w:rPr>
      </w:pPr>
      <w:r w:rsidRPr="003640A4">
        <w:rPr>
          <w:rFonts w:eastAsia="Times New Roman"/>
        </w:rPr>
        <w:t xml:space="preserve">Williams, Richard. 2012. “Using the Margins Command to Estimate and Interpret Adjusted Predictions and Marginal Effects.” </w:t>
      </w:r>
      <w:r w:rsidRPr="003640A4">
        <w:rPr>
          <w:rFonts w:eastAsia="Times New Roman"/>
          <w:i/>
          <w:iCs/>
        </w:rPr>
        <w:t>Stata Journal</w:t>
      </w:r>
      <w:r w:rsidRPr="003640A4">
        <w:rPr>
          <w:rFonts w:eastAsia="Times New Roman"/>
        </w:rPr>
        <w:t xml:space="preserve"> 12(2):308.</w:t>
      </w:r>
    </w:p>
    <w:p w14:paraId="5F766C9F" w14:textId="77777777" w:rsidR="003640A4" w:rsidRPr="003640A4" w:rsidRDefault="003640A4" w:rsidP="003640A4">
      <w:pPr>
        <w:pStyle w:val="Bibliography"/>
        <w:rPr>
          <w:rFonts w:eastAsia="Times New Roman"/>
        </w:rPr>
      </w:pPr>
      <w:r w:rsidRPr="003640A4">
        <w:rPr>
          <w:rFonts w:eastAsia="Times New Roman"/>
        </w:rPr>
        <w:t xml:space="preserve">Wilson, Helen W. and Cathy Spatz Widom. 2008. “An Examination of Risky Sexual Behavior and HIV in Victims of Child Abuse and Neglect: A 30-Year Follow-Up.” </w:t>
      </w:r>
      <w:r w:rsidRPr="003640A4">
        <w:rPr>
          <w:rFonts w:eastAsia="Times New Roman"/>
          <w:i/>
          <w:iCs/>
        </w:rPr>
        <w:t>Health Psychology</w:t>
      </w:r>
      <w:r w:rsidRPr="003640A4">
        <w:rPr>
          <w:rFonts w:eastAsia="Times New Roman"/>
        </w:rPr>
        <w:t xml:space="preserve"> 27(2):149–58.</w:t>
      </w:r>
    </w:p>
    <w:p w14:paraId="5D31F8A9" w14:textId="77777777" w:rsidR="003640A4" w:rsidRPr="003640A4" w:rsidRDefault="003640A4" w:rsidP="003640A4">
      <w:pPr>
        <w:pStyle w:val="Bibliography"/>
        <w:rPr>
          <w:rFonts w:eastAsia="Times New Roman"/>
        </w:rPr>
      </w:pPr>
      <w:r w:rsidRPr="003640A4">
        <w:rPr>
          <w:rFonts w:eastAsia="Times New Roman"/>
        </w:rPr>
        <w:t xml:space="preserve">Wingood, Gina M. and Ralph J. DiClemente. 1997. “Child Sexual Abuse, HIV Sexual Risk, and Gender Relations of African-American Women.” </w:t>
      </w:r>
      <w:r w:rsidRPr="003640A4">
        <w:rPr>
          <w:rFonts w:eastAsia="Times New Roman"/>
          <w:i/>
          <w:iCs/>
        </w:rPr>
        <w:t>American Journal of Preventive Medicine</w:t>
      </w:r>
      <w:r w:rsidRPr="003640A4">
        <w:rPr>
          <w:rFonts w:eastAsia="Times New Roman"/>
        </w:rPr>
        <w:t>. Retrieved May 29, 2016 (http://psycnet.apa.org/psycinfo/1997-43063-002).</w:t>
      </w:r>
    </w:p>
    <w:p w14:paraId="611D509F" w14:textId="77777777" w:rsidR="003640A4" w:rsidRPr="003640A4" w:rsidRDefault="003640A4" w:rsidP="003640A4">
      <w:pPr>
        <w:pStyle w:val="Bibliography"/>
        <w:rPr>
          <w:rFonts w:eastAsia="Times New Roman"/>
        </w:rPr>
      </w:pPr>
      <w:r w:rsidRPr="003640A4">
        <w:rPr>
          <w:rFonts w:eastAsia="Times New Roman"/>
        </w:rPr>
        <w:lastRenderedPageBreak/>
        <w:t xml:space="preserve">Wyatt, Gail E., Donald Guthrie, and Cindy M. Notgrass. 1992. “Differential Effects of Women’s Child Sexual Abuse and Subsequent Sexual Revictimization.” </w:t>
      </w:r>
      <w:r w:rsidRPr="003640A4">
        <w:rPr>
          <w:rFonts w:eastAsia="Times New Roman"/>
          <w:i/>
          <w:iCs/>
        </w:rPr>
        <w:t>Journal of Consulting and Clinical Psychology</w:t>
      </w:r>
      <w:r w:rsidRPr="003640A4">
        <w:rPr>
          <w:rFonts w:eastAsia="Times New Roman"/>
        </w:rPr>
        <w:t xml:space="preserve"> 60(2):167.</w:t>
      </w:r>
    </w:p>
    <w:p w14:paraId="3CAACCD0" w14:textId="77777777" w:rsidR="003640A4" w:rsidRPr="003640A4" w:rsidRDefault="003640A4" w:rsidP="003640A4">
      <w:pPr>
        <w:pStyle w:val="Bibliography"/>
        <w:rPr>
          <w:rFonts w:eastAsia="Times New Roman"/>
        </w:rPr>
      </w:pPr>
      <w:r w:rsidRPr="003640A4">
        <w:rPr>
          <w:rFonts w:eastAsia="Times New Roman"/>
        </w:rPr>
        <w:t xml:space="preserve">Yun, Ilhong, Jeremy D. Ball, and Hyeyoung Lim. 2011. “Disentangling the Relationship between Child Maltreatment and Violent Delinquency: Using a Nationally Representative Sample.” </w:t>
      </w:r>
      <w:r w:rsidRPr="003640A4">
        <w:rPr>
          <w:rFonts w:eastAsia="Times New Roman"/>
          <w:i/>
          <w:iCs/>
        </w:rPr>
        <w:t>Journal of Interpersonal Violence</w:t>
      </w:r>
      <w:r w:rsidRPr="003640A4">
        <w:rPr>
          <w:rFonts w:eastAsia="Times New Roman"/>
        </w:rPr>
        <w:t xml:space="preserve"> 26(1):88–110.</w:t>
      </w:r>
    </w:p>
    <w:p w14:paraId="7F80145C" w14:textId="77777777" w:rsidR="003640A4" w:rsidRPr="003640A4" w:rsidRDefault="003640A4" w:rsidP="003640A4">
      <w:pPr>
        <w:pStyle w:val="Bibliography"/>
        <w:rPr>
          <w:rFonts w:eastAsia="Times New Roman"/>
        </w:rPr>
      </w:pPr>
      <w:r w:rsidRPr="003640A4">
        <w:rPr>
          <w:rFonts w:eastAsia="Times New Roman"/>
        </w:rPr>
        <w:t xml:space="preserve">Zierler, S. et al. 1991. “Adult Survivors of Childhood Sexual Abuse and Subsequent Risk of HIV Infection.” </w:t>
      </w:r>
      <w:r w:rsidRPr="003640A4">
        <w:rPr>
          <w:rFonts w:eastAsia="Times New Roman"/>
          <w:i/>
          <w:iCs/>
        </w:rPr>
        <w:t>American Journal of Public Health</w:t>
      </w:r>
      <w:r w:rsidRPr="003640A4">
        <w:rPr>
          <w:rFonts w:eastAsia="Times New Roman"/>
        </w:rPr>
        <w:t xml:space="preserve"> 81(5):572–75.</w:t>
      </w:r>
    </w:p>
    <w:p w14:paraId="6F9A1497" w14:textId="77777777" w:rsidR="003640A4" w:rsidRPr="003640A4" w:rsidRDefault="003640A4" w:rsidP="003640A4">
      <w:pPr>
        <w:pStyle w:val="Bibliography"/>
        <w:rPr>
          <w:rFonts w:eastAsia="Times New Roman"/>
        </w:rPr>
      </w:pPr>
      <w:r w:rsidRPr="003640A4">
        <w:rPr>
          <w:rFonts w:eastAsia="Times New Roman"/>
        </w:rPr>
        <w:t xml:space="preserve">Zingraff, Matthew T., Jeffrey Leiter, Kristen A. Myers, and Matthew C. Johnsen. 1993. “CHILD MALTREATMENT AND YOUTHFUL PROBLEM BEHAVIOR*.” </w:t>
      </w:r>
      <w:r w:rsidRPr="003640A4">
        <w:rPr>
          <w:rFonts w:eastAsia="Times New Roman"/>
          <w:i/>
          <w:iCs/>
        </w:rPr>
        <w:t>Criminology</w:t>
      </w:r>
      <w:r w:rsidRPr="003640A4">
        <w:rPr>
          <w:rFonts w:eastAsia="Times New Roman"/>
        </w:rPr>
        <w:t xml:space="preserve"> 31(2):173–202.</w:t>
      </w:r>
    </w:p>
    <w:p w14:paraId="580B39BB" w14:textId="3AFA0E91" w:rsidR="004C4C39" w:rsidRPr="00A32EED" w:rsidRDefault="00641A3E" w:rsidP="004C4C39">
      <w:pPr>
        <w:spacing w:after="0" w:line="480" w:lineRule="auto"/>
        <w:ind w:firstLine="720"/>
        <w:rPr>
          <w:rFonts w:eastAsia="Calibri"/>
        </w:rPr>
      </w:pPr>
      <w:r>
        <w:rPr>
          <w:rFonts w:eastAsia="Calibri"/>
        </w:rPr>
        <w:fldChar w:fldCharType="end"/>
      </w:r>
    </w:p>
    <w:p w14:paraId="521EE7E3" w14:textId="48BC0CEB" w:rsidR="00897EBE" w:rsidRPr="00092968" w:rsidRDefault="00897EBE" w:rsidP="00092968">
      <w:pPr>
        <w:rPr>
          <w:rFonts w:asciiTheme="minorHAnsi" w:hAnsiTheme="minorHAnsi" w:cstheme="minorHAnsi"/>
        </w:rPr>
      </w:pPr>
    </w:p>
    <w:sectPr w:rsidR="00897EBE" w:rsidRPr="00092968" w:rsidSect="00F77D1B">
      <w:footerReference w:type="default" r:id="rId32"/>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22BF2" w14:textId="77777777" w:rsidR="005670AF" w:rsidRDefault="005670AF" w:rsidP="00BA2F37">
      <w:pPr>
        <w:spacing w:after="0"/>
      </w:pPr>
      <w:r>
        <w:separator/>
      </w:r>
    </w:p>
  </w:endnote>
  <w:endnote w:type="continuationSeparator" w:id="0">
    <w:p w14:paraId="1E1AEB9D" w14:textId="77777777" w:rsidR="005670AF" w:rsidRDefault="005670AF"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300752"/>
      <w:docPartObj>
        <w:docPartGallery w:val="Page Numbers (Bottom of Page)"/>
        <w:docPartUnique/>
      </w:docPartObj>
    </w:sdtPr>
    <w:sdtContent>
      <w:p w14:paraId="2B49DA66" w14:textId="77777777" w:rsidR="005670AF" w:rsidRDefault="005670AF" w:rsidP="00750C31">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FA12E2">
          <w:rPr>
            <w:rFonts w:asciiTheme="minorHAnsi" w:hAnsiTheme="minorHAnsi" w:cstheme="minorHAnsi"/>
            <w:noProof/>
          </w:rPr>
          <w:t>iv</w:t>
        </w:r>
        <w:r w:rsidRPr="00E614FB">
          <w:rPr>
            <w:rFonts w:asciiTheme="minorHAnsi" w:hAnsiTheme="minorHAnsi" w:cstheme="minorHAnsi"/>
          </w:rPr>
          <w:fldChar w:fldCharType="end"/>
        </w:r>
      </w:p>
    </w:sdtContent>
  </w:sdt>
  <w:p w14:paraId="4B4C50EC" w14:textId="77777777" w:rsidR="005670AF" w:rsidRDefault="005670A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AC10E" w14:textId="77777777" w:rsidR="005670AF" w:rsidRDefault="005670AF" w:rsidP="004C4C3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FCE630" w14:textId="77777777" w:rsidR="005670AF" w:rsidRDefault="005670AF" w:rsidP="004C4C39">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6A1DB" w14:textId="77777777" w:rsidR="005670AF" w:rsidRDefault="005670AF" w:rsidP="00750C31">
    <w:pPr>
      <w:pStyle w:val="Footer"/>
      <w:framePr w:wrap="notBeside"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FA12E2">
      <w:rPr>
        <w:rStyle w:val="PageNumber"/>
        <w:noProof/>
      </w:rPr>
      <w:t>47</w:t>
    </w:r>
    <w:r>
      <w:rPr>
        <w:rStyle w:val="PageNumber"/>
      </w:rPr>
      <w:fldChar w:fldCharType="end"/>
    </w:r>
  </w:p>
  <w:p w14:paraId="38DC324A" w14:textId="77777777" w:rsidR="005670AF" w:rsidRDefault="005670AF" w:rsidP="00750C31">
    <w:pPr>
      <w:pStyle w:val="Footer"/>
      <w:ind w:right="360"/>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Content>
      <w:p w14:paraId="3D37CADE" w14:textId="77777777" w:rsidR="005670AF" w:rsidRDefault="005670AF">
        <w:pPr>
          <w:pStyle w:val="Footer"/>
          <w:jc w:val="center"/>
        </w:pPr>
        <w:r w:rsidRPr="004C4C39">
          <w:rPr>
            <w:rFonts w:ascii="Calibri" w:hAnsi="Calibri" w:cs="Calibri"/>
          </w:rPr>
          <w:fldChar w:fldCharType="begin"/>
        </w:r>
        <w:r w:rsidRPr="004C4C39">
          <w:rPr>
            <w:rFonts w:ascii="Calibri" w:hAnsi="Calibri" w:cs="Calibri"/>
          </w:rPr>
          <w:instrText xml:space="preserve"> PAGE   \* MERGEFORMAT </w:instrText>
        </w:r>
        <w:r w:rsidRPr="004C4C39">
          <w:rPr>
            <w:rFonts w:ascii="Calibri" w:hAnsi="Calibri" w:cs="Calibri"/>
          </w:rPr>
          <w:fldChar w:fldCharType="separate"/>
        </w:r>
        <w:r w:rsidR="00FA12E2">
          <w:rPr>
            <w:rFonts w:ascii="Calibri" w:hAnsi="Calibri" w:cs="Calibri"/>
            <w:noProof/>
          </w:rPr>
          <w:t>171</w:t>
        </w:r>
        <w:r w:rsidRPr="004C4C39">
          <w:rPr>
            <w:rFonts w:ascii="Calibri" w:hAnsi="Calibri" w:cs="Calibri"/>
          </w:rPr>
          <w:fldChar w:fldCharType="end"/>
        </w:r>
      </w:p>
    </w:sdtContent>
  </w:sdt>
  <w:p w14:paraId="206E7999" w14:textId="77777777" w:rsidR="005670AF" w:rsidRDefault="005670AF">
    <w:pPr>
      <w:pStyle w:val="Footer"/>
    </w:pPr>
  </w:p>
  <w:p w14:paraId="493B98FB" w14:textId="77777777" w:rsidR="005670AF" w:rsidRDefault="005670A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30DCB" w14:textId="77777777" w:rsidR="005670AF" w:rsidRDefault="005670AF" w:rsidP="00BA2F37">
      <w:pPr>
        <w:spacing w:after="0"/>
      </w:pPr>
      <w:r>
        <w:separator/>
      </w:r>
    </w:p>
  </w:footnote>
  <w:footnote w:type="continuationSeparator" w:id="0">
    <w:p w14:paraId="77453912" w14:textId="77777777" w:rsidR="005670AF" w:rsidRDefault="005670AF" w:rsidP="00BA2F37">
      <w:pPr>
        <w:spacing w:after="0"/>
      </w:pPr>
      <w:r>
        <w:continuationSeparator/>
      </w:r>
    </w:p>
  </w:footnote>
  <w:footnote w:id="1">
    <w:p w14:paraId="5CF0C9A9" w14:textId="77777777" w:rsidR="005670AF" w:rsidRDefault="005670AF" w:rsidP="004C4C39">
      <w:pPr>
        <w:pStyle w:val="FootnoteText"/>
      </w:pPr>
      <w:r w:rsidRPr="005670AF">
        <w:rPr>
          <w:rStyle w:val="FootnoteReference"/>
        </w:rPr>
        <w:footnoteRef/>
      </w:r>
      <w:r>
        <w:t>. There are some exceptions to the generalizable population. For more information refer to the Data and Methods section.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2EEA3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0E35A4F"/>
    <w:multiLevelType w:val="hybridMultilevel"/>
    <w:tmpl w:val="7FEC1618"/>
    <w:lvl w:ilvl="0" w:tplc="F9827DF2">
      <w:start w:val="1"/>
      <w:numFmt w:val="bullet"/>
      <w:lvlText w:val=""/>
      <w:lvlJc w:val="left"/>
      <w:pPr>
        <w:ind w:left="720" w:hanging="360"/>
      </w:pPr>
      <w:rPr>
        <w:rFonts w:ascii="Symbol" w:hAnsi="Symbol" w:hint="default"/>
      </w:rPr>
    </w:lvl>
    <w:lvl w:ilvl="1" w:tplc="18CA6C4E" w:tentative="1">
      <w:start w:val="1"/>
      <w:numFmt w:val="bullet"/>
      <w:lvlText w:val="o"/>
      <w:lvlJc w:val="left"/>
      <w:pPr>
        <w:ind w:left="1440" w:hanging="360"/>
      </w:pPr>
      <w:rPr>
        <w:rFonts w:ascii="Courier New" w:hAnsi="Courier New" w:cs="Courier New" w:hint="default"/>
      </w:rPr>
    </w:lvl>
    <w:lvl w:ilvl="2" w:tplc="607C0586" w:tentative="1">
      <w:start w:val="1"/>
      <w:numFmt w:val="bullet"/>
      <w:lvlText w:val=""/>
      <w:lvlJc w:val="left"/>
      <w:pPr>
        <w:ind w:left="2160" w:hanging="360"/>
      </w:pPr>
      <w:rPr>
        <w:rFonts w:ascii="Wingdings" w:hAnsi="Wingdings" w:hint="default"/>
      </w:rPr>
    </w:lvl>
    <w:lvl w:ilvl="3" w:tplc="66949790" w:tentative="1">
      <w:start w:val="1"/>
      <w:numFmt w:val="bullet"/>
      <w:lvlText w:val=""/>
      <w:lvlJc w:val="left"/>
      <w:pPr>
        <w:ind w:left="2880" w:hanging="360"/>
      </w:pPr>
      <w:rPr>
        <w:rFonts w:ascii="Symbol" w:hAnsi="Symbol" w:hint="default"/>
      </w:rPr>
    </w:lvl>
    <w:lvl w:ilvl="4" w:tplc="F8B26FE4" w:tentative="1">
      <w:start w:val="1"/>
      <w:numFmt w:val="bullet"/>
      <w:lvlText w:val="o"/>
      <w:lvlJc w:val="left"/>
      <w:pPr>
        <w:ind w:left="3600" w:hanging="360"/>
      </w:pPr>
      <w:rPr>
        <w:rFonts w:ascii="Courier New" w:hAnsi="Courier New" w:cs="Courier New" w:hint="default"/>
      </w:rPr>
    </w:lvl>
    <w:lvl w:ilvl="5" w:tplc="13482830" w:tentative="1">
      <w:start w:val="1"/>
      <w:numFmt w:val="bullet"/>
      <w:lvlText w:val=""/>
      <w:lvlJc w:val="left"/>
      <w:pPr>
        <w:ind w:left="4320" w:hanging="360"/>
      </w:pPr>
      <w:rPr>
        <w:rFonts w:ascii="Wingdings" w:hAnsi="Wingdings" w:hint="default"/>
      </w:rPr>
    </w:lvl>
    <w:lvl w:ilvl="6" w:tplc="0CA465D2" w:tentative="1">
      <w:start w:val="1"/>
      <w:numFmt w:val="bullet"/>
      <w:lvlText w:val=""/>
      <w:lvlJc w:val="left"/>
      <w:pPr>
        <w:ind w:left="5040" w:hanging="360"/>
      </w:pPr>
      <w:rPr>
        <w:rFonts w:ascii="Symbol" w:hAnsi="Symbol" w:hint="default"/>
      </w:rPr>
    </w:lvl>
    <w:lvl w:ilvl="7" w:tplc="8C749EA0" w:tentative="1">
      <w:start w:val="1"/>
      <w:numFmt w:val="bullet"/>
      <w:lvlText w:val="o"/>
      <w:lvlJc w:val="left"/>
      <w:pPr>
        <w:ind w:left="5760" w:hanging="360"/>
      </w:pPr>
      <w:rPr>
        <w:rFonts w:ascii="Courier New" w:hAnsi="Courier New" w:cs="Courier New" w:hint="default"/>
      </w:rPr>
    </w:lvl>
    <w:lvl w:ilvl="8" w:tplc="12628FF2" w:tentative="1">
      <w:start w:val="1"/>
      <w:numFmt w:val="bullet"/>
      <w:lvlText w:val=""/>
      <w:lvlJc w:val="left"/>
      <w:pPr>
        <w:ind w:left="6480" w:hanging="360"/>
      </w:pPr>
      <w:rPr>
        <w:rFonts w:ascii="Wingdings" w:hAnsi="Wingdings" w:hint="default"/>
      </w:rPr>
    </w:lvl>
  </w:abstractNum>
  <w:abstractNum w:abstractNumId="2">
    <w:nsid w:val="378D5ACB"/>
    <w:multiLevelType w:val="hybridMultilevel"/>
    <w:tmpl w:val="BE0668B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7E23E5"/>
    <w:multiLevelType w:val="hybridMultilevel"/>
    <w:tmpl w:val="72103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68A29B8"/>
    <w:multiLevelType w:val="hybridMultilevel"/>
    <w:tmpl w:val="739EF454"/>
    <w:lvl w:ilvl="0" w:tplc="60F4F8E6">
      <w:start w:val="1"/>
      <w:numFmt w:val="decimal"/>
      <w:lvlText w:val="%1."/>
      <w:lvlJc w:val="left"/>
      <w:pPr>
        <w:ind w:left="360" w:hanging="360"/>
      </w:pPr>
      <w:rPr>
        <w:rFonts w:hint="default"/>
      </w:rPr>
    </w:lvl>
    <w:lvl w:ilvl="1" w:tplc="59BE3160" w:tentative="1">
      <w:start w:val="1"/>
      <w:numFmt w:val="bullet"/>
      <w:lvlText w:val="o"/>
      <w:lvlJc w:val="left"/>
      <w:pPr>
        <w:ind w:left="1080" w:hanging="360"/>
      </w:pPr>
      <w:rPr>
        <w:rFonts w:ascii="Courier New" w:hAnsi="Courier New" w:cs="Courier New" w:hint="default"/>
      </w:rPr>
    </w:lvl>
    <w:lvl w:ilvl="2" w:tplc="812254A6" w:tentative="1">
      <w:start w:val="1"/>
      <w:numFmt w:val="bullet"/>
      <w:lvlText w:val=""/>
      <w:lvlJc w:val="left"/>
      <w:pPr>
        <w:ind w:left="1800" w:hanging="360"/>
      </w:pPr>
      <w:rPr>
        <w:rFonts w:ascii="Wingdings" w:hAnsi="Wingdings" w:hint="default"/>
      </w:rPr>
    </w:lvl>
    <w:lvl w:ilvl="3" w:tplc="FA66C688" w:tentative="1">
      <w:start w:val="1"/>
      <w:numFmt w:val="bullet"/>
      <w:lvlText w:val=""/>
      <w:lvlJc w:val="left"/>
      <w:pPr>
        <w:ind w:left="2520" w:hanging="360"/>
      </w:pPr>
      <w:rPr>
        <w:rFonts w:ascii="Symbol" w:hAnsi="Symbol" w:hint="default"/>
      </w:rPr>
    </w:lvl>
    <w:lvl w:ilvl="4" w:tplc="FBDE2442" w:tentative="1">
      <w:start w:val="1"/>
      <w:numFmt w:val="bullet"/>
      <w:lvlText w:val="o"/>
      <w:lvlJc w:val="left"/>
      <w:pPr>
        <w:ind w:left="3240" w:hanging="360"/>
      </w:pPr>
      <w:rPr>
        <w:rFonts w:ascii="Courier New" w:hAnsi="Courier New" w:cs="Courier New" w:hint="default"/>
      </w:rPr>
    </w:lvl>
    <w:lvl w:ilvl="5" w:tplc="5694C7D2" w:tentative="1">
      <w:start w:val="1"/>
      <w:numFmt w:val="bullet"/>
      <w:lvlText w:val=""/>
      <w:lvlJc w:val="left"/>
      <w:pPr>
        <w:ind w:left="3960" w:hanging="360"/>
      </w:pPr>
      <w:rPr>
        <w:rFonts w:ascii="Wingdings" w:hAnsi="Wingdings" w:hint="default"/>
      </w:rPr>
    </w:lvl>
    <w:lvl w:ilvl="6" w:tplc="556475DA" w:tentative="1">
      <w:start w:val="1"/>
      <w:numFmt w:val="bullet"/>
      <w:lvlText w:val=""/>
      <w:lvlJc w:val="left"/>
      <w:pPr>
        <w:ind w:left="4680" w:hanging="360"/>
      </w:pPr>
      <w:rPr>
        <w:rFonts w:ascii="Symbol" w:hAnsi="Symbol" w:hint="default"/>
      </w:rPr>
    </w:lvl>
    <w:lvl w:ilvl="7" w:tplc="A1CE02B8" w:tentative="1">
      <w:start w:val="1"/>
      <w:numFmt w:val="bullet"/>
      <w:lvlText w:val="o"/>
      <w:lvlJc w:val="left"/>
      <w:pPr>
        <w:ind w:left="5400" w:hanging="360"/>
      </w:pPr>
      <w:rPr>
        <w:rFonts w:ascii="Courier New" w:hAnsi="Courier New" w:cs="Courier New" w:hint="default"/>
      </w:rPr>
    </w:lvl>
    <w:lvl w:ilvl="8" w:tplc="CC92AEE4" w:tentative="1">
      <w:start w:val="1"/>
      <w:numFmt w:val="bullet"/>
      <w:lvlText w:val=""/>
      <w:lvlJc w:val="left"/>
      <w:pPr>
        <w:ind w:left="6120" w:hanging="360"/>
      </w:pPr>
      <w:rPr>
        <w:rFonts w:ascii="Wingdings" w:hAnsi="Wingdings" w:hint="default"/>
      </w:rPr>
    </w:lvl>
  </w:abstractNum>
  <w:abstractNum w:abstractNumId="6">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3"/>
  </w:num>
  <w:num w:numId="4">
    <w:abstractNumId w:val="6"/>
  </w:num>
  <w:num w:numId="5">
    <w:abstractNumId w:val="4"/>
  </w:num>
  <w:num w:numId="6">
    <w:abstractNumId w:val="2"/>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5CA5"/>
    <w:rsid w:val="00011B4A"/>
    <w:rsid w:val="00013381"/>
    <w:rsid w:val="000255E3"/>
    <w:rsid w:val="00026D3E"/>
    <w:rsid w:val="00035E37"/>
    <w:rsid w:val="00060997"/>
    <w:rsid w:val="000841E9"/>
    <w:rsid w:val="00092968"/>
    <w:rsid w:val="000B0AEA"/>
    <w:rsid w:val="000C03A9"/>
    <w:rsid w:val="000C09C5"/>
    <w:rsid w:val="000C72FF"/>
    <w:rsid w:val="000C7F8D"/>
    <w:rsid w:val="000F2743"/>
    <w:rsid w:val="001022A8"/>
    <w:rsid w:val="00121761"/>
    <w:rsid w:val="00126B08"/>
    <w:rsid w:val="00134AAC"/>
    <w:rsid w:val="0018518A"/>
    <w:rsid w:val="00186B5A"/>
    <w:rsid w:val="00192CF8"/>
    <w:rsid w:val="00197BED"/>
    <w:rsid w:val="001A2A6A"/>
    <w:rsid w:val="001A3619"/>
    <w:rsid w:val="001A5BA2"/>
    <w:rsid w:val="001D7BF7"/>
    <w:rsid w:val="001E3DD4"/>
    <w:rsid w:val="00201E0F"/>
    <w:rsid w:val="00203251"/>
    <w:rsid w:val="00203EAA"/>
    <w:rsid w:val="0022268A"/>
    <w:rsid w:val="00224CAB"/>
    <w:rsid w:val="0023176A"/>
    <w:rsid w:val="00232278"/>
    <w:rsid w:val="002377A5"/>
    <w:rsid w:val="00245CC6"/>
    <w:rsid w:val="00256136"/>
    <w:rsid w:val="002706D0"/>
    <w:rsid w:val="00272B6D"/>
    <w:rsid w:val="0028372E"/>
    <w:rsid w:val="00286C75"/>
    <w:rsid w:val="00297FAC"/>
    <w:rsid w:val="002B3FC0"/>
    <w:rsid w:val="002B5B1D"/>
    <w:rsid w:val="002C5E67"/>
    <w:rsid w:val="002F01B9"/>
    <w:rsid w:val="002F4648"/>
    <w:rsid w:val="0030428F"/>
    <w:rsid w:val="003131B5"/>
    <w:rsid w:val="00321A58"/>
    <w:rsid w:val="00326EEF"/>
    <w:rsid w:val="00332D16"/>
    <w:rsid w:val="00342999"/>
    <w:rsid w:val="00345F8B"/>
    <w:rsid w:val="003545F6"/>
    <w:rsid w:val="003574FE"/>
    <w:rsid w:val="003640A4"/>
    <w:rsid w:val="003658F6"/>
    <w:rsid w:val="00367EFA"/>
    <w:rsid w:val="003868BB"/>
    <w:rsid w:val="003902DC"/>
    <w:rsid w:val="003B20AE"/>
    <w:rsid w:val="003D5ED7"/>
    <w:rsid w:val="003D6B25"/>
    <w:rsid w:val="003F636D"/>
    <w:rsid w:val="004012E6"/>
    <w:rsid w:val="00410044"/>
    <w:rsid w:val="004166B0"/>
    <w:rsid w:val="0041678A"/>
    <w:rsid w:val="00421E41"/>
    <w:rsid w:val="0042705D"/>
    <w:rsid w:val="00447DE8"/>
    <w:rsid w:val="00450FC6"/>
    <w:rsid w:val="004629E7"/>
    <w:rsid w:val="00485593"/>
    <w:rsid w:val="004A6285"/>
    <w:rsid w:val="004C4C39"/>
    <w:rsid w:val="004D73CC"/>
    <w:rsid w:val="0050730A"/>
    <w:rsid w:val="0052193D"/>
    <w:rsid w:val="00543AE6"/>
    <w:rsid w:val="00565290"/>
    <w:rsid w:val="005670AF"/>
    <w:rsid w:val="0057347A"/>
    <w:rsid w:val="00574E6D"/>
    <w:rsid w:val="00577851"/>
    <w:rsid w:val="005D2E81"/>
    <w:rsid w:val="005D42AB"/>
    <w:rsid w:val="00600B3B"/>
    <w:rsid w:val="0061000C"/>
    <w:rsid w:val="00611A1A"/>
    <w:rsid w:val="0062136C"/>
    <w:rsid w:val="00632C31"/>
    <w:rsid w:val="00640816"/>
    <w:rsid w:val="00641060"/>
    <w:rsid w:val="00641A3E"/>
    <w:rsid w:val="00661C8E"/>
    <w:rsid w:val="0066271A"/>
    <w:rsid w:val="00676654"/>
    <w:rsid w:val="00677FA0"/>
    <w:rsid w:val="00691391"/>
    <w:rsid w:val="006B36F7"/>
    <w:rsid w:val="006D02B1"/>
    <w:rsid w:val="006D1F5F"/>
    <w:rsid w:val="006F2F52"/>
    <w:rsid w:val="007003C3"/>
    <w:rsid w:val="007073E8"/>
    <w:rsid w:val="00710A19"/>
    <w:rsid w:val="00734BBC"/>
    <w:rsid w:val="00750C31"/>
    <w:rsid w:val="007532E3"/>
    <w:rsid w:val="00772EFC"/>
    <w:rsid w:val="00792663"/>
    <w:rsid w:val="00795E7B"/>
    <w:rsid w:val="007A447E"/>
    <w:rsid w:val="007C39A6"/>
    <w:rsid w:val="007C4728"/>
    <w:rsid w:val="007D30DD"/>
    <w:rsid w:val="007D4D0F"/>
    <w:rsid w:val="007D6AA4"/>
    <w:rsid w:val="007F51F8"/>
    <w:rsid w:val="00804CE4"/>
    <w:rsid w:val="00814092"/>
    <w:rsid w:val="00820B1A"/>
    <w:rsid w:val="00825684"/>
    <w:rsid w:val="00842FBE"/>
    <w:rsid w:val="00844DD6"/>
    <w:rsid w:val="0085059C"/>
    <w:rsid w:val="008566DB"/>
    <w:rsid w:val="00865DAD"/>
    <w:rsid w:val="00866623"/>
    <w:rsid w:val="008673F7"/>
    <w:rsid w:val="00897EBE"/>
    <w:rsid w:val="008A40F5"/>
    <w:rsid w:val="008B06D4"/>
    <w:rsid w:val="008B7F23"/>
    <w:rsid w:val="008C1A33"/>
    <w:rsid w:val="009029C9"/>
    <w:rsid w:val="00943323"/>
    <w:rsid w:val="00943D43"/>
    <w:rsid w:val="0095029A"/>
    <w:rsid w:val="00957E0E"/>
    <w:rsid w:val="0096798A"/>
    <w:rsid w:val="00977830"/>
    <w:rsid w:val="009814A9"/>
    <w:rsid w:val="009A4A22"/>
    <w:rsid w:val="009C3611"/>
    <w:rsid w:val="009D5A32"/>
    <w:rsid w:val="009F139B"/>
    <w:rsid w:val="009F3B0C"/>
    <w:rsid w:val="009F77BA"/>
    <w:rsid w:val="00A03E23"/>
    <w:rsid w:val="00A166A9"/>
    <w:rsid w:val="00A32EED"/>
    <w:rsid w:val="00A34677"/>
    <w:rsid w:val="00A43BED"/>
    <w:rsid w:val="00A47718"/>
    <w:rsid w:val="00A50007"/>
    <w:rsid w:val="00A77EC8"/>
    <w:rsid w:val="00A93294"/>
    <w:rsid w:val="00AA1475"/>
    <w:rsid w:val="00AA4678"/>
    <w:rsid w:val="00AA6777"/>
    <w:rsid w:val="00AA6F41"/>
    <w:rsid w:val="00AE4C15"/>
    <w:rsid w:val="00B15514"/>
    <w:rsid w:val="00B22941"/>
    <w:rsid w:val="00B503A1"/>
    <w:rsid w:val="00B64845"/>
    <w:rsid w:val="00B65150"/>
    <w:rsid w:val="00B668C2"/>
    <w:rsid w:val="00B714E5"/>
    <w:rsid w:val="00B97861"/>
    <w:rsid w:val="00BA180C"/>
    <w:rsid w:val="00BA2F37"/>
    <w:rsid w:val="00BB2373"/>
    <w:rsid w:val="00BC3F98"/>
    <w:rsid w:val="00BC70F6"/>
    <w:rsid w:val="00BF087E"/>
    <w:rsid w:val="00C211AA"/>
    <w:rsid w:val="00C22580"/>
    <w:rsid w:val="00C3797B"/>
    <w:rsid w:val="00C434C6"/>
    <w:rsid w:val="00C60701"/>
    <w:rsid w:val="00C73B4F"/>
    <w:rsid w:val="00C76ACA"/>
    <w:rsid w:val="00C83818"/>
    <w:rsid w:val="00CA2299"/>
    <w:rsid w:val="00CB3C98"/>
    <w:rsid w:val="00CC2CA8"/>
    <w:rsid w:val="00D479A2"/>
    <w:rsid w:val="00D560E7"/>
    <w:rsid w:val="00D57A79"/>
    <w:rsid w:val="00D714A2"/>
    <w:rsid w:val="00D71821"/>
    <w:rsid w:val="00D7723D"/>
    <w:rsid w:val="00DD7B8F"/>
    <w:rsid w:val="00E036F6"/>
    <w:rsid w:val="00E1577D"/>
    <w:rsid w:val="00E44F12"/>
    <w:rsid w:val="00E50CBE"/>
    <w:rsid w:val="00E55E1E"/>
    <w:rsid w:val="00E614FB"/>
    <w:rsid w:val="00E638FC"/>
    <w:rsid w:val="00E7097D"/>
    <w:rsid w:val="00E72982"/>
    <w:rsid w:val="00E87058"/>
    <w:rsid w:val="00EA3F2F"/>
    <w:rsid w:val="00EC3F42"/>
    <w:rsid w:val="00EC4EE9"/>
    <w:rsid w:val="00ED3719"/>
    <w:rsid w:val="00F143A1"/>
    <w:rsid w:val="00F41999"/>
    <w:rsid w:val="00F4597E"/>
    <w:rsid w:val="00F552ED"/>
    <w:rsid w:val="00F77D1B"/>
    <w:rsid w:val="00F856D8"/>
    <w:rsid w:val="00FA12E2"/>
    <w:rsid w:val="00FC0330"/>
    <w:rsid w:val="00FC6BE7"/>
    <w:rsid w:val="00FD014B"/>
    <w:rsid w:val="00FD4ED6"/>
    <w:rsid w:val="00FD618B"/>
    <w:rsid w:val="00FE298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9B4568"/>
  <w15:docId w15:val="{EE77C15F-1493-438B-B2F9-BE6C7D0D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2EED"/>
    <w:rPr>
      <w:rFonts w:ascii="Arial" w:hAnsi="Arial"/>
    </w:rPr>
  </w:style>
  <w:style w:type="paragraph" w:styleId="Heading1">
    <w:name w:val="heading 1"/>
    <w:basedOn w:val="Heading2"/>
    <w:next w:val="Normal"/>
    <w:link w:val="Heading1Char"/>
    <w:uiPriority w:val="9"/>
    <w:qFormat/>
    <w:rsid w:val="00AA1475"/>
    <w:pPr>
      <w:spacing w:line="480" w:lineRule="auto"/>
      <w:outlineLvl w:val="0"/>
    </w:pPr>
    <w:rPr>
      <w:b/>
      <w:i w:val="0"/>
      <w:color w:val="000000"/>
    </w:rPr>
  </w:style>
  <w:style w:type="paragraph" w:styleId="Heading2">
    <w:name w:val="heading 2"/>
    <w:basedOn w:val="Normal"/>
    <w:next w:val="Normal"/>
    <w:link w:val="Heading2Char1"/>
    <w:uiPriority w:val="9"/>
    <w:semiHidden/>
    <w:unhideWhenUsed/>
    <w:qFormat/>
    <w:rsid w:val="00A32EED"/>
    <w:pPr>
      <w:keepNext/>
      <w:keepLines/>
      <w:spacing w:before="40" w:after="0"/>
      <w:outlineLvl w:val="1"/>
    </w:pPr>
    <w:rPr>
      <w:rFonts w:eastAsiaTheme="majorEastAsia" w:cstheme="majorBidi"/>
      <w:i/>
      <w:color w:val="000000" w:themeColor="text1"/>
      <w:szCs w:val="26"/>
      <w:u w:val="single"/>
    </w:rPr>
  </w:style>
  <w:style w:type="paragraph" w:styleId="Heading3">
    <w:name w:val="heading 3"/>
    <w:basedOn w:val="Normal"/>
    <w:next w:val="Normal"/>
    <w:link w:val="Heading3Char"/>
    <w:uiPriority w:val="9"/>
    <w:semiHidden/>
    <w:unhideWhenUsed/>
    <w:qFormat/>
    <w:rsid w:val="004C4C39"/>
    <w:pPr>
      <w:keepNext/>
      <w:keepLines/>
      <w:spacing w:before="40" w:after="0"/>
      <w:outlineLvl w:val="2"/>
    </w:pPr>
    <w:rPr>
      <w:rFonts w:ascii="Helvetica" w:eastAsia="ＭＳ ゴシック" w:hAnsi="Helvetica" w:cs="Times New Roman"/>
      <w:i/>
      <w:color w:val="000000"/>
    </w:rPr>
  </w:style>
  <w:style w:type="paragraph" w:styleId="Heading4">
    <w:name w:val="heading 4"/>
    <w:basedOn w:val="Normal"/>
    <w:next w:val="Normal"/>
    <w:link w:val="Heading4Char"/>
    <w:uiPriority w:val="9"/>
    <w:semiHidden/>
    <w:unhideWhenUsed/>
    <w:qFormat/>
    <w:rsid w:val="004C4C39"/>
    <w:pPr>
      <w:keepNext/>
      <w:keepLines/>
      <w:spacing w:before="40" w:after="0"/>
      <w:outlineLvl w:val="3"/>
    </w:pPr>
    <w:rPr>
      <w:rFonts w:ascii="Helvetica" w:eastAsia="ＭＳ ゴシック" w:hAnsi="Helvetica"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AA1475"/>
    <w:rPr>
      <w:rFonts w:ascii="Arial" w:eastAsiaTheme="majorEastAsia" w:hAnsi="Arial" w:cstheme="majorBidi"/>
      <w:b/>
      <w:color w:val="000000"/>
      <w:szCs w:val="26"/>
      <w:u w:val="single"/>
    </w:rPr>
  </w:style>
  <w:style w:type="paragraph" w:customStyle="1" w:styleId="Heading21">
    <w:name w:val="Heading 21"/>
    <w:basedOn w:val="Normal"/>
    <w:next w:val="Normal"/>
    <w:link w:val="Heading2Char"/>
    <w:uiPriority w:val="9"/>
    <w:unhideWhenUsed/>
    <w:qFormat/>
    <w:rsid w:val="00641060"/>
    <w:pPr>
      <w:keepNext/>
      <w:keepLines/>
      <w:spacing w:before="40" w:after="0" w:line="480" w:lineRule="auto"/>
      <w:outlineLvl w:val="1"/>
    </w:pPr>
    <w:rPr>
      <w:rFonts w:eastAsia="ＭＳ ゴシック" w:cs="Times New Roman"/>
      <w:i/>
      <w:color w:val="000000"/>
      <w:szCs w:val="26"/>
    </w:rPr>
  </w:style>
  <w:style w:type="paragraph" w:customStyle="1" w:styleId="Heading31">
    <w:name w:val="Heading 31"/>
    <w:basedOn w:val="Normal"/>
    <w:next w:val="Normal"/>
    <w:uiPriority w:val="9"/>
    <w:unhideWhenUsed/>
    <w:qFormat/>
    <w:rsid w:val="004C4C39"/>
    <w:pPr>
      <w:keepNext/>
      <w:keepLines/>
      <w:spacing w:before="40" w:after="0" w:line="480" w:lineRule="auto"/>
      <w:outlineLvl w:val="2"/>
    </w:pPr>
    <w:rPr>
      <w:rFonts w:ascii="Helvetica" w:eastAsia="ＭＳ ゴシック" w:hAnsi="Helvetica" w:cs="Times New Roman"/>
      <w:i/>
      <w:color w:val="000000"/>
    </w:rPr>
  </w:style>
  <w:style w:type="paragraph" w:customStyle="1" w:styleId="Heading41">
    <w:name w:val="Heading 41"/>
    <w:basedOn w:val="Normal"/>
    <w:next w:val="Normal"/>
    <w:uiPriority w:val="9"/>
    <w:unhideWhenUsed/>
    <w:qFormat/>
    <w:rsid w:val="004C4C39"/>
    <w:pPr>
      <w:keepNext/>
      <w:keepLines/>
      <w:spacing w:before="40" w:after="0" w:line="480" w:lineRule="auto"/>
      <w:outlineLvl w:val="3"/>
    </w:pPr>
    <w:rPr>
      <w:rFonts w:ascii="Helvetica" w:eastAsia="ＭＳ ゴシック" w:hAnsi="Helvetica" w:cs="Times New Roman"/>
      <w:i/>
      <w:iCs/>
      <w:color w:val="2F5496"/>
    </w:rPr>
  </w:style>
  <w:style w:type="numbering" w:customStyle="1" w:styleId="NoList1">
    <w:name w:val="No List1"/>
    <w:next w:val="NoList"/>
    <w:uiPriority w:val="99"/>
    <w:semiHidden/>
    <w:unhideWhenUsed/>
    <w:rsid w:val="004C4C39"/>
  </w:style>
  <w:style w:type="character" w:customStyle="1" w:styleId="Heading2Char">
    <w:name w:val="Heading 2 Char"/>
    <w:basedOn w:val="DefaultParagraphFont"/>
    <w:link w:val="Heading21"/>
    <w:uiPriority w:val="9"/>
    <w:rsid w:val="00641060"/>
    <w:rPr>
      <w:rFonts w:ascii="Arial" w:eastAsia="ＭＳ ゴシック" w:hAnsi="Arial" w:cs="Times New Roman"/>
      <w:i/>
      <w:color w:val="000000"/>
      <w:szCs w:val="26"/>
    </w:rPr>
  </w:style>
  <w:style w:type="character" w:customStyle="1" w:styleId="Heading3Char">
    <w:name w:val="Heading 3 Char"/>
    <w:basedOn w:val="DefaultParagraphFont"/>
    <w:link w:val="Heading3"/>
    <w:uiPriority w:val="9"/>
    <w:rsid w:val="004C4C39"/>
    <w:rPr>
      <w:rFonts w:ascii="Helvetica" w:eastAsia="ＭＳ ゴシック" w:hAnsi="Helvetica" w:cs="Times New Roman"/>
      <w:i/>
      <w:color w:val="000000"/>
    </w:rPr>
  </w:style>
  <w:style w:type="character" w:customStyle="1" w:styleId="Heading4Char">
    <w:name w:val="Heading 4 Char"/>
    <w:basedOn w:val="DefaultParagraphFont"/>
    <w:link w:val="Heading4"/>
    <w:uiPriority w:val="9"/>
    <w:rsid w:val="004C4C39"/>
    <w:rPr>
      <w:rFonts w:ascii="Helvetica" w:eastAsia="ＭＳ ゴシック" w:hAnsi="Helvetica" w:cs="Times New Roman"/>
      <w:i/>
      <w:iCs/>
      <w:color w:val="2F5496"/>
    </w:rPr>
  </w:style>
  <w:style w:type="paragraph" w:customStyle="1" w:styleId="Caption1">
    <w:name w:val="Caption1"/>
    <w:basedOn w:val="Normal"/>
    <w:next w:val="Normal"/>
    <w:autoRedefine/>
    <w:uiPriority w:val="35"/>
    <w:unhideWhenUsed/>
    <w:qFormat/>
    <w:rsid w:val="00641060"/>
    <w:pPr>
      <w:keepNext/>
    </w:pPr>
    <w:rPr>
      <w:rFonts w:cs="Times New Roman"/>
      <w:i/>
      <w:iCs/>
      <w:color w:val="000000"/>
      <w:szCs w:val="18"/>
    </w:rPr>
  </w:style>
  <w:style w:type="table" w:styleId="TableGrid">
    <w:name w:val="Table Grid"/>
    <w:basedOn w:val="TableNormal"/>
    <w:uiPriority w:val="39"/>
    <w:rsid w:val="004C4C39"/>
    <w:pPr>
      <w:spacing w:after="0"/>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4C4C39"/>
  </w:style>
  <w:style w:type="character" w:styleId="CommentReference">
    <w:name w:val="annotation reference"/>
    <w:basedOn w:val="DefaultParagraphFont"/>
    <w:uiPriority w:val="99"/>
    <w:rsid w:val="004C4C39"/>
    <w:rPr>
      <w:sz w:val="16"/>
      <w:szCs w:val="16"/>
    </w:rPr>
  </w:style>
  <w:style w:type="paragraph" w:styleId="CommentText">
    <w:name w:val="annotation text"/>
    <w:basedOn w:val="Normal"/>
    <w:link w:val="CommentTextChar"/>
    <w:uiPriority w:val="99"/>
    <w:semiHidden/>
    <w:unhideWhenUsed/>
    <w:rsid w:val="004C4C39"/>
    <w:pPr>
      <w:spacing w:after="0"/>
    </w:pPr>
    <w:rPr>
      <w:rFonts w:ascii="Helvetica" w:hAnsi="Helvetica" w:cs="Times New Roman"/>
    </w:rPr>
  </w:style>
  <w:style w:type="character" w:customStyle="1" w:styleId="CommentTextChar">
    <w:name w:val="Comment Text Char"/>
    <w:basedOn w:val="DefaultParagraphFont"/>
    <w:link w:val="CommentText"/>
    <w:uiPriority w:val="99"/>
    <w:semiHidden/>
    <w:rsid w:val="004C4C39"/>
    <w:rPr>
      <w:rFonts w:ascii="Helvetica" w:hAnsi="Helvetica" w:cs="Times New Roman"/>
    </w:rPr>
  </w:style>
  <w:style w:type="paragraph" w:styleId="CommentSubject">
    <w:name w:val="annotation subject"/>
    <w:basedOn w:val="CommentText"/>
    <w:next w:val="CommentText"/>
    <w:link w:val="CommentSubjectChar"/>
    <w:uiPriority w:val="99"/>
    <w:semiHidden/>
    <w:unhideWhenUsed/>
    <w:rsid w:val="004C4C39"/>
    <w:rPr>
      <w:b/>
      <w:bCs/>
      <w:sz w:val="20"/>
      <w:szCs w:val="20"/>
    </w:rPr>
  </w:style>
  <w:style w:type="character" w:customStyle="1" w:styleId="CommentSubjectChar">
    <w:name w:val="Comment Subject Char"/>
    <w:basedOn w:val="CommentTextChar"/>
    <w:link w:val="CommentSubject"/>
    <w:uiPriority w:val="99"/>
    <w:semiHidden/>
    <w:rsid w:val="004C4C39"/>
    <w:rPr>
      <w:rFonts w:ascii="Helvetica" w:hAnsi="Helvetica" w:cs="Times New Roman"/>
      <w:b/>
      <w:bCs/>
      <w:sz w:val="20"/>
      <w:szCs w:val="20"/>
    </w:rPr>
  </w:style>
  <w:style w:type="table" w:customStyle="1" w:styleId="ListTable21">
    <w:name w:val="List Table 21"/>
    <w:basedOn w:val="TableNormal"/>
    <w:next w:val="ListTable2"/>
    <w:uiPriority w:val="47"/>
    <w:rsid w:val="004C4C39"/>
    <w:pPr>
      <w:spacing w:after="0"/>
    </w:pPr>
    <w:rPr>
      <w:rFonts w:ascii="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DocumentMap">
    <w:name w:val="Document Map"/>
    <w:basedOn w:val="Normal"/>
    <w:link w:val="DocumentMapChar"/>
    <w:uiPriority w:val="99"/>
    <w:semiHidden/>
    <w:unhideWhenUsed/>
    <w:rsid w:val="004C4C39"/>
    <w:pPr>
      <w:spacing w:after="0"/>
    </w:pPr>
    <w:rPr>
      <w:rFonts w:cs="Times New Roman"/>
    </w:rPr>
  </w:style>
  <w:style w:type="character" w:customStyle="1" w:styleId="DocumentMapChar">
    <w:name w:val="Document Map Char"/>
    <w:basedOn w:val="DefaultParagraphFont"/>
    <w:link w:val="DocumentMap"/>
    <w:uiPriority w:val="99"/>
    <w:semiHidden/>
    <w:rsid w:val="004C4C39"/>
    <w:rPr>
      <w:rFonts w:cs="Times New Roman"/>
    </w:rPr>
  </w:style>
  <w:style w:type="table" w:customStyle="1" w:styleId="PlainTable41">
    <w:name w:val="Plain Table 41"/>
    <w:basedOn w:val="TableNormal"/>
    <w:next w:val="PlainTable4"/>
    <w:uiPriority w:val="44"/>
    <w:rsid w:val="004C4C39"/>
    <w:pPr>
      <w:spacing w:after="0"/>
    </w:pPr>
    <w:rPr>
      <w:rFonts w:ascii="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1Light1">
    <w:name w:val="List Table 1 Light1"/>
    <w:basedOn w:val="TableNormal"/>
    <w:next w:val="ListTable1Light"/>
    <w:uiPriority w:val="46"/>
    <w:rsid w:val="004C4C39"/>
    <w:pPr>
      <w:spacing w:after="0"/>
    </w:pPr>
    <w:rPr>
      <w:rFonts w:ascii="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31">
    <w:name w:val="Plain Table 31"/>
    <w:basedOn w:val="TableNormal"/>
    <w:uiPriority w:val="43"/>
    <w:rsid w:val="004C4C39"/>
    <w:pPr>
      <w:spacing w:after="0"/>
    </w:pPr>
    <w:rPr>
      <w:rFonts w:ascii="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6Colorful1">
    <w:name w:val="List Table 6 Colorful1"/>
    <w:basedOn w:val="TableNormal"/>
    <w:next w:val="ListTable6Colorful"/>
    <w:uiPriority w:val="51"/>
    <w:rsid w:val="004C4C39"/>
    <w:pPr>
      <w:spacing w:after="0"/>
    </w:pPr>
    <w:rPr>
      <w:rFonts w:ascii="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4C4C39"/>
    <w:pPr>
      <w:spacing w:after="240"/>
      <w:ind w:left="720" w:hanging="720"/>
    </w:pPr>
    <w:rPr>
      <w:rFonts w:ascii="Helvetica" w:hAnsi="Helvetica" w:cs="Times New Roman"/>
    </w:rPr>
  </w:style>
  <w:style w:type="paragraph" w:customStyle="1" w:styleId="TOCHeading1">
    <w:name w:val="TOC Heading1"/>
    <w:basedOn w:val="Heading1"/>
    <w:next w:val="Normal"/>
    <w:uiPriority w:val="39"/>
    <w:unhideWhenUsed/>
    <w:qFormat/>
    <w:rsid w:val="004C4C39"/>
    <w:pPr>
      <w:spacing w:before="480" w:line="276" w:lineRule="auto"/>
      <w:outlineLvl w:val="9"/>
    </w:pPr>
    <w:rPr>
      <w:rFonts w:ascii="Calibri Light" w:hAnsi="Calibri Light"/>
      <w:bCs/>
      <w:color w:val="2F5496"/>
      <w:sz w:val="28"/>
      <w:szCs w:val="28"/>
      <w:u w:val="none"/>
    </w:rPr>
  </w:style>
  <w:style w:type="paragraph" w:customStyle="1" w:styleId="TOC11">
    <w:name w:val="TOC 11"/>
    <w:basedOn w:val="Normal"/>
    <w:next w:val="Normal"/>
    <w:autoRedefine/>
    <w:uiPriority w:val="39"/>
    <w:unhideWhenUsed/>
    <w:rsid w:val="004C4C39"/>
    <w:pPr>
      <w:spacing w:before="120" w:after="0" w:line="480" w:lineRule="auto"/>
    </w:pPr>
    <w:rPr>
      <w:rFonts w:ascii="Calibri" w:hAnsi="Calibri" w:cs="Times New Roman"/>
      <w:b/>
      <w:bCs/>
      <w:caps/>
      <w:sz w:val="22"/>
      <w:szCs w:val="22"/>
    </w:rPr>
  </w:style>
  <w:style w:type="paragraph" w:customStyle="1" w:styleId="TOC21">
    <w:name w:val="TOC 21"/>
    <w:basedOn w:val="Normal"/>
    <w:next w:val="Normal"/>
    <w:autoRedefine/>
    <w:uiPriority w:val="39"/>
    <w:unhideWhenUsed/>
    <w:rsid w:val="004C4C39"/>
    <w:pPr>
      <w:spacing w:after="0" w:line="480" w:lineRule="auto"/>
      <w:ind w:left="240"/>
    </w:pPr>
    <w:rPr>
      <w:rFonts w:ascii="Calibri" w:hAnsi="Calibri" w:cs="Times New Roman"/>
      <w:smallCaps/>
      <w:sz w:val="22"/>
      <w:szCs w:val="22"/>
    </w:rPr>
  </w:style>
  <w:style w:type="paragraph" w:customStyle="1" w:styleId="TOC31">
    <w:name w:val="TOC 31"/>
    <w:basedOn w:val="Normal"/>
    <w:next w:val="Normal"/>
    <w:autoRedefine/>
    <w:uiPriority w:val="39"/>
    <w:unhideWhenUsed/>
    <w:rsid w:val="004C4C39"/>
    <w:pPr>
      <w:spacing w:after="0" w:line="480" w:lineRule="auto"/>
      <w:ind w:left="480"/>
    </w:pPr>
    <w:rPr>
      <w:rFonts w:ascii="Calibri" w:hAnsi="Calibri" w:cs="Times New Roman"/>
      <w:i/>
      <w:iCs/>
      <w:sz w:val="22"/>
      <w:szCs w:val="22"/>
    </w:rPr>
  </w:style>
  <w:style w:type="paragraph" w:customStyle="1" w:styleId="TOC41">
    <w:name w:val="TOC 41"/>
    <w:basedOn w:val="Normal"/>
    <w:next w:val="Normal"/>
    <w:autoRedefine/>
    <w:uiPriority w:val="39"/>
    <w:unhideWhenUsed/>
    <w:rsid w:val="004C4C39"/>
    <w:pPr>
      <w:spacing w:after="0" w:line="480" w:lineRule="auto"/>
      <w:ind w:left="720"/>
    </w:pPr>
    <w:rPr>
      <w:rFonts w:ascii="Calibri" w:hAnsi="Calibri" w:cs="Times New Roman"/>
      <w:sz w:val="18"/>
      <w:szCs w:val="18"/>
    </w:rPr>
  </w:style>
  <w:style w:type="paragraph" w:customStyle="1" w:styleId="TOC51">
    <w:name w:val="TOC 51"/>
    <w:basedOn w:val="Normal"/>
    <w:next w:val="Normal"/>
    <w:autoRedefine/>
    <w:uiPriority w:val="39"/>
    <w:unhideWhenUsed/>
    <w:rsid w:val="004C4C39"/>
    <w:pPr>
      <w:spacing w:after="0" w:line="480" w:lineRule="auto"/>
      <w:ind w:left="960"/>
    </w:pPr>
    <w:rPr>
      <w:rFonts w:ascii="Calibri" w:hAnsi="Calibri" w:cs="Times New Roman"/>
      <w:sz w:val="18"/>
      <w:szCs w:val="18"/>
    </w:rPr>
  </w:style>
  <w:style w:type="paragraph" w:customStyle="1" w:styleId="TOC61">
    <w:name w:val="TOC 61"/>
    <w:basedOn w:val="Normal"/>
    <w:next w:val="Normal"/>
    <w:autoRedefine/>
    <w:uiPriority w:val="39"/>
    <w:unhideWhenUsed/>
    <w:rsid w:val="004C4C39"/>
    <w:pPr>
      <w:spacing w:after="0" w:line="480" w:lineRule="auto"/>
      <w:ind w:left="1200"/>
    </w:pPr>
    <w:rPr>
      <w:rFonts w:ascii="Calibri" w:hAnsi="Calibri" w:cs="Times New Roman"/>
      <w:sz w:val="18"/>
      <w:szCs w:val="18"/>
    </w:rPr>
  </w:style>
  <w:style w:type="paragraph" w:customStyle="1" w:styleId="TOC71">
    <w:name w:val="TOC 71"/>
    <w:basedOn w:val="Normal"/>
    <w:next w:val="Normal"/>
    <w:autoRedefine/>
    <w:uiPriority w:val="39"/>
    <w:unhideWhenUsed/>
    <w:rsid w:val="004C4C39"/>
    <w:pPr>
      <w:spacing w:after="0" w:line="480" w:lineRule="auto"/>
      <w:ind w:left="1440"/>
    </w:pPr>
    <w:rPr>
      <w:rFonts w:ascii="Calibri" w:hAnsi="Calibri" w:cs="Times New Roman"/>
      <w:sz w:val="18"/>
      <w:szCs w:val="18"/>
    </w:rPr>
  </w:style>
  <w:style w:type="paragraph" w:customStyle="1" w:styleId="TOC81">
    <w:name w:val="TOC 81"/>
    <w:basedOn w:val="Normal"/>
    <w:next w:val="Normal"/>
    <w:autoRedefine/>
    <w:uiPriority w:val="39"/>
    <w:unhideWhenUsed/>
    <w:rsid w:val="004C4C39"/>
    <w:pPr>
      <w:spacing w:after="0" w:line="480" w:lineRule="auto"/>
      <w:ind w:left="1680"/>
    </w:pPr>
    <w:rPr>
      <w:rFonts w:ascii="Calibri" w:hAnsi="Calibri" w:cs="Times New Roman"/>
      <w:sz w:val="18"/>
      <w:szCs w:val="18"/>
    </w:rPr>
  </w:style>
  <w:style w:type="paragraph" w:customStyle="1" w:styleId="TOC91">
    <w:name w:val="TOC 91"/>
    <w:basedOn w:val="Normal"/>
    <w:next w:val="Normal"/>
    <w:autoRedefine/>
    <w:uiPriority w:val="39"/>
    <w:unhideWhenUsed/>
    <w:rsid w:val="004C4C39"/>
    <w:pPr>
      <w:spacing w:after="0" w:line="480" w:lineRule="auto"/>
      <w:ind w:left="1920"/>
    </w:pPr>
    <w:rPr>
      <w:rFonts w:ascii="Calibri" w:hAnsi="Calibri" w:cs="Times New Roman"/>
      <w:sz w:val="18"/>
      <w:szCs w:val="18"/>
    </w:rPr>
  </w:style>
  <w:style w:type="paragraph" w:styleId="FootnoteText">
    <w:name w:val="footnote text"/>
    <w:basedOn w:val="Normal"/>
    <w:link w:val="FootnoteTextChar"/>
    <w:uiPriority w:val="99"/>
    <w:unhideWhenUsed/>
    <w:rsid w:val="004C4C39"/>
    <w:pPr>
      <w:spacing w:after="0"/>
    </w:pPr>
    <w:rPr>
      <w:rFonts w:ascii="Helvetica" w:hAnsi="Helvetica" w:cs="Times New Roman"/>
    </w:rPr>
  </w:style>
  <w:style w:type="character" w:customStyle="1" w:styleId="FootnoteTextChar">
    <w:name w:val="Footnote Text Char"/>
    <w:basedOn w:val="DefaultParagraphFont"/>
    <w:link w:val="FootnoteText"/>
    <w:uiPriority w:val="99"/>
    <w:rsid w:val="004C4C39"/>
    <w:rPr>
      <w:rFonts w:ascii="Helvetica" w:hAnsi="Helvetica" w:cs="Times New Roman"/>
    </w:rPr>
  </w:style>
  <w:style w:type="character" w:styleId="FootnoteReference">
    <w:name w:val="footnote reference"/>
    <w:basedOn w:val="DefaultParagraphFont"/>
    <w:uiPriority w:val="99"/>
    <w:unhideWhenUsed/>
    <w:rsid w:val="004C4C39"/>
    <w:rPr>
      <w:vertAlign w:val="superscript"/>
    </w:rPr>
  </w:style>
  <w:style w:type="character" w:customStyle="1" w:styleId="Heading2Char1">
    <w:name w:val="Heading 2 Char1"/>
    <w:basedOn w:val="DefaultParagraphFont"/>
    <w:link w:val="Heading2"/>
    <w:uiPriority w:val="9"/>
    <w:semiHidden/>
    <w:rsid w:val="00A32EED"/>
    <w:rPr>
      <w:rFonts w:ascii="Arial" w:eastAsiaTheme="majorEastAsia" w:hAnsi="Arial" w:cstheme="majorBidi"/>
      <w:i/>
      <w:color w:val="000000" w:themeColor="text1"/>
      <w:szCs w:val="26"/>
      <w:u w:val="single"/>
    </w:rPr>
  </w:style>
  <w:style w:type="character" w:customStyle="1" w:styleId="Heading3Char1">
    <w:name w:val="Heading 3 Char1"/>
    <w:basedOn w:val="DefaultParagraphFont"/>
    <w:uiPriority w:val="9"/>
    <w:semiHidden/>
    <w:rsid w:val="004C4C39"/>
    <w:rPr>
      <w:rFonts w:asciiTheme="majorHAnsi" w:eastAsiaTheme="majorEastAsia" w:hAnsiTheme="majorHAnsi" w:cstheme="majorBidi"/>
      <w:color w:val="243F60" w:themeColor="accent1" w:themeShade="7F"/>
    </w:rPr>
  </w:style>
  <w:style w:type="character" w:customStyle="1" w:styleId="Heading4Char1">
    <w:name w:val="Heading 4 Char1"/>
    <w:basedOn w:val="DefaultParagraphFont"/>
    <w:uiPriority w:val="9"/>
    <w:semiHidden/>
    <w:rsid w:val="004C4C39"/>
    <w:rPr>
      <w:rFonts w:asciiTheme="majorHAnsi" w:eastAsiaTheme="majorEastAsia" w:hAnsiTheme="majorHAnsi" w:cstheme="majorBidi"/>
      <w:i/>
      <w:iCs/>
      <w:color w:val="365F91" w:themeColor="accent1" w:themeShade="BF"/>
    </w:rPr>
  </w:style>
  <w:style w:type="table" w:styleId="ListTable2">
    <w:name w:val="List Table 2"/>
    <w:basedOn w:val="TableNormal"/>
    <w:uiPriority w:val="47"/>
    <w:rsid w:val="004C4C39"/>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4C4C39"/>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4C4C39"/>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4C4C39"/>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52193D"/>
    <w:pPr>
      <w:spacing w:before="480" w:line="276" w:lineRule="auto"/>
      <w:outlineLvl w:val="9"/>
    </w:pPr>
    <w:rPr>
      <w:rFonts w:asciiTheme="majorHAnsi" w:hAnsiTheme="majorHAnsi"/>
      <w:bCs/>
      <w:i/>
      <w:color w:val="365F91" w:themeColor="accent1" w:themeShade="BF"/>
      <w:sz w:val="28"/>
      <w:szCs w:val="28"/>
      <w:u w:val="none"/>
    </w:rPr>
  </w:style>
  <w:style w:type="paragraph" w:styleId="TOC1">
    <w:name w:val="toc 1"/>
    <w:basedOn w:val="Normal"/>
    <w:next w:val="Normal"/>
    <w:autoRedefine/>
    <w:uiPriority w:val="39"/>
    <w:unhideWhenUsed/>
    <w:rsid w:val="007D4D0F"/>
    <w:pPr>
      <w:tabs>
        <w:tab w:val="right" w:leader="dot" w:pos="8486"/>
      </w:tabs>
      <w:spacing w:before="120" w:after="0" w:line="480" w:lineRule="auto"/>
    </w:pPr>
    <w:rPr>
      <w:rFonts w:asciiTheme="minorHAnsi" w:hAnsiTheme="minorHAnsi" w:cstheme="minorHAnsi"/>
      <w:b/>
      <w:bCs/>
      <w:caps/>
      <w:sz w:val="22"/>
      <w:szCs w:val="22"/>
    </w:rPr>
  </w:style>
  <w:style w:type="paragraph" w:styleId="TOC2">
    <w:name w:val="toc 2"/>
    <w:basedOn w:val="Normal"/>
    <w:next w:val="Normal"/>
    <w:autoRedefine/>
    <w:uiPriority w:val="39"/>
    <w:unhideWhenUsed/>
    <w:rsid w:val="0052193D"/>
    <w:pPr>
      <w:spacing w:after="0"/>
      <w:ind w:left="240"/>
    </w:pPr>
    <w:rPr>
      <w:rFonts w:asciiTheme="minorHAnsi" w:hAnsiTheme="minorHAnsi" w:cstheme="minorHAnsi"/>
      <w:smallCaps/>
      <w:sz w:val="22"/>
      <w:szCs w:val="22"/>
    </w:rPr>
  </w:style>
  <w:style w:type="paragraph" w:styleId="TOC3">
    <w:name w:val="toc 3"/>
    <w:basedOn w:val="Normal"/>
    <w:next w:val="Normal"/>
    <w:autoRedefine/>
    <w:uiPriority w:val="39"/>
    <w:unhideWhenUsed/>
    <w:rsid w:val="0052193D"/>
    <w:pPr>
      <w:spacing w:after="0"/>
      <w:ind w:left="480"/>
    </w:pPr>
    <w:rPr>
      <w:rFonts w:asciiTheme="minorHAnsi" w:hAnsiTheme="minorHAnsi" w:cstheme="minorHAnsi"/>
      <w:i/>
      <w:iCs/>
      <w:sz w:val="22"/>
      <w:szCs w:val="22"/>
    </w:rPr>
  </w:style>
  <w:style w:type="paragraph" w:styleId="TOC4">
    <w:name w:val="toc 4"/>
    <w:basedOn w:val="Normal"/>
    <w:next w:val="Normal"/>
    <w:autoRedefine/>
    <w:uiPriority w:val="39"/>
    <w:unhideWhenUsed/>
    <w:rsid w:val="0052193D"/>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2193D"/>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2193D"/>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2193D"/>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2193D"/>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2193D"/>
    <w:pPr>
      <w:spacing w:after="0"/>
      <w:ind w:left="1920"/>
    </w:pPr>
    <w:rPr>
      <w:rFonts w:asciiTheme="minorHAnsi" w:hAnsiTheme="minorHAnsi" w:cstheme="minorHAnsi"/>
      <w:sz w:val="18"/>
      <w:szCs w:val="18"/>
    </w:rPr>
  </w:style>
  <w:style w:type="paragraph" w:styleId="TableofFigures">
    <w:name w:val="table of figures"/>
    <w:basedOn w:val="Normal"/>
    <w:next w:val="Normal"/>
    <w:uiPriority w:val="99"/>
    <w:unhideWhenUsed/>
    <w:rsid w:val="00E87058"/>
    <w:pPr>
      <w:ind w:left="480" w:hanging="480"/>
    </w:pPr>
  </w:style>
  <w:style w:type="character" w:styleId="EndnoteReference">
    <w:name w:val="endnote reference"/>
    <w:basedOn w:val="DefaultParagraphFont"/>
    <w:uiPriority w:val="99"/>
    <w:semiHidden/>
    <w:unhideWhenUsed/>
    <w:rsid w:val="005670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footer" Target="footer4.xml"/><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fontTable" Target="fontTable.xml"/><Relationship Id="rId34" Type="http://schemas.openxmlformats.org/officeDocument/2006/relationships/glossaryDocument" Target="glossary/document.xml"/><Relationship Id="rId35" Type="http://schemas.openxmlformats.org/officeDocument/2006/relationships/theme" Target="theme/theme1.xml"/><Relationship Id="rId10" Type="http://schemas.openxmlformats.org/officeDocument/2006/relationships/footer" Target="footer3.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ambria Math">
    <w:panose1 w:val="02040503050406030204"/>
    <w:charset w:val="00"/>
    <w:family w:val="auto"/>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76224"/>
    <w:rsid w:val="0008564B"/>
    <w:rsid w:val="00134452"/>
    <w:rsid w:val="0014783D"/>
    <w:rsid w:val="001D57DA"/>
    <w:rsid w:val="00260FCE"/>
    <w:rsid w:val="002A7140"/>
    <w:rsid w:val="003B2DD4"/>
    <w:rsid w:val="004F399F"/>
    <w:rsid w:val="00532752"/>
    <w:rsid w:val="005F58AE"/>
    <w:rsid w:val="00684C31"/>
    <w:rsid w:val="007610A7"/>
    <w:rsid w:val="00780D3B"/>
    <w:rsid w:val="008964F7"/>
    <w:rsid w:val="009D7C95"/>
    <w:rsid w:val="00AF00C2"/>
    <w:rsid w:val="00B11D39"/>
    <w:rsid w:val="00C00AB3"/>
    <w:rsid w:val="00C92B13"/>
    <w:rsid w:val="00CE034D"/>
    <w:rsid w:val="00DE48BA"/>
    <w:rsid w:val="00DE7984"/>
    <w:rsid w:val="00E6070F"/>
    <w:rsid w:val="00F04B13"/>
    <w:rsid w:val="00F22C53"/>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F21663-AADA-BF42-9E67-8AA50BE1F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216</Pages>
  <Words>138959</Words>
  <Characters>792069</Characters>
  <Application>Microsoft Macintosh Word</Application>
  <DocSecurity>0</DocSecurity>
  <Lines>6600</Lines>
  <Paragraphs>1858</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929170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Crawford, Brandon L.</cp:lastModifiedBy>
  <cp:revision>2</cp:revision>
  <cp:lastPrinted>2017-05-09T23:16:00Z</cp:lastPrinted>
  <dcterms:created xsi:type="dcterms:W3CDTF">2017-05-09T23:16:00Z</dcterms:created>
  <dcterms:modified xsi:type="dcterms:W3CDTF">2017-05-09T23:16:00Z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zotero-version="4.0.29.18"&gt;&lt;session id="gbGxiCKd"/&gt;&lt;style id="http://www.zotero.org/styles/american-sociological-association" locale="en-US" hasBibliography="1" bibliographyStyleHasBeenSet="1"/&gt;&lt;prefs&gt;&lt;pref name="fieldType" value="F</vt:lpwstr>
  </property>
  <property fmtid="{D5CDD505-2E9C-101B-9397-08002B2CF9AE}" pid="3" name="ZOTERO_PREF_2">
    <vt:lpwstr>ield"/&gt;&lt;pref name="storeReferences" value="true"/&gt;&lt;pref name="automaticJournalAbbreviations" value="true"/&gt;&lt;pref name="noteType" value=""/&gt;&lt;/prefs&gt;&lt;/data&gt;</vt:lpwstr>
  </property>
</Properties>
</file>